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گزیده مقالات ایفلا </w:t>
      </w:r>
      <w:r>
        <w:rPr/>
        <w:t>2012</w:t>
      </w:r>
      <w:r>
        <w:rPr>
          <w:rtl w:val="true"/>
        </w:rPr>
        <w:t xml:space="preserve"> </w:t>
      </w:r>
      <w:r>
        <w:rPr>
          <w:rtl w:val="true"/>
        </w:rPr>
        <w:t xml:space="preserve">و </w:t>
      </w:r>
      <w:r>
        <w:rPr/>
        <w:t>2013</w:t>
      </w:r>
      <w:r>
        <w:rPr>
          <w:rtl w:val="true"/>
        </w:rPr>
        <w:t xml:space="preserve"> </w:t>
      </w:r>
      <w:r>
        <w:rPr>
          <w:rtl w:val="true"/>
        </w:rPr>
        <w:t xml:space="preserve">هلسینکی فنلاند </w:t>
      </w:r>
      <w:r>
        <w:rPr/>
        <w:t>17</w:t>
      </w:r>
      <w:r>
        <w:rPr>
          <w:rtl w:val="true"/>
        </w:rPr>
        <w:t>-</w:t>
      </w:r>
      <w:r>
        <w:rPr/>
        <w:t>11</w:t>
      </w:r>
      <w:r>
        <w:rPr>
          <w:rtl w:val="true"/>
        </w:rPr>
        <w:t xml:space="preserve"> </w:t>
      </w:r>
      <w:r>
        <w:rPr>
          <w:rtl w:val="true"/>
        </w:rPr>
        <w:t xml:space="preserve">آگوست </w:t>
      </w:r>
      <w:r>
        <w:rPr/>
        <w:t>2012</w:t>
      </w:r>
      <w:r>
        <w:rPr>
          <w:rtl w:val="true"/>
        </w:rPr>
        <w:t xml:space="preserve"> </w:t>
      </w:r>
      <w:r>
        <w:rPr>
          <w:rtl w:val="true"/>
        </w:rPr>
        <w:t xml:space="preserve">سنگاپور </w:t>
      </w:r>
      <w:r>
        <w:rPr/>
        <w:t>23</w:t>
      </w:r>
      <w:r>
        <w:rPr>
          <w:rtl w:val="true"/>
        </w:rPr>
        <w:t>-</w:t>
      </w:r>
      <w:r>
        <w:rPr/>
        <w:t>17</w:t>
      </w:r>
      <w:r>
        <w:rPr>
          <w:rtl w:val="true"/>
        </w:rPr>
        <w:t xml:space="preserve"> </w:t>
      </w:r>
      <w:r>
        <w:rPr>
          <w:rtl w:val="true"/>
        </w:rPr>
        <w:t xml:space="preserve">آگوست </w:t>
      </w:r>
      <w:r>
        <w:rPr/>
        <w:t>2013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66252_2870459653">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7766254_2870459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766256_2870459653">
            <w:r>
              <w:rPr>
                <w:webHidden/>
                <w:rStyle w:val="IndexLink"/>
                <w:rtl w:val="true"/>
              </w:rPr>
              <w:t xml:space="preserve">فهرست مندرجات </w:t>
            </w:r>
            <w:r>
              <w:rPr>
                <w:rStyle w:val="IndexLink"/>
              </w:rPr>
              <w:t>2012</w:t>
            </w:r>
            <w:r>
              <w:rPr>
                <w:rStyle w:val="IndexLink"/>
                <w:rtl w:val="true"/>
              </w:rPr>
              <w:t>-</w:t>
            </w:r>
            <w:r>
              <w:rPr>
                <w:rStyle w:val="IndexLink"/>
              </w:rPr>
              <w:t>2013</w:t>
            </w:r>
            <w:r>
              <w:rPr>
                <w:rStyle w:val="IndexLink"/>
                <w:rtl w:val="true"/>
              </w:rPr>
              <w:tab/>
            </w:r>
            <w:r>
              <w:rPr>
                <w:rStyle w:val="IndexLink"/>
              </w:rPr>
              <w:t>20</w:t>
            </w:r>
          </w:hyperlink>
        </w:p>
        <w:p>
          <w:pPr>
            <w:pStyle w:val="Contents2"/>
            <w:tabs>
              <w:tab w:val="clear" w:pos="8743"/>
              <w:tab w:val="right" w:pos="9026" w:leader="dot"/>
            </w:tabs>
            <w:rPr/>
          </w:pPr>
          <w:hyperlink w:anchor="__RefHeading___Toc7766258_2870459653">
            <w:r>
              <w:rPr>
                <w:webHidden/>
                <w:rStyle w:val="IndexLink"/>
                <w:rtl w:val="true"/>
              </w:rPr>
              <w:t>سخن نخست</w:t>
            </w:r>
            <w:r>
              <w:rPr>
                <w:rStyle w:val="IndexLink"/>
                <w:rtl w:val="true"/>
              </w:rPr>
              <w:t>:</w:t>
              <w:tab/>
            </w:r>
            <w:r>
              <w:rPr>
                <w:rStyle w:val="IndexLink"/>
              </w:rPr>
              <w:t>24</w:t>
            </w:r>
          </w:hyperlink>
        </w:p>
        <w:p>
          <w:pPr>
            <w:pStyle w:val="Contents2"/>
            <w:tabs>
              <w:tab w:val="clear" w:pos="8743"/>
              <w:tab w:val="right" w:pos="9026" w:leader="dot"/>
            </w:tabs>
            <w:rPr/>
          </w:pPr>
          <w:hyperlink w:anchor="__RefHeading___Toc7766260_2870459653">
            <w:r>
              <w:rPr>
                <w:webHidden/>
                <w:rStyle w:val="IndexLink"/>
                <w:rtl w:val="true"/>
              </w:rPr>
              <w:t>مقدمه</w:t>
            </w:r>
            <w:r>
              <w:rPr>
                <w:rStyle w:val="IndexLink"/>
                <w:rtl w:val="true"/>
              </w:rPr>
              <w:t>:</w:t>
              <w:tab/>
            </w:r>
            <w:r>
              <w:rPr>
                <w:rStyle w:val="IndexLink"/>
              </w:rPr>
              <w:t>26</w:t>
            </w:r>
          </w:hyperlink>
        </w:p>
        <w:p>
          <w:pPr>
            <w:pStyle w:val="Contents2"/>
            <w:tabs>
              <w:tab w:val="clear" w:pos="8743"/>
              <w:tab w:val="right" w:pos="9026" w:leader="dot"/>
            </w:tabs>
            <w:rPr/>
          </w:pPr>
          <w:hyperlink w:anchor="__RefHeading___Toc7766262_2870459653">
            <w:r>
              <w:rPr>
                <w:webHidden/>
                <w:rStyle w:val="IndexLink"/>
                <w:rtl w:val="true"/>
              </w:rPr>
              <w:t>عضویت</w:t>
            </w:r>
            <w:r>
              <w:rPr>
                <w:rStyle w:val="IndexLink"/>
                <w:rtl w:val="true"/>
              </w:rPr>
              <w:t>:</w:t>
              <w:tab/>
            </w:r>
            <w:r>
              <w:rPr>
                <w:rStyle w:val="IndexLink"/>
              </w:rPr>
              <w:t>26</w:t>
            </w:r>
          </w:hyperlink>
        </w:p>
        <w:p>
          <w:pPr>
            <w:pStyle w:val="Contents2"/>
            <w:tabs>
              <w:tab w:val="clear" w:pos="8743"/>
              <w:tab w:val="right" w:pos="9026" w:leader="dot"/>
            </w:tabs>
            <w:rPr/>
          </w:pPr>
          <w:hyperlink w:anchor="__RefHeading___Toc7766264_2870459653">
            <w:r>
              <w:rPr>
                <w:webHidden/>
                <w:rStyle w:val="IndexLink"/>
                <w:rtl w:val="true"/>
              </w:rPr>
              <w:t>شاخه ها و بخش ها</w:t>
            </w:r>
            <w:r>
              <w:rPr>
                <w:rStyle w:val="IndexLink"/>
                <w:rtl w:val="true"/>
              </w:rPr>
              <w:tab/>
            </w:r>
            <w:r>
              <w:rPr>
                <w:rStyle w:val="IndexLink"/>
              </w:rPr>
              <w:t>27</w:t>
            </w:r>
          </w:hyperlink>
        </w:p>
        <w:p>
          <w:pPr>
            <w:pStyle w:val="Contents2"/>
            <w:tabs>
              <w:tab w:val="clear" w:pos="8743"/>
              <w:tab w:val="right" w:pos="9026" w:leader="dot"/>
            </w:tabs>
            <w:rPr/>
          </w:pPr>
          <w:hyperlink w:anchor="__RefHeading___Toc7766266_2870459653">
            <w:r>
              <w:rPr>
                <w:webHidden/>
                <w:rStyle w:val="IndexLink"/>
                <w:rtl w:val="true"/>
              </w:rPr>
              <w:t>برنامه های اصلی</w:t>
            </w:r>
            <w:r>
              <w:rPr>
                <w:rStyle w:val="IndexLink"/>
                <w:rtl w:val="true"/>
              </w:rPr>
              <w:tab/>
            </w:r>
            <w:r>
              <w:rPr>
                <w:rStyle w:val="IndexLink"/>
              </w:rPr>
              <w:t>27</w:t>
            </w:r>
          </w:hyperlink>
        </w:p>
        <w:p>
          <w:pPr>
            <w:pStyle w:val="Contents2"/>
            <w:tabs>
              <w:tab w:val="clear" w:pos="8743"/>
              <w:tab w:val="right" w:pos="9026" w:leader="dot"/>
            </w:tabs>
            <w:rPr/>
          </w:pPr>
          <w:hyperlink w:anchor="__RefHeading___Toc7766268_2870459653">
            <w:r>
              <w:rPr>
                <w:webHidden/>
                <w:rStyle w:val="IndexLink"/>
                <w:rtl w:val="true"/>
              </w:rPr>
              <w:t>بودجه</w:t>
            </w:r>
            <w:r>
              <w:rPr>
                <w:rStyle w:val="IndexLink"/>
                <w:rtl w:val="true"/>
              </w:rPr>
              <w:tab/>
            </w:r>
            <w:r>
              <w:rPr>
                <w:rStyle w:val="IndexLink"/>
              </w:rPr>
              <w:t>28</w:t>
            </w:r>
          </w:hyperlink>
        </w:p>
        <w:p>
          <w:pPr>
            <w:pStyle w:val="Contents2"/>
            <w:tabs>
              <w:tab w:val="clear" w:pos="8743"/>
              <w:tab w:val="right" w:pos="9026" w:leader="dot"/>
            </w:tabs>
            <w:rPr/>
          </w:pPr>
          <w:hyperlink w:anchor="__RefHeading___Toc7766270_2870459653">
            <w:r>
              <w:rPr>
                <w:webHidden/>
                <w:rStyle w:val="IndexLink"/>
                <w:rtl w:val="true"/>
              </w:rPr>
              <w:t>انتشارات</w:t>
            </w:r>
            <w:r>
              <w:rPr>
                <w:rStyle w:val="IndexLink"/>
                <w:rtl w:val="true"/>
              </w:rPr>
              <w:tab/>
            </w:r>
            <w:r>
              <w:rPr>
                <w:rStyle w:val="IndexLink"/>
              </w:rPr>
              <w:t>28</w:t>
            </w:r>
          </w:hyperlink>
        </w:p>
        <w:p>
          <w:pPr>
            <w:pStyle w:val="Contents2"/>
            <w:tabs>
              <w:tab w:val="clear" w:pos="8743"/>
              <w:tab w:val="right" w:pos="9026" w:leader="dot"/>
            </w:tabs>
            <w:rPr/>
          </w:pPr>
          <w:hyperlink w:anchor="__RefHeading___Toc7766272_2870459653">
            <w:r>
              <w:rPr>
                <w:webHidden/>
                <w:rStyle w:val="IndexLink"/>
                <w:rtl w:val="true"/>
              </w:rPr>
              <w:t>زبان</w:t>
            </w:r>
            <w:r>
              <w:rPr>
                <w:rStyle w:val="IndexLink"/>
                <w:rtl w:val="true"/>
              </w:rPr>
              <w:tab/>
            </w:r>
            <w:r>
              <w:rPr>
                <w:rStyle w:val="IndexLink"/>
              </w:rPr>
              <w:t>29</w:t>
            </w:r>
          </w:hyperlink>
        </w:p>
        <w:p>
          <w:pPr>
            <w:pStyle w:val="Contents2"/>
            <w:tabs>
              <w:tab w:val="clear" w:pos="8743"/>
              <w:tab w:val="right" w:pos="9026" w:leader="dot"/>
            </w:tabs>
            <w:rPr/>
          </w:pPr>
          <w:hyperlink w:anchor="__RefHeading___Toc7766274_2870459653">
            <w:r>
              <w:rPr>
                <w:webHidden/>
                <w:rStyle w:val="IndexLink"/>
                <w:rtl w:val="true"/>
              </w:rPr>
              <w:t>وب گاه های ایفلا</w:t>
            </w:r>
            <w:r>
              <w:rPr>
                <w:rStyle w:val="IndexLink"/>
                <w:rtl w:val="true"/>
              </w:rPr>
              <w:tab/>
            </w:r>
            <w:r>
              <w:rPr>
                <w:rStyle w:val="IndexLink"/>
              </w:rPr>
              <w:t>29</w:t>
            </w:r>
          </w:hyperlink>
        </w:p>
        <w:p>
          <w:pPr>
            <w:pStyle w:val="Contents2"/>
            <w:tabs>
              <w:tab w:val="clear" w:pos="8743"/>
              <w:tab w:val="right" w:pos="9026" w:leader="dot"/>
            </w:tabs>
            <w:rPr/>
          </w:pPr>
          <w:hyperlink w:anchor="__RefHeading___Toc7766276_2870459653">
            <w:r>
              <w:rPr>
                <w:webHidden/>
                <w:rStyle w:val="IndexLink"/>
                <w:rtl w:val="true"/>
              </w:rPr>
              <w:t>چکیده</w:t>
            </w:r>
            <w:r>
              <w:rPr>
                <w:rStyle w:val="IndexLink"/>
                <w:rtl w:val="true"/>
              </w:rPr>
              <w:tab/>
            </w:r>
            <w:r>
              <w:rPr>
                <w:rStyle w:val="IndexLink"/>
              </w:rPr>
              <w:t>31</w:t>
            </w:r>
          </w:hyperlink>
        </w:p>
        <w:p>
          <w:pPr>
            <w:pStyle w:val="Contents2"/>
            <w:tabs>
              <w:tab w:val="clear" w:pos="8743"/>
              <w:tab w:val="right" w:pos="9026" w:leader="dot"/>
            </w:tabs>
            <w:rPr/>
          </w:pPr>
          <w:hyperlink w:anchor="__RefHeading___Toc7766278_2870459653">
            <w:r>
              <w:rPr>
                <w:webHidden/>
                <w:rStyle w:val="IndexLink"/>
                <w:rtl w:val="true"/>
              </w:rPr>
              <w:t>نوآوری در داده های پژوهشی ملی در کانادا</w:t>
            </w:r>
            <w:r>
              <w:rPr>
                <w:rStyle w:val="IndexLink"/>
                <w:rtl w:val="true"/>
              </w:rPr>
              <w:tab/>
            </w:r>
            <w:r>
              <w:rPr>
                <w:rStyle w:val="IndexLink"/>
              </w:rPr>
              <w:t>32</w:t>
            </w:r>
          </w:hyperlink>
        </w:p>
        <w:p>
          <w:pPr>
            <w:pStyle w:val="Contents3"/>
            <w:tabs>
              <w:tab w:val="clear" w:pos="8459"/>
              <w:tab w:val="right" w:pos="9026" w:leader="dot"/>
            </w:tabs>
            <w:rPr/>
          </w:pPr>
          <w:hyperlink w:anchor="__RefHeading___Toc7766280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7766282_2870459653">
            <w:r>
              <w:rPr>
                <w:webHidden/>
                <w:rStyle w:val="IndexLink"/>
                <w:rtl w:val="true"/>
              </w:rPr>
              <w:t>مقدمه</w:t>
            </w:r>
            <w:r>
              <w:rPr>
                <w:rStyle w:val="IndexLink"/>
                <w:rtl w:val="true"/>
              </w:rPr>
              <w:tab/>
            </w:r>
            <w:r>
              <w:rPr>
                <w:rStyle w:val="IndexLink"/>
              </w:rPr>
              <w:t>32</w:t>
            </w:r>
          </w:hyperlink>
        </w:p>
        <w:p>
          <w:pPr>
            <w:pStyle w:val="Contents3"/>
            <w:tabs>
              <w:tab w:val="clear" w:pos="8459"/>
              <w:tab w:val="right" w:pos="9026" w:leader="dot"/>
            </w:tabs>
            <w:rPr/>
          </w:pPr>
          <w:hyperlink w:anchor="__RefHeading___Toc7766284_2870459653">
            <w:r>
              <w:rPr>
                <w:webHidden/>
                <w:rStyle w:val="IndexLink"/>
                <w:rtl w:val="true"/>
              </w:rPr>
              <w:t>رایزنی ها</w:t>
            </w:r>
            <w:r>
              <w:rPr>
                <w:rStyle w:val="IndexLink"/>
                <w:rtl w:val="true"/>
              </w:rPr>
              <w:tab/>
            </w:r>
            <w:r>
              <w:rPr>
                <w:rStyle w:val="IndexLink"/>
              </w:rPr>
              <w:t>34</w:t>
            </w:r>
          </w:hyperlink>
        </w:p>
        <w:p>
          <w:pPr>
            <w:pStyle w:val="Contents3"/>
            <w:tabs>
              <w:tab w:val="clear" w:pos="8459"/>
              <w:tab w:val="right" w:pos="9026" w:leader="dot"/>
            </w:tabs>
            <w:rPr/>
          </w:pPr>
          <w:hyperlink w:anchor="__RefHeading___Toc7766286_2870459653">
            <w:r>
              <w:rPr>
                <w:webHidden/>
                <w:rStyle w:val="IndexLink"/>
                <w:rtl w:val="true"/>
              </w:rPr>
              <w:t>عدم تداوم سی ان سی دی آی</w:t>
            </w:r>
            <w:r>
              <w:rPr>
                <w:rStyle w:val="IndexLink"/>
                <w:rtl w:val="true"/>
              </w:rPr>
              <w:tab/>
            </w:r>
            <w:r>
              <w:rPr>
                <w:rStyle w:val="IndexLink"/>
              </w:rPr>
              <w:t>36</w:t>
            </w:r>
          </w:hyperlink>
        </w:p>
        <w:p>
          <w:pPr>
            <w:pStyle w:val="Contents3"/>
            <w:tabs>
              <w:tab w:val="clear" w:pos="8459"/>
              <w:tab w:val="right" w:pos="9026" w:leader="dot"/>
            </w:tabs>
            <w:rPr/>
          </w:pPr>
          <w:hyperlink w:anchor="__RefHeading___Toc7766288_2870459653">
            <w:r>
              <w:rPr>
                <w:webHidden/>
                <w:rStyle w:val="IndexLink"/>
                <w:rtl w:val="true"/>
              </w:rPr>
              <w:t>پیشرفت های جدید در چشم انداز مدیریت داده های پژوهشی کانادا</w:t>
            </w:r>
            <w:r>
              <w:rPr>
                <w:rStyle w:val="IndexLink"/>
                <w:rtl w:val="true"/>
              </w:rPr>
              <w:tab/>
            </w:r>
            <w:r>
              <w:rPr>
                <w:rStyle w:val="IndexLink"/>
              </w:rPr>
              <w:t>37</w:t>
            </w:r>
          </w:hyperlink>
        </w:p>
        <w:p>
          <w:pPr>
            <w:pStyle w:val="Contents3"/>
            <w:tabs>
              <w:tab w:val="clear" w:pos="8459"/>
              <w:tab w:val="right" w:pos="9026" w:leader="dot"/>
            </w:tabs>
            <w:rPr/>
          </w:pPr>
          <w:hyperlink w:anchor="__RefHeading___Toc7766290_2870459653">
            <w:r>
              <w:rPr>
                <w:webHidden/>
                <w:rStyle w:val="IndexLink"/>
                <w:rtl w:val="true"/>
              </w:rPr>
              <w:t>گروه کار راهبردی داده های پژوهشی و اجلاس سران داده های پژوهشی کانادا</w:t>
            </w:r>
            <w:r>
              <w:rPr>
                <w:rStyle w:val="IndexLink"/>
                <w:rtl w:val="true"/>
              </w:rPr>
              <w:tab/>
            </w:r>
            <w:r>
              <w:rPr>
                <w:rStyle w:val="IndexLink"/>
              </w:rPr>
              <w:t>37</w:t>
            </w:r>
          </w:hyperlink>
        </w:p>
        <w:p>
          <w:pPr>
            <w:pStyle w:val="Contents3"/>
            <w:tabs>
              <w:tab w:val="clear" w:pos="8459"/>
              <w:tab w:val="right" w:pos="9026" w:leader="dot"/>
            </w:tabs>
            <w:rPr/>
          </w:pPr>
          <w:hyperlink w:anchor="__RefHeading___Toc7766292_2870459653">
            <w:r>
              <w:rPr>
                <w:webHidden/>
                <w:rStyle w:val="IndexLink"/>
                <w:rtl w:val="true"/>
              </w:rPr>
              <w:t>اجلاس سران سی یو سی سی آی او</w:t>
            </w:r>
            <w:r>
              <w:rPr>
                <w:rStyle w:val="IndexLink"/>
                <w:rtl w:val="true"/>
              </w:rPr>
              <w:t xml:space="preserve">: </w:t>
            </w:r>
            <w:r>
              <w:rPr>
                <w:rStyle w:val="IndexLink"/>
                <w:rtl w:val="true"/>
              </w:rPr>
              <w:t>زیر ساخت رقومی برای پژوهش ها</w:t>
            </w:r>
            <w:r>
              <w:rPr>
                <w:rStyle w:val="IndexLink"/>
                <w:rtl w:val="true"/>
              </w:rPr>
              <w:tab/>
            </w:r>
            <w:r>
              <w:rPr>
                <w:rStyle w:val="IndexLink"/>
              </w:rPr>
              <w:t>38</w:t>
            </w:r>
          </w:hyperlink>
        </w:p>
        <w:p>
          <w:pPr>
            <w:pStyle w:val="Contents3"/>
            <w:tabs>
              <w:tab w:val="clear" w:pos="8459"/>
              <w:tab w:val="right" w:pos="9026" w:leader="dot"/>
            </w:tabs>
            <w:rPr/>
          </w:pPr>
          <w:hyperlink w:anchor="__RefHeading___Toc7766294_2870459653">
            <w:r>
              <w:rPr>
                <w:webHidden/>
                <w:rStyle w:val="IndexLink"/>
                <w:rtl w:val="true"/>
              </w:rPr>
              <w:t>مرکز آی بی ام توسعه و تحقق کانادا</w:t>
            </w:r>
            <w:r>
              <w:rPr>
                <w:rStyle w:val="IndexLink"/>
                <w:rtl w:val="true"/>
              </w:rPr>
              <w:tab/>
            </w:r>
            <w:r>
              <w:rPr>
                <w:rStyle w:val="IndexLink"/>
              </w:rPr>
              <w:t>38</w:t>
            </w:r>
          </w:hyperlink>
        </w:p>
        <w:p>
          <w:pPr>
            <w:pStyle w:val="Contents3"/>
            <w:tabs>
              <w:tab w:val="clear" w:pos="8459"/>
              <w:tab w:val="right" w:pos="9026" w:leader="dot"/>
            </w:tabs>
            <w:rPr/>
          </w:pPr>
          <w:hyperlink w:anchor="__RefHeading___Toc7766296_2870459653">
            <w:r>
              <w:rPr>
                <w:webHidden/>
                <w:rStyle w:val="IndexLink"/>
                <w:rtl w:val="true"/>
              </w:rPr>
              <w:t xml:space="preserve">مؤسسه مدیریت داده های پژوهشی سی ای آر ال در حال برنامه ریزی برای </w:t>
            </w:r>
            <w:r>
              <w:rPr>
                <w:rStyle w:val="IndexLink"/>
              </w:rPr>
              <w:t>2013</w:t>
            </w:r>
            <w:r>
              <w:rPr>
                <w:rStyle w:val="IndexLink"/>
                <w:rtl w:val="true"/>
              </w:rPr>
              <w:tab/>
            </w:r>
            <w:r>
              <w:rPr>
                <w:rStyle w:val="IndexLink"/>
              </w:rPr>
              <w:t>39</w:t>
            </w:r>
          </w:hyperlink>
        </w:p>
        <w:p>
          <w:pPr>
            <w:pStyle w:val="Contents3"/>
            <w:tabs>
              <w:tab w:val="clear" w:pos="8459"/>
              <w:tab w:val="right" w:pos="9026" w:leader="dot"/>
            </w:tabs>
            <w:rPr/>
          </w:pPr>
          <w:hyperlink w:anchor="__RefHeading___Toc7766298_2870459653">
            <w:r>
              <w:rPr>
                <w:webHidden/>
                <w:rStyle w:val="IndexLink"/>
                <w:rtl w:val="true"/>
              </w:rPr>
              <w:t>نوآوری داده های باز دولت فدرال</w:t>
            </w:r>
            <w:r>
              <w:rPr>
                <w:rStyle w:val="IndexLink"/>
                <w:rtl w:val="true"/>
              </w:rPr>
              <w:tab/>
            </w:r>
            <w:r>
              <w:rPr>
                <w:rStyle w:val="IndexLink"/>
              </w:rPr>
              <w:t>39</w:t>
            </w:r>
          </w:hyperlink>
        </w:p>
        <w:p>
          <w:pPr>
            <w:pStyle w:val="Contents3"/>
            <w:tabs>
              <w:tab w:val="clear" w:pos="8459"/>
              <w:tab w:val="right" w:pos="9026" w:leader="dot"/>
            </w:tabs>
            <w:rPr/>
          </w:pPr>
          <w:hyperlink w:anchor="__RefHeading___Toc7766300_2870459653">
            <w:r>
              <w:rPr>
                <w:webHidden/>
                <w:rStyle w:val="IndexLink"/>
                <w:rtl w:val="true"/>
              </w:rPr>
              <w:t>عملیات کاربردی سرمایه گذاری برای ذخیره سازی داده ها از سوی کانادا کامپیوت</w:t>
            </w:r>
            <w:r>
              <w:rPr>
                <w:rStyle w:val="IndexLink"/>
                <w:rtl w:val="true"/>
              </w:rPr>
              <w:tab/>
            </w:r>
            <w:r>
              <w:rPr>
                <w:rStyle w:val="IndexLink"/>
              </w:rPr>
              <w:t>40</w:t>
            </w:r>
          </w:hyperlink>
        </w:p>
        <w:p>
          <w:pPr>
            <w:pStyle w:val="Contents3"/>
            <w:tabs>
              <w:tab w:val="clear" w:pos="8459"/>
              <w:tab w:val="right" w:pos="9026" w:leader="dot"/>
            </w:tabs>
            <w:rPr/>
          </w:pPr>
          <w:hyperlink w:anchor="__RefHeading___Toc7766302_2870459653">
            <w:r>
              <w:rPr>
                <w:webHidden/>
                <w:rStyle w:val="IndexLink"/>
                <w:rtl w:val="true"/>
              </w:rPr>
              <w:t>سرمایه گذاری مجدد دولت برای سی اف آی و سى اِى اِن اِى آر آى اى</w:t>
            </w:r>
            <w:r>
              <w:rPr>
                <w:rStyle w:val="IndexLink"/>
                <w:rtl w:val="true"/>
              </w:rPr>
              <w:tab/>
            </w:r>
            <w:r>
              <w:rPr>
                <w:rStyle w:val="IndexLink"/>
              </w:rPr>
              <w:t>40</w:t>
            </w:r>
          </w:hyperlink>
        </w:p>
        <w:p>
          <w:pPr>
            <w:pStyle w:val="Contents3"/>
            <w:tabs>
              <w:tab w:val="clear" w:pos="8459"/>
              <w:tab w:val="right" w:pos="9026" w:leader="dot"/>
            </w:tabs>
            <w:rPr/>
          </w:pPr>
          <w:hyperlink w:anchor="__RefHeading___Toc7766304_2870459653">
            <w:r>
              <w:rPr>
                <w:webHidden/>
                <w:rStyle w:val="IndexLink"/>
                <w:rtl w:val="true"/>
              </w:rPr>
              <w:t>منابع</w:t>
            </w:r>
            <w:r>
              <w:rPr>
                <w:rStyle w:val="IndexLink"/>
                <w:rtl w:val="true"/>
              </w:rPr>
              <w:tab/>
            </w:r>
            <w:r>
              <w:rPr>
                <w:rStyle w:val="IndexLink"/>
              </w:rPr>
              <w:t>44</w:t>
            </w:r>
          </w:hyperlink>
        </w:p>
        <w:p>
          <w:pPr>
            <w:pStyle w:val="Contents2"/>
            <w:tabs>
              <w:tab w:val="clear" w:pos="8743"/>
              <w:tab w:val="right" w:pos="9026" w:leader="dot"/>
            </w:tabs>
            <w:rPr/>
          </w:pPr>
          <w:hyperlink w:anchor="__RefHeading___Toc7766306_2870459653">
            <w:r>
              <w:rPr>
                <w:webHidden/>
                <w:rStyle w:val="IndexLink"/>
                <w:rtl w:val="true"/>
              </w:rPr>
              <w:t>چکیده</w:t>
            </w:r>
            <w:r>
              <w:rPr>
                <w:rStyle w:val="IndexLink"/>
                <w:rtl w:val="true"/>
              </w:rPr>
              <w:tab/>
            </w:r>
            <w:r>
              <w:rPr>
                <w:rStyle w:val="IndexLink"/>
              </w:rPr>
              <w:t>49</w:t>
            </w:r>
          </w:hyperlink>
        </w:p>
        <w:p>
          <w:pPr>
            <w:pStyle w:val="Contents2"/>
            <w:tabs>
              <w:tab w:val="clear" w:pos="8743"/>
              <w:tab w:val="right" w:pos="9026" w:leader="dot"/>
            </w:tabs>
            <w:rPr/>
          </w:pPr>
          <w:hyperlink w:anchor="__RefHeading___Toc7766308_2870459653">
            <w:r>
              <w:rPr>
                <w:webHidden/>
                <w:rStyle w:val="IndexLink"/>
                <w:rtl w:val="true"/>
              </w:rPr>
              <w:t xml:space="preserve">خدمات کتابخانه ملی </w:t>
            </w:r>
            <w:r>
              <w:rPr>
                <w:rStyle w:val="IndexLink"/>
                <w:rtl w:val="true"/>
              </w:rPr>
              <w:t>(</w:t>
            </w:r>
            <w:r>
              <w:rPr>
                <w:rStyle w:val="IndexLink"/>
                <w:rtl w:val="true"/>
              </w:rPr>
              <w:t>اِس بی اِن</w:t>
            </w:r>
            <w:r>
              <w:rPr>
                <w:rStyle w:val="IndexLink"/>
                <w:rtl w:val="true"/>
              </w:rPr>
              <w:t xml:space="preserve">) </w:t>
            </w:r>
            <w:r>
              <w:rPr>
                <w:rStyle w:val="IndexLink"/>
                <w:rtl w:val="true"/>
              </w:rPr>
              <w:t>و مدیریت مجموعه های خاص در نمایه چند رسانه ای</w:t>
            </w:r>
            <w:r>
              <w:rPr>
                <w:rStyle w:val="IndexLink"/>
                <w:rtl w:val="true"/>
              </w:rPr>
              <w:tab/>
            </w:r>
            <w:r>
              <w:rPr>
                <w:rStyle w:val="IndexLink"/>
              </w:rPr>
              <w:t>50</w:t>
            </w:r>
          </w:hyperlink>
        </w:p>
        <w:p>
          <w:pPr>
            <w:pStyle w:val="Contents2"/>
            <w:tabs>
              <w:tab w:val="clear" w:pos="8743"/>
              <w:tab w:val="right" w:pos="9026" w:leader="dot"/>
            </w:tabs>
            <w:rPr/>
          </w:pPr>
          <w:hyperlink w:anchor="__RefHeading___Toc7766310_2870459653">
            <w:r>
              <w:rPr>
                <w:webHidden/>
                <w:rStyle w:val="IndexLink"/>
                <w:rtl w:val="true"/>
              </w:rPr>
              <w:t>چکیده</w:t>
            </w:r>
            <w:r>
              <w:rPr>
                <w:rStyle w:val="IndexLink"/>
                <w:rtl w:val="true"/>
              </w:rPr>
              <w:tab/>
            </w:r>
            <w:r>
              <w:rPr>
                <w:rStyle w:val="IndexLink"/>
              </w:rPr>
              <w:t>57</w:t>
            </w:r>
          </w:hyperlink>
        </w:p>
        <w:p>
          <w:pPr>
            <w:pStyle w:val="Contents2"/>
            <w:tabs>
              <w:tab w:val="clear" w:pos="8743"/>
              <w:tab w:val="right" w:pos="9026" w:leader="dot"/>
            </w:tabs>
            <w:rPr/>
          </w:pPr>
          <w:hyperlink w:anchor="__RefHeading___Toc7766312_2870459653">
            <w:r>
              <w:rPr>
                <w:webHidden/>
                <w:rStyle w:val="IndexLink"/>
                <w:rtl w:val="true"/>
              </w:rPr>
              <w:t>هدایت از کتابخانه</w:t>
            </w:r>
            <w:r>
              <w:rPr>
                <w:rStyle w:val="IndexLink"/>
                <w:rtl w:val="true"/>
              </w:rPr>
              <w:t xml:space="preserve">: </w:t>
            </w:r>
            <w:r>
              <w:rPr>
                <w:rStyle w:val="IndexLink"/>
                <w:rtl w:val="true"/>
              </w:rPr>
              <w:t>اقدامات مدیریت داده ها در دانشگاه نورث آمپتون</w:t>
            </w:r>
            <w:r>
              <w:rPr>
                <w:rStyle w:val="IndexLink"/>
                <w:rtl w:val="true"/>
              </w:rPr>
              <w:tab/>
            </w:r>
            <w:r>
              <w:rPr>
                <w:rStyle w:val="IndexLink"/>
              </w:rPr>
              <w:t>58</w:t>
            </w:r>
          </w:hyperlink>
        </w:p>
        <w:p>
          <w:pPr>
            <w:pStyle w:val="Contents2"/>
            <w:tabs>
              <w:tab w:val="clear" w:pos="8743"/>
              <w:tab w:val="right" w:pos="9026" w:leader="dot"/>
            </w:tabs>
            <w:rPr/>
          </w:pPr>
          <w:hyperlink w:anchor="__RefHeading___Toc7766314_2870459653">
            <w:r>
              <w:rPr>
                <w:webHidden/>
                <w:rStyle w:val="IndexLink"/>
                <w:rtl w:val="true"/>
              </w:rPr>
              <w:t>مقدمه</w:t>
            </w:r>
            <w:r>
              <w:rPr>
                <w:rStyle w:val="IndexLink"/>
                <w:rtl w:val="true"/>
              </w:rPr>
              <w:tab/>
            </w:r>
            <w:r>
              <w:rPr>
                <w:rStyle w:val="IndexLink"/>
              </w:rPr>
              <w:t>58</w:t>
            </w:r>
          </w:hyperlink>
        </w:p>
        <w:p>
          <w:pPr>
            <w:pStyle w:val="Contents3"/>
            <w:tabs>
              <w:tab w:val="clear" w:pos="8459"/>
              <w:tab w:val="right" w:pos="9026" w:leader="dot"/>
            </w:tabs>
            <w:rPr/>
          </w:pPr>
          <w:hyperlink w:anchor="__RefHeading___Toc7766316_2870459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7766318_2870459653">
            <w:r>
              <w:rPr>
                <w:webHidden/>
                <w:rStyle w:val="IndexLink"/>
                <w:rtl w:val="true"/>
              </w:rPr>
              <w:t>درباره مرکز پردازش رقومی</w:t>
            </w:r>
            <w:r>
              <w:rPr>
                <w:rStyle w:val="IndexLink"/>
                <w:rtl w:val="true"/>
              </w:rPr>
              <w:tab/>
            </w:r>
            <w:r>
              <w:rPr>
                <w:rStyle w:val="IndexLink"/>
              </w:rPr>
              <w:t>59</w:t>
            </w:r>
          </w:hyperlink>
        </w:p>
        <w:p>
          <w:pPr>
            <w:pStyle w:val="Contents3"/>
            <w:tabs>
              <w:tab w:val="clear" w:pos="8459"/>
              <w:tab w:val="right" w:pos="9026" w:leader="dot"/>
            </w:tabs>
            <w:rPr/>
          </w:pPr>
          <w:hyperlink w:anchor="__RefHeading___Toc7766320_2870459653">
            <w:r>
              <w:rPr>
                <w:webHidden/>
                <w:rStyle w:val="IndexLink"/>
                <w:rtl w:val="true"/>
              </w:rPr>
              <w:t>درباره دانشگاه نورث آمپتون</w:t>
            </w:r>
            <w:r>
              <w:rPr>
                <w:rStyle w:val="IndexLink"/>
                <w:rtl w:val="true"/>
              </w:rPr>
              <w:tab/>
            </w:r>
            <w:r>
              <w:rPr>
                <w:rStyle w:val="IndexLink"/>
              </w:rPr>
              <w:t>60</w:t>
            </w:r>
          </w:hyperlink>
        </w:p>
        <w:p>
          <w:pPr>
            <w:pStyle w:val="Contents3"/>
            <w:tabs>
              <w:tab w:val="clear" w:pos="8459"/>
              <w:tab w:val="right" w:pos="9026" w:leader="dot"/>
            </w:tabs>
            <w:rPr/>
          </w:pPr>
          <w:hyperlink w:anchor="__RefHeading___Toc7766322_2870459653">
            <w:r>
              <w:rPr>
                <w:webHidden/>
                <w:rStyle w:val="IndexLink"/>
                <w:rtl w:val="true"/>
              </w:rPr>
              <w:t>نقش کتابداران در حمایت از مدیریت داده های پژوهشی</w:t>
            </w:r>
            <w:r>
              <w:rPr>
                <w:rStyle w:val="IndexLink"/>
                <w:rtl w:val="true"/>
              </w:rPr>
              <w:tab/>
            </w:r>
            <w:r>
              <w:rPr>
                <w:rStyle w:val="IndexLink"/>
              </w:rPr>
              <w:t>60</w:t>
            </w:r>
          </w:hyperlink>
        </w:p>
        <w:p>
          <w:pPr>
            <w:pStyle w:val="Contents3"/>
            <w:tabs>
              <w:tab w:val="clear" w:pos="8459"/>
              <w:tab w:val="right" w:pos="9026" w:leader="dot"/>
            </w:tabs>
            <w:rPr/>
          </w:pPr>
          <w:hyperlink w:anchor="__RefHeading___Toc7766324_2870459653">
            <w:r>
              <w:rPr>
                <w:webHidden/>
                <w:rStyle w:val="IndexLink"/>
                <w:rtl w:val="true"/>
              </w:rPr>
              <w:t>توسعه خط مشی داده های پژوهشی در دانشگاه نورث آمپتون</w:t>
            </w:r>
            <w:r>
              <w:rPr>
                <w:rStyle w:val="IndexLink"/>
                <w:rtl w:val="true"/>
              </w:rPr>
              <w:tab/>
            </w:r>
            <w:r>
              <w:rPr>
                <w:rStyle w:val="IndexLink"/>
              </w:rPr>
              <w:t>62</w:t>
            </w:r>
          </w:hyperlink>
        </w:p>
        <w:p>
          <w:pPr>
            <w:pStyle w:val="Contents3"/>
            <w:tabs>
              <w:tab w:val="clear" w:pos="8459"/>
              <w:tab w:val="right" w:pos="9026" w:leader="dot"/>
            </w:tabs>
            <w:rPr/>
          </w:pPr>
          <w:hyperlink w:anchor="__RefHeading___Toc7766326_2870459653">
            <w:r>
              <w:rPr>
                <w:webHidden/>
                <w:rStyle w:val="IndexLink"/>
                <w:rtl w:val="true"/>
              </w:rPr>
              <w:t>پیاده سازی خط مشی داده های پژوهشی نورث امپتون</w:t>
            </w:r>
            <w:r>
              <w:rPr>
                <w:rStyle w:val="IndexLink"/>
                <w:rtl w:val="true"/>
              </w:rPr>
              <w:tab/>
            </w:r>
            <w:r>
              <w:rPr>
                <w:rStyle w:val="IndexLink"/>
              </w:rPr>
              <w:t>65</w:t>
            </w:r>
          </w:hyperlink>
        </w:p>
        <w:p>
          <w:pPr>
            <w:pStyle w:val="Contents3"/>
            <w:tabs>
              <w:tab w:val="clear" w:pos="8459"/>
              <w:tab w:val="right" w:pos="9026" w:leader="dot"/>
            </w:tabs>
            <w:rPr/>
          </w:pPr>
          <w:hyperlink w:anchor="__RefHeading___Toc7766328_2870459653">
            <w:r>
              <w:rPr>
                <w:webHidden/>
                <w:rStyle w:val="IndexLink"/>
                <w:rtl w:val="true"/>
              </w:rPr>
              <w:t>موقعیت دانشگاه نورث آمپتون در بافت بریتانیا</w:t>
            </w:r>
            <w:r>
              <w:rPr>
                <w:rStyle w:val="IndexLink"/>
                <w:rtl w:val="true"/>
              </w:rPr>
              <w:tab/>
            </w:r>
            <w:r>
              <w:rPr>
                <w:rStyle w:val="IndexLink"/>
              </w:rPr>
              <w:t>67</w:t>
            </w:r>
          </w:hyperlink>
        </w:p>
        <w:p>
          <w:pPr>
            <w:pStyle w:val="Contents3"/>
            <w:tabs>
              <w:tab w:val="clear" w:pos="8459"/>
              <w:tab w:val="right" w:pos="9026" w:leader="dot"/>
            </w:tabs>
            <w:rPr/>
          </w:pPr>
          <w:hyperlink w:anchor="__RefHeading___Toc7766330_2870459653">
            <w:r>
              <w:rPr>
                <w:webHidden/>
                <w:rStyle w:val="IndexLink"/>
                <w:rtl w:val="true"/>
              </w:rPr>
              <w:t>نتیجه گیری</w:t>
            </w:r>
            <w:r>
              <w:rPr>
                <w:rStyle w:val="IndexLink"/>
                <w:rtl w:val="true"/>
              </w:rPr>
              <w:tab/>
            </w:r>
            <w:r>
              <w:rPr>
                <w:rStyle w:val="IndexLink"/>
              </w:rPr>
              <w:t>68</w:t>
            </w:r>
          </w:hyperlink>
        </w:p>
        <w:p>
          <w:pPr>
            <w:pStyle w:val="Contents3"/>
            <w:tabs>
              <w:tab w:val="clear" w:pos="8459"/>
              <w:tab w:val="right" w:pos="9026" w:leader="dot"/>
            </w:tabs>
            <w:rPr/>
          </w:pPr>
          <w:hyperlink w:anchor="__RefHeading___Toc7766332_2870459653">
            <w:r>
              <w:rPr>
                <w:webHidden/>
                <w:rStyle w:val="IndexLink"/>
                <w:rtl w:val="true"/>
              </w:rPr>
              <w:t>منابع</w:t>
            </w:r>
            <w:r>
              <w:rPr>
                <w:rStyle w:val="IndexLink"/>
                <w:rtl w:val="true"/>
              </w:rPr>
              <w:tab/>
            </w:r>
            <w:r>
              <w:rPr>
                <w:rStyle w:val="IndexLink"/>
              </w:rPr>
              <w:t>69</w:t>
            </w:r>
          </w:hyperlink>
        </w:p>
        <w:p>
          <w:pPr>
            <w:pStyle w:val="Contents2"/>
            <w:tabs>
              <w:tab w:val="clear" w:pos="8743"/>
              <w:tab w:val="right" w:pos="9026" w:leader="dot"/>
            </w:tabs>
            <w:rPr/>
          </w:pPr>
          <w:hyperlink w:anchor="__RefHeading___Toc7766334_2870459653">
            <w:r>
              <w:rPr>
                <w:webHidden/>
                <w:rStyle w:val="IndexLink"/>
                <w:rtl w:val="true"/>
              </w:rPr>
              <w:t>چکیده</w:t>
            </w:r>
            <w:r>
              <w:rPr>
                <w:rStyle w:val="IndexLink"/>
                <w:rtl w:val="true"/>
              </w:rPr>
              <w:tab/>
            </w:r>
            <w:r>
              <w:rPr>
                <w:rStyle w:val="IndexLink"/>
              </w:rPr>
              <w:t>73</w:t>
            </w:r>
          </w:hyperlink>
        </w:p>
        <w:p>
          <w:pPr>
            <w:pStyle w:val="Contents2"/>
            <w:tabs>
              <w:tab w:val="clear" w:pos="8743"/>
              <w:tab w:val="right" w:pos="9026" w:leader="dot"/>
            </w:tabs>
            <w:rPr/>
          </w:pPr>
          <w:hyperlink w:anchor="__RefHeading___Toc7766336_2870459653">
            <w:r>
              <w:rPr>
                <w:webHidden/>
                <w:rStyle w:val="IndexLink"/>
                <w:rtl w:val="true"/>
              </w:rPr>
              <w:t>حمایت از جوامع دانش بنیان</w:t>
            </w:r>
            <w:r>
              <w:rPr>
                <w:rStyle w:val="IndexLink"/>
                <w:rtl w:val="true"/>
              </w:rPr>
              <w:t xml:space="preserve">: </w:t>
            </w:r>
            <w:r>
              <w:rPr>
                <w:rStyle w:val="IndexLink"/>
                <w:rtl w:val="true"/>
              </w:rPr>
              <w:t>توسعه خط مشی ملی برای کتابخانه ها</w:t>
            </w:r>
            <w:r>
              <w:rPr>
                <w:rStyle w:val="IndexLink"/>
                <w:rtl w:val="true"/>
              </w:rPr>
              <w:tab/>
            </w:r>
            <w:r>
              <w:rPr>
                <w:rStyle w:val="IndexLink"/>
              </w:rPr>
              <w:t>74</w:t>
            </w:r>
          </w:hyperlink>
        </w:p>
        <w:p>
          <w:pPr>
            <w:pStyle w:val="Contents3"/>
            <w:tabs>
              <w:tab w:val="clear" w:pos="8459"/>
              <w:tab w:val="right" w:pos="9026" w:leader="dot"/>
            </w:tabs>
            <w:rPr/>
          </w:pPr>
          <w:hyperlink w:anchor="__RefHeading___Toc7766338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766340_2870459653">
            <w:r>
              <w:rPr>
                <w:webHidden/>
                <w:rStyle w:val="IndexLink"/>
                <w:rtl w:val="true"/>
              </w:rPr>
              <w:t>یک خط مشی ملی برای کتابخانه ها چیست؟</w:t>
            </w:r>
            <w:r>
              <w:rPr>
                <w:rStyle w:val="IndexLink"/>
                <w:rtl w:val="true"/>
              </w:rPr>
              <w:tab/>
            </w:r>
            <w:r>
              <w:rPr>
                <w:rStyle w:val="IndexLink"/>
              </w:rPr>
              <w:t>74</w:t>
            </w:r>
          </w:hyperlink>
        </w:p>
        <w:p>
          <w:pPr>
            <w:pStyle w:val="Contents3"/>
            <w:tabs>
              <w:tab w:val="clear" w:pos="8459"/>
              <w:tab w:val="right" w:pos="9026" w:leader="dot"/>
            </w:tabs>
            <w:rPr/>
          </w:pPr>
          <w:hyperlink w:anchor="__RefHeading___Toc7766342_2870459653">
            <w:r>
              <w:rPr>
                <w:webHidden/>
                <w:rStyle w:val="IndexLink"/>
                <w:rtl w:val="true"/>
              </w:rPr>
              <w:t xml:space="preserve">روند پس از جنگ جهانی دوم تا سال </w:t>
            </w:r>
            <w:r>
              <w:rPr>
                <w:rStyle w:val="IndexLink"/>
              </w:rPr>
              <w:t>2000</w:t>
            </w:r>
            <w:r>
              <w:rPr>
                <w:rStyle w:val="IndexLink"/>
                <w:rtl w:val="true"/>
              </w:rPr>
              <w:tab/>
            </w:r>
            <w:r>
              <w:rPr>
                <w:rStyle w:val="IndexLink"/>
              </w:rPr>
              <w:t>75</w:t>
            </w:r>
          </w:hyperlink>
        </w:p>
        <w:p>
          <w:pPr>
            <w:pStyle w:val="Contents3"/>
            <w:tabs>
              <w:tab w:val="clear" w:pos="8459"/>
              <w:tab w:val="right" w:pos="9026" w:leader="dot"/>
            </w:tabs>
            <w:rPr/>
          </w:pPr>
          <w:hyperlink w:anchor="__RefHeading___Toc7766344_2870459653">
            <w:r>
              <w:rPr>
                <w:webHidden/>
                <w:rStyle w:val="IndexLink"/>
                <w:rtl w:val="true"/>
              </w:rPr>
              <w:t xml:space="preserve">روندها سال </w:t>
            </w:r>
            <w:r>
              <w:rPr>
                <w:rStyle w:val="IndexLink"/>
              </w:rPr>
              <w:t>2000</w:t>
            </w:r>
            <w:r>
              <w:rPr>
                <w:rStyle w:val="IndexLink"/>
                <w:rtl w:val="true"/>
              </w:rPr>
              <w:t xml:space="preserve"> </w:t>
            </w:r>
            <w:r>
              <w:rPr>
                <w:rStyle w:val="IndexLink"/>
                <w:rtl w:val="true"/>
              </w:rPr>
              <w:t>به بعد</w:t>
            </w:r>
            <w:r>
              <w:rPr>
                <w:rStyle w:val="IndexLink"/>
                <w:rtl w:val="true"/>
              </w:rPr>
              <w:tab/>
            </w:r>
            <w:r>
              <w:rPr>
                <w:rStyle w:val="IndexLink"/>
              </w:rPr>
              <w:t>77</w:t>
            </w:r>
          </w:hyperlink>
        </w:p>
        <w:p>
          <w:pPr>
            <w:pStyle w:val="Contents3"/>
            <w:tabs>
              <w:tab w:val="clear" w:pos="8459"/>
              <w:tab w:val="right" w:pos="9026" w:leader="dot"/>
            </w:tabs>
            <w:rPr/>
          </w:pPr>
          <w:hyperlink w:anchor="__RefHeading___Toc7766346_2870459653">
            <w:r>
              <w:rPr>
                <w:webHidden/>
                <w:rStyle w:val="IndexLink"/>
                <w:rtl w:val="true"/>
              </w:rPr>
              <w:t>سه مثال از کشورهایی که خط مشی های ملی را برای کتابخانه ها کامل کرده اند</w:t>
            </w:r>
            <w:r>
              <w:rPr>
                <w:rStyle w:val="IndexLink"/>
                <w:rtl w:val="true"/>
              </w:rPr>
              <w:tab/>
            </w:r>
            <w:r>
              <w:rPr>
                <w:rStyle w:val="IndexLink"/>
              </w:rPr>
              <w:t>79</w:t>
            </w:r>
          </w:hyperlink>
        </w:p>
        <w:p>
          <w:pPr>
            <w:pStyle w:val="Contents4"/>
            <w:tabs>
              <w:tab w:val="clear" w:pos="8176"/>
              <w:tab w:val="right" w:pos="9026" w:leader="dot"/>
            </w:tabs>
            <w:rPr/>
          </w:pPr>
          <w:hyperlink w:anchor="__RefHeading___Toc7766348_287045965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766350_2870459653">
            <w:r>
              <w:rPr>
                <w:webHidden/>
                <w:rStyle w:val="IndexLink"/>
                <w:rtl w:val="true"/>
              </w:rPr>
              <w:t>فنلاند</w:t>
            </w:r>
            <w:r>
              <w:rPr>
                <w:rStyle w:val="IndexLink"/>
                <w:rtl w:val="true"/>
              </w:rPr>
              <w:tab/>
            </w:r>
            <w:r>
              <w:rPr>
                <w:rStyle w:val="IndexLink"/>
              </w:rPr>
              <w:t>79</w:t>
            </w:r>
          </w:hyperlink>
        </w:p>
        <w:p>
          <w:pPr>
            <w:pStyle w:val="Contents4"/>
            <w:tabs>
              <w:tab w:val="clear" w:pos="8176"/>
              <w:tab w:val="right" w:pos="9026" w:leader="dot"/>
            </w:tabs>
            <w:rPr/>
          </w:pPr>
          <w:hyperlink w:anchor="__RefHeading___Toc7766352_2870459653">
            <w:r>
              <w:rPr>
                <w:webHidden/>
                <w:rStyle w:val="IndexLink"/>
                <w:rtl w:val="true"/>
              </w:rPr>
              <w:t>ناميبيا</w:t>
            </w:r>
            <w:r>
              <w:rPr>
                <w:rStyle w:val="IndexLink"/>
                <w:rtl w:val="true"/>
              </w:rPr>
              <w:tab/>
            </w:r>
            <w:r>
              <w:rPr>
                <w:rStyle w:val="IndexLink"/>
              </w:rPr>
              <w:t>80</w:t>
            </w:r>
          </w:hyperlink>
        </w:p>
        <w:p>
          <w:pPr>
            <w:pStyle w:val="Contents3"/>
            <w:tabs>
              <w:tab w:val="clear" w:pos="8459"/>
              <w:tab w:val="right" w:pos="9026" w:leader="dot"/>
            </w:tabs>
            <w:rPr/>
          </w:pPr>
          <w:hyperlink w:anchor="__RefHeading___Toc7766354_2870459653">
            <w:r>
              <w:rPr>
                <w:webHidden/>
                <w:rStyle w:val="IndexLink"/>
                <w:rtl w:val="true"/>
              </w:rPr>
              <w:t>عناصر کلیدی راهبردی</w:t>
            </w:r>
            <w:r>
              <w:rPr>
                <w:rStyle w:val="IndexLink"/>
                <w:rtl w:val="true"/>
              </w:rPr>
              <w:t>:</w:t>
              <w:tab/>
            </w:r>
            <w:r>
              <w:rPr>
                <w:rStyle w:val="IndexLink"/>
              </w:rPr>
              <w:t>81</w:t>
            </w:r>
          </w:hyperlink>
        </w:p>
        <w:p>
          <w:pPr>
            <w:pStyle w:val="Contents3"/>
            <w:tabs>
              <w:tab w:val="clear" w:pos="8459"/>
              <w:tab w:val="right" w:pos="9026" w:leader="dot"/>
            </w:tabs>
            <w:rPr/>
          </w:pPr>
          <w:hyperlink w:anchor="__RefHeading___Toc7766356_2870459653">
            <w:r>
              <w:rPr>
                <w:webHidden/>
                <w:rStyle w:val="IndexLink"/>
                <w:rtl w:val="true"/>
              </w:rPr>
              <w:t>منابع</w:t>
            </w:r>
            <w:r>
              <w:rPr>
                <w:rStyle w:val="IndexLink"/>
                <w:rtl w:val="true"/>
              </w:rPr>
              <w:t>:</w:t>
              <w:tab/>
            </w:r>
            <w:r>
              <w:rPr>
                <w:rStyle w:val="IndexLink"/>
              </w:rPr>
              <w:t>81</w:t>
            </w:r>
          </w:hyperlink>
        </w:p>
        <w:p>
          <w:pPr>
            <w:pStyle w:val="Contents4"/>
            <w:tabs>
              <w:tab w:val="clear" w:pos="8176"/>
              <w:tab w:val="right" w:pos="9026" w:leader="dot"/>
            </w:tabs>
            <w:rPr/>
          </w:pPr>
          <w:hyperlink w:anchor="__RefHeading___Toc7766358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766360_2870459653">
            <w:r>
              <w:rPr>
                <w:webHidden/>
                <w:rStyle w:val="IndexLink"/>
                <w:rtl w:val="true"/>
              </w:rPr>
              <w:t>نیوزلند</w:t>
            </w:r>
            <w:r>
              <w:rPr>
                <w:rStyle w:val="IndexLink"/>
                <w:rtl w:val="true"/>
              </w:rPr>
              <w:tab/>
            </w:r>
            <w:r>
              <w:rPr>
                <w:rStyle w:val="IndexLink"/>
              </w:rPr>
              <w:t>81</w:t>
            </w:r>
          </w:hyperlink>
        </w:p>
        <w:p>
          <w:pPr>
            <w:pStyle w:val="Contents4"/>
            <w:tabs>
              <w:tab w:val="clear" w:pos="8176"/>
              <w:tab w:val="right" w:pos="9026" w:leader="dot"/>
            </w:tabs>
            <w:rPr/>
          </w:pPr>
          <w:hyperlink w:anchor="__RefHeading___Toc7766362_2870459653">
            <w:r>
              <w:rPr>
                <w:webHidden/>
                <w:rStyle w:val="IndexLink"/>
                <w:rtl w:val="true"/>
              </w:rPr>
              <w:t>کلمبیا</w:t>
            </w:r>
            <w:r>
              <w:rPr>
                <w:rStyle w:val="IndexLink"/>
                <w:rtl w:val="true"/>
              </w:rPr>
              <w:tab/>
            </w:r>
            <w:r>
              <w:rPr>
                <w:rStyle w:val="IndexLink"/>
              </w:rPr>
              <w:t>82</w:t>
            </w:r>
          </w:hyperlink>
        </w:p>
        <w:p>
          <w:pPr>
            <w:pStyle w:val="Contents3"/>
            <w:tabs>
              <w:tab w:val="clear" w:pos="8459"/>
              <w:tab w:val="right" w:pos="9026" w:leader="dot"/>
            </w:tabs>
            <w:rPr/>
          </w:pPr>
          <w:hyperlink w:anchor="__RefHeading___Toc7766364_2870459653">
            <w:r>
              <w:rPr>
                <w:webHidden/>
                <w:rStyle w:val="IndexLink"/>
                <w:rtl w:val="true"/>
              </w:rPr>
              <w:t>محتوا</w:t>
            </w:r>
            <w:r>
              <w:rPr>
                <w:rStyle w:val="IndexLink"/>
                <w:rtl w:val="true"/>
              </w:rPr>
              <w:tab/>
            </w:r>
            <w:r>
              <w:rPr>
                <w:rStyle w:val="IndexLink"/>
              </w:rPr>
              <w:t>82</w:t>
            </w:r>
          </w:hyperlink>
        </w:p>
        <w:p>
          <w:pPr>
            <w:pStyle w:val="Contents3"/>
            <w:tabs>
              <w:tab w:val="clear" w:pos="8459"/>
              <w:tab w:val="right" w:pos="9026" w:leader="dot"/>
            </w:tabs>
            <w:rPr/>
          </w:pPr>
          <w:hyperlink w:anchor="__RefHeading___Toc7766366_2870459653">
            <w:r>
              <w:rPr>
                <w:webHidden/>
                <w:rStyle w:val="IndexLink"/>
                <w:rtl w:val="true"/>
              </w:rPr>
              <w:t>عناصر راهبردی کلیدی عبارتند از</w:t>
            </w:r>
            <w:r>
              <w:rPr>
                <w:rStyle w:val="IndexLink"/>
                <w:rtl w:val="true"/>
              </w:rPr>
              <w:t>:</w:t>
              <w:tab/>
            </w:r>
            <w:r>
              <w:rPr>
                <w:rStyle w:val="IndexLink"/>
              </w:rPr>
              <w:t>83</w:t>
            </w:r>
          </w:hyperlink>
        </w:p>
        <w:p>
          <w:pPr>
            <w:pStyle w:val="Contents3"/>
            <w:tabs>
              <w:tab w:val="clear" w:pos="8459"/>
              <w:tab w:val="right" w:pos="9026" w:leader="dot"/>
            </w:tabs>
            <w:rPr/>
          </w:pPr>
          <w:hyperlink w:anchor="__RefHeading___Toc7766368_2870459653">
            <w:r>
              <w:rPr>
                <w:webHidden/>
                <w:rStyle w:val="IndexLink"/>
                <w:rtl w:val="true"/>
              </w:rPr>
              <w:t>مفهوم شبکه</w:t>
            </w:r>
            <w:r>
              <w:rPr>
                <w:rStyle w:val="IndexLink"/>
                <w:rtl w:val="true"/>
              </w:rPr>
              <w:tab/>
            </w:r>
            <w:r>
              <w:rPr>
                <w:rStyle w:val="IndexLink"/>
              </w:rPr>
              <w:t>83</w:t>
            </w:r>
          </w:hyperlink>
        </w:p>
        <w:p>
          <w:pPr>
            <w:pStyle w:val="Contents3"/>
            <w:tabs>
              <w:tab w:val="clear" w:pos="8459"/>
              <w:tab w:val="right" w:pos="9026" w:leader="dot"/>
            </w:tabs>
            <w:rPr/>
          </w:pPr>
          <w:hyperlink w:anchor="__RefHeading___Toc7766370_2870459653">
            <w:r>
              <w:rPr>
                <w:webHidden/>
                <w:rStyle w:val="IndexLink"/>
                <w:rtl w:val="true"/>
              </w:rPr>
              <w:t>چارچوب خط مشی کتابخانه ملی</w:t>
            </w:r>
            <w:r>
              <w:rPr>
                <w:rStyle w:val="IndexLink"/>
                <w:rtl w:val="true"/>
              </w:rPr>
              <w:tab/>
            </w:r>
            <w:r>
              <w:rPr>
                <w:rStyle w:val="IndexLink"/>
              </w:rPr>
              <w:t>84</w:t>
            </w:r>
          </w:hyperlink>
        </w:p>
        <w:p>
          <w:pPr>
            <w:pStyle w:val="Contents3"/>
            <w:tabs>
              <w:tab w:val="clear" w:pos="8459"/>
              <w:tab w:val="right" w:pos="9026" w:leader="dot"/>
            </w:tabs>
            <w:rPr/>
          </w:pPr>
          <w:hyperlink w:anchor="__RefHeading___Toc7766372_2870459653">
            <w:r>
              <w:rPr>
                <w:webHidden/>
                <w:rStyle w:val="IndexLink"/>
                <w:rtl w:val="true"/>
              </w:rPr>
              <w:t>نتیجه گیری</w:t>
            </w:r>
            <w:r>
              <w:rPr>
                <w:rStyle w:val="IndexLink"/>
                <w:rtl w:val="true"/>
              </w:rPr>
              <w:tab/>
            </w:r>
            <w:r>
              <w:rPr>
                <w:rStyle w:val="IndexLink"/>
              </w:rPr>
              <w:t>85</w:t>
            </w:r>
          </w:hyperlink>
        </w:p>
        <w:p>
          <w:pPr>
            <w:pStyle w:val="Contents3"/>
            <w:tabs>
              <w:tab w:val="clear" w:pos="8459"/>
              <w:tab w:val="right" w:pos="9026" w:leader="dot"/>
            </w:tabs>
            <w:rPr/>
          </w:pPr>
          <w:hyperlink w:anchor="__RefHeading___Toc7766374_2870459653">
            <w:r>
              <w:rPr>
                <w:webHidden/>
                <w:rStyle w:val="IndexLink"/>
                <w:rtl w:val="true"/>
              </w:rPr>
              <w:t>منابع</w:t>
            </w:r>
            <w:r>
              <w:rPr>
                <w:rStyle w:val="IndexLink"/>
                <w:rtl w:val="true"/>
              </w:rPr>
              <w:tab/>
            </w:r>
            <w:r>
              <w:rPr>
                <w:rStyle w:val="IndexLink"/>
              </w:rPr>
              <w:t>85</w:t>
            </w:r>
          </w:hyperlink>
        </w:p>
        <w:p>
          <w:pPr>
            <w:pStyle w:val="Contents2"/>
            <w:tabs>
              <w:tab w:val="clear" w:pos="8743"/>
              <w:tab w:val="right" w:pos="9026" w:leader="dot"/>
            </w:tabs>
            <w:rPr/>
          </w:pPr>
          <w:hyperlink w:anchor="__RefHeading___Toc7766376_2870459653">
            <w:r>
              <w:rPr>
                <w:webHidden/>
                <w:rStyle w:val="IndexLink"/>
                <w:rtl w:val="true"/>
              </w:rPr>
              <w:t>چکیده</w:t>
            </w:r>
            <w:r>
              <w:rPr>
                <w:rStyle w:val="IndexLink"/>
                <w:rtl w:val="true"/>
              </w:rPr>
              <w:tab/>
            </w:r>
            <w:r>
              <w:rPr>
                <w:rStyle w:val="IndexLink"/>
              </w:rPr>
              <w:t>89</w:t>
            </w:r>
          </w:hyperlink>
        </w:p>
        <w:p>
          <w:pPr>
            <w:pStyle w:val="Contents2"/>
            <w:tabs>
              <w:tab w:val="clear" w:pos="8743"/>
              <w:tab w:val="right" w:pos="9026" w:leader="dot"/>
            </w:tabs>
            <w:rPr/>
          </w:pPr>
          <w:hyperlink w:anchor="__RefHeading___Toc7766378_2870459653">
            <w:r>
              <w:rPr>
                <w:webHidden/>
                <w:rStyle w:val="IndexLink"/>
                <w:rtl w:val="true"/>
              </w:rPr>
              <w:t>"</w:t>
            </w:r>
            <w:r>
              <w:rPr>
                <w:rStyle w:val="IndexLink"/>
                <w:rtl w:val="true"/>
              </w:rPr>
              <w:t>داده های پیوندی برای</w:t>
            </w:r>
            <w:r>
              <w:rPr>
                <w:rStyle w:val="IndexLink"/>
                <w:rtl w:val="true"/>
              </w:rPr>
              <w:t xml:space="preserve">" </w:t>
            </w:r>
            <w:r>
              <w:rPr>
                <w:rStyle w:val="IndexLink"/>
                <w:rtl w:val="true"/>
              </w:rPr>
              <w:t>کتابخانه ها</w:t>
            </w:r>
            <w:r>
              <w:rPr>
                <w:rStyle w:val="IndexLink"/>
                <w:rtl w:val="true"/>
              </w:rPr>
              <w:t xml:space="preserve">: </w:t>
            </w:r>
            <w:r>
              <w:rPr>
                <w:rStyle w:val="IndexLink"/>
                <w:rtl w:val="true"/>
              </w:rPr>
              <w:t>مزایای انتقال مفهومی از ساختارهای رکوردی کتابخانه ای به مدل های داده ای بر پایه آر</w:t>
            </w:r>
            <w:r>
              <w:rPr>
                <w:rStyle w:val="IndexLink"/>
                <w:rtl w:val="true"/>
              </w:rPr>
              <w:t>.</w:t>
            </w:r>
            <w:r>
              <w:rPr>
                <w:rStyle w:val="IndexLink"/>
                <w:rtl w:val="true"/>
              </w:rPr>
              <w:t>دی</w:t>
            </w:r>
            <w:r>
              <w:rPr>
                <w:rStyle w:val="IndexLink"/>
                <w:rtl w:val="true"/>
              </w:rPr>
              <w:t>.</w:t>
            </w:r>
            <w:r>
              <w:rPr>
                <w:rStyle w:val="IndexLink"/>
                <w:rtl w:val="true"/>
              </w:rPr>
              <w:t>اف</w:t>
            </w:r>
            <w:r>
              <w:rPr>
                <w:rStyle w:val="IndexLink"/>
                <w:rtl w:val="true"/>
              </w:rPr>
              <w:tab/>
            </w:r>
            <w:r>
              <w:rPr>
                <w:rStyle w:val="IndexLink"/>
              </w:rPr>
              <w:t>90</w:t>
            </w:r>
          </w:hyperlink>
        </w:p>
        <w:p>
          <w:pPr>
            <w:pStyle w:val="Contents3"/>
            <w:tabs>
              <w:tab w:val="clear" w:pos="8459"/>
              <w:tab w:val="right" w:pos="9026" w:leader="dot"/>
            </w:tabs>
            <w:rPr/>
          </w:pPr>
          <w:hyperlink w:anchor="__RefHeading___Toc7766380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7766382_2870459653">
            <w:r>
              <w:rPr>
                <w:webHidden/>
                <w:rStyle w:val="IndexLink"/>
                <w:rtl w:val="true"/>
              </w:rPr>
              <w:t>مقدمه</w:t>
            </w:r>
            <w:r>
              <w:rPr>
                <w:rStyle w:val="IndexLink"/>
                <w:rtl w:val="true"/>
              </w:rPr>
              <w:tab/>
            </w:r>
            <w:r>
              <w:rPr>
                <w:rStyle w:val="IndexLink"/>
              </w:rPr>
              <w:t>90</w:t>
            </w:r>
          </w:hyperlink>
        </w:p>
        <w:p>
          <w:pPr>
            <w:pStyle w:val="Contents3"/>
            <w:tabs>
              <w:tab w:val="clear" w:pos="8459"/>
              <w:tab w:val="right" w:pos="9026" w:leader="dot"/>
            </w:tabs>
            <w:rPr/>
          </w:pPr>
          <w:hyperlink w:anchor="__RefHeading___Toc7766384_2870459653">
            <w:r>
              <w:rPr>
                <w:webHidden/>
                <w:rStyle w:val="IndexLink"/>
                <w:rtl w:val="true"/>
              </w:rPr>
              <w:t>اصول داده های پیوندی</w:t>
            </w:r>
            <w:r>
              <w:rPr>
                <w:rStyle w:val="IndexLink"/>
                <w:rtl w:val="true"/>
              </w:rPr>
              <w:tab/>
            </w:r>
            <w:r>
              <w:rPr>
                <w:rStyle w:val="IndexLink"/>
              </w:rPr>
              <w:t>95</w:t>
            </w:r>
          </w:hyperlink>
        </w:p>
        <w:p>
          <w:pPr>
            <w:pStyle w:val="Contents3"/>
            <w:tabs>
              <w:tab w:val="clear" w:pos="8459"/>
              <w:tab w:val="right" w:pos="9026" w:leader="dot"/>
            </w:tabs>
            <w:rPr/>
          </w:pPr>
          <w:hyperlink w:anchor="__RefHeading___Toc7766386_2870459653">
            <w:r>
              <w:rPr>
                <w:webHidden/>
                <w:rStyle w:val="IndexLink"/>
                <w:rtl w:val="true"/>
              </w:rPr>
              <w:t>"</w:t>
            </w:r>
            <w:r>
              <w:rPr>
                <w:rStyle w:val="IndexLink"/>
                <w:rtl w:val="true"/>
              </w:rPr>
              <w:t>داده های پیوندی</w:t>
            </w:r>
            <w:r>
              <w:rPr>
                <w:rStyle w:val="IndexLink"/>
                <w:rtl w:val="true"/>
              </w:rPr>
              <w:t xml:space="preserve">" </w:t>
            </w:r>
            <w:r>
              <w:rPr>
                <w:rStyle w:val="IndexLink"/>
                <w:rtl w:val="true"/>
              </w:rPr>
              <w:t>برای مدل سازی فراداده کتابخانه ای</w:t>
            </w:r>
            <w:r>
              <w:rPr>
                <w:rStyle w:val="IndexLink"/>
                <w:rtl w:val="true"/>
              </w:rPr>
              <w:tab/>
            </w:r>
            <w:r>
              <w:rPr>
                <w:rStyle w:val="IndexLink"/>
              </w:rPr>
              <w:t>96</w:t>
            </w:r>
          </w:hyperlink>
        </w:p>
        <w:p>
          <w:pPr>
            <w:pStyle w:val="Contents3"/>
            <w:tabs>
              <w:tab w:val="clear" w:pos="8459"/>
              <w:tab w:val="right" w:pos="9026" w:leader="dot"/>
            </w:tabs>
            <w:rPr/>
          </w:pPr>
          <w:hyperlink w:anchor="__RefHeading___Toc7766388_2870459653">
            <w:r>
              <w:rPr>
                <w:webHidden/>
                <w:rStyle w:val="IndexLink"/>
                <w:rtl w:val="true"/>
              </w:rPr>
              <w:t>فرضیه نظام های بسته در برابر نظام های باز</w:t>
            </w:r>
            <w:r>
              <w:rPr>
                <w:rStyle w:val="IndexLink"/>
                <w:rtl w:val="true"/>
              </w:rPr>
              <w:tab/>
            </w:r>
            <w:r>
              <w:rPr>
                <w:rStyle w:val="IndexLink"/>
              </w:rPr>
              <w:t>96</w:t>
            </w:r>
          </w:hyperlink>
        </w:p>
        <w:p>
          <w:pPr>
            <w:pStyle w:val="Contents3"/>
            <w:tabs>
              <w:tab w:val="clear" w:pos="8459"/>
              <w:tab w:val="right" w:pos="9026" w:leader="dot"/>
            </w:tabs>
            <w:rPr/>
          </w:pPr>
          <w:hyperlink w:anchor="__RefHeading___Toc7766390_2870459653">
            <w:r>
              <w:rPr>
                <w:webHidden/>
                <w:rStyle w:val="IndexLink"/>
                <w:rtl w:val="true"/>
              </w:rPr>
              <w:t xml:space="preserve">وضعیت موجود استفاده از </w:t>
            </w:r>
            <w:r>
              <w:rPr>
                <w:rStyle w:val="IndexLink"/>
                <w:rtl w:val="true"/>
              </w:rPr>
              <w:t>"</w:t>
            </w:r>
            <w:r>
              <w:rPr>
                <w:rStyle w:val="IndexLink"/>
                <w:rtl w:val="true"/>
              </w:rPr>
              <w:t>داده های پیوندی</w:t>
            </w:r>
            <w:r>
              <w:rPr>
                <w:rStyle w:val="IndexLink"/>
                <w:rtl w:val="true"/>
              </w:rPr>
              <w:t xml:space="preserve">" </w:t>
            </w:r>
            <w:r>
              <w:rPr>
                <w:rStyle w:val="IndexLink"/>
                <w:rtl w:val="true"/>
              </w:rPr>
              <w:t>در کتابخانه ها</w:t>
            </w:r>
            <w:r>
              <w:rPr>
                <w:rStyle w:val="IndexLink"/>
                <w:rtl w:val="true"/>
              </w:rPr>
              <w:tab/>
            </w:r>
            <w:r>
              <w:rPr>
                <w:rStyle w:val="IndexLink"/>
              </w:rPr>
              <w:t>97</w:t>
            </w:r>
          </w:hyperlink>
        </w:p>
        <w:p>
          <w:pPr>
            <w:pStyle w:val="Contents3"/>
            <w:tabs>
              <w:tab w:val="clear" w:pos="8459"/>
              <w:tab w:val="right" w:pos="9026" w:leader="dot"/>
            </w:tabs>
            <w:rPr/>
          </w:pPr>
          <w:hyperlink w:anchor="__RefHeading___Toc7766392_2870459653">
            <w:r>
              <w:rPr>
                <w:webHidden/>
                <w:rStyle w:val="IndexLink"/>
                <w:rtl w:val="true"/>
              </w:rPr>
              <w:t xml:space="preserve">پذیرش کند </w:t>
            </w:r>
            <w:r>
              <w:rPr>
                <w:rStyle w:val="IndexLink"/>
                <w:rtl w:val="true"/>
              </w:rPr>
              <w:t>"</w:t>
            </w:r>
            <w:r>
              <w:rPr>
                <w:rStyle w:val="IndexLink"/>
                <w:rtl w:val="true"/>
              </w:rPr>
              <w:t>داده های پیوندی</w:t>
            </w:r>
            <w:r>
              <w:rPr>
                <w:rStyle w:val="IndexLink"/>
                <w:rtl w:val="true"/>
              </w:rPr>
              <w:t xml:space="preserve">" </w:t>
            </w:r>
            <w:r>
              <w:rPr>
                <w:rStyle w:val="IndexLink"/>
                <w:rtl w:val="true"/>
              </w:rPr>
              <w:t xml:space="preserve">برای </w:t>
            </w:r>
            <w:r>
              <w:rPr>
                <w:rStyle w:val="IndexLink"/>
                <w:rtl w:val="true"/>
              </w:rPr>
              <w:t>"</w:t>
            </w:r>
            <w:r>
              <w:rPr>
                <w:rStyle w:val="IndexLink"/>
                <w:rtl w:val="true"/>
              </w:rPr>
              <w:t>فراداده کتابخانه ای</w:t>
            </w:r>
            <w:r>
              <w:rPr>
                <w:rStyle w:val="IndexLink"/>
                <w:rtl w:val="true"/>
              </w:rPr>
              <w:tab/>
            </w:r>
            <w:r>
              <w:rPr>
                <w:rStyle w:val="IndexLink"/>
              </w:rPr>
              <w:t>98</w:t>
            </w:r>
          </w:hyperlink>
        </w:p>
        <w:p>
          <w:pPr>
            <w:pStyle w:val="Contents3"/>
            <w:tabs>
              <w:tab w:val="clear" w:pos="8459"/>
              <w:tab w:val="right" w:pos="9026" w:leader="dot"/>
            </w:tabs>
            <w:rPr/>
          </w:pPr>
          <w:hyperlink w:anchor="__RefHeading___Toc7766394_2870459653">
            <w:r>
              <w:rPr>
                <w:webHidden/>
                <w:rStyle w:val="IndexLink"/>
                <w:rtl w:val="true"/>
              </w:rPr>
              <w:t xml:space="preserve">چالش های پذیرش </w:t>
            </w:r>
            <w:r>
              <w:rPr>
                <w:rStyle w:val="IndexLink"/>
                <w:rtl w:val="true"/>
              </w:rPr>
              <w:t>"</w:t>
            </w:r>
            <w:r>
              <w:rPr>
                <w:rStyle w:val="IndexLink"/>
                <w:rtl w:val="true"/>
              </w:rPr>
              <w:t>داده های پیوندی</w:t>
            </w:r>
            <w:r>
              <w:rPr>
                <w:rStyle w:val="IndexLink"/>
                <w:rtl w:val="true"/>
              </w:rPr>
              <w:t xml:space="preserve">" </w:t>
            </w:r>
            <w:r>
              <w:rPr>
                <w:rStyle w:val="IndexLink"/>
                <w:rtl w:val="true"/>
              </w:rPr>
              <w:t>در کتابخانه ها</w:t>
            </w:r>
            <w:r>
              <w:rPr>
                <w:rStyle w:val="IndexLink"/>
                <w:rtl w:val="true"/>
              </w:rPr>
              <w:tab/>
            </w:r>
            <w:r>
              <w:rPr>
                <w:rStyle w:val="IndexLink"/>
              </w:rPr>
              <w:t>99</w:t>
            </w:r>
          </w:hyperlink>
        </w:p>
        <w:p>
          <w:pPr>
            <w:pStyle w:val="Contents3"/>
            <w:tabs>
              <w:tab w:val="clear" w:pos="8459"/>
              <w:tab w:val="right" w:pos="9026" w:leader="dot"/>
            </w:tabs>
            <w:rPr/>
          </w:pPr>
          <w:hyperlink w:anchor="__RefHeading___Toc7766396_2870459653">
            <w:r>
              <w:rPr>
                <w:webHidden/>
                <w:rStyle w:val="IndexLink"/>
                <w:rtl w:val="true"/>
              </w:rPr>
              <w:t>توصیه هایی برای ایجاد انتقال مفهومی</w:t>
            </w:r>
            <w:r>
              <w:rPr>
                <w:rStyle w:val="IndexLink"/>
                <w:rtl w:val="true"/>
              </w:rPr>
              <w:tab/>
            </w:r>
            <w:r>
              <w:rPr>
                <w:rStyle w:val="IndexLink"/>
              </w:rPr>
              <w:t>101</w:t>
            </w:r>
          </w:hyperlink>
        </w:p>
        <w:p>
          <w:pPr>
            <w:pStyle w:val="Contents3"/>
            <w:tabs>
              <w:tab w:val="clear" w:pos="8459"/>
              <w:tab w:val="right" w:pos="9026" w:leader="dot"/>
            </w:tabs>
            <w:rPr/>
          </w:pPr>
          <w:hyperlink w:anchor="__RefHeading___Toc7766398_2870459653">
            <w:r>
              <w:rPr>
                <w:webHidden/>
                <w:rStyle w:val="IndexLink"/>
                <w:rtl w:val="true"/>
              </w:rPr>
              <w:t xml:space="preserve">کتابخانه ها بایستی چالش هایی را که توسط </w:t>
            </w:r>
            <w:r>
              <w:rPr>
                <w:rStyle w:val="IndexLink"/>
                <w:rtl w:val="true"/>
              </w:rPr>
              <w:t>"</w:t>
            </w:r>
            <w:r>
              <w:rPr>
                <w:rStyle w:val="IndexLink"/>
                <w:rtl w:val="true"/>
              </w:rPr>
              <w:t>داده های پیوندی</w:t>
            </w:r>
            <w:r>
              <w:rPr>
                <w:rStyle w:val="IndexLink"/>
                <w:rtl w:val="true"/>
              </w:rPr>
              <w:t xml:space="preserve">" </w:t>
            </w:r>
            <w:r>
              <w:rPr>
                <w:rStyle w:val="IndexLink"/>
                <w:rtl w:val="true"/>
              </w:rPr>
              <w:t>به وجود می آید، رفع کنند</w:t>
            </w:r>
            <w:r>
              <w:rPr>
                <w:rStyle w:val="IndexLink"/>
                <w:rtl w:val="true"/>
              </w:rPr>
              <w:t>.</w:t>
              <w:tab/>
            </w:r>
            <w:r>
              <w:rPr>
                <w:rStyle w:val="IndexLink"/>
              </w:rPr>
              <w:t>101</w:t>
            </w:r>
          </w:hyperlink>
        </w:p>
        <w:p>
          <w:pPr>
            <w:pStyle w:val="Contents3"/>
            <w:tabs>
              <w:tab w:val="clear" w:pos="8459"/>
              <w:tab w:val="right" w:pos="9026" w:leader="dot"/>
            </w:tabs>
            <w:rPr/>
          </w:pPr>
          <w:hyperlink w:anchor="__RefHeading___Toc7766400_2870459653">
            <w:r>
              <w:rPr>
                <w:webHidden/>
                <w:rStyle w:val="IndexLink"/>
                <w:rtl w:val="true"/>
              </w:rPr>
              <w:t xml:space="preserve">پذیرش کمینه نیازمندی های اصول </w:t>
            </w:r>
            <w:r>
              <w:rPr>
                <w:rStyle w:val="IndexLink"/>
                <w:rtl w:val="true"/>
              </w:rPr>
              <w:t>"</w:t>
            </w:r>
            <w:r>
              <w:rPr>
                <w:rStyle w:val="IndexLink"/>
                <w:rtl w:val="true"/>
              </w:rPr>
              <w:t>داده های پیوندی</w:t>
            </w:r>
            <w:r>
              <w:rPr>
                <w:rStyle w:val="IndexLink"/>
                <w:rtl w:val="true"/>
              </w:rPr>
              <w:t>"</w:t>
              <w:tab/>
            </w:r>
            <w:r>
              <w:rPr>
                <w:rStyle w:val="IndexLink"/>
              </w:rPr>
              <w:t>102</w:t>
            </w:r>
          </w:hyperlink>
        </w:p>
        <w:p>
          <w:pPr>
            <w:pStyle w:val="Contents3"/>
            <w:tabs>
              <w:tab w:val="clear" w:pos="8459"/>
              <w:tab w:val="right" w:pos="9026" w:leader="dot"/>
            </w:tabs>
            <w:rPr/>
          </w:pPr>
          <w:hyperlink w:anchor="__RefHeading___Toc7766402_2870459653">
            <w:r>
              <w:rPr>
                <w:webHidden/>
                <w:rStyle w:val="IndexLink"/>
                <w:rtl w:val="true"/>
              </w:rPr>
              <w:t xml:space="preserve">ایجاد هستی شناسی ها، موجودیت ها </w:t>
            </w:r>
            <w:r>
              <w:rPr>
                <w:rStyle w:val="IndexLink"/>
                <w:rtl w:val="true"/>
              </w:rPr>
              <w:t>(</w:t>
            </w:r>
            <w:r>
              <w:rPr>
                <w:rStyle w:val="IndexLink"/>
                <w:rtl w:val="true"/>
              </w:rPr>
              <w:t>رده ها</w:t>
            </w:r>
            <w:r>
              <w:rPr>
                <w:rStyle w:val="IndexLink"/>
                <w:rtl w:val="true"/>
              </w:rPr>
              <w:t xml:space="preserve">) </w:t>
            </w:r>
            <w:r>
              <w:rPr>
                <w:rStyle w:val="IndexLink"/>
                <w:rtl w:val="true"/>
              </w:rPr>
              <w:t xml:space="preserve">عناصر </w:t>
            </w:r>
            <w:r>
              <w:rPr>
                <w:rStyle w:val="IndexLink"/>
                <w:rtl w:val="true"/>
              </w:rPr>
              <w:t>(</w:t>
            </w:r>
            <w:r>
              <w:rPr>
                <w:rStyle w:val="IndexLink"/>
                <w:rtl w:val="true"/>
              </w:rPr>
              <w:t>خواص</w:t>
            </w:r>
            <w:r>
              <w:rPr>
                <w:rStyle w:val="IndexLink"/>
                <w:rtl w:val="true"/>
              </w:rPr>
              <w:t xml:space="preserve">) </w:t>
            </w:r>
            <w:r>
              <w:rPr>
                <w:rStyle w:val="IndexLink"/>
                <w:rtl w:val="true"/>
              </w:rPr>
              <w:t xml:space="preserve">و ارزش ها </w:t>
            </w:r>
            <w:r>
              <w:rPr>
                <w:rStyle w:val="IndexLink"/>
                <w:rtl w:val="true"/>
              </w:rPr>
              <w:t>(</w:t>
            </w:r>
            <w:r>
              <w:rPr>
                <w:rStyle w:val="IndexLink"/>
                <w:rtl w:val="true"/>
              </w:rPr>
              <w:t>نمونه ها</w:t>
            </w:r>
            <w:r>
              <w:rPr>
                <w:rStyle w:val="IndexLink"/>
                <w:rtl w:val="true"/>
              </w:rPr>
              <w:t>)</w:t>
              <w:tab/>
            </w:r>
            <w:r>
              <w:rPr>
                <w:rStyle w:val="IndexLink"/>
              </w:rPr>
              <w:t>102</w:t>
            </w:r>
          </w:hyperlink>
        </w:p>
        <w:p>
          <w:pPr>
            <w:pStyle w:val="Contents3"/>
            <w:tabs>
              <w:tab w:val="clear" w:pos="8459"/>
              <w:tab w:val="right" w:pos="9026" w:leader="dot"/>
            </w:tabs>
            <w:rPr/>
          </w:pPr>
          <w:hyperlink w:anchor="__RefHeading___Toc7766404_2870459653">
            <w:r>
              <w:rPr>
                <w:webHidden/>
                <w:rStyle w:val="IndexLink"/>
                <w:rtl w:val="true"/>
              </w:rPr>
              <w:t>تصمیم گیری در خصوص آن چه نیاز است حفظ شود</w:t>
            </w:r>
            <w:r>
              <w:rPr>
                <w:rStyle w:val="IndexLink"/>
                <w:rtl w:val="true"/>
              </w:rPr>
              <w:tab/>
            </w:r>
            <w:r>
              <w:rPr>
                <w:rStyle w:val="IndexLink"/>
              </w:rPr>
              <w:t>103</w:t>
            </w:r>
          </w:hyperlink>
        </w:p>
        <w:p>
          <w:pPr>
            <w:pStyle w:val="Contents3"/>
            <w:tabs>
              <w:tab w:val="clear" w:pos="8459"/>
              <w:tab w:val="right" w:pos="9026" w:leader="dot"/>
            </w:tabs>
            <w:rPr/>
          </w:pPr>
          <w:hyperlink w:anchor="__RefHeading___Toc7766406_2870459653">
            <w:r>
              <w:rPr>
                <w:webHidden/>
                <w:rStyle w:val="IndexLink"/>
                <w:rtl w:val="true"/>
              </w:rPr>
              <w:t xml:space="preserve">جزئی از </w:t>
            </w:r>
            <w:r>
              <w:rPr>
                <w:rStyle w:val="IndexLink"/>
                <w:rtl w:val="true"/>
              </w:rPr>
              <w:t>"</w:t>
            </w:r>
            <w:r>
              <w:rPr>
                <w:rStyle w:val="IndexLink"/>
                <w:rtl w:val="true"/>
              </w:rPr>
              <w:t>داده های پیوندی</w:t>
            </w:r>
            <w:r>
              <w:rPr>
                <w:rStyle w:val="IndexLink"/>
                <w:rtl w:val="true"/>
              </w:rPr>
              <w:t xml:space="preserve">" </w:t>
            </w:r>
            <w:r>
              <w:rPr>
                <w:rStyle w:val="IndexLink"/>
                <w:rtl w:val="true"/>
              </w:rPr>
              <w:t>وب شدن</w:t>
            </w:r>
            <w:r>
              <w:rPr>
                <w:rStyle w:val="IndexLink"/>
                <w:rtl w:val="true"/>
              </w:rPr>
              <w:tab/>
            </w:r>
            <w:r>
              <w:rPr>
                <w:rStyle w:val="IndexLink"/>
              </w:rPr>
              <w:t>104</w:t>
            </w:r>
          </w:hyperlink>
        </w:p>
        <w:p>
          <w:pPr>
            <w:pStyle w:val="Contents3"/>
            <w:tabs>
              <w:tab w:val="clear" w:pos="8459"/>
              <w:tab w:val="right" w:pos="9026" w:leader="dot"/>
            </w:tabs>
            <w:rPr/>
          </w:pPr>
          <w:hyperlink w:anchor="__RefHeading___Toc7766408_2870459653">
            <w:r>
              <w:rPr>
                <w:webHidden/>
                <w:rStyle w:val="IndexLink"/>
                <w:rtl w:val="true"/>
              </w:rPr>
              <w:t>پذیرش رویکرد فراداده های ترکیبی</w:t>
            </w:r>
            <w:r>
              <w:rPr>
                <w:rStyle w:val="IndexLink"/>
                <w:rtl w:val="true"/>
              </w:rPr>
              <w:tab/>
            </w:r>
            <w:r>
              <w:rPr>
                <w:rStyle w:val="IndexLink"/>
              </w:rPr>
              <w:t>105</w:t>
            </w:r>
          </w:hyperlink>
        </w:p>
        <w:p>
          <w:pPr>
            <w:pStyle w:val="Contents3"/>
            <w:tabs>
              <w:tab w:val="clear" w:pos="8459"/>
              <w:tab w:val="right" w:pos="9026" w:leader="dot"/>
            </w:tabs>
            <w:rPr/>
          </w:pPr>
          <w:hyperlink w:anchor="__RefHeading___Toc7766410_2870459653">
            <w:r>
              <w:rPr>
                <w:webHidden/>
                <w:rStyle w:val="IndexLink"/>
                <w:rtl w:val="true"/>
              </w:rPr>
              <w:t>مزایای فراداده های کتابخانه ای پیوندی برای کتابخانه های رقومی</w:t>
            </w:r>
            <w:r>
              <w:rPr>
                <w:rStyle w:val="IndexLink"/>
                <w:rtl w:val="true"/>
              </w:rPr>
              <w:tab/>
            </w:r>
            <w:r>
              <w:rPr>
                <w:rStyle w:val="IndexLink"/>
              </w:rPr>
              <w:t>105</w:t>
            </w:r>
          </w:hyperlink>
        </w:p>
        <w:p>
          <w:pPr>
            <w:pStyle w:val="Contents3"/>
            <w:tabs>
              <w:tab w:val="clear" w:pos="8459"/>
              <w:tab w:val="right" w:pos="9026" w:leader="dot"/>
            </w:tabs>
            <w:rPr/>
          </w:pPr>
          <w:hyperlink w:anchor="__RefHeading___Toc7766412_2870459653">
            <w:r>
              <w:rPr>
                <w:webHidden/>
                <w:rStyle w:val="IndexLink"/>
                <w:rtl w:val="true"/>
              </w:rPr>
              <w:t>اشتراک و دسترس پذیری فراداده ها</w:t>
            </w:r>
            <w:r>
              <w:rPr>
                <w:rStyle w:val="IndexLink"/>
                <w:rtl w:val="true"/>
              </w:rPr>
              <w:tab/>
            </w:r>
            <w:r>
              <w:rPr>
                <w:rStyle w:val="IndexLink"/>
              </w:rPr>
              <w:t>106</w:t>
            </w:r>
          </w:hyperlink>
        </w:p>
        <w:p>
          <w:pPr>
            <w:pStyle w:val="Contents3"/>
            <w:tabs>
              <w:tab w:val="clear" w:pos="8459"/>
              <w:tab w:val="right" w:pos="9026" w:leader="dot"/>
            </w:tabs>
            <w:rPr/>
          </w:pPr>
          <w:hyperlink w:anchor="__RefHeading___Toc7766414_2870459653">
            <w:r>
              <w:rPr>
                <w:webHidden/>
                <w:rStyle w:val="IndexLink"/>
                <w:rtl w:val="true"/>
              </w:rPr>
              <w:t>تسهیل بازیابی تغالی منابع اطلاعاتی</w:t>
            </w:r>
            <w:r>
              <w:rPr>
                <w:rStyle w:val="IndexLink"/>
                <w:rtl w:val="true"/>
              </w:rPr>
              <w:tab/>
            </w:r>
            <w:r>
              <w:rPr>
                <w:rStyle w:val="IndexLink"/>
              </w:rPr>
              <w:t>108</w:t>
            </w:r>
          </w:hyperlink>
        </w:p>
        <w:p>
          <w:pPr>
            <w:pStyle w:val="Contents3"/>
            <w:tabs>
              <w:tab w:val="clear" w:pos="8459"/>
              <w:tab w:val="right" w:pos="9026" w:leader="dot"/>
            </w:tabs>
            <w:rPr/>
          </w:pPr>
          <w:hyperlink w:anchor="__RefHeading___Toc7766416_2870459653">
            <w:r>
              <w:rPr>
                <w:webHidden/>
                <w:rStyle w:val="IndexLink"/>
                <w:rtl w:val="true"/>
              </w:rPr>
              <w:t>فراداده های پیوندی برای شناسایی الگوهای استفاده منبع فراداده های نوآورانه و نوپا</w:t>
            </w:r>
            <w:r>
              <w:rPr>
                <w:rStyle w:val="IndexLink"/>
                <w:rtl w:val="true"/>
              </w:rPr>
              <w:tab/>
            </w:r>
            <w:r>
              <w:rPr>
                <w:rStyle w:val="IndexLink"/>
              </w:rPr>
              <w:t>110</w:t>
            </w:r>
          </w:hyperlink>
        </w:p>
        <w:p>
          <w:pPr>
            <w:pStyle w:val="Contents3"/>
            <w:tabs>
              <w:tab w:val="clear" w:pos="8459"/>
              <w:tab w:val="right" w:pos="9026" w:leader="dot"/>
            </w:tabs>
            <w:rPr/>
          </w:pPr>
          <w:hyperlink w:anchor="__RefHeading___Toc7766418_2870459653">
            <w:r>
              <w:rPr>
                <w:webHidden/>
                <w:rStyle w:val="IndexLink"/>
                <w:rtl w:val="true"/>
              </w:rPr>
              <w:t>جستجو بر پایه چهریزه</w:t>
            </w:r>
            <w:r>
              <w:rPr>
                <w:rStyle w:val="IndexLink"/>
                <w:rtl w:val="true"/>
              </w:rPr>
              <w:tab/>
            </w:r>
            <w:r>
              <w:rPr>
                <w:rStyle w:val="IndexLink"/>
              </w:rPr>
              <w:t>112</w:t>
            </w:r>
          </w:hyperlink>
        </w:p>
        <w:p>
          <w:pPr>
            <w:pStyle w:val="Contents3"/>
            <w:tabs>
              <w:tab w:val="clear" w:pos="8459"/>
              <w:tab w:val="right" w:pos="9026" w:leader="dot"/>
            </w:tabs>
            <w:rPr/>
          </w:pPr>
          <w:hyperlink w:anchor="__RefHeading___Toc7766420_2870459653">
            <w:r>
              <w:rPr>
                <w:webHidden/>
                <w:rStyle w:val="IndexLink"/>
                <w:rtl w:val="true"/>
              </w:rPr>
              <w:t>فراداده های غنی از پیوند</w:t>
            </w:r>
            <w:r>
              <w:rPr>
                <w:rStyle w:val="IndexLink"/>
                <w:rtl w:val="true"/>
              </w:rPr>
              <w:tab/>
            </w:r>
            <w:r>
              <w:rPr>
                <w:rStyle w:val="IndexLink"/>
              </w:rPr>
              <w:t>113</w:t>
            </w:r>
          </w:hyperlink>
        </w:p>
        <w:p>
          <w:pPr>
            <w:pStyle w:val="Contents3"/>
            <w:tabs>
              <w:tab w:val="clear" w:pos="8459"/>
              <w:tab w:val="right" w:pos="9026" w:leader="dot"/>
            </w:tabs>
            <w:rPr/>
          </w:pPr>
          <w:hyperlink w:anchor="__RefHeading___Toc7766422_2870459653">
            <w:r>
              <w:rPr>
                <w:webHidden/>
                <w:rStyle w:val="IndexLink"/>
                <w:rtl w:val="true"/>
              </w:rPr>
              <w:t>نتایج</w:t>
            </w:r>
            <w:r>
              <w:rPr>
                <w:rStyle w:val="IndexLink"/>
                <w:rtl w:val="true"/>
              </w:rPr>
              <w:tab/>
            </w:r>
            <w:r>
              <w:rPr>
                <w:rStyle w:val="IndexLink"/>
              </w:rPr>
              <w:t>114</w:t>
            </w:r>
          </w:hyperlink>
        </w:p>
        <w:p>
          <w:pPr>
            <w:pStyle w:val="Contents3"/>
            <w:tabs>
              <w:tab w:val="clear" w:pos="8459"/>
              <w:tab w:val="right" w:pos="9026" w:leader="dot"/>
            </w:tabs>
            <w:rPr/>
          </w:pPr>
          <w:hyperlink w:anchor="__RefHeading___Toc7766424_2870459653">
            <w:r>
              <w:rPr>
                <w:webHidden/>
                <w:rStyle w:val="IndexLink"/>
                <w:rtl w:val="true"/>
              </w:rPr>
              <w:t>منابع</w:t>
            </w:r>
            <w:r>
              <w:rPr>
                <w:rStyle w:val="IndexLink"/>
                <w:rtl w:val="true"/>
              </w:rPr>
              <w:tab/>
            </w:r>
            <w:r>
              <w:rPr>
                <w:rStyle w:val="IndexLink"/>
              </w:rPr>
              <w:t>115</w:t>
            </w:r>
          </w:hyperlink>
        </w:p>
        <w:p>
          <w:pPr>
            <w:pStyle w:val="Contents2"/>
            <w:tabs>
              <w:tab w:val="clear" w:pos="8743"/>
              <w:tab w:val="right" w:pos="9026" w:leader="dot"/>
            </w:tabs>
            <w:rPr/>
          </w:pPr>
          <w:hyperlink w:anchor="__RefHeading___Toc7766426_2870459653">
            <w:r>
              <w:rPr>
                <w:webHidden/>
                <w:rStyle w:val="IndexLink"/>
                <w:rtl w:val="true"/>
              </w:rPr>
              <w:t>چکیده</w:t>
            </w:r>
            <w:r>
              <w:rPr>
                <w:rStyle w:val="IndexLink"/>
                <w:rtl w:val="true"/>
              </w:rPr>
              <w:tab/>
            </w:r>
            <w:r>
              <w:rPr>
                <w:rStyle w:val="IndexLink"/>
              </w:rPr>
              <w:t>123</w:t>
            </w:r>
          </w:hyperlink>
        </w:p>
        <w:p>
          <w:pPr>
            <w:pStyle w:val="Contents2"/>
            <w:tabs>
              <w:tab w:val="clear" w:pos="8743"/>
              <w:tab w:val="right" w:pos="9026" w:leader="dot"/>
            </w:tabs>
            <w:rPr/>
          </w:pPr>
          <w:hyperlink w:anchor="__RefHeading___Toc7766428_2870459653">
            <w:r>
              <w:rPr>
                <w:webHidden/>
                <w:rStyle w:val="IndexLink"/>
                <w:rtl w:val="true"/>
              </w:rPr>
              <w:t>پیایندهای جدید نقش های جدید، موضوعات جدید؟</w:t>
            </w:r>
            <w:r>
              <w:rPr>
                <w:rStyle w:val="IndexLink"/>
                <w:rtl w:val="true"/>
              </w:rPr>
              <w:tab/>
            </w:r>
            <w:r>
              <w:rPr>
                <w:rStyle w:val="IndexLink"/>
              </w:rPr>
              <w:t>124</w:t>
            </w:r>
          </w:hyperlink>
        </w:p>
        <w:p>
          <w:pPr>
            <w:pStyle w:val="Contents3"/>
            <w:tabs>
              <w:tab w:val="clear" w:pos="8459"/>
              <w:tab w:val="right" w:pos="9026" w:leader="dot"/>
            </w:tabs>
            <w:rPr/>
          </w:pPr>
          <w:hyperlink w:anchor="__RefHeading___Toc7766430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7766432_2870459653">
            <w:r>
              <w:rPr>
                <w:webHidden/>
                <w:rStyle w:val="IndexLink"/>
                <w:rtl w:val="true"/>
              </w:rPr>
              <w:t>مقدمه</w:t>
            </w:r>
            <w:r>
              <w:rPr>
                <w:rStyle w:val="IndexLink"/>
                <w:rtl w:val="true"/>
              </w:rPr>
              <w:tab/>
            </w:r>
            <w:r>
              <w:rPr>
                <w:rStyle w:val="IndexLink"/>
              </w:rPr>
              <w:t>124</w:t>
            </w:r>
          </w:hyperlink>
        </w:p>
        <w:p>
          <w:pPr>
            <w:pStyle w:val="Contents3"/>
            <w:tabs>
              <w:tab w:val="clear" w:pos="8459"/>
              <w:tab w:val="right" w:pos="9026" w:leader="dot"/>
            </w:tabs>
            <w:rPr/>
          </w:pPr>
          <w:hyperlink w:anchor="__RefHeading___Toc7766434_2870459653">
            <w:r>
              <w:rPr>
                <w:webHidden/>
                <w:rStyle w:val="IndexLink"/>
                <w:rtl w:val="true"/>
              </w:rPr>
              <w:t>پیایندهای جدید</w:t>
            </w:r>
            <w:r>
              <w:rPr>
                <w:rStyle w:val="IndexLink"/>
                <w:rtl w:val="true"/>
              </w:rPr>
              <w:tab/>
            </w:r>
            <w:r>
              <w:rPr>
                <w:rStyle w:val="IndexLink"/>
              </w:rPr>
              <w:t>125</w:t>
            </w:r>
          </w:hyperlink>
        </w:p>
        <w:p>
          <w:pPr>
            <w:pStyle w:val="Contents3"/>
            <w:tabs>
              <w:tab w:val="clear" w:pos="8459"/>
              <w:tab w:val="right" w:pos="9026" w:leader="dot"/>
            </w:tabs>
            <w:rPr/>
          </w:pPr>
          <w:hyperlink w:anchor="__RefHeading___Toc7766436_2870459653">
            <w:r>
              <w:rPr>
                <w:webHidden/>
                <w:rStyle w:val="IndexLink"/>
                <w:rtl w:val="true"/>
              </w:rPr>
              <w:t>محتوا</w:t>
            </w:r>
            <w:r>
              <w:rPr>
                <w:rStyle w:val="IndexLink"/>
                <w:rtl w:val="true"/>
              </w:rPr>
              <w:tab/>
            </w:r>
            <w:r>
              <w:rPr>
                <w:rStyle w:val="IndexLink"/>
              </w:rPr>
              <w:t>125</w:t>
            </w:r>
          </w:hyperlink>
        </w:p>
        <w:p>
          <w:pPr>
            <w:pStyle w:val="Contents3"/>
            <w:tabs>
              <w:tab w:val="clear" w:pos="8459"/>
              <w:tab w:val="right" w:pos="9026" w:leader="dot"/>
            </w:tabs>
            <w:rPr/>
          </w:pPr>
          <w:hyperlink w:anchor="__RefHeading___Toc7766438_2870459653">
            <w:r>
              <w:rPr>
                <w:webHidden/>
                <w:rStyle w:val="IndexLink"/>
                <w:rtl w:val="true"/>
              </w:rPr>
              <w:t xml:space="preserve">متن و زمینه </w:t>
            </w:r>
            <w:r>
              <w:rPr>
                <w:rStyle w:val="IndexLink"/>
                <w:rtl w:val="true"/>
              </w:rPr>
              <w:t>(</w:t>
            </w:r>
            <w:r>
              <w:rPr>
                <w:rStyle w:val="IndexLink"/>
                <w:rtl w:val="true"/>
              </w:rPr>
              <w:t>بافت</w:t>
            </w:r>
            <w:r>
              <w:rPr>
                <w:rStyle w:val="IndexLink"/>
                <w:rtl w:val="true"/>
              </w:rPr>
              <w:t>)</w:t>
              <w:tab/>
            </w:r>
            <w:r>
              <w:rPr>
                <w:rStyle w:val="IndexLink"/>
              </w:rPr>
              <w:t>126</w:t>
            </w:r>
          </w:hyperlink>
        </w:p>
        <w:p>
          <w:pPr>
            <w:pStyle w:val="Contents3"/>
            <w:tabs>
              <w:tab w:val="clear" w:pos="8459"/>
              <w:tab w:val="right" w:pos="9026" w:leader="dot"/>
            </w:tabs>
            <w:rPr/>
          </w:pPr>
          <w:hyperlink w:anchor="__RefHeading___Toc7766440_2870459653">
            <w:r>
              <w:rPr>
                <w:webHidden/>
                <w:rStyle w:val="IndexLink"/>
                <w:rtl w:val="true"/>
              </w:rPr>
              <w:t>بازخورد و نظر خواهی از اهل فن</w:t>
            </w:r>
            <w:r>
              <w:rPr>
                <w:rStyle w:val="IndexLink"/>
                <w:rtl w:val="true"/>
              </w:rPr>
              <w:tab/>
            </w:r>
            <w:r>
              <w:rPr>
                <w:rStyle w:val="IndexLink"/>
              </w:rPr>
              <w:t>127</w:t>
            </w:r>
          </w:hyperlink>
        </w:p>
        <w:p>
          <w:pPr>
            <w:pStyle w:val="Contents3"/>
            <w:tabs>
              <w:tab w:val="clear" w:pos="8459"/>
              <w:tab w:val="right" w:pos="9026" w:leader="dot"/>
            </w:tabs>
            <w:rPr/>
          </w:pPr>
          <w:hyperlink w:anchor="__RefHeading___Toc7766442_2870459653">
            <w:r>
              <w:rPr>
                <w:webHidden/>
                <w:rStyle w:val="IndexLink"/>
                <w:rtl w:val="true"/>
              </w:rPr>
              <w:t>کشف</w:t>
            </w:r>
            <w:r>
              <w:rPr>
                <w:rStyle w:val="IndexLink"/>
                <w:rtl w:val="true"/>
              </w:rPr>
              <w:tab/>
            </w:r>
            <w:r>
              <w:rPr>
                <w:rStyle w:val="IndexLink"/>
              </w:rPr>
              <w:t>127</w:t>
            </w:r>
          </w:hyperlink>
        </w:p>
        <w:p>
          <w:pPr>
            <w:pStyle w:val="Contents3"/>
            <w:tabs>
              <w:tab w:val="clear" w:pos="8459"/>
              <w:tab w:val="right" w:pos="9026" w:leader="dot"/>
            </w:tabs>
            <w:rPr/>
          </w:pPr>
          <w:hyperlink w:anchor="__RefHeading___Toc7766444_2870459653">
            <w:r>
              <w:rPr>
                <w:webHidden/>
                <w:rStyle w:val="IndexLink"/>
                <w:rtl w:val="true"/>
              </w:rPr>
              <w:t>داده های پیوندی</w:t>
            </w:r>
            <w:r>
              <w:rPr>
                <w:rStyle w:val="IndexLink"/>
                <w:rtl w:val="true"/>
              </w:rPr>
              <w:tab/>
            </w:r>
            <w:r>
              <w:rPr>
                <w:rStyle w:val="IndexLink"/>
              </w:rPr>
              <w:t>128</w:t>
            </w:r>
          </w:hyperlink>
        </w:p>
        <w:p>
          <w:pPr>
            <w:pStyle w:val="Contents3"/>
            <w:tabs>
              <w:tab w:val="clear" w:pos="8459"/>
              <w:tab w:val="right" w:pos="9026" w:leader="dot"/>
            </w:tabs>
            <w:rPr/>
          </w:pPr>
          <w:hyperlink w:anchor="__RefHeading___Toc7766446_2870459653">
            <w:r>
              <w:rPr>
                <w:webHidden/>
                <w:rStyle w:val="IndexLink"/>
                <w:rtl w:val="true"/>
              </w:rPr>
              <w:t>صفحه آرایی</w:t>
            </w:r>
            <w:r>
              <w:rPr>
                <w:rStyle w:val="IndexLink"/>
                <w:rtl w:val="true"/>
              </w:rPr>
              <w:tab/>
            </w:r>
            <w:r>
              <w:rPr>
                <w:rStyle w:val="IndexLink"/>
              </w:rPr>
              <w:t>128</w:t>
            </w:r>
          </w:hyperlink>
        </w:p>
        <w:p>
          <w:pPr>
            <w:pStyle w:val="Contents3"/>
            <w:tabs>
              <w:tab w:val="clear" w:pos="8459"/>
              <w:tab w:val="right" w:pos="9026" w:leader="dot"/>
            </w:tabs>
            <w:rPr/>
          </w:pPr>
          <w:hyperlink w:anchor="__RefHeading___Toc7766448_2870459653">
            <w:r>
              <w:rPr>
                <w:webHidden/>
                <w:rStyle w:val="IndexLink"/>
                <w:rtl w:val="true"/>
              </w:rPr>
              <w:t>انتقال</w:t>
            </w:r>
            <w:r>
              <w:rPr>
                <w:rStyle w:val="IndexLink"/>
                <w:rtl w:val="true"/>
              </w:rPr>
              <w:tab/>
            </w:r>
            <w:r>
              <w:rPr>
                <w:rStyle w:val="IndexLink"/>
              </w:rPr>
              <w:t>129</w:t>
            </w:r>
          </w:hyperlink>
        </w:p>
        <w:p>
          <w:pPr>
            <w:pStyle w:val="Contents3"/>
            <w:tabs>
              <w:tab w:val="clear" w:pos="8459"/>
              <w:tab w:val="right" w:pos="9026" w:leader="dot"/>
            </w:tabs>
            <w:rPr/>
          </w:pPr>
          <w:hyperlink w:anchor="__RefHeading___Toc7766450_2870459653">
            <w:r>
              <w:rPr>
                <w:webHidden/>
                <w:rStyle w:val="IndexLink"/>
                <w:rtl w:val="true"/>
              </w:rPr>
              <w:t>ذخیره و حفاظت</w:t>
            </w:r>
            <w:r>
              <w:rPr>
                <w:rStyle w:val="IndexLink"/>
                <w:rtl w:val="true"/>
              </w:rPr>
              <w:tab/>
            </w:r>
            <w:r>
              <w:rPr>
                <w:rStyle w:val="IndexLink"/>
              </w:rPr>
              <w:t>130</w:t>
            </w:r>
          </w:hyperlink>
        </w:p>
        <w:p>
          <w:pPr>
            <w:pStyle w:val="Contents3"/>
            <w:tabs>
              <w:tab w:val="clear" w:pos="8459"/>
              <w:tab w:val="right" w:pos="9026" w:leader="dot"/>
            </w:tabs>
            <w:rPr/>
          </w:pPr>
          <w:hyperlink w:anchor="__RefHeading___Toc7766452_2870459653">
            <w:r>
              <w:rPr>
                <w:webHidden/>
                <w:rStyle w:val="IndexLink"/>
                <w:rtl w:val="true"/>
              </w:rPr>
              <w:t>دسترسی</w:t>
            </w:r>
            <w:r>
              <w:rPr>
                <w:rStyle w:val="IndexLink"/>
                <w:rtl w:val="true"/>
              </w:rPr>
              <w:tab/>
            </w:r>
            <w:r>
              <w:rPr>
                <w:rStyle w:val="IndexLink"/>
              </w:rPr>
              <w:t>130</w:t>
            </w:r>
          </w:hyperlink>
        </w:p>
        <w:p>
          <w:pPr>
            <w:pStyle w:val="Contents3"/>
            <w:tabs>
              <w:tab w:val="clear" w:pos="8459"/>
              <w:tab w:val="right" w:pos="9026" w:leader="dot"/>
            </w:tabs>
            <w:rPr/>
          </w:pPr>
          <w:hyperlink w:anchor="__RefHeading___Toc7766454_2870459653">
            <w:r>
              <w:rPr>
                <w:webHidden/>
                <w:rStyle w:val="IndexLink"/>
                <w:rtl w:val="true"/>
              </w:rPr>
              <w:t>نقش های جدید</w:t>
            </w:r>
            <w:r>
              <w:rPr>
                <w:rStyle w:val="IndexLink"/>
                <w:rtl w:val="true"/>
              </w:rPr>
              <w:tab/>
            </w:r>
            <w:r>
              <w:rPr>
                <w:rStyle w:val="IndexLink"/>
              </w:rPr>
              <w:t>131</w:t>
            </w:r>
          </w:hyperlink>
        </w:p>
        <w:p>
          <w:pPr>
            <w:pStyle w:val="Contents3"/>
            <w:tabs>
              <w:tab w:val="clear" w:pos="8459"/>
              <w:tab w:val="right" w:pos="9026" w:leader="dot"/>
            </w:tabs>
            <w:rPr/>
          </w:pPr>
          <w:hyperlink w:anchor="__RefHeading___Toc7766456_2870459653">
            <w:r>
              <w:rPr>
                <w:webHidden/>
                <w:rStyle w:val="IndexLink"/>
                <w:rtl w:val="true"/>
              </w:rPr>
              <w:t>حامیان دسترسی باز</w:t>
            </w:r>
            <w:r>
              <w:rPr>
                <w:rStyle w:val="IndexLink"/>
                <w:rtl w:val="true"/>
              </w:rPr>
              <w:tab/>
            </w:r>
            <w:r>
              <w:rPr>
                <w:rStyle w:val="IndexLink"/>
              </w:rPr>
              <w:t>131</w:t>
            </w:r>
          </w:hyperlink>
        </w:p>
        <w:p>
          <w:pPr>
            <w:pStyle w:val="Contents3"/>
            <w:tabs>
              <w:tab w:val="clear" w:pos="8459"/>
              <w:tab w:val="right" w:pos="9026" w:leader="dot"/>
            </w:tabs>
            <w:rPr/>
          </w:pPr>
          <w:hyperlink w:anchor="__RefHeading___Toc7766458_2870459653">
            <w:r>
              <w:rPr>
                <w:webHidden/>
                <w:rStyle w:val="IndexLink"/>
                <w:rtl w:val="true"/>
              </w:rPr>
              <w:t>ناشران مجله</w:t>
            </w:r>
            <w:r>
              <w:rPr>
                <w:rStyle w:val="IndexLink"/>
                <w:rtl w:val="true"/>
              </w:rPr>
              <w:tab/>
            </w:r>
            <w:r>
              <w:rPr>
                <w:rStyle w:val="IndexLink"/>
              </w:rPr>
              <w:t>132</w:t>
            </w:r>
          </w:hyperlink>
        </w:p>
        <w:p>
          <w:pPr>
            <w:pStyle w:val="Contents3"/>
            <w:tabs>
              <w:tab w:val="clear" w:pos="8459"/>
              <w:tab w:val="right" w:pos="9026" w:leader="dot"/>
            </w:tabs>
            <w:rPr/>
          </w:pPr>
          <w:hyperlink w:anchor="__RefHeading___Toc7766460_2870459653">
            <w:r>
              <w:rPr>
                <w:webHidden/>
                <w:rStyle w:val="IndexLink"/>
                <w:rtl w:val="true"/>
              </w:rPr>
              <w:t>میزبانی و نگهداری مخزن</w:t>
            </w:r>
            <w:r>
              <w:rPr>
                <w:rStyle w:val="IndexLink"/>
                <w:rtl w:val="true"/>
              </w:rPr>
              <w:tab/>
            </w:r>
            <w:r>
              <w:rPr>
                <w:rStyle w:val="IndexLink"/>
              </w:rPr>
              <w:t>133</w:t>
            </w:r>
          </w:hyperlink>
        </w:p>
        <w:p>
          <w:pPr>
            <w:pStyle w:val="Contents3"/>
            <w:tabs>
              <w:tab w:val="clear" w:pos="8459"/>
              <w:tab w:val="right" w:pos="9026" w:leader="dot"/>
            </w:tabs>
            <w:rPr/>
          </w:pPr>
          <w:hyperlink w:anchor="__RefHeading___Toc7766462_2870459653">
            <w:r>
              <w:rPr>
                <w:webHidden/>
                <w:rStyle w:val="IndexLink"/>
                <w:rtl w:val="true"/>
              </w:rPr>
              <w:t xml:space="preserve">حق مؤلّف، چندرسانه ای، وب </w:t>
            </w:r>
            <w:r>
              <w:rPr>
                <w:rStyle w:val="IndexLink"/>
              </w:rPr>
              <w:t>2</w:t>
            </w:r>
            <w:r>
              <w:rPr>
                <w:rStyle w:val="IndexLink"/>
                <w:rtl w:val="true"/>
              </w:rPr>
              <w:t>، متخصصان فراداده و فناوری</w:t>
            </w:r>
            <w:r>
              <w:rPr>
                <w:rStyle w:val="IndexLink"/>
                <w:rtl w:val="true"/>
              </w:rPr>
              <w:tab/>
            </w:r>
            <w:r>
              <w:rPr>
                <w:rStyle w:val="IndexLink"/>
              </w:rPr>
              <w:t>133</w:t>
            </w:r>
          </w:hyperlink>
        </w:p>
        <w:p>
          <w:pPr>
            <w:pStyle w:val="Contents3"/>
            <w:tabs>
              <w:tab w:val="clear" w:pos="8459"/>
              <w:tab w:val="right" w:pos="9026" w:leader="dot"/>
            </w:tabs>
            <w:rPr/>
          </w:pPr>
          <w:hyperlink w:anchor="__RefHeading___Toc7766464_2870459653">
            <w:r>
              <w:rPr>
                <w:webHidden/>
                <w:rStyle w:val="IndexLink"/>
                <w:rtl w:val="true"/>
              </w:rPr>
              <w:t>موضوعات جدید</w:t>
            </w:r>
            <w:r>
              <w:rPr>
                <w:rStyle w:val="IndexLink"/>
                <w:rtl w:val="true"/>
              </w:rPr>
              <w:tab/>
            </w:r>
            <w:r>
              <w:rPr>
                <w:rStyle w:val="IndexLink"/>
              </w:rPr>
              <w:t>134</w:t>
            </w:r>
          </w:hyperlink>
        </w:p>
        <w:p>
          <w:pPr>
            <w:pStyle w:val="Contents3"/>
            <w:tabs>
              <w:tab w:val="clear" w:pos="8459"/>
              <w:tab w:val="right" w:pos="9026" w:leader="dot"/>
            </w:tabs>
            <w:rPr/>
          </w:pPr>
          <w:hyperlink w:anchor="__RefHeading___Toc7766466_2870459653">
            <w:r>
              <w:rPr>
                <w:webHidden/>
                <w:rStyle w:val="IndexLink"/>
                <w:rtl w:val="true"/>
              </w:rPr>
              <w:t>نتیجه گیری</w:t>
            </w:r>
            <w:r>
              <w:rPr>
                <w:rStyle w:val="IndexLink"/>
                <w:rtl w:val="true"/>
              </w:rPr>
              <w:tab/>
            </w:r>
            <w:r>
              <w:rPr>
                <w:rStyle w:val="IndexLink"/>
              </w:rPr>
              <w:t>135</w:t>
            </w:r>
          </w:hyperlink>
        </w:p>
        <w:p>
          <w:pPr>
            <w:pStyle w:val="Contents3"/>
            <w:tabs>
              <w:tab w:val="clear" w:pos="8459"/>
              <w:tab w:val="right" w:pos="9026" w:leader="dot"/>
            </w:tabs>
            <w:rPr/>
          </w:pPr>
          <w:hyperlink w:anchor="__RefHeading___Toc7766468_2870459653">
            <w:r>
              <w:rPr>
                <w:webHidden/>
                <w:rStyle w:val="IndexLink"/>
                <w:rtl w:val="true"/>
              </w:rPr>
              <w:t>منابع</w:t>
            </w:r>
            <w:r>
              <w:rPr>
                <w:rStyle w:val="IndexLink"/>
                <w:rtl w:val="true"/>
              </w:rPr>
              <w:tab/>
            </w:r>
            <w:r>
              <w:rPr>
                <w:rStyle w:val="IndexLink"/>
              </w:rPr>
              <w:t>136</w:t>
            </w:r>
          </w:hyperlink>
        </w:p>
        <w:p>
          <w:pPr>
            <w:pStyle w:val="Contents2"/>
            <w:tabs>
              <w:tab w:val="clear" w:pos="8743"/>
              <w:tab w:val="right" w:pos="9026" w:leader="dot"/>
            </w:tabs>
            <w:rPr/>
          </w:pPr>
          <w:hyperlink w:anchor="__RefHeading___Toc7766470_2870459653">
            <w:r>
              <w:rPr>
                <w:webHidden/>
                <w:rStyle w:val="IndexLink"/>
                <w:rtl w:val="true"/>
              </w:rPr>
              <w:t>چکیده</w:t>
            </w:r>
            <w:r>
              <w:rPr>
                <w:rStyle w:val="IndexLink"/>
                <w:rtl w:val="true"/>
              </w:rPr>
              <w:tab/>
            </w:r>
            <w:r>
              <w:rPr>
                <w:rStyle w:val="IndexLink"/>
              </w:rPr>
              <w:t>141</w:t>
            </w:r>
          </w:hyperlink>
        </w:p>
        <w:p>
          <w:pPr>
            <w:pStyle w:val="Contents2"/>
            <w:tabs>
              <w:tab w:val="clear" w:pos="8743"/>
              <w:tab w:val="right" w:pos="9026" w:leader="dot"/>
            </w:tabs>
            <w:rPr/>
          </w:pPr>
          <w:hyperlink w:anchor="__RefHeading___Toc7766472_2870459653">
            <w:r>
              <w:rPr>
                <w:webHidden/>
                <w:rStyle w:val="IndexLink"/>
                <w:rtl w:val="true"/>
              </w:rPr>
              <w:t>دیدن همهٔ فیل</w:t>
            </w:r>
            <w:r>
              <w:rPr>
                <w:rStyle w:val="IndexLink"/>
                <w:rtl w:val="true"/>
              </w:rPr>
              <w:t xml:space="preserve">: </w:t>
            </w:r>
            <w:r>
              <w:rPr>
                <w:rStyle w:val="IndexLink"/>
                <w:rtl w:val="true"/>
              </w:rPr>
              <w:t>رویکرد جامع به مدیریت حفاظت منابع کتابخانه ای</w:t>
            </w:r>
            <w:r>
              <w:rPr>
                <w:rStyle w:val="IndexLink"/>
                <w:rtl w:val="true"/>
              </w:rPr>
              <w:tab/>
            </w:r>
            <w:r>
              <w:rPr>
                <w:rStyle w:val="IndexLink"/>
              </w:rPr>
              <w:t>142</w:t>
            </w:r>
          </w:hyperlink>
        </w:p>
        <w:p>
          <w:pPr>
            <w:pStyle w:val="Contents3"/>
            <w:tabs>
              <w:tab w:val="clear" w:pos="8459"/>
              <w:tab w:val="right" w:pos="9026" w:leader="dot"/>
            </w:tabs>
            <w:rPr/>
          </w:pPr>
          <w:hyperlink w:anchor="__RefHeading___Toc7766474_2870459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7766476_2870459653">
            <w:r>
              <w:rPr>
                <w:webHidden/>
                <w:rStyle w:val="IndexLink"/>
                <w:rtl w:val="true"/>
              </w:rPr>
              <w:t>راه های جدید اندیشیدن به حفاظت</w:t>
            </w:r>
            <w:r>
              <w:rPr>
                <w:rStyle w:val="IndexLink"/>
                <w:rtl w:val="true"/>
              </w:rPr>
              <w:tab/>
            </w:r>
            <w:r>
              <w:rPr>
                <w:rStyle w:val="IndexLink"/>
              </w:rPr>
              <w:t>142</w:t>
            </w:r>
          </w:hyperlink>
        </w:p>
        <w:p>
          <w:pPr>
            <w:pStyle w:val="Contents3"/>
            <w:tabs>
              <w:tab w:val="clear" w:pos="8459"/>
              <w:tab w:val="right" w:pos="9026" w:leader="dot"/>
            </w:tabs>
            <w:rPr/>
          </w:pPr>
          <w:hyperlink w:anchor="__RefHeading___Toc7766478_2870459653">
            <w:r>
              <w:rPr>
                <w:webHidden/>
                <w:rStyle w:val="IndexLink"/>
                <w:rtl w:val="true"/>
              </w:rPr>
              <w:t>نگریستن به تمامی فیل</w:t>
            </w:r>
            <w:r>
              <w:rPr>
                <w:rStyle w:val="IndexLink"/>
                <w:rtl w:val="true"/>
              </w:rPr>
              <w:tab/>
            </w:r>
            <w:r>
              <w:rPr>
                <w:rStyle w:val="IndexLink"/>
              </w:rPr>
              <w:t>144</w:t>
            </w:r>
          </w:hyperlink>
        </w:p>
        <w:p>
          <w:pPr>
            <w:pStyle w:val="Contents4"/>
            <w:tabs>
              <w:tab w:val="clear" w:pos="8176"/>
              <w:tab w:val="right" w:pos="9026" w:leader="dot"/>
            </w:tabs>
            <w:rPr/>
          </w:pPr>
          <w:hyperlink w:anchor="__RefHeading___Toc7766480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766482_2870459653">
            <w:r>
              <w:rPr>
                <w:webHidden/>
                <w:rStyle w:val="IndexLink"/>
                <w:rtl w:val="true"/>
              </w:rPr>
              <w:t>گام نخست</w:t>
            </w:r>
            <w:r>
              <w:rPr>
                <w:rStyle w:val="IndexLink"/>
                <w:rtl w:val="true"/>
              </w:rPr>
              <w:t xml:space="preserve">: </w:t>
            </w:r>
            <w:r>
              <w:rPr>
                <w:rStyle w:val="IndexLink"/>
                <w:rtl w:val="true"/>
              </w:rPr>
              <w:t>شکل گرفتن دیدگاهی جامع</w:t>
            </w:r>
            <w:r>
              <w:rPr>
                <w:rStyle w:val="IndexLink"/>
                <w:rtl w:val="true"/>
              </w:rPr>
              <w:tab/>
            </w:r>
            <w:r>
              <w:rPr>
                <w:rStyle w:val="IndexLink"/>
              </w:rPr>
              <w:t>145</w:t>
            </w:r>
          </w:hyperlink>
        </w:p>
        <w:p>
          <w:pPr>
            <w:pStyle w:val="Contents5"/>
            <w:tabs>
              <w:tab w:val="clear" w:pos="7892"/>
              <w:tab w:val="right" w:pos="9026" w:leader="dot"/>
            </w:tabs>
            <w:rPr/>
          </w:pPr>
          <w:hyperlink w:anchor="__RefHeading___Toc7766484_287045965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7766486_2870459653">
            <w:r>
              <w:rPr>
                <w:webHidden/>
                <w:rStyle w:val="IndexLink"/>
                <w:rtl w:val="true"/>
              </w:rPr>
              <w:t>اصول رایج</w:t>
            </w:r>
            <w:r>
              <w:rPr>
                <w:rStyle w:val="IndexLink"/>
                <w:rtl w:val="true"/>
              </w:rPr>
              <w:tab/>
            </w:r>
            <w:r>
              <w:rPr>
                <w:rStyle w:val="IndexLink"/>
              </w:rPr>
              <w:t>145</w:t>
            </w:r>
          </w:hyperlink>
        </w:p>
        <w:p>
          <w:pPr>
            <w:pStyle w:val="Contents4"/>
            <w:tabs>
              <w:tab w:val="clear" w:pos="8176"/>
              <w:tab w:val="right" w:pos="9026" w:leader="dot"/>
            </w:tabs>
            <w:rPr/>
          </w:pPr>
          <w:hyperlink w:anchor="__RefHeading___Toc7766488_2870459653">
            <w:r>
              <w:rPr>
                <w:webHidden/>
                <w:rStyle w:val="IndexLink"/>
                <w:rtl w:val="true"/>
              </w:rPr>
              <w:t>گام دوم</w:t>
            </w:r>
            <w:r>
              <w:rPr>
                <w:rStyle w:val="IndexLink"/>
                <w:rtl w:val="true"/>
              </w:rPr>
              <w:t xml:space="preserve">: </w:t>
            </w:r>
            <w:r>
              <w:rPr>
                <w:rStyle w:val="IndexLink"/>
                <w:rtl w:val="true"/>
              </w:rPr>
              <w:t>بکارگیری اصول رایج به عنوان راهبردی</w:t>
            </w:r>
            <w:r>
              <w:rPr>
                <w:rStyle w:val="IndexLink"/>
                <w:rtl w:val="true"/>
              </w:rPr>
              <w:tab/>
            </w:r>
            <w:r>
              <w:rPr>
                <w:rStyle w:val="IndexLink"/>
              </w:rPr>
              <w:t>148</w:t>
            </w:r>
          </w:hyperlink>
        </w:p>
        <w:p>
          <w:pPr>
            <w:pStyle w:val="Contents5"/>
            <w:tabs>
              <w:tab w:val="clear" w:pos="7892"/>
              <w:tab w:val="right" w:pos="9026" w:leader="dot"/>
            </w:tabs>
            <w:rPr/>
          </w:pPr>
          <w:hyperlink w:anchor="__RefHeading___Toc7766490_287045965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7766492_2870459653">
            <w:r>
              <w:rPr>
                <w:webHidden/>
                <w:rStyle w:val="IndexLink"/>
                <w:rtl w:val="true"/>
              </w:rPr>
              <w:t>راهبردهای پیشگیری</w:t>
            </w:r>
            <w:r>
              <w:rPr>
                <w:rStyle w:val="IndexLink"/>
                <w:rtl w:val="true"/>
              </w:rPr>
              <w:tab/>
            </w:r>
            <w:r>
              <w:rPr>
                <w:rStyle w:val="IndexLink"/>
              </w:rPr>
              <w:t>148</w:t>
            </w:r>
          </w:hyperlink>
        </w:p>
        <w:p>
          <w:pPr>
            <w:pStyle w:val="Contents6"/>
            <w:tabs>
              <w:tab w:val="clear" w:pos="7609"/>
              <w:tab w:val="right" w:pos="9026" w:leader="dot"/>
            </w:tabs>
            <w:rPr/>
          </w:pPr>
          <w:hyperlink w:anchor="__RefHeading___Toc7766494_2870459653">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7766496_2870459653">
            <w:r>
              <w:rPr>
                <w:webHidden/>
                <w:rStyle w:val="IndexLink"/>
                <w:rtl w:val="true"/>
              </w:rPr>
              <w:t>آماده سازی برای بلایای طبیعی و واکنش به آن</w:t>
            </w:r>
            <w:r>
              <w:rPr>
                <w:rStyle w:val="IndexLink"/>
                <w:rtl w:val="true"/>
              </w:rPr>
              <w:tab/>
            </w:r>
            <w:r>
              <w:rPr>
                <w:rStyle w:val="IndexLink"/>
              </w:rPr>
              <w:t>148</w:t>
            </w:r>
          </w:hyperlink>
        </w:p>
        <w:p>
          <w:pPr>
            <w:pStyle w:val="Contents6"/>
            <w:tabs>
              <w:tab w:val="clear" w:pos="7609"/>
              <w:tab w:val="right" w:pos="9026" w:leader="dot"/>
            </w:tabs>
            <w:rPr/>
          </w:pPr>
          <w:hyperlink w:anchor="__RefHeading___Toc7766498_2870459653">
            <w:r>
              <w:rPr>
                <w:webHidden/>
                <w:rStyle w:val="IndexLink"/>
                <w:rtl w:val="true"/>
              </w:rPr>
              <w:t>کنترل و پایش محیطی</w:t>
            </w:r>
            <w:r>
              <w:rPr>
                <w:rStyle w:val="IndexLink"/>
                <w:rtl w:val="true"/>
              </w:rPr>
              <w:tab/>
            </w:r>
            <w:r>
              <w:rPr>
                <w:rStyle w:val="IndexLink"/>
              </w:rPr>
              <w:t>149</w:t>
            </w:r>
          </w:hyperlink>
        </w:p>
        <w:p>
          <w:pPr>
            <w:pStyle w:val="Contents6"/>
            <w:tabs>
              <w:tab w:val="clear" w:pos="7609"/>
              <w:tab w:val="right" w:pos="9026" w:leader="dot"/>
            </w:tabs>
            <w:rPr/>
          </w:pPr>
          <w:hyperlink w:anchor="__RefHeading___Toc7766500_2870459653">
            <w:r>
              <w:rPr>
                <w:webHidden/>
                <w:rStyle w:val="IndexLink"/>
                <w:rtl w:val="true"/>
              </w:rPr>
              <w:t>ارزیابی الزامات حفاظت</w:t>
            </w:r>
            <w:r>
              <w:rPr>
                <w:rStyle w:val="IndexLink"/>
                <w:rtl w:val="true"/>
              </w:rPr>
              <w:tab/>
            </w:r>
            <w:r>
              <w:rPr>
                <w:rStyle w:val="IndexLink"/>
              </w:rPr>
              <w:t>150</w:t>
            </w:r>
          </w:hyperlink>
        </w:p>
        <w:p>
          <w:pPr>
            <w:pStyle w:val="Contents6"/>
            <w:tabs>
              <w:tab w:val="clear" w:pos="7609"/>
              <w:tab w:val="right" w:pos="9026" w:leader="dot"/>
            </w:tabs>
            <w:rPr/>
          </w:pPr>
          <w:hyperlink w:anchor="__RefHeading___Toc7766502_2870459653">
            <w:r>
              <w:rPr>
                <w:webHidden/>
                <w:rStyle w:val="IndexLink"/>
                <w:rtl w:val="true"/>
              </w:rPr>
              <w:t>حفاظت در برابر تهدیدها و آسیب ها</w:t>
            </w:r>
            <w:r>
              <w:rPr>
                <w:rStyle w:val="IndexLink"/>
                <w:rtl w:val="true"/>
              </w:rPr>
              <w:tab/>
            </w:r>
            <w:r>
              <w:rPr>
                <w:rStyle w:val="IndexLink"/>
              </w:rPr>
              <w:t>151</w:t>
            </w:r>
          </w:hyperlink>
        </w:p>
        <w:p>
          <w:pPr>
            <w:pStyle w:val="Contents5"/>
            <w:tabs>
              <w:tab w:val="clear" w:pos="7892"/>
              <w:tab w:val="right" w:pos="9026" w:leader="dot"/>
            </w:tabs>
            <w:rPr/>
          </w:pPr>
          <w:hyperlink w:anchor="__RefHeading___Toc7766504_2870459653">
            <w:r>
              <w:rPr>
                <w:webHidden/>
                <w:rStyle w:val="IndexLink"/>
                <w:rtl w:val="true"/>
              </w:rPr>
              <w:t>نسخه برداری</w:t>
            </w:r>
            <w:r>
              <w:rPr>
                <w:rStyle w:val="IndexLink"/>
                <w:rtl w:val="true"/>
              </w:rPr>
              <w:tab/>
            </w:r>
            <w:r>
              <w:rPr>
                <w:rStyle w:val="IndexLink"/>
              </w:rPr>
              <w:t>151</w:t>
            </w:r>
          </w:hyperlink>
        </w:p>
        <w:p>
          <w:pPr>
            <w:pStyle w:val="Contents5"/>
            <w:tabs>
              <w:tab w:val="clear" w:pos="7892"/>
              <w:tab w:val="right" w:pos="9026" w:leader="dot"/>
            </w:tabs>
            <w:rPr/>
          </w:pPr>
          <w:hyperlink w:anchor="__RefHeading___Toc7766506_2870459653">
            <w:r>
              <w:rPr>
                <w:webHidden/>
                <w:rStyle w:val="IndexLink"/>
                <w:rtl w:val="true"/>
              </w:rPr>
              <w:t>تضمین کیفیت</w:t>
            </w:r>
            <w:r>
              <w:rPr>
                <w:rStyle w:val="IndexLink"/>
                <w:rtl w:val="true"/>
              </w:rPr>
              <w:tab/>
            </w:r>
            <w:r>
              <w:rPr>
                <w:rStyle w:val="IndexLink"/>
              </w:rPr>
              <w:t>152</w:t>
            </w:r>
          </w:hyperlink>
        </w:p>
        <w:p>
          <w:pPr>
            <w:pStyle w:val="Contents5"/>
            <w:tabs>
              <w:tab w:val="clear" w:pos="7892"/>
              <w:tab w:val="right" w:pos="9026" w:leader="dot"/>
            </w:tabs>
            <w:rPr/>
          </w:pPr>
          <w:hyperlink w:anchor="__RefHeading___Toc7766508_2870459653">
            <w:r>
              <w:rPr>
                <w:webHidden/>
                <w:rStyle w:val="IndexLink"/>
                <w:rtl w:val="true"/>
              </w:rPr>
              <w:t>مدیریت ارتباط بین نسخه های بدل و اصلی</w:t>
            </w:r>
            <w:r>
              <w:rPr>
                <w:rStyle w:val="IndexLink"/>
                <w:rtl w:val="true"/>
              </w:rPr>
              <w:tab/>
            </w:r>
            <w:r>
              <w:rPr>
                <w:rStyle w:val="IndexLink"/>
              </w:rPr>
              <w:t>153</w:t>
            </w:r>
          </w:hyperlink>
        </w:p>
        <w:p>
          <w:pPr>
            <w:pStyle w:val="Contents5"/>
            <w:tabs>
              <w:tab w:val="clear" w:pos="7892"/>
              <w:tab w:val="right" w:pos="9026" w:leader="dot"/>
            </w:tabs>
            <w:rPr/>
          </w:pPr>
          <w:hyperlink w:anchor="__RefHeading___Toc7766510_2870459653">
            <w:r>
              <w:rPr>
                <w:webHidden/>
                <w:rStyle w:val="IndexLink"/>
                <w:rtl w:val="true"/>
              </w:rPr>
              <w:t>چارچوب به هم پیوسته</w:t>
            </w:r>
            <w:r>
              <w:rPr>
                <w:rStyle w:val="IndexLink"/>
                <w:rtl w:val="true"/>
              </w:rPr>
              <w:tab/>
            </w:r>
            <w:r>
              <w:rPr>
                <w:rStyle w:val="IndexLink"/>
              </w:rPr>
              <w:t>153</w:t>
            </w:r>
          </w:hyperlink>
        </w:p>
        <w:p>
          <w:pPr>
            <w:pStyle w:val="Contents3"/>
            <w:tabs>
              <w:tab w:val="clear" w:pos="8459"/>
              <w:tab w:val="right" w:pos="9026" w:leader="dot"/>
            </w:tabs>
            <w:rPr/>
          </w:pPr>
          <w:hyperlink w:anchor="__RefHeading___Toc7766512_2870459653">
            <w:r>
              <w:rPr>
                <w:webHidden/>
                <w:rStyle w:val="IndexLink"/>
                <w:rtl w:val="true"/>
              </w:rPr>
              <w:t>منابع</w:t>
            </w:r>
            <w:r>
              <w:rPr>
                <w:rStyle w:val="IndexLink"/>
                <w:rtl w:val="true"/>
              </w:rPr>
              <w:tab/>
            </w:r>
            <w:r>
              <w:rPr>
                <w:rStyle w:val="IndexLink"/>
              </w:rPr>
              <w:t>154</w:t>
            </w:r>
          </w:hyperlink>
        </w:p>
        <w:p>
          <w:pPr>
            <w:pStyle w:val="Contents2"/>
            <w:tabs>
              <w:tab w:val="clear" w:pos="8743"/>
              <w:tab w:val="right" w:pos="9026" w:leader="dot"/>
            </w:tabs>
            <w:rPr/>
          </w:pPr>
          <w:hyperlink w:anchor="__RefHeading___Toc7766514_2870459653">
            <w:r>
              <w:rPr>
                <w:webHidden/>
                <w:rStyle w:val="IndexLink"/>
                <w:rtl w:val="true"/>
              </w:rPr>
              <w:t>چکیده</w:t>
            </w:r>
            <w:r>
              <w:rPr>
                <w:rStyle w:val="IndexLink"/>
                <w:rtl w:val="true"/>
              </w:rPr>
              <w:tab/>
            </w:r>
            <w:r>
              <w:rPr>
                <w:rStyle w:val="IndexLink"/>
              </w:rPr>
              <w:t>159</w:t>
            </w:r>
          </w:hyperlink>
        </w:p>
        <w:p>
          <w:pPr>
            <w:pStyle w:val="Contents2"/>
            <w:tabs>
              <w:tab w:val="clear" w:pos="8743"/>
              <w:tab w:val="right" w:pos="9026" w:leader="dot"/>
            </w:tabs>
            <w:rPr/>
          </w:pPr>
          <w:hyperlink w:anchor="__RefHeading___Toc7766516_2870459653">
            <w:r>
              <w:rPr>
                <w:webHidden/>
                <w:rStyle w:val="IndexLink"/>
                <w:rtl w:val="true"/>
              </w:rPr>
              <w:t>عوامل تغییر</w:t>
            </w:r>
            <w:r>
              <w:rPr>
                <w:rStyle w:val="IndexLink"/>
                <w:rtl w:val="true"/>
              </w:rPr>
              <w:t xml:space="preserve">: </w:t>
            </w:r>
            <w:r>
              <w:rPr>
                <w:rStyle w:val="IndexLink"/>
                <w:rtl w:val="true"/>
              </w:rPr>
              <w:t>کتابداری بین المللی، توسعه، و نظریه جهانی شدن</w:t>
            </w:r>
            <w:r>
              <w:rPr>
                <w:rStyle w:val="IndexLink"/>
                <w:rtl w:val="true"/>
              </w:rPr>
              <w:tab/>
            </w:r>
            <w:r>
              <w:rPr>
                <w:rStyle w:val="IndexLink"/>
              </w:rPr>
              <w:t>160</w:t>
            </w:r>
          </w:hyperlink>
        </w:p>
        <w:p>
          <w:pPr>
            <w:pStyle w:val="Contents3"/>
            <w:tabs>
              <w:tab w:val="clear" w:pos="8459"/>
              <w:tab w:val="right" w:pos="9026" w:leader="dot"/>
            </w:tabs>
            <w:rPr/>
          </w:pPr>
          <w:hyperlink w:anchor="__RefHeading___Toc7766518_287045965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7766520_2870459653">
            <w:r>
              <w:rPr>
                <w:webHidden/>
                <w:rStyle w:val="IndexLink"/>
                <w:rtl w:val="true"/>
              </w:rPr>
              <w:t>مقدمه</w:t>
            </w:r>
            <w:r>
              <w:rPr>
                <w:rStyle w:val="IndexLink"/>
                <w:rtl w:val="true"/>
              </w:rPr>
              <w:tab/>
            </w:r>
            <w:r>
              <w:rPr>
                <w:rStyle w:val="IndexLink"/>
              </w:rPr>
              <w:t>160</w:t>
            </w:r>
          </w:hyperlink>
        </w:p>
        <w:p>
          <w:pPr>
            <w:pStyle w:val="Contents3"/>
            <w:tabs>
              <w:tab w:val="clear" w:pos="8459"/>
              <w:tab w:val="right" w:pos="9026" w:leader="dot"/>
            </w:tabs>
            <w:rPr/>
          </w:pPr>
          <w:hyperlink w:anchor="__RefHeading___Toc7766522_2870459653">
            <w:r>
              <w:rPr>
                <w:webHidden/>
                <w:rStyle w:val="IndexLink"/>
                <w:rtl w:val="true"/>
              </w:rPr>
              <w:t>نظریه جهانی شدن و کتابداری بین المللی</w:t>
            </w:r>
            <w:r>
              <w:rPr>
                <w:rStyle w:val="IndexLink"/>
                <w:rtl w:val="true"/>
              </w:rPr>
              <w:tab/>
            </w:r>
            <w:r>
              <w:rPr>
                <w:rStyle w:val="IndexLink"/>
              </w:rPr>
              <w:t>162</w:t>
            </w:r>
          </w:hyperlink>
        </w:p>
        <w:p>
          <w:pPr>
            <w:pStyle w:val="Contents3"/>
            <w:tabs>
              <w:tab w:val="clear" w:pos="8459"/>
              <w:tab w:val="right" w:pos="9026" w:leader="dot"/>
            </w:tabs>
            <w:rPr/>
          </w:pPr>
          <w:hyperlink w:anchor="__RefHeading___Toc7766524_2870459653">
            <w:r>
              <w:rPr>
                <w:webHidden/>
                <w:rStyle w:val="IndexLink"/>
                <w:rtl w:val="true"/>
              </w:rPr>
              <w:t>تاریخ جهانی، جهانی نگری فرهنگی، و ظهور سازمان های غیر انتفاعی بین المللی</w:t>
            </w:r>
            <w:r>
              <w:rPr>
                <w:rStyle w:val="IndexLink"/>
                <w:rtl w:val="true"/>
              </w:rPr>
              <w:tab/>
            </w:r>
            <w:r>
              <w:rPr>
                <w:rStyle w:val="IndexLink"/>
              </w:rPr>
              <w:t>164</w:t>
            </w:r>
          </w:hyperlink>
        </w:p>
        <w:p>
          <w:pPr>
            <w:pStyle w:val="Contents3"/>
            <w:tabs>
              <w:tab w:val="clear" w:pos="8459"/>
              <w:tab w:val="right" w:pos="9026" w:leader="dot"/>
            </w:tabs>
            <w:rPr/>
          </w:pPr>
          <w:hyperlink w:anchor="__RefHeading___Toc7766526_2870459653">
            <w:r>
              <w:rPr>
                <w:webHidden/>
                <w:rStyle w:val="IndexLink"/>
                <w:rtl w:val="true"/>
              </w:rPr>
              <w:t>آپادورای و اقتصاد فرهنگی</w:t>
            </w:r>
            <w:r>
              <w:rPr>
                <w:rStyle w:val="IndexLink"/>
                <w:rtl w:val="true"/>
              </w:rPr>
              <w:tab/>
            </w:r>
            <w:r>
              <w:rPr>
                <w:rStyle w:val="IndexLink"/>
              </w:rPr>
              <w:t>166</w:t>
            </w:r>
          </w:hyperlink>
        </w:p>
        <w:p>
          <w:pPr>
            <w:pStyle w:val="Contents3"/>
            <w:tabs>
              <w:tab w:val="clear" w:pos="8459"/>
              <w:tab w:val="right" w:pos="9026" w:leader="dot"/>
            </w:tabs>
            <w:rPr/>
          </w:pPr>
          <w:hyperlink w:anchor="__RefHeading___Toc7766528_2870459653">
            <w:r>
              <w:rPr>
                <w:webHidden/>
                <w:rStyle w:val="IndexLink"/>
                <w:rtl w:val="true"/>
              </w:rPr>
              <w:t>دوره بین دو جنگ جهانی و ظهور حرفه جهانی</w:t>
            </w:r>
            <w:r>
              <w:rPr>
                <w:rStyle w:val="IndexLink"/>
                <w:rtl w:val="true"/>
              </w:rPr>
              <w:tab/>
            </w:r>
            <w:r>
              <w:rPr>
                <w:rStyle w:val="IndexLink"/>
              </w:rPr>
              <w:t>167</w:t>
            </w:r>
          </w:hyperlink>
        </w:p>
        <w:p>
          <w:pPr>
            <w:pStyle w:val="Contents3"/>
            <w:tabs>
              <w:tab w:val="clear" w:pos="8459"/>
              <w:tab w:val="right" w:pos="9026" w:leader="dot"/>
            </w:tabs>
            <w:rPr/>
          </w:pPr>
          <w:hyperlink w:anchor="__RefHeading___Toc7766530_2870459653">
            <w:r>
              <w:rPr>
                <w:webHidden/>
                <w:rStyle w:val="IndexLink"/>
                <w:rtl w:val="true"/>
              </w:rPr>
              <w:t>مدرسه کتابداری پاریس</w:t>
            </w:r>
            <w:r>
              <w:rPr>
                <w:rStyle w:val="IndexLink"/>
                <w:rtl w:val="true"/>
              </w:rPr>
              <w:tab/>
            </w:r>
            <w:r>
              <w:rPr>
                <w:rStyle w:val="IndexLink"/>
              </w:rPr>
              <w:t>167</w:t>
            </w:r>
          </w:hyperlink>
        </w:p>
        <w:p>
          <w:pPr>
            <w:pStyle w:val="Contents3"/>
            <w:tabs>
              <w:tab w:val="clear" w:pos="8459"/>
              <w:tab w:val="right" w:pos="9026" w:leader="dot"/>
            </w:tabs>
            <w:rPr/>
          </w:pPr>
          <w:hyperlink w:anchor="__RefHeading___Toc7766532_2870459653">
            <w:r>
              <w:rPr>
                <w:webHidden/>
                <w:rStyle w:val="IndexLink"/>
                <w:rtl w:val="true"/>
              </w:rPr>
              <w:t>نتیجه گیری</w:t>
            </w:r>
            <w:r>
              <w:rPr>
                <w:rStyle w:val="IndexLink"/>
                <w:rtl w:val="true"/>
              </w:rPr>
              <w:tab/>
            </w:r>
            <w:r>
              <w:rPr>
                <w:rStyle w:val="IndexLink"/>
              </w:rPr>
              <w:t>172</w:t>
            </w:r>
          </w:hyperlink>
        </w:p>
        <w:p>
          <w:pPr>
            <w:pStyle w:val="Contents3"/>
            <w:tabs>
              <w:tab w:val="clear" w:pos="8459"/>
              <w:tab w:val="right" w:pos="9026" w:leader="dot"/>
            </w:tabs>
            <w:rPr/>
          </w:pPr>
          <w:hyperlink w:anchor="__RefHeading___Toc7766534_2870459653">
            <w:r>
              <w:rPr>
                <w:webHidden/>
                <w:rStyle w:val="IndexLink"/>
                <w:rtl w:val="true"/>
              </w:rPr>
              <w:t>یادداشت ها</w:t>
            </w:r>
            <w:r>
              <w:rPr>
                <w:rStyle w:val="IndexLink"/>
                <w:rtl w:val="true"/>
              </w:rPr>
              <w:tab/>
            </w:r>
            <w:r>
              <w:rPr>
                <w:rStyle w:val="IndexLink"/>
              </w:rPr>
              <w:t>172</w:t>
            </w:r>
          </w:hyperlink>
        </w:p>
        <w:p>
          <w:pPr>
            <w:pStyle w:val="Contents2"/>
            <w:tabs>
              <w:tab w:val="clear" w:pos="8743"/>
              <w:tab w:val="right" w:pos="9026" w:leader="dot"/>
            </w:tabs>
            <w:rPr/>
          </w:pPr>
          <w:hyperlink w:anchor="__RefHeading___Toc7766536_2870459653">
            <w:r>
              <w:rPr>
                <w:webHidden/>
                <w:rStyle w:val="IndexLink"/>
                <w:rtl w:val="true"/>
              </w:rPr>
              <w:t>چکیده</w:t>
            </w:r>
            <w:r>
              <w:rPr>
                <w:rStyle w:val="IndexLink"/>
                <w:rtl w:val="true"/>
              </w:rPr>
              <w:tab/>
            </w:r>
            <w:r>
              <w:rPr>
                <w:rStyle w:val="IndexLink"/>
              </w:rPr>
              <w:t>177</w:t>
            </w:r>
          </w:hyperlink>
        </w:p>
        <w:p>
          <w:pPr>
            <w:pStyle w:val="Contents2"/>
            <w:tabs>
              <w:tab w:val="clear" w:pos="8743"/>
              <w:tab w:val="right" w:pos="9026" w:leader="dot"/>
            </w:tabs>
            <w:rPr/>
          </w:pPr>
          <w:hyperlink w:anchor="__RefHeading___Toc7766538_2870459653">
            <w:r>
              <w:rPr>
                <w:webHidden/>
                <w:rStyle w:val="IndexLink"/>
                <w:rtl w:val="true"/>
              </w:rPr>
              <w:t>ارزیابی قابلیت و دسترس پذیری کتاب خوان های الکترونیکی برای افرادی که توانایی مطالعه آثار مکتوب را ندارند</w:t>
            </w:r>
            <w:r>
              <w:rPr>
                <w:rStyle w:val="IndexLink"/>
                <w:rtl w:val="true"/>
              </w:rPr>
              <w:t xml:space="preserve">: </w:t>
            </w:r>
            <w:r>
              <w:rPr>
                <w:rStyle w:val="IndexLink"/>
                <w:rtl w:val="true"/>
              </w:rPr>
              <w:t>مرحله نخست</w:t>
            </w:r>
            <w:r>
              <w:rPr>
                <w:rStyle w:val="IndexLink"/>
                <w:rtl w:val="true"/>
              </w:rPr>
              <w:tab/>
            </w:r>
            <w:r>
              <w:rPr>
                <w:rStyle w:val="IndexLink"/>
              </w:rPr>
              <w:t>178</w:t>
            </w:r>
          </w:hyperlink>
        </w:p>
        <w:p>
          <w:pPr>
            <w:pStyle w:val="Contents3"/>
            <w:tabs>
              <w:tab w:val="clear" w:pos="8459"/>
              <w:tab w:val="right" w:pos="9026" w:leader="dot"/>
            </w:tabs>
            <w:rPr/>
          </w:pPr>
          <w:hyperlink w:anchor="__RefHeading___Toc7766540_2870459653">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7766542_2870459653">
            <w:r>
              <w:rPr>
                <w:webHidden/>
                <w:rStyle w:val="IndexLink"/>
                <w:rtl w:val="true"/>
              </w:rPr>
              <w:t>مقدمه</w:t>
            </w:r>
            <w:r>
              <w:rPr>
                <w:rStyle w:val="IndexLink"/>
                <w:rtl w:val="true"/>
              </w:rPr>
              <w:tab/>
            </w:r>
            <w:r>
              <w:rPr>
                <w:rStyle w:val="IndexLink"/>
              </w:rPr>
              <w:t>178</w:t>
            </w:r>
          </w:hyperlink>
        </w:p>
        <w:p>
          <w:pPr>
            <w:pStyle w:val="Contents3"/>
            <w:tabs>
              <w:tab w:val="clear" w:pos="8459"/>
              <w:tab w:val="right" w:pos="9026" w:leader="dot"/>
            </w:tabs>
            <w:rPr/>
          </w:pPr>
          <w:hyperlink w:anchor="__RefHeading___Toc7766544_2870459653">
            <w:r>
              <w:rPr>
                <w:webHidden/>
                <w:rStyle w:val="IndexLink"/>
                <w:rtl w:val="true"/>
              </w:rPr>
              <w:t>پیشینه تحقیق</w:t>
            </w:r>
            <w:r>
              <w:rPr>
                <w:rStyle w:val="IndexLink"/>
                <w:rtl w:val="true"/>
              </w:rPr>
              <w:t>:</w:t>
              <w:tab/>
            </w:r>
            <w:r>
              <w:rPr>
                <w:rStyle w:val="IndexLink"/>
              </w:rPr>
              <w:t>180</w:t>
            </w:r>
          </w:hyperlink>
        </w:p>
        <w:p>
          <w:pPr>
            <w:pStyle w:val="Contents3"/>
            <w:tabs>
              <w:tab w:val="clear" w:pos="8459"/>
              <w:tab w:val="right" w:pos="9026" w:leader="dot"/>
            </w:tabs>
            <w:rPr/>
          </w:pPr>
          <w:hyperlink w:anchor="__RefHeading___Toc7766546_2870459653">
            <w:r>
              <w:rPr>
                <w:webHidden/>
                <w:rStyle w:val="IndexLink"/>
                <w:rtl w:val="true"/>
              </w:rPr>
              <w:t>تعاریف</w:t>
            </w:r>
            <w:r>
              <w:rPr>
                <w:rStyle w:val="IndexLink"/>
                <w:rtl w:val="true"/>
              </w:rPr>
              <w:tab/>
            </w:r>
            <w:r>
              <w:rPr>
                <w:rStyle w:val="IndexLink"/>
              </w:rPr>
              <w:t>182</w:t>
            </w:r>
          </w:hyperlink>
        </w:p>
        <w:p>
          <w:pPr>
            <w:pStyle w:val="Contents3"/>
            <w:tabs>
              <w:tab w:val="clear" w:pos="8459"/>
              <w:tab w:val="right" w:pos="9026" w:leader="dot"/>
            </w:tabs>
            <w:rPr/>
          </w:pPr>
          <w:hyperlink w:anchor="__RefHeading___Toc7766548_2870459653">
            <w:r>
              <w:rPr>
                <w:webHidden/>
                <w:rStyle w:val="IndexLink"/>
                <w:rtl w:val="true"/>
              </w:rPr>
              <w:t>روش شناسی</w:t>
            </w:r>
            <w:r>
              <w:rPr>
                <w:rStyle w:val="IndexLink"/>
                <w:rtl w:val="true"/>
              </w:rPr>
              <w:t>:</w:t>
              <w:tab/>
            </w:r>
            <w:r>
              <w:rPr>
                <w:rStyle w:val="IndexLink"/>
              </w:rPr>
              <w:t>184</w:t>
            </w:r>
          </w:hyperlink>
        </w:p>
        <w:p>
          <w:pPr>
            <w:pStyle w:val="Contents3"/>
            <w:tabs>
              <w:tab w:val="clear" w:pos="8459"/>
              <w:tab w:val="right" w:pos="9026" w:leader="dot"/>
            </w:tabs>
            <w:rPr/>
          </w:pPr>
          <w:hyperlink w:anchor="__RefHeading___Toc7766550_2870459653">
            <w:r>
              <w:rPr>
                <w:webHidden/>
                <w:rStyle w:val="IndexLink"/>
                <w:rtl w:val="true"/>
              </w:rPr>
              <w:t>بحث و بررسی</w:t>
            </w:r>
            <w:r>
              <w:rPr>
                <w:rStyle w:val="IndexLink"/>
                <w:rtl w:val="true"/>
              </w:rPr>
              <w:t>:</w:t>
              <w:tab/>
            </w:r>
            <w:r>
              <w:rPr>
                <w:rStyle w:val="IndexLink"/>
              </w:rPr>
              <w:t>186</w:t>
            </w:r>
          </w:hyperlink>
        </w:p>
        <w:p>
          <w:pPr>
            <w:pStyle w:val="Contents3"/>
            <w:tabs>
              <w:tab w:val="clear" w:pos="8459"/>
              <w:tab w:val="right" w:pos="9026" w:leader="dot"/>
            </w:tabs>
            <w:rPr/>
          </w:pPr>
          <w:hyperlink w:anchor="__RefHeading___Toc7766552_2870459653">
            <w:r>
              <w:rPr>
                <w:webHidden/>
                <w:rStyle w:val="IndexLink"/>
                <w:rtl w:val="true"/>
              </w:rPr>
              <w:t>نتیجه گیری</w:t>
            </w:r>
            <w:r>
              <w:rPr>
                <w:rStyle w:val="IndexLink"/>
                <w:rtl w:val="true"/>
              </w:rPr>
              <w:tab/>
            </w:r>
            <w:r>
              <w:rPr>
                <w:rStyle w:val="IndexLink"/>
              </w:rPr>
              <w:t>189</w:t>
            </w:r>
          </w:hyperlink>
        </w:p>
        <w:p>
          <w:pPr>
            <w:pStyle w:val="Contents2"/>
            <w:tabs>
              <w:tab w:val="clear" w:pos="8743"/>
              <w:tab w:val="right" w:pos="9026" w:leader="dot"/>
            </w:tabs>
            <w:rPr/>
          </w:pPr>
          <w:hyperlink w:anchor="__RefHeading___Toc7766554_2870459653">
            <w:r>
              <w:rPr>
                <w:webHidden/>
                <w:rStyle w:val="IndexLink"/>
                <w:rtl w:val="true"/>
              </w:rPr>
              <w:t>چکیده</w:t>
            </w:r>
            <w:r>
              <w:rPr>
                <w:rStyle w:val="IndexLink"/>
                <w:rtl w:val="true"/>
              </w:rPr>
              <w:tab/>
            </w:r>
            <w:r>
              <w:rPr>
                <w:rStyle w:val="IndexLink"/>
              </w:rPr>
              <w:t>191</w:t>
            </w:r>
          </w:hyperlink>
        </w:p>
        <w:p>
          <w:pPr>
            <w:pStyle w:val="Contents2"/>
            <w:tabs>
              <w:tab w:val="clear" w:pos="8743"/>
              <w:tab w:val="right" w:pos="9026" w:leader="dot"/>
            </w:tabs>
            <w:rPr/>
          </w:pPr>
          <w:hyperlink w:anchor="__RefHeading___Toc7766556_2870459653">
            <w:r>
              <w:rPr>
                <w:webHidden/>
                <w:rStyle w:val="IndexLink"/>
                <w:rtl w:val="true"/>
              </w:rPr>
              <w:t>یکپارچه سازی حفاظت فیزیکی و رقومی سازی</w:t>
            </w:r>
            <w:r>
              <w:rPr>
                <w:rStyle w:val="IndexLink"/>
                <w:rtl w:val="true"/>
              </w:rPr>
              <w:t xml:space="preserve">: </w:t>
            </w:r>
            <w:r>
              <w:rPr>
                <w:rStyle w:val="IndexLink"/>
                <w:rtl w:val="true"/>
              </w:rPr>
              <w:t>فرایندی مؤثر در کتابخانه ملی فرانسه</w:t>
            </w:r>
            <w:r>
              <w:rPr>
                <w:rStyle w:val="IndexLink"/>
                <w:rtl w:val="true"/>
              </w:rPr>
              <w:tab/>
            </w:r>
            <w:r>
              <w:rPr>
                <w:rStyle w:val="IndexLink"/>
              </w:rPr>
              <w:t>192</w:t>
            </w:r>
          </w:hyperlink>
        </w:p>
        <w:p>
          <w:pPr>
            <w:pStyle w:val="Contents3"/>
            <w:tabs>
              <w:tab w:val="clear" w:pos="8459"/>
              <w:tab w:val="right" w:pos="9026" w:leader="dot"/>
            </w:tabs>
            <w:rPr/>
          </w:pPr>
          <w:hyperlink w:anchor="__RefHeading___Toc7766558_287045965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7766560_2870459653">
            <w:r>
              <w:rPr>
                <w:webHidden/>
                <w:rStyle w:val="IndexLink"/>
              </w:rPr>
              <w:t>1</w:t>
            </w:r>
            <w:r>
              <w:rPr>
                <w:rStyle w:val="IndexLink"/>
                <w:rtl w:val="true"/>
              </w:rPr>
              <w:t xml:space="preserve">. </w:t>
            </w:r>
            <w:r>
              <w:rPr>
                <w:rStyle w:val="IndexLink"/>
                <w:rtl w:val="true"/>
              </w:rPr>
              <w:t>رقومی سازی به عنوان اولویت حفاظتی</w:t>
            </w:r>
            <w:r>
              <w:rPr>
                <w:rStyle w:val="IndexLink"/>
                <w:rtl w:val="true"/>
              </w:rPr>
              <w:t>:</w:t>
              <w:tab/>
            </w:r>
            <w:r>
              <w:rPr>
                <w:rStyle w:val="IndexLink"/>
              </w:rPr>
              <w:t>193</w:t>
            </w:r>
          </w:hyperlink>
        </w:p>
        <w:p>
          <w:pPr>
            <w:pStyle w:val="Contents3"/>
            <w:tabs>
              <w:tab w:val="clear" w:pos="8459"/>
              <w:tab w:val="right" w:pos="9026" w:leader="dot"/>
            </w:tabs>
            <w:rPr/>
          </w:pPr>
          <w:hyperlink w:anchor="__RefHeading___Toc7766562_2870459653">
            <w:r>
              <w:rPr>
                <w:webHidden/>
                <w:rStyle w:val="IndexLink"/>
              </w:rPr>
              <w:t>2</w:t>
            </w:r>
            <w:r>
              <w:rPr>
                <w:rStyle w:val="IndexLink"/>
                <w:rtl w:val="true"/>
              </w:rPr>
              <w:t xml:space="preserve">. </w:t>
            </w:r>
            <w:r>
              <w:rPr>
                <w:rStyle w:val="IndexLink"/>
                <w:rtl w:val="true"/>
              </w:rPr>
              <w:t>وضعیت بحرانی در حفاظت فیزیکی</w:t>
            </w:r>
            <w:r>
              <w:rPr>
                <w:rStyle w:val="IndexLink"/>
                <w:rtl w:val="true"/>
              </w:rPr>
              <w:tab/>
            </w:r>
            <w:r>
              <w:rPr>
                <w:rStyle w:val="IndexLink"/>
              </w:rPr>
              <w:t>193</w:t>
            </w:r>
          </w:hyperlink>
        </w:p>
        <w:p>
          <w:pPr>
            <w:pStyle w:val="Contents3"/>
            <w:tabs>
              <w:tab w:val="clear" w:pos="8459"/>
              <w:tab w:val="right" w:pos="9026" w:leader="dot"/>
            </w:tabs>
            <w:rPr/>
          </w:pPr>
          <w:hyperlink w:anchor="__RefHeading___Toc7766564_2870459653">
            <w:r>
              <w:rPr>
                <w:webHidden/>
                <w:rStyle w:val="IndexLink"/>
              </w:rPr>
              <w:t>3</w:t>
            </w:r>
            <w:r>
              <w:rPr>
                <w:rStyle w:val="IndexLink"/>
                <w:rtl w:val="true"/>
              </w:rPr>
              <w:t xml:space="preserve">. </w:t>
            </w:r>
            <w:r>
              <w:rPr>
                <w:rStyle w:val="IndexLink"/>
                <w:rtl w:val="true"/>
              </w:rPr>
              <w:t>به سوی حفاظت مطلوب رقومی</w:t>
            </w:r>
            <w:r>
              <w:rPr>
                <w:rStyle w:val="IndexLink"/>
                <w:rtl w:val="true"/>
              </w:rPr>
              <w:t>:</w:t>
              <w:tab/>
            </w:r>
            <w:r>
              <w:rPr>
                <w:rStyle w:val="IndexLink"/>
              </w:rPr>
              <w:t>194</w:t>
            </w:r>
          </w:hyperlink>
        </w:p>
        <w:p>
          <w:pPr>
            <w:pStyle w:val="Contents3"/>
            <w:tabs>
              <w:tab w:val="clear" w:pos="8459"/>
              <w:tab w:val="right" w:pos="9026" w:leader="dot"/>
            </w:tabs>
            <w:rPr/>
          </w:pPr>
          <w:hyperlink w:anchor="__RefHeading___Toc7766566_2870459653">
            <w:r>
              <w:rPr>
                <w:webHidden/>
                <w:rStyle w:val="IndexLink"/>
              </w:rPr>
              <w:t>4</w:t>
            </w:r>
            <w:r>
              <w:rPr>
                <w:rStyle w:val="IndexLink"/>
                <w:rtl w:val="true"/>
              </w:rPr>
              <w:t xml:space="preserve">. </w:t>
            </w:r>
            <w:r>
              <w:rPr>
                <w:rStyle w:val="IndexLink"/>
                <w:rtl w:val="true"/>
              </w:rPr>
              <w:t>در جهت حفاظت فیزیکی مرتبط با رقومی سازی</w:t>
            </w:r>
            <w:r>
              <w:rPr>
                <w:rStyle w:val="IndexLink"/>
                <w:rtl w:val="true"/>
              </w:rPr>
              <w:tab/>
            </w:r>
            <w:r>
              <w:rPr>
                <w:rStyle w:val="IndexLink"/>
              </w:rPr>
              <w:t>198</w:t>
            </w:r>
          </w:hyperlink>
        </w:p>
        <w:p>
          <w:pPr>
            <w:pStyle w:val="Contents3"/>
            <w:tabs>
              <w:tab w:val="clear" w:pos="8459"/>
              <w:tab w:val="right" w:pos="9026" w:leader="dot"/>
            </w:tabs>
            <w:rPr/>
          </w:pPr>
          <w:hyperlink w:anchor="__RefHeading___Toc7766568_2870459653">
            <w:r>
              <w:rPr>
                <w:webHidden/>
                <w:rStyle w:val="IndexLink"/>
              </w:rPr>
              <w:t>5</w:t>
            </w:r>
            <w:r>
              <w:rPr>
                <w:rStyle w:val="IndexLink"/>
                <w:rtl w:val="true"/>
              </w:rPr>
              <w:t xml:space="preserve">. </w:t>
            </w:r>
            <w:r>
              <w:rPr>
                <w:rStyle w:val="IndexLink"/>
                <w:rtl w:val="true"/>
              </w:rPr>
              <w:t>محدودیت ها و خطرها</w:t>
            </w:r>
            <w:r>
              <w:rPr>
                <w:rStyle w:val="IndexLink"/>
                <w:rtl w:val="true"/>
              </w:rPr>
              <w:tab/>
            </w:r>
            <w:r>
              <w:rPr>
                <w:rStyle w:val="IndexLink"/>
              </w:rPr>
              <w:t>201</w:t>
            </w:r>
          </w:hyperlink>
        </w:p>
        <w:p>
          <w:pPr>
            <w:pStyle w:val="Contents3"/>
            <w:tabs>
              <w:tab w:val="clear" w:pos="8459"/>
              <w:tab w:val="right" w:pos="9026" w:leader="dot"/>
            </w:tabs>
            <w:rPr/>
          </w:pPr>
          <w:hyperlink w:anchor="__RefHeading___Toc7766570_2870459653">
            <w:r>
              <w:rPr>
                <w:webHidden/>
                <w:rStyle w:val="IndexLink"/>
              </w:rPr>
              <w:t>6</w:t>
            </w:r>
            <w:r>
              <w:rPr>
                <w:rStyle w:val="IndexLink"/>
                <w:rtl w:val="true"/>
              </w:rPr>
              <w:t xml:space="preserve">. </w:t>
            </w:r>
            <w:r>
              <w:rPr>
                <w:rStyle w:val="IndexLink"/>
                <w:rtl w:val="true"/>
              </w:rPr>
              <w:t>نتیجه گیری</w:t>
            </w:r>
            <w:r>
              <w:rPr>
                <w:rStyle w:val="IndexLink"/>
                <w:rtl w:val="true"/>
              </w:rPr>
              <w:tab/>
            </w:r>
            <w:r>
              <w:rPr>
                <w:rStyle w:val="IndexLink"/>
              </w:rPr>
              <w:t>203</w:t>
            </w:r>
          </w:hyperlink>
        </w:p>
        <w:p>
          <w:pPr>
            <w:pStyle w:val="Contents2"/>
            <w:tabs>
              <w:tab w:val="clear" w:pos="8743"/>
              <w:tab w:val="right" w:pos="9026" w:leader="dot"/>
            </w:tabs>
            <w:rPr/>
          </w:pPr>
          <w:hyperlink w:anchor="__RefHeading___Toc7766572_2870459653">
            <w:r>
              <w:rPr>
                <w:webHidden/>
                <w:rStyle w:val="IndexLink"/>
                <w:rtl w:val="true"/>
              </w:rPr>
              <w:t>چکیده</w:t>
            </w:r>
            <w:r>
              <w:rPr>
                <w:rStyle w:val="IndexLink"/>
                <w:rtl w:val="true"/>
              </w:rPr>
              <w:tab/>
            </w:r>
            <w:r>
              <w:rPr>
                <w:rStyle w:val="IndexLink"/>
              </w:rPr>
              <w:t>205</w:t>
            </w:r>
          </w:hyperlink>
        </w:p>
        <w:p>
          <w:pPr>
            <w:pStyle w:val="Contents2"/>
            <w:tabs>
              <w:tab w:val="clear" w:pos="8743"/>
              <w:tab w:val="right" w:pos="9026" w:leader="dot"/>
            </w:tabs>
            <w:rPr/>
          </w:pPr>
          <w:hyperlink w:anchor="__RefHeading___Toc7766574_2870459653">
            <w:r>
              <w:rPr>
                <w:webHidden/>
                <w:rStyle w:val="IndexLink"/>
                <w:rtl w:val="true"/>
              </w:rPr>
              <w:t>کتابخانه های آفریقا به عنوان مراکز آموزش الکترونیکی</w:t>
            </w:r>
            <w:r>
              <w:rPr>
                <w:rStyle w:val="IndexLink"/>
                <w:rtl w:val="true"/>
              </w:rPr>
              <w:tab/>
            </w:r>
            <w:r>
              <w:rPr>
                <w:rStyle w:val="IndexLink"/>
              </w:rPr>
              <w:t>206</w:t>
            </w:r>
          </w:hyperlink>
        </w:p>
        <w:p>
          <w:pPr>
            <w:pStyle w:val="Contents3"/>
            <w:tabs>
              <w:tab w:val="clear" w:pos="8459"/>
              <w:tab w:val="right" w:pos="9026" w:leader="dot"/>
            </w:tabs>
            <w:rPr/>
          </w:pPr>
          <w:hyperlink w:anchor="__RefHeading___Toc7766576_2870459653">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7766578_2870459653">
            <w:r>
              <w:rPr>
                <w:webHidden/>
                <w:rStyle w:val="IndexLink"/>
                <w:rtl w:val="true"/>
              </w:rPr>
              <w:t>فناوری های مخرب</w:t>
            </w:r>
            <w:r>
              <w:rPr>
                <w:rStyle w:val="IndexLink"/>
                <w:rtl w:val="true"/>
              </w:rPr>
              <w:tab/>
            </w:r>
            <w:r>
              <w:rPr>
                <w:rStyle w:val="IndexLink"/>
              </w:rPr>
              <w:t>207</w:t>
            </w:r>
          </w:hyperlink>
        </w:p>
        <w:p>
          <w:pPr>
            <w:pStyle w:val="Contents3"/>
            <w:tabs>
              <w:tab w:val="clear" w:pos="8459"/>
              <w:tab w:val="right" w:pos="9026" w:leader="dot"/>
            </w:tabs>
            <w:rPr/>
          </w:pPr>
          <w:hyperlink w:anchor="__RefHeading___Toc7766580_2870459653">
            <w:r>
              <w:rPr>
                <w:webHidden/>
                <w:rStyle w:val="IndexLink"/>
                <w:rtl w:val="true"/>
              </w:rPr>
              <w:t>آزمایشگاه لاتینا</w:t>
            </w:r>
            <w:r>
              <w:rPr>
                <w:rStyle w:val="IndexLink"/>
                <w:rtl w:val="true"/>
              </w:rPr>
              <w:tab/>
            </w:r>
            <w:r>
              <w:rPr>
                <w:rStyle w:val="IndexLink"/>
              </w:rPr>
              <w:t>208</w:t>
            </w:r>
          </w:hyperlink>
        </w:p>
        <w:p>
          <w:pPr>
            <w:pStyle w:val="Contents3"/>
            <w:tabs>
              <w:tab w:val="clear" w:pos="8459"/>
              <w:tab w:val="right" w:pos="9026" w:leader="dot"/>
            </w:tabs>
            <w:rPr/>
          </w:pPr>
          <w:hyperlink w:anchor="__RefHeading___Toc7766582_2870459653">
            <w:r>
              <w:rPr>
                <w:webHidden/>
                <w:rStyle w:val="IndexLink"/>
                <w:rtl w:val="true"/>
              </w:rPr>
              <w:t>بسته لاتینا</w:t>
            </w:r>
            <w:r>
              <w:rPr>
                <w:rStyle w:val="IndexLink"/>
                <w:rtl w:val="true"/>
              </w:rPr>
              <w:tab/>
            </w:r>
            <w:r>
              <w:rPr>
                <w:rStyle w:val="IndexLink"/>
              </w:rPr>
              <w:t>210</w:t>
            </w:r>
          </w:hyperlink>
        </w:p>
        <w:p>
          <w:pPr>
            <w:pStyle w:val="Contents3"/>
            <w:tabs>
              <w:tab w:val="clear" w:pos="8459"/>
              <w:tab w:val="right" w:pos="9026" w:leader="dot"/>
            </w:tabs>
            <w:rPr/>
          </w:pPr>
          <w:hyperlink w:anchor="__RefHeading___Toc7766584_2870459653">
            <w:r>
              <w:rPr>
                <w:webHidden/>
                <w:rStyle w:val="IndexLink"/>
                <w:rtl w:val="true"/>
              </w:rPr>
              <w:t>آموزش رقومی</w:t>
            </w:r>
            <w:r>
              <w:rPr>
                <w:rStyle w:val="IndexLink"/>
                <w:rtl w:val="true"/>
              </w:rPr>
              <w:tab/>
            </w:r>
            <w:r>
              <w:rPr>
                <w:rStyle w:val="IndexLink"/>
              </w:rPr>
              <w:t>211</w:t>
            </w:r>
          </w:hyperlink>
        </w:p>
        <w:p>
          <w:pPr>
            <w:pStyle w:val="Contents3"/>
            <w:tabs>
              <w:tab w:val="clear" w:pos="8459"/>
              <w:tab w:val="right" w:pos="9026" w:leader="dot"/>
            </w:tabs>
            <w:rPr/>
          </w:pPr>
          <w:hyperlink w:anchor="__RefHeading___Toc7766586_2870459653">
            <w:r>
              <w:rPr>
                <w:webHidden/>
                <w:rStyle w:val="IndexLink"/>
                <w:rtl w:val="true"/>
              </w:rPr>
              <w:t>ارتباطات افقی</w:t>
            </w:r>
            <w:r>
              <w:rPr>
                <w:rStyle w:val="IndexLink"/>
                <w:rtl w:val="true"/>
              </w:rPr>
              <w:tab/>
            </w:r>
            <w:r>
              <w:rPr>
                <w:rStyle w:val="IndexLink"/>
              </w:rPr>
              <w:t>212</w:t>
            </w:r>
          </w:hyperlink>
        </w:p>
        <w:p>
          <w:pPr>
            <w:pStyle w:val="Contents3"/>
            <w:tabs>
              <w:tab w:val="clear" w:pos="8459"/>
              <w:tab w:val="right" w:pos="9026" w:leader="dot"/>
            </w:tabs>
            <w:rPr/>
          </w:pPr>
          <w:hyperlink w:anchor="__RefHeading___Toc7766588_2870459653">
            <w:r>
              <w:rPr>
                <w:webHidden/>
                <w:rStyle w:val="IndexLink"/>
                <w:rtl w:val="true"/>
              </w:rPr>
              <w:t>شرق آفریقا</w:t>
            </w:r>
            <w:r>
              <w:rPr>
                <w:rStyle w:val="IndexLink"/>
                <w:rtl w:val="true"/>
              </w:rPr>
              <w:t xml:space="preserve">- </w:t>
            </w:r>
            <w:r>
              <w:rPr>
                <w:rStyle w:val="IndexLink"/>
                <w:rtl w:val="true"/>
              </w:rPr>
              <w:t>محیط رقومی</w:t>
            </w:r>
            <w:r>
              <w:rPr>
                <w:rStyle w:val="IndexLink"/>
                <w:rtl w:val="true"/>
              </w:rPr>
              <w:tab/>
            </w:r>
            <w:r>
              <w:rPr>
                <w:rStyle w:val="IndexLink"/>
              </w:rPr>
              <w:t>215</w:t>
            </w:r>
          </w:hyperlink>
        </w:p>
        <w:p>
          <w:pPr>
            <w:pStyle w:val="Contents3"/>
            <w:tabs>
              <w:tab w:val="clear" w:pos="8459"/>
              <w:tab w:val="right" w:pos="9026" w:leader="dot"/>
            </w:tabs>
            <w:rPr/>
          </w:pPr>
          <w:hyperlink w:anchor="__RefHeading___Toc7766590_2870459653">
            <w:r>
              <w:rPr>
                <w:webHidden/>
                <w:rStyle w:val="IndexLink"/>
                <w:rtl w:val="true"/>
              </w:rPr>
              <w:t>جنوب سودان</w:t>
            </w:r>
            <w:r>
              <w:rPr>
                <w:rStyle w:val="IndexLink"/>
                <w:rtl w:val="true"/>
              </w:rPr>
              <w:tab/>
            </w:r>
            <w:r>
              <w:rPr>
                <w:rStyle w:val="IndexLink"/>
              </w:rPr>
              <w:t>217</w:t>
            </w:r>
          </w:hyperlink>
        </w:p>
        <w:p>
          <w:pPr>
            <w:pStyle w:val="Contents3"/>
            <w:tabs>
              <w:tab w:val="clear" w:pos="8459"/>
              <w:tab w:val="right" w:pos="9026" w:leader="dot"/>
            </w:tabs>
            <w:rPr/>
          </w:pPr>
          <w:hyperlink w:anchor="__RefHeading___Toc7766592_2870459653">
            <w:r>
              <w:rPr>
                <w:webHidden/>
                <w:rStyle w:val="IndexLink"/>
                <w:rtl w:val="true"/>
              </w:rPr>
              <w:t>عربی، فرانسوی و سواحیلی</w:t>
            </w:r>
            <w:r>
              <w:rPr>
                <w:rStyle w:val="IndexLink"/>
                <w:rtl w:val="true"/>
              </w:rPr>
              <w:tab/>
            </w:r>
            <w:r>
              <w:rPr>
                <w:rStyle w:val="IndexLink"/>
              </w:rPr>
              <w:t>218</w:t>
            </w:r>
          </w:hyperlink>
        </w:p>
        <w:p>
          <w:pPr>
            <w:pStyle w:val="Contents3"/>
            <w:tabs>
              <w:tab w:val="clear" w:pos="8459"/>
              <w:tab w:val="right" w:pos="9026" w:leader="dot"/>
            </w:tabs>
            <w:rPr/>
          </w:pPr>
          <w:hyperlink w:anchor="__RefHeading___Toc7766594_2870459653">
            <w:r>
              <w:rPr>
                <w:webHidden/>
                <w:rStyle w:val="IndexLink"/>
                <w:rtl w:val="true"/>
              </w:rPr>
              <w:t>کتابخانه ها برای تغییر</w:t>
            </w:r>
            <w:r>
              <w:rPr>
                <w:rStyle w:val="IndexLink"/>
                <w:rtl w:val="true"/>
              </w:rPr>
              <w:t>:</w:t>
              <w:tab/>
            </w:r>
            <w:r>
              <w:rPr>
                <w:rStyle w:val="IndexLink"/>
              </w:rPr>
              <w:t>222</w:t>
            </w:r>
          </w:hyperlink>
        </w:p>
        <w:p>
          <w:pPr>
            <w:pStyle w:val="Contents3"/>
            <w:tabs>
              <w:tab w:val="clear" w:pos="8459"/>
              <w:tab w:val="right" w:pos="9026" w:leader="dot"/>
            </w:tabs>
            <w:rPr/>
          </w:pPr>
          <w:hyperlink w:anchor="__RefHeading___Toc7766596_2870459653">
            <w:r>
              <w:rPr>
                <w:webHidden/>
                <w:rStyle w:val="IndexLink"/>
                <w:rtl w:val="true"/>
              </w:rPr>
              <w:t>بر روی لبه</w:t>
            </w:r>
            <w:r>
              <w:rPr>
                <w:rStyle w:val="IndexLink"/>
                <w:rtl w:val="true"/>
              </w:rPr>
              <w:tab/>
            </w:r>
            <w:r>
              <w:rPr>
                <w:rStyle w:val="IndexLink"/>
              </w:rPr>
              <w:t>223</w:t>
            </w:r>
          </w:hyperlink>
        </w:p>
        <w:p>
          <w:pPr>
            <w:pStyle w:val="Contents3"/>
            <w:tabs>
              <w:tab w:val="clear" w:pos="8459"/>
              <w:tab w:val="right" w:pos="9026" w:leader="dot"/>
            </w:tabs>
            <w:rPr/>
          </w:pPr>
          <w:hyperlink w:anchor="__RefHeading___Toc7766598_2870459653">
            <w:r>
              <w:rPr>
                <w:webHidden/>
                <w:rStyle w:val="IndexLink"/>
                <w:rtl w:val="true"/>
              </w:rPr>
              <w:t>منابع</w:t>
            </w:r>
            <w:r>
              <w:rPr>
                <w:rStyle w:val="IndexLink"/>
                <w:rtl w:val="true"/>
              </w:rPr>
              <w:tab/>
            </w:r>
            <w:r>
              <w:rPr>
                <w:rStyle w:val="IndexLink"/>
              </w:rPr>
              <w:t>226</w:t>
            </w:r>
          </w:hyperlink>
        </w:p>
        <w:p>
          <w:pPr>
            <w:pStyle w:val="Contents2"/>
            <w:tabs>
              <w:tab w:val="clear" w:pos="8743"/>
              <w:tab w:val="right" w:pos="9026" w:leader="dot"/>
            </w:tabs>
            <w:rPr/>
          </w:pPr>
          <w:hyperlink w:anchor="__RefHeading___Toc7766600_2870459653">
            <w:r>
              <w:rPr>
                <w:webHidden/>
                <w:rStyle w:val="IndexLink"/>
                <w:rtl w:val="true"/>
              </w:rPr>
              <w:t>چکیده</w:t>
            </w:r>
            <w:r>
              <w:rPr>
                <w:rStyle w:val="IndexLink"/>
                <w:rtl w:val="true"/>
              </w:rPr>
              <w:tab/>
            </w:r>
            <w:r>
              <w:rPr>
                <w:rStyle w:val="IndexLink"/>
              </w:rPr>
              <w:t>229</w:t>
            </w:r>
          </w:hyperlink>
        </w:p>
        <w:p>
          <w:pPr>
            <w:pStyle w:val="Contents2"/>
            <w:tabs>
              <w:tab w:val="clear" w:pos="8743"/>
              <w:tab w:val="right" w:pos="9026" w:leader="dot"/>
            </w:tabs>
            <w:rPr/>
          </w:pPr>
          <w:hyperlink w:anchor="__RefHeading___Toc7766602_2870459653">
            <w:r>
              <w:rPr>
                <w:webHidden/>
                <w:rStyle w:val="IndexLink"/>
                <w:rtl w:val="true"/>
              </w:rPr>
              <w:t>به سوی کمال در پژوهش های تطبیقی و بین المللی کتابداری و اطلاع رسانی</w:t>
            </w:r>
            <w:r>
              <w:rPr>
                <w:rStyle w:val="IndexLink"/>
                <w:rtl w:val="true"/>
              </w:rPr>
              <w:tab/>
            </w:r>
            <w:r>
              <w:rPr>
                <w:rStyle w:val="IndexLink"/>
              </w:rPr>
              <w:t>230</w:t>
            </w:r>
          </w:hyperlink>
        </w:p>
        <w:p>
          <w:pPr>
            <w:pStyle w:val="Contents3"/>
            <w:tabs>
              <w:tab w:val="clear" w:pos="8459"/>
              <w:tab w:val="right" w:pos="9026" w:leader="dot"/>
            </w:tabs>
            <w:rPr/>
          </w:pPr>
          <w:hyperlink w:anchor="__RefHeading___Toc7766604_2870459653">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7766606_2870459653">
            <w:r>
              <w:rPr>
                <w:webHidden/>
                <w:rStyle w:val="IndexLink"/>
                <w:rtl w:val="true"/>
              </w:rPr>
              <w:t>مقدمه</w:t>
            </w:r>
            <w:r>
              <w:rPr>
                <w:rStyle w:val="IndexLink"/>
                <w:rtl w:val="true"/>
              </w:rPr>
              <w:tab/>
            </w:r>
            <w:r>
              <w:rPr>
                <w:rStyle w:val="IndexLink"/>
              </w:rPr>
              <w:t>230</w:t>
            </w:r>
          </w:hyperlink>
        </w:p>
        <w:p>
          <w:pPr>
            <w:pStyle w:val="Contents3"/>
            <w:tabs>
              <w:tab w:val="clear" w:pos="8459"/>
              <w:tab w:val="right" w:pos="9026" w:leader="dot"/>
            </w:tabs>
            <w:rPr/>
          </w:pPr>
          <w:hyperlink w:anchor="__RefHeading___Toc7766608_2870459653">
            <w:r>
              <w:rPr>
                <w:webHidden/>
                <w:rStyle w:val="IndexLink"/>
                <w:rtl w:val="true"/>
              </w:rPr>
              <w:t>توسعه کتابداری بین المللی و تطبیقی</w:t>
            </w:r>
            <w:r>
              <w:rPr>
                <w:rStyle w:val="IndexLink"/>
                <w:rtl w:val="true"/>
              </w:rPr>
              <w:tab/>
            </w:r>
            <w:r>
              <w:rPr>
                <w:rStyle w:val="IndexLink"/>
              </w:rPr>
              <w:t>231</w:t>
            </w:r>
          </w:hyperlink>
        </w:p>
        <w:p>
          <w:pPr>
            <w:pStyle w:val="Contents3"/>
            <w:tabs>
              <w:tab w:val="clear" w:pos="8459"/>
              <w:tab w:val="right" w:pos="9026" w:leader="dot"/>
            </w:tabs>
            <w:rPr/>
          </w:pPr>
          <w:hyperlink w:anchor="__RefHeading___Toc7766610_2870459653">
            <w:r>
              <w:rPr>
                <w:webHidden/>
                <w:rStyle w:val="IndexLink"/>
                <w:rtl w:val="true"/>
              </w:rPr>
              <w:t>وضعیت کنونی کتابداری بین المللی</w:t>
            </w:r>
            <w:r>
              <w:rPr>
                <w:rStyle w:val="IndexLink"/>
                <w:rtl w:val="true"/>
              </w:rPr>
              <w:tab/>
            </w:r>
            <w:r>
              <w:rPr>
                <w:rStyle w:val="IndexLink"/>
              </w:rPr>
              <w:t>232</w:t>
            </w:r>
          </w:hyperlink>
        </w:p>
        <w:p>
          <w:pPr>
            <w:pStyle w:val="Contents3"/>
            <w:tabs>
              <w:tab w:val="clear" w:pos="8459"/>
              <w:tab w:val="right" w:pos="9026" w:leader="dot"/>
            </w:tabs>
            <w:rPr/>
          </w:pPr>
          <w:hyperlink w:anchor="__RefHeading___Toc7766612_2870459653">
            <w:r>
              <w:rPr>
                <w:webHidden/>
                <w:rStyle w:val="IndexLink"/>
                <w:rtl w:val="true"/>
              </w:rPr>
              <w:t>وضعیت کنونی کتابداری تطبیقی</w:t>
            </w:r>
            <w:r>
              <w:rPr>
                <w:rStyle w:val="IndexLink"/>
                <w:rtl w:val="true"/>
              </w:rPr>
              <w:tab/>
            </w:r>
            <w:r>
              <w:rPr>
                <w:rStyle w:val="IndexLink"/>
              </w:rPr>
              <w:t>233</w:t>
            </w:r>
          </w:hyperlink>
        </w:p>
        <w:p>
          <w:pPr>
            <w:pStyle w:val="Contents3"/>
            <w:tabs>
              <w:tab w:val="clear" w:pos="8459"/>
              <w:tab w:val="right" w:pos="9026" w:leader="dot"/>
            </w:tabs>
            <w:rPr/>
          </w:pPr>
          <w:hyperlink w:anchor="__RefHeading___Toc7766614_2870459653">
            <w:r>
              <w:rPr>
                <w:webHidden/>
                <w:rStyle w:val="IndexLink"/>
                <w:rtl w:val="true"/>
              </w:rPr>
              <w:t>نیاز به نظریه</w:t>
            </w:r>
            <w:r>
              <w:rPr>
                <w:rStyle w:val="IndexLink"/>
                <w:rtl w:val="true"/>
              </w:rPr>
              <w:tab/>
            </w:r>
            <w:r>
              <w:rPr>
                <w:rStyle w:val="IndexLink"/>
              </w:rPr>
              <w:t>234</w:t>
            </w:r>
          </w:hyperlink>
        </w:p>
        <w:p>
          <w:pPr>
            <w:pStyle w:val="Contents3"/>
            <w:tabs>
              <w:tab w:val="clear" w:pos="8459"/>
              <w:tab w:val="right" w:pos="9026" w:leader="dot"/>
            </w:tabs>
            <w:rPr/>
          </w:pPr>
          <w:hyperlink w:anchor="__RefHeading___Toc7766616_2870459653">
            <w:r>
              <w:rPr>
                <w:webHidden/>
                <w:rStyle w:val="IndexLink"/>
                <w:rtl w:val="true"/>
              </w:rPr>
              <w:t>فرانظریه، روش شناسی و روش ها</w:t>
            </w:r>
            <w:r>
              <w:rPr>
                <w:rStyle w:val="IndexLink"/>
                <w:rtl w:val="true"/>
              </w:rPr>
              <w:tab/>
            </w:r>
            <w:r>
              <w:rPr>
                <w:rStyle w:val="IndexLink"/>
              </w:rPr>
              <w:t>235</w:t>
            </w:r>
          </w:hyperlink>
        </w:p>
        <w:p>
          <w:pPr>
            <w:pStyle w:val="Contents3"/>
            <w:tabs>
              <w:tab w:val="clear" w:pos="8459"/>
              <w:tab w:val="right" w:pos="9026" w:leader="dot"/>
            </w:tabs>
            <w:rPr/>
          </w:pPr>
          <w:hyperlink w:anchor="__RefHeading___Toc7766618_2870459653">
            <w:r>
              <w:rPr>
                <w:webHidden/>
                <w:rStyle w:val="IndexLink"/>
                <w:rtl w:val="true"/>
              </w:rPr>
              <w:t>مفروضات روش شناختی</w:t>
            </w:r>
            <w:r>
              <w:rPr>
                <w:rStyle w:val="IndexLink"/>
                <w:rtl w:val="true"/>
              </w:rPr>
              <w:tab/>
            </w:r>
            <w:r>
              <w:rPr>
                <w:rStyle w:val="IndexLink"/>
              </w:rPr>
              <w:t>238</w:t>
            </w:r>
          </w:hyperlink>
        </w:p>
        <w:p>
          <w:pPr>
            <w:pStyle w:val="Contents3"/>
            <w:tabs>
              <w:tab w:val="clear" w:pos="8459"/>
              <w:tab w:val="right" w:pos="9026" w:leader="dot"/>
            </w:tabs>
            <w:rPr/>
          </w:pPr>
          <w:hyperlink w:anchor="__RefHeading___Toc7766620_2870459653">
            <w:r>
              <w:rPr>
                <w:webHidden/>
                <w:rStyle w:val="IndexLink"/>
                <w:rtl w:val="true"/>
              </w:rPr>
              <w:t>روش شناسی</w:t>
            </w:r>
            <w:r>
              <w:rPr>
                <w:rStyle w:val="IndexLink"/>
                <w:rtl w:val="true"/>
              </w:rPr>
              <w:tab/>
            </w:r>
            <w:r>
              <w:rPr>
                <w:rStyle w:val="IndexLink"/>
              </w:rPr>
              <w:t>240</w:t>
            </w:r>
          </w:hyperlink>
        </w:p>
        <w:p>
          <w:pPr>
            <w:pStyle w:val="Contents3"/>
            <w:tabs>
              <w:tab w:val="clear" w:pos="8459"/>
              <w:tab w:val="right" w:pos="9026" w:leader="dot"/>
            </w:tabs>
            <w:rPr/>
          </w:pPr>
          <w:hyperlink w:anchor="__RefHeading___Toc7766622_2870459653">
            <w:r>
              <w:rPr>
                <w:webHidden/>
                <w:rStyle w:val="IndexLink"/>
                <w:rtl w:val="true"/>
              </w:rPr>
              <w:t>رویکردهای کمی کیفی و ترکیبی</w:t>
            </w:r>
            <w:r>
              <w:rPr>
                <w:rStyle w:val="IndexLink"/>
                <w:rtl w:val="true"/>
              </w:rPr>
              <w:tab/>
            </w:r>
            <w:r>
              <w:rPr>
                <w:rStyle w:val="IndexLink"/>
              </w:rPr>
              <w:t>241</w:t>
            </w:r>
          </w:hyperlink>
        </w:p>
        <w:p>
          <w:pPr>
            <w:pStyle w:val="Contents3"/>
            <w:tabs>
              <w:tab w:val="clear" w:pos="8459"/>
              <w:tab w:val="right" w:pos="9026" w:leader="dot"/>
            </w:tabs>
            <w:rPr/>
          </w:pPr>
          <w:hyperlink w:anchor="__RefHeading___Toc7766624_2870459653">
            <w:r>
              <w:rPr>
                <w:webHidden/>
                <w:rStyle w:val="IndexLink"/>
                <w:rtl w:val="true"/>
              </w:rPr>
              <w:t>راهبرد تطبیقی</w:t>
            </w:r>
            <w:r>
              <w:rPr>
                <w:rStyle w:val="IndexLink"/>
                <w:rtl w:val="true"/>
              </w:rPr>
              <w:tab/>
            </w:r>
            <w:r>
              <w:rPr>
                <w:rStyle w:val="IndexLink"/>
              </w:rPr>
              <w:t>242</w:t>
            </w:r>
          </w:hyperlink>
        </w:p>
        <w:p>
          <w:pPr>
            <w:pStyle w:val="Contents3"/>
            <w:tabs>
              <w:tab w:val="clear" w:pos="8459"/>
              <w:tab w:val="right" w:pos="9026" w:leader="dot"/>
            </w:tabs>
            <w:rPr/>
          </w:pPr>
          <w:hyperlink w:anchor="__RefHeading___Toc7766626_2870459653">
            <w:r>
              <w:rPr>
                <w:webHidden/>
                <w:rStyle w:val="IndexLink"/>
                <w:rtl w:val="true"/>
              </w:rPr>
              <w:t>طرح پژوهش تطبیقی</w:t>
            </w:r>
            <w:r>
              <w:rPr>
                <w:rStyle w:val="IndexLink"/>
                <w:rtl w:val="true"/>
              </w:rPr>
              <w:tab/>
            </w:r>
            <w:r>
              <w:rPr>
                <w:rStyle w:val="IndexLink"/>
              </w:rPr>
              <w:t>242</w:t>
            </w:r>
          </w:hyperlink>
        </w:p>
        <w:p>
          <w:pPr>
            <w:pStyle w:val="Contents3"/>
            <w:tabs>
              <w:tab w:val="clear" w:pos="8459"/>
              <w:tab w:val="right" w:pos="9026" w:leader="dot"/>
            </w:tabs>
            <w:rPr/>
          </w:pPr>
          <w:hyperlink w:anchor="__RefHeading___Toc7766628_2870459653">
            <w:r>
              <w:rPr>
                <w:webHidden/>
                <w:rStyle w:val="IndexLink"/>
                <w:rtl w:val="true"/>
              </w:rPr>
              <w:t>روش ها</w:t>
            </w:r>
            <w:r>
              <w:rPr>
                <w:rStyle w:val="IndexLink"/>
                <w:rtl w:val="true"/>
              </w:rPr>
              <w:tab/>
            </w:r>
            <w:r>
              <w:rPr>
                <w:rStyle w:val="IndexLink"/>
              </w:rPr>
              <w:t>244</w:t>
            </w:r>
          </w:hyperlink>
        </w:p>
        <w:p>
          <w:pPr>
            <w:pStyle w:val="Contents3"/>
            <w:tabs>
              <w:tab w:val="clear" w:pos="8459"/>
              <w:tab w:val="right" w:pos="9026" w:leader="dot"/>
            </w:tabs>
            <w:rPr/>
          </w:pPr>
          <w:hyperlink w:anchor="__RefHeading___Toc7766630_2870459653">
            <w:r>
              <w:rPr>
                <w:webHidden/>
                <w:rStyle w:val="IndexLink"/>
                <w:rtl w:val="true"/>
              </w:rPr>
              <w:t>نتیجه گیری و پیشنهادها</w:t>
            </w:r>
            <w:r>
              <w:rPr>
                <w:rStyle w:val="IndexLink"/>
                <w:rtl w:val="true"/>
              </w:rPr>
              <w:tab/>
            </w:r>
            <w:r>
              <w:rPr>
                <w:rStyle w:val="IndexLink"/>
              </w:rPr>
              <w:t>246</w:t>
            </w:r>
          </w:hyperlink>
        </w:p>
        <w:p>
          <w:pPr>
            <w:pStyle w:val="Contents3"/>
            <w:tabs>
              <w:tab w:val="clear" w:pos="8459"/>
              <w:tab w:val="right" w:pos="9026" w:leader="dot"/>
            </w:tabs>
            <w:rPr/>
          </w:pPr>
          <w:hyperlink w:anchor="__RefHeading___Toc7766632_2870459653">
            <w:r>
              <w:rPr>
                <w:webHidden/>
                <w:rStyle w:val="IndexLink"/>
                <w:rtl w:val="true"/>
              </w:rPr>
              <w:t>منابع</w:t>
            </w:r>
            <w:r>
              <w:rPr>
                <w:rStyle w:val="IndexLink"/>
                <w:rtl w:val="true"/>
              </w:rPr>
              <w:tab/>
            </w:r>
            <w:r>
              <w:rPr>
                <w:rStyle w:val="IndexLink"/>
              </w:rPr>
              <w:t>248</w:t>
            </w:r>
          </w:hyperlink>
        </w:p>
        <w:p>
          <w:pPr>
            <w:pStyle w:val="Contents2"/>
            <w:tabs>
              <w:tab w:val="clear" w:pos="8743"/>
              <w:tab w:val="right" w:pos="9026" w:leader="dot"/>
            </w:tabs>
            <w:rPr/>
          </w:pPr>
          <w:hyperlink w:anchor="__RefHeading___Toc7766634_2870459653">
            <w:r>
              <w:rPr>
                <w:webHidden/>
                <w:rStyle w:val="IndexLink"/>
                <w:rtl w:val="true"/>
              </w:rPr>
              <w:t>چکیده</w:t>
            </w:r>
            <w:r>
              <w:rPr>
                <w:rStyle w:val="IndexLink"/>
                <w:rtl w:val="true"/>
              </w:rPr>
              <w:tab/>
            </w:r>
            <w:r>
              <w:rPr>
                <w:rStyle w:val="IndexLink"/>
              </w:rPr>
              <w:t>253</w:t>
            </w:r>
          </w:hyperlink>
        </w:p>
        <w:p>
          <w:pPr>
            <w:pStyle w:val="Contents2"/>
            <w:tabs>
              <w:tab w:val="clear" w:pos="8743"/>
              <w:tab w:val="right" w:pos="9026" w:leader="dot"/>
            </w:tabs>
            <w:rPr/>
          </w:pPr>
          <w:hyperlink w:anchor="__RefHeading___Toc7766636_2870459653">
            <w:r>
              <w:rPr>
                <w:webHidden/>
                <w:rStyle w:val="IndexLink"/>
                <w:rtl w:val="true"/>
              </w:rPr>
              <w:t>برنامه حفظ و نگهداری رویدادنامه ها</w:t>
            </w:r>
            <w:r>
              <w:rPr>
                <w:rStyle w:val="IndexLink"/>
                <w:rtl w:val="true"/>
              </w:rPr>
              <w:t xml:space="preserve">: </w:t>
            </w:r>
            <w:r>
              <w:rPr>
                <w:rStyle w:val="IndexLink"/>
                <w:rtl w:val="true"/>
              </w:rPr>
              <w:t>حفظ و نگهداری اخبار و روزنامه های رقومی</w:t>
            </w:r>
            <w:r>
              <w:rPr>
                <w:rStyle w:val="IndexLink"/>
                <w:rtl w:val="true"/>
              </w:rPr>
              <w:tab/>
            </w:r>
            <w:r>
              <w:rPr>
                <w:rStyle w:val="IndexLink"/>
              </w:rPr>
              <w:t>254</w:t>
            </w:r>
          </w:hyperlink>
        </w:p>
        <w:p>
          <w:pPr>
            <w:pStyle w:val="Contents3"/>
            <w:tabs>
              <w:tab w:val="clear" w:pos="8459"/>
              <w:tab w:val="right" w:pos="9026" w:leader="dot"/>
            </w:tabs>
            <w:rPr/>
          </w:pPr>
          <w:hyperlink w:anchor="__RefHeading___Toc7766638_2870459653">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7766640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254</w:t>
            </w:r>
          </w:hyperlink>
        </w:p>
        <w:p>
          <w:pPr>
            <w:pStyle w:val="Contents3"/>
            <w:tabs>
              <w:tab w:val="clear" w:pos="8459"/>
              <w:tab w:val="right" w:pos="9026" w:leader="dot"/>
            </w:tabs>
            <w:rPr/>
          </w:pPr>
          <w:hyperlink w:anchor="__RefHeading___Toc7766642_2870459653">
            <w:r>
              <w:rPr>
                <w:webHidden/>
                <w:rStyle w:val="IndexLink"/>
              </w:rPr>
              <w:t>2</w:t>
            </w:r>
            <w:r>
              <w:rPr>
                <w:rStyle w:val="IndexLink"/>
                <w:rtl w:val="true"/>
              </w:rPr>
              <w:t xml:space="preserve">- </w:t>
            </w:r>
            <w:r>
              <w:rPr>
                <w:rStyle w:val="IndexLink"/>
                <w:rtl w:val="true"/>
              </w:rPr>
              <w:t>رهنمودهای حفظ و نگهداری روزنامه های رقومی</w:t>
            </w:r>
            <w:r>
              <w:rPr>
                <w:rStyle w:val="IndexLink"/>
                <w:rtl w:val="true"/>
              </w:rPr>
              <w:tab/>
            </w:r>
            <w:r>
              <w:rPr>
                <w:rStyle w:val="IndexLink"/>
              </w:rPr>
              <w:t>256</w:t>
            </w:r>
          </w:hyperlink>
        </w:p>
        <w:p>
          <w:pPr>
            <w:pStyle w:val="Contents4"/>
            <w:tabs>
              <w:tab w:val="clear" w:pos="8176"/>
              <w:tab w:val="right" w:pos="9026" w:leader="dot"/>
            </w:tabs>
            <w:rPr/>
          </w:pPr>
          <w:hyperlink w:anchor="__RefHeading___Toc7766644_287045965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7766646_2870459653">
            <w:r>
              <w:rPr>
                <w:webHidden/>
                <w:rStyle w:val="IndexLink"/>
              </w:rPr>
              <w:t>2-1</w:t>
            </w:r>
            <w:r>
              <w:rPr>
                <w:rStyle w:val="IndexLink"/>
                <w:rtl w:val="true"/>
              </w:rPr>
              <w:t xml:space="preserve">- </w:t>
            </w:r>
            <w:r>
              <w:rPr>
                <w:rStyle w:val="IndexLink"/>
                <w:rtl w:val="true"/>
              </w:rPr>
              <w:t>نمونه ای از مطالب رهنمودهای حفظ و نگهداری منابع رقومی</w:t>
            </w:r>
            <w:r>
              <w:rPr>
                <w:rStyle w:val="IndexLink"/>
                <w:rtl w:val="true"/>
              </w:rPr>
              <w:tab/>
            </w:r>
            <w:r>
              <w:rPr>
                <w:rStyle w:val="IndexLink"/>
              </w:rPr>
              <w:t>258</w:t>
            </w:r>
          </w:hyperlink>
        </w:p>
        <w:p>
          <w:pPr>
            <w:pStyle w:val="Contents3"/>
            <w:tabs>
              <w:tab w:val="clear" w:pos="8459"/>
              <w:tab w:val="right" w:pos="9026" w:leader="dot"/>
            </w:tabs>
            <w:rPr/>
          </w:pPr>
          <w:hyperlink w:anchor="__RefHeading___Toc7766648_2870459653">
            <w:r>
              <w:rPr>
                <w:webHidden/>
                <w:rStyle w:val="IndexLink"/>
              </w:rPr>
              <w:t>3</w:t>
            </w:r>
            <w:r>
              <w:rPr>
                <w:rStyle w:val="IndexLink"/>
                <w:rtl w:val="true"/>
              </w:rPr>
              <w:t xml:space="preserve">- </w:t>
            </w:r>
            <w:r>
              <w:rPr>
                <w:rStyle w:val="IndexLink"/>
                <w:rtl w:val="true"/>
              </w:rPr>
              <w:t>آزمایش رهنمودهای حفظ و نگهداری منابع رقومی</w:t>
            </w:r>
            <w:r>
              <w:rPr>
                <w:rStyle w:val="IndexLink"/>
                <w:rtl w:val="true"/>
              </w:rPr>
              <w:tab/>
            </w:r>
            <w:r>
              <w:rPr>
                <w:rStyle w:val="IndexLink"/>
              </w:rPr>
              <w:t>260</w:t>
            </w:r>
          </w:hyperlink>
        </w:p>
        <w:p>
          <w:pPr>
            <w:pStyle w:val="Contents3"/>
            <w:tabs>
              <w:tab w:val="clear" w:pos="8459"/>
              <w:tab w:val="right" w:pos="9026" w:leader="dot"/>
            </w:tabs>
            <w:rPr/>
          </w:pPr>
          <w:hyperlink w:anchor="__RefHeading___Toc7766650_2870459653">
            <w:r>
              <w:rPr>
                <w:webHidden/>
                <w:rStyle w:val="IndexLink"/>
              </w:rPr>
              <w:t>4</w:t>
            </w:r>
            <w:r>
              <w:rPr>
                <w:rStyle w:val="IndexLink"/>
                <w:rtl w:val="true"/>
              </w:rPr>
              <w:t xml:space="preserve">- </w:t>
            </w:r>
            <w:r>
              <w:rPr>
                <w:rStyle w:val="IndexLink"/>
                <w:rtl w:val="true"/>
              </w:rPr>
              <w:t>تحلیل تطبیقی چارچوب های سامانه های توزیعی حفظ و نگهداری منابع رقمی</w:t>
            </w:r>
            <w:r>
              <w:rPr>
                <w:rStyle w:val="IndexLink"/>
                <w:rtl w:val="true"/>
              </w:rPr>
              <w:tab/>
            </w:r>
            <w:r>
              <w:rPr>
                <w:rStyle w:val="IndexLink"/>
              </w:rPr>
              <w:t>260</w:t>
            </w:r>
          </w:hyperlink>
        </w:p>
        <w:p>
          <w:pPr>
            <w:pStyle w:val="Contents3"/>
            <w:tabs>
              <w:tab w:val="clear" w:pos="8459"/>
              <w:tab w:val="right" w:pos="9026" w:leader="dot"/>
            </w:tabs>
            <w:rPr/>
          </w:pPr>
          <w:hyperlink w:anchor="__RefHeading___Toc7766652_2870459653">
            <w:r>
              <w:rPr>
                <w:webHidden/>
                <w:rStyle w:val="IndexLink"/>
              </w:rPr>
              <w:t>5</w:t>
            </w:r>
            <w:r>
              <w:rPr>
                <w:rStyle w:val="IndexLink"/>
                <w:rtl w:val="true"/>
              </w:rPr>
              <w:t xml:space="preserve">- </w:t>
            </w:r>
            <w:r>
              <w:rPr>
                <w:rStyle w:val="IndexLink"/>
                <w:rtl w:val="true"/>
              </w:rPr>
              <w:t>ابزارهای میان کنش پذیری</w:t>
            </w:r>
            <w:r>
              <w:rPr>
                <w:rStyle w:val="IndexLink"/>
                <w:rtl w:val="true"/>
              </w:rPr>
              <w:tab/>
            </w:r>
            <w:r>
              <w:rPr>
                <w:rStyle w:val="IndexLink"/>
              </w:rPr>
              <w:t>261</w:t>
            </w:r>
          </w:hyperlink>
        </w:p>
        <w:p>
          <w:pPr>
            <w:pStyle w:val="Contents3"/>
            <w:tabs>
              <w:tab w:val="clear" w:pos="8459"/>
              <w:tab w:val="right" w:pos="9026" w:leader="dot"/>
            </w:tabs>
            <w:rPr/>
          </w:pPr>
          <w:hyperlink w:anchor="__RefHeading___Toc7766654_2870459653">
            <w:r>
              <w:rPr>
                <w:webHidden/>
                <w:rStyle w:val="IndexLink"/>
              </w:rPr>
              <w:t>6</w:t>
            </w:r>
            <w:r>
              <w:rPr>
                <w:rStyle w:val="IndexLink"/>
                <w:rtl w:val="true"/>
              </w:rPr>
              <w:t xml:space="preserve">- </w:t>
            </w:r>
            <w:r>
              <w:rPr>
                <w:rStyle w:val="IndexLink"/>
                <w:rtl w:val="true"/>
              </w:rPr>
              <w:t>نتیجه گیری</w:t>
            </w:r>
            <w:r>
              <w:rPr>
                <w:rStyle w:val="IndexLink"/>
                <w:rtl w:val="true"/>
              </w:rPr>
              <w:tab/>
            </w:r>
            <w:r>
              <w:rPr>
                <w:rStyle w:val="IndexLink"/>
              </w:rPr>
              <w:t>264</w:t>
            </w:r>
          </w:hyperlink>
        </w:p>
        <w:p>
          <w:pPr>
            <w:pStyle w:val="Contents2"/>
            <w:tabs>
              <w:tab w:val="clear" w:pos="8743"/>
              <w:tab w:val="right" w:pos="9026" w:leader="dot"/>
            </w:tabs>
            <w:rPr/>
          </w:pPr>
          <w:hyperlink w:anchor="__RefHeading___Toc7766656_2870459653">
            <w:r>
              <w:rPr>
                <w:webHidden/>
                <w:rStyle w:val="IndexLink"/>
                <w:rtl w:val="true"/>
              </w:rPr>
              <w:t>چکیده</w:t>
            </w:r>
            <w:r>
              <w:rPr>
                <w:rStyle w:val="IndexLink"/>
                <w:rtl w:val="true"/>
              </w:rPr>
              <w:tab/>
            </w:r>
            <w:r>
              <w:rPr>
                <w:rStyle w:val="IndexLink"/>
              </w:rPr>
              <w:t>265</w:t>
            </w:r>
          </w:hyperlink>
        </w:p>
        <w:p>
          <w:pPr>
            <w:pStyle w:val="Contents2"/>
            <w:tabs>
              <w:tab w:val="clear" w:pos="8743"/>
              <w:tab w:val="right" w:pos="9026" w:leader="dot"/>
            </w:tabs>
            <w:rPr/>
          </w:pPr>
          <w:hyperlink w:anchor="__RefHeading___Toc7766658_2870459653">
            <w:r>
              <w:rPr>
                <w:webHidden/>
                <w:rStyle w:val="IndexLink"/>
                <w:rtl w:val="true"/>
              </w:rPr>
              <w:t>تنوع فرهنگی در کتابخانه های دانشگاه تورنتو</w:t>
            </w:r>
            <w:r>
              <w:rPr>
                <w:rStyle w:val="IndexLink"/>
                <w:rtl w:val="true"/>
              </w:rPr>
              <w:tab/>
            </w:r>
            <w:r>
              <w:rPr>
                <w:rStyle w:val="IndexLink"/>
              </w:rPr>
              <w:t>266</w:t>
            </w:r>
          </w:hyperlink>
        </w:p>
        <w:p>
          <w:pPr>
            <w:pStyle w:val="Contents3"/>
            <w:tabs>
              <w:tab w:val="clear" w:pos="8459"/>
              <w:tab w:val="right" w:pos="9026" w:leader="dot"/>
            </w:tabs>
            <w:rPr/>
          </w:pPr>
          <w:hyperlink w:anchor="__RefHeading___Toc7766660_2870459653">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7766662_2870459653">
            <w:r>
              <w:rPr>
                <w:webHidden/>
                <w:rStyle w:val="IndexLink"/>
                <w:rtl w:val="true"/>
              </w:rPr>
              <w:t>مقدمه</w:t>
            </w:r>
            <w:r>
              <w:rPr>
                <w:rStyle w:val="IndexLink"/>
                <w:rtl w:val="true"/>
              </w:rPr>
              <w:tab/>
            </w:r>
            <w:r>
              <w:rPr>
                <w:rStyle w:val="IndexLink"/>
              </w:rPr>
              <w:t>266</w:t>
            </w:r>
          </w:hyperlink>
        </w:p>
        <w:p>
          <w:pPr>
            <w:pStyle w:val="Contents3"/>
            <w:tabs>
              <w:tab w:val="clear" w:pos="8459"/>
              <w:tab w:val="right" w:pos="9026" w:leader="dot"/>
            </w:tabs>
            <w:rPr/>
          </w:pPr>
          <w:hyperlink w:anchor="__RefHeading___Toc7766664_2870459653">
            <w:r>
              <w:rPr>
                <w:webHidden/>
                <w:rStyle w:val="IndexLink"/>
                <w:rtl w:val="true"/>
              </w:rPr>
              <w:t>مفهوم سیاست مهاجرت و چند فرهنگی در کانادا</w:t>
            </w:r>
            <w:r>
              <w:rPr>
                <w:rStyle w:val="IndexLink"/>
                <w:rtl w:val="true"/>
              </w:rPr>
              <w:tab/>
            </w:r>
            <w:r>
              <w:rPr>
                <w:rStyle w:val="IndexLink"/>
              </w:rPr>
              <w:t>266</w:t>
            </w:r>
          </w:hyperlink>
        </w:p>
        <w:p>
          <w:pPr>
            <w:pStyle w:val="Contents3"/>
            <w:tabs>
              <w:tab w:val="clear" w:pos="8459"/>
              <w:tab w:val="right" w:pos="9026" w:leader="dot"/>
            </w:tabs>
            <w:rPr/>
          </w:pPr>
          <w:hyperlink w:anchor="__RefHeading___Toc7766666_2870459653">
            <w:r>
              <w:rPr>
                <w:webHidden/>
                <w:rStyle w:val="IndexLink"/>
                <w:rtl w:val="true"/>
              </w:rPr>
              <w:t xml:space="preserve">نکات برجسته بررسی تنوع قومی کانادا </w:t>
            </w:r>
            <w:r>
              <w:rPr>
                <w:rStyle w:val="IndexLink"/>
                <w:rtl w:val="true"/>
              </w:rPr>
              <w:t>(</w:t>
            </w:r>
            <w:r>
              <w:rPr>
                <w:rStyle w:val="IndexLink"/>
              </w:rPr>
              <w:t>2002</w:t>
            </w:r>
            <w:r>
              <w:rPr>
                <w:rStyle w:val="IndexLink"/>
                <w:rtl w:val="true"/>
              </w:rPr>
              <w:t>)</w:t>
              <w:tab/>
            </w:r>
            <w:r>
              <w:rPr>
                <w:rStyle w:val="IndexLink"/>
              </w:rPr>
              <w:t>269</w:t>
            </w:r>
          </w:hyperlink>
        </w:p>
        <w:p>
          <w:pPr>
            <w:pStyle w:val="Contents3"/>
            <w:tabs>
              <w:tab w:val="clear" w:pos="8459"/>
              <w:tab w:val="right" w:pos="9026" w:leader="dot"/>
            </w:tabs>
            <w:rPr/>
          </w:pPr>
          <w:hyperlink w:anchor="__RefHeading___Toc7766668_2870459653">
            <w:r>
              <w:rPr>
                <w:webHidden/>
                <w:rStyle w:val="IndexLink"/>
                <w:rtl w:val="true"/>
              </w:rPr>
              <w:t>دانشگاه تورنتو</w:t>
            </w:r>
            <w:r>
              <w:rPr>
                <w:rStyle w:val="IndexLink"/>
                <w:rtl w:val="true"/>
              </w:rPr>
              <w:tab/>
            </w:r>
            <w:r>
              <w:rPr>
                <w:rStyle w:val="IndexLink"/>
              </w:rPr>
              <w:t>271</w:t>
            </w:r>
          </w:hyperlink>
        </w:p>
        <w:p>
          <w:pPr>
            <w:pStyle w:val="Contents3"/>
            <w:tabs>
              <w:tab w:val="clear" w:pos="8459"/>
              <w:tab w:val="right" w:pos="9026" w:leader="dot"/>
            </w:tabs>
            <w:rPr/>
          </w:pPr>
          <w:hyperlink w:anchor="__RefHeading___Toc7766670_2870459653">
            <w:r>
              <w:rPr>
                <w:webHidden/>
                <w:rStyle w:val="IndexLink"/>
                <w:rtl w:val="true"/>
              </w:rPr>
              <w:t>حرفه کتابداری و اطلاع رسانی</w:t>
            </w:r>
            <w:r>
              <w:rPr>
                <w:rStyle w:val="IndexLink"/>
                <w:rtl w:val="true"/>
              </w:rPr>
              <w:tab/>
            </w:r>
            <w:r>
              <w:rPr>
                <w:rStyle w:val="IndexLink"/>
              </w:rPr>
              <w:t>273</w:t>
            </w:r>
          </w:hyperlink>
        </w:p>
        <w:p>
          <w:pPr>
            <w:pStyle w:val="Contents3"/>
            <w:tabs>
              <w:tab w:val="clear" w:pos="8459"/>
              <w:tab w:val="right" w:pos="9026" w:leader="dot"/>
            </w:tabs>
            <w:rPr/>
          </w:pPr>
          <w:hyperlink w:anchor="__RefHeading___Toc7766672_2870459653">
            <w:r>
              <w:rPr>
                <w:webHidden/>
                <w:rStyle w:val="IndexLink"/>
                <w:rtl w:val="true"/>
              </w:rPr>
              <w:t>کتابخانه های دانشگاه تورنتو</w:t>
            </w:r>
            <w:r>
              <w:rPr>
                <w:rStyle w:val="IndexLink"/>
                <w:rtl w:val="true"/>
              </w:rPr>
              <w:tab/>
            </w:r>
            <w:r>
              <w:rPr>
                <w:rStyle w:val="IndexLink"/>
              </w:rPr>
              <w:t>274</w:t>
            </w:r>
          </w:hyperlink>
        </w:p>
        <w:p>
          <w:pPr>
            <w:pStyle w:val="Contents3"/>
            <w:tabs>
              <w:tab w:val="clear" w:pos="8459"/>
              <w:tab w:val="right" w:pos="9026" w:leader="dot"/>
            </w:tabs>
            <w:rPr/>
          </w:pPr>
          <w:hyperlink w:anchor="__RefHeading___Toc7766674_2870459653">
            <w:r>
              <w:rPr>
                <w:webHidden/>
                <w:rStyle w:val="IndexLink"/>
                <w:rtl w:val="true"/>
              </w:rPr>
              <w:t>نتیجه گیری</w:t>
            </w:r>
            <w:r>
              <w:rPr>
                <w:rStyle w:val="IndexLink"/>
                <w:rtl w:val="true"/>
              </w:rPr>
              <w:tab/>
            </w:r>
            <w:r>
              <w:rPr>
                <w:rStyle w:val="IndexLink"/>
              </w:rPr>
              <w:t>275</w:t>
            </w:r>
          </w:hyperlink>
        </w:p>
        <w:p>
          <w:pPr>
            <w:pStyle w:val="Contents3"/>
            <w:tabs>
              <w:tab w:val="clear" w:pos="8459"/>
              <w:tab w:val="right" w:pos="9026" w:leader="dot"/>
            </w:tabs>
            <w:rPr/>
          </w:pPr>
          <w:hyperlink w:anchor="__RefHeading___Toc7766676_2870459653">
            <w:r>
              <w:rPr>
                <w:webHidden/>
                <w:rStyle w:val="IndexLink"/>
                <w:rtl w:val="true"/>
              </w:rPr>
              <w:t>منابع</w:t>
            </w:r>
            <w:r>
              <w:rPr>
                <w:rStyle w:val="IndexLink"/>
                <w:rtl w:val="true"/>
              </w:rPr>
              <w:tab/>
            </w:r>
            <w:r>
              <w:rPr>
                <w:rStyle w:val="IndexLink"/>
              </w:rPr>
              <w:t>276</w:t>
            </w:r>
          </w:hyperlink>
        </w:p>
        <w:p>
          <w:pPr>
            <w:pStyle w:val="Contents2"/>
            <w:tabs>
              <w:tab w:val="clear" w:pos="8743"/>
              <w:tab w:val="right" w:pos="9026" w:leader="dot"/>
            </w:tabs>
            <w:rPr/>
          </w:pPr>
          <w:hyperlink w:anchor="__RefHeading___Toc7766678_2870459653">
            <w:r>
              <w:rPr>
                <w:webHidden/>
                <w:rStyle w:val="IndexLink"/>
                <w:rtl w:val="true"/>
              </w:rPr>
              <w:t>چکیده</w:t>
            </w:r>
            <w:r>
              <w:rPr>
                <w:rStyle w:val="IndexLink"/>
                <w:rtl w:val="true"/>
              </w:rPr>
              <w:tab/>
            </w:r>
            <w:r>
              <w:rPr>
                <w:rStyle w:val="IndexLink"/>
              </w:rPr>
              <w:t>279</w:t>
            </w:r>
          </w:hyperlink>
        </w:p>
        <w:p>
          <w:pPr>
            <w:pStyle w:val="Contents2"/>
            <w:tabs>
              <w:tab w:val="clear" w:pos="8743"/>
              <w:tab w:val="right" w:pos="9026" w:leader="dot"/>
            </w:tabs>
            <w:rPr/>
          </w:pPr>
          <w:hyperlink w:anchor="__RefHeading___Toc7766680_2870459653">
            <w:r>
              <w:rPr>
                <w:webHidden/>
                <w:rStyle w:val="IndexLink"/>
                <w:rtl w:val="true"/>
              </w:rPr>
              <w:t>روابط درونی سواد اطلاعاتی با استفاده از محیط های آموزش مجازی</w:t>
            </w:r>
            <w:r>
              <w:rPr>
                <w:rStyle w:val="IndexLink"/>
                <w:rtl w:val="true"/>
              </w:rPr>
              <w:tab/>
            </w:r>
            <w:r>
              <w:rPr>
                <w:rStyle w:val="IndexLink"/>
              </w:rPr>
              <w:t>280</w:t>
            </w:r>
          </w:hyperlink>
        </w:p>
        <w:p>
          <w:pPr>
            <w:pStyle w:val="Contents3"/>
            <w:tabs>
              <w:tab w:val="clear" w:pos="8459"/>
              <w:tab w:val="right" w:pos="9026" w:leader="dot"/>
            </w:tabs>
            <w:rPr/>
          </w:pPr>
          <w:hyperlink w:anchor="__RefHeading___Toc7766682_2870459653">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7766684_2870459653">
            <w:r>
              <w:rPr>
                <w:webHidden/>
                <w:rStyle w:val="IndexLink"/>
                <w:rtl w:val="true"/>
              </w:rPr>
              <w:t>مقدمه</w:t>
            </w:r>
            <w:r>
              <w:rPr>
                <w:rStyle w:val="IndexLink"/>
                <w:rtl w:val="true"/>
              </w:rPr>
              <w:tab/>
            </w:r>
            <w:r>
              <w:rPr>
                <w:rStyle w:val="IndexLink"/>
              </w:rPr>
              <w:t>280</w:t>
            </w:r>
          </w:hyperlink>
        </w:p>
        <w:p>
          <w:pPr>
            <w:pStyle w:val="Contents3"/>
            <w:tabs>
              <w:tab w:val="clear" w:pos="8459"/>
              <w:tab w:val="right" w:pos="9026" w:leader="dot"/>
            </w:tabs>
            <w:rPr/>
          </w:pPr>
          <w:hyperlink w:anchor="__RefHeading___Toc7766686_2870459653">
            <w:r>
              <w:rPr>
                <w:webHidden/>
                <w:rStyle w:val="IndexLink"/>
                <w:rtl w:val="true"/>
              </w:rPr>
              <w:t>تولد سواد اطلاعاتی</w:t>
            </w:r>
            <w:r>
              <w:rPr>
                <w:rStyle w:val="IndexLink"/>
                <w:rtl w:val="true"/>
              </w:rPr>
              <w:tab/>
            </w:r>
            <w:r>
              <w:rPr>
                <w:rStyle w:val="IndexLink"/>
              </w:rPr>
              <w:t>281</w:t>
            </w:r>
          </w:hyperlink>
        </w:p>
        <w:p>
          <w:pPr>
            <w:pStyle w:val="Contents3"/>
            <w:tabs>
              <w:tab w:val="clear" w:pos="8459"/>
              <w:tab w:val="right" w:pos="9026" w:leader="dot"/>
            </w:tabs>
            <w:rPr/>
          </w:pPr>
          <w:hyperlink w:anchor="__RefHeading___Toc7766688_2870459653">
            <w:r>
              <w:rPr>
                <w:webHidden/>
                <w:rStyle w:val="IndexLink"/>
                <w:rtl w:val="true"/>
              </w:rPr>
              <w:t>رشد تحصیلات برخط</w:t>
            </w:r>
            <w:r>
              <w:rPr>
                <w:rStyle w:val="IndexLink"/>
                <w:rtl w:val="true"/>
              </w:rPr>
              <w:tab/>
            </w:r>
            <w:r>
              <w:rPr>
                <w:rStyle w:val="IndexLink"/>
              </w:rPr>
              <w:t>282</w:t>
            </w:r>
          </w:hyperlink>
        </w:p>
        <w:p>
          <w:pPr>
            <w:pStyle w:val="Contents3"/>
            <w:tabs>
              <w:tab w:val="clear" w:pos="8459"/>
              <w:tab w:val="right" w:pos="9026" w:leader="dot"/>
            </w:tabs>
            <w:rPr/>
          </w:pPr>
          <w:hyperlink w:anchor="__RefHeading___Toc7766690_2870459653">
            <w:r>
              <w:rPr>
                <w:webHidden/>
                <w:rStyle w:val="IndexLink"/>
                <w:rtl w:val="true"/>
              </w:rPr>
              <w:t>نظام های مدیریت آموزشی</w:t>
            </w:r>
            <w:r>
              <w:rPr>
                <w:rStyle w:val="IndexLink"/>
                <w:rtl w:val="true"/>
              </w:rPr>
              <w:tab/>
            </w:r>
            <w:r>
              <w:rPr>
                <w:rStyle w:val="IndexLink"/>
              </w:rPr>
              <w:t>282</w:t>
            </w:r>
          </w:hyperlink>
        </w:p>
        <w:p>
          <w:pPr>
            <w:pStyle w:val="Contents3"/>
            <w:tabs>
              <w:tab w:val="clear" w:pos="8459"/>
              <w:tab w:val="right" w:pos="9026" w:leader="dot"/>
            </w:tabs>
            <w:rPr/>
          </w:pPr>
          <w:hyperlink w:anchor="__RefHeading___Toc7766692_2870459653">
            <w:r>
              <w:rPr>
                <w:webHidden/>
                <w:rStyle w:val="IndexLink"/>
                <w:rtl w:val="true"/>
              </w:rPr>
              <w:t>حرکت به سوی سازندگی با استفاده از ال ام اس و ابزارهای ابداعی</w:t>
            </w:r>
            <w:r>
              <w:rPr>
                <w:rStyle w:val="IndexLink"/>
                <w:rtl w:val="true"/>
              </w:rPr>
              <w:tab/>
            </w:r>
            <w:r>
              <w:rPr>
                <w:rStyle w:val="IndexLink"/>
              </w:rPr>
              <w:t>284</w:t>
            </w:r>
          </w:hyperlink>
        </w:p>
        <w:p>
          <w:pPr>
            <w:pStyle w:val="Contents3"/>
            <w:tabs>
              <w:tab w:val="clear" w:pos="8459"/>
              <w:tab w:val="right" w:pos="9026" w:leader="dot"/>
            </w:tabs>
            <w:rPr/>
          </w:pPr>
          <w:hyperlink w:anchor="__RefHeading___Toc7766694_2870459653">
            <w:r>
              <w:rPr>
                <w:webHidden/>
                <w:rStyle w:val="IndexLink"/>
                <w:rtl w:val="true"/>
              </w:rPr>
              <w:t>بازتاب ها در زمینه اثرات فناوری بر آموزش محتوا و آموزش چگونه آموختن</w:t>
            </w:r>
            <w:r>
              <w:rPr>
                <w:rStyle w:val="IndexLink"/>
                <w:rtl w:val="true"/>
              </w:rPr>
              <w:tab/>
            </w:r>
            <w:r>
              <w:rPr>
                <w:rStyle w:val="IndexLink"/>
              </w:rPr>
              <w:t>289</w:t>
            </w:r>
          </w:hyperlink>
        </w:p>
        <w:p>
          <w:pPr>
            <w:pStyle w:val="Contents3"/>
            <w:tabs>
              <w:tab w:val="clear" w:pos="8459"/>
              <w:tab w:val="right" w:pos="9026" w:leader="dot"/>
            </w:tabs>
            <w:rPr/>
          </w:pPr>
          <w:hyperlink w:anchor="__RefHeading___Toc7766696_2870459653">
            <w:r>
              <w:rPr>
                <w:webHidden/>
                <w:rStyle w:val="IndexLink"/>
                <w:rtl w:val="true"/>
              </w:rPr>
              <w:t>منابع</w:t>
            </w:r>
            <w:r>
              <w:rPr>
                <w:rStyle w:val="IndexLink"/>
                <w:rtl w:val="true"/>
              </w:rPr>
              <w:tab/>
            </w:r>
            <w:r>
              <w:rPr>
                <w:rStyle w:val="IndexLink"/>
              </w:rPr>
              <w:t>293</w:t>
            </w:r>
          </w:hyperlink>
        </w:p>
        <w:p>
          <w:pPr>
            <w:pStyle w:val="Contents2"/>
            <w:tabs>
              <w:tab w:val="clear" w:pos="8743"/>
              <w:tab w:val="right" w:pos="9026" w:leader="dot"/>
            </w:tabs>
            <w:rPr/>
          </w:pPr>
          <w:hyperlink w:anchor="__RefHeading___Toc7766698_2870459653">
            <w:r>
              <w:rPr>
                <w:webHidden/>
                <w:rStyle w:val="IndexLink"/>
                <w:rtl w:val="true"/>
              </w:rPr>
              <w:t>چکیده</w:t>
            </w:r>
            <w:r>
              <w:rPr>
                <w:rStyle w:val="IndexLink"/>
                <w:rtl w:val="true"/>
              </w:rPr>
              <w:tab/>
            </w:r>
            <w:r>
              <w:rPr>
                <w:rStyle w:val="IndexLink"/>
              </w:rPr>
              <w:t>295</w:t>
            </w:r>
          </w:hyperlink>
        </w:p>
        <w:p>
          <w:pPr>
            <w:pStyle w:val="Contents2"/>
            <w:tabs>
              <w:tab w:val="clear" w:pos="8743"/>
              <w:tab w:val="right" w:pos="9026" w:leader="dot"/>
            </w:tabs>
            <w:rPr/>
          </w:pPr>
          <w:hyperlink w:anchor="__RefHeading___Toc7766700_2870459653">
            <w:r>
              <w:rPr>
                <w:webHidden/>
                <w:rStyle w:val="IndexLink"/>
                <w:rtl w:val="true"/>
              </w:rPr>
              <w:t>مدیریت چالاکی</w:t>
            </w:r>
            <w:r>
              <w:rPr>
                <w:rStyle w:val="IndexLink"/>
                <w:rtl w:val="true"/>
              </w:rPr>
              <w:t xml:space="preserve">: </w:t>
            </w:r>
            <w:r>
              <w:rPr>
                <w:rStyle w:val="IndexLink"/>
                <w:rtl w:val="true"/>
              </w:rPr>
              <w:t xml:space="preserve">راهبردهایی برای موفقیت در مدت زمان تغییرات سریع </w:t>
            </w:r>
            <w:r>
              <w:rPr>
                <w:rStyle w:val="IndexLink"/>
                <w:rtl w:val="true"/>
              </w:rPr>
              <w:t>(</w:t>
            </w:r>
            <w:r>
              <w:rPr>
                <w:rStyle w:val="IndexLink"/>
                <w:rtl w:val="true"/>
              </w:rPr>
              <w:t>مطالعه موردی</w:t>
            </w:r>
            <w:r>
              <w:rPr>
                <w:rStyle w:val="IndexLink"/>
                <w:rtl w:val="true"/>
              </w:rPr>
              <w:t xml:space="preserve">) </w:t>
            </w:r>
            <w:r>
              <w:rPr>
                <w:rStyle w:val="IndexLink"/>
                <w:rtl w:val="true"/>
              </w:rPr>
              <w:t>یک کتابخانه دانشگاهی استرالیایی</w:t>
            </w:r>
            <w:r>
              <w:rPr>
                <w:rStyle w:val="IndexLink"/>
                <w:rtl w:val="true"/>
              </w:rPr>
              <w:tab/>
            </w:r>
            <w:r>
              <w:rPr>
                <w:rStyle w:val="IndexLink"/>
              </w:rPr>
              <w:t>296</w:t>
            </w:r>
          </w:hyperlink>
        </w:p>
        <w:p>
          <w:pPr>
            <w:pStyle w:val="Contents3"/>
            <w:tabs>
              <w:tab w:val="clear" w:pos="8459"/>
              <w:tab w:val="right" w:pos="9026" w:leader="dot"/>
            </w:tabs>
            <w:rPr/>
          </w:pPr>
          <w:hyperlink w:anchor="__RefHeading___Toc7766702_2870459653">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7766704_2870459653">
            <w:r>
              <w:rPr>
                <w:webHidden/>
                <w:rStyle w:val="IndexLink"/>
                <w:rtl w:val="true"/>
              </w:rPr>
              <w:t>مقدمه</w:t>
            </w:r>
            <w:r>
              <w:rPr>
                <w:rStyle w:val="IndexLink"/>
                <w:rtl w:val="true"/>
              </w:rPr>
              <w:tab/>
            </w:r>
            <w:r>
              <w:rPr>
                <w:rStyle w:val="IndexLink"/>
              </w:rPr>
              <w:t>296</w:t>
            </w:r>
          </w:hyperlink>
        </w:p>
        <w:p>
          <w:pPr>
            <w:pStyle w:val="Contents3"/>
            <w:tabs>
              <w:tab w:val="clear" w:pos="8459"/>
              <w:tab w:val="right" w:pos="9026" w:leader="dot"/>
            </w:tabs>
            <w:rPr/>
          </w:pPr>
          <w:hyperlink w:anchor="__RefHeading___Toc7766706_2870459653">
            <w:r>
              <w:rPr>
                <w:webHidden/>
                <w:rStyle w:val="IndexLink"/>
                <w:rtl w:val="true"/>
              </w:rPr>
              <w:t>تغییرات در دبیرستان ها و کتابخانه های دانشگاهی استرالیایی</w:t>
            </w:r>
            <w:r>
              <w:rPr>
                <w:rStyle w:val="IndexLink"/>
                <w:rtl w:val="true"/>
              </w:rPr>
              <w:tab/>
            </w:r>
            <w:r>
              <w:rPr>
                <w:rStyle w:val="IndexLink"/>
              </w:rPr>
              <w:t>298</w:t>
            </w:r>
          </w:hyperlink>
        </w:p>
        <w:p>
          <w:pPr>
            <w:pStyle w:val="Contents4"/>
            <w:tabs>
              <w:tab w:val="clear" w:pos="8176"/>
              <w:tab w:val="right" w:pos="9026" w:leader="dot"/>
            </w:tabs>
            <w:rPr/>
          </w:pPr>
          <w:hyperlink w:anchor="__RefHeading___Toc7766708_2870459653">
            <w:r>
              <w:rPr>
                <w:webHidden/>
                <w:rStyle w:val="IndexLink"/>
                <w:rtl w:val="true"/>
              </w:rPr>
              <w:t>پیش زمینه</w:t>
            </w:r>
            <w:r>
              <w:rPr>
                <w:rStyle w:val="IndexLink"/>
                <w:rtl w:val="true"/>
              </w:rPr>
              <w:tab/>
            </w:r>
            <w:r>
              <w:rPr>
                <w:rStyle w:val="IndexLink"/>
              </w:rPr>
              <w:t>298</w:t>
            </w:r>
          </w:hyperlink>
        </w:p>
        <w:p>
          <w:pPr>
            <w:pStyle w:val="Contents3"/>
            <w:tabs>
              <w:tab w:val="clear" w:pos="8459"/>
              <w:tab w:val="right" w:pos="9026" w:leader="dot"/>
            </w:tabs>
            <w:rPr/>
          </w:pPr>
          <w:hyperlink w:anchor="__RefHeading___Toc7766710_2870459653">
            <w:r>
              <w:rPr>
                <w:webHidden/>
                <w:rStyle w:val="IndexLink"/>
                <w:rtl w:val="true"/>
              </w:rPr>
              <w:t>چطور باید این مساله را مدیریت می کردند؟</w:t>
            </w:r>
            <w:r>
              <w:rPr>
                <w:rStyle w:val="IndexLink"/>
                <w:rtl w:val="true"/>
              </w:rPr>
              <w:tab/>
            </w:r>
            <w:r>
              <w:rPr>
                <w:rStyle w:val="IndexLink"/>
              </w:rPr>
              <w:t>299</w:t>
            </w:r>
          </w:hyperlink>
        </w:p>
        <w:p>
          <w:pPr>
            <w:pStyle w:val="Contents4"/>
            <w:tabs>
              <w:tab w:val="clear" w:pos="8176"/>
              <w:tab w:val="right" w:pos="9026" w:leader="dot"/>
            </w:tabs>
            <w:rPr/>
          </w:pPr>
          <w:hyperlink w:anchor="__RefHeading___Toc7766712_2870459653">
            <w:r>
              <w:rPr>
                <w:webHidden/>
                <w:rStyle w:val="IndexLink"/>
                <w:rtl w:val="true"/>
              </w:rPr>
              <w:t>خلاقیت و اطلاعات رقومی</w:t>
            </w:r>
            <w:r>
              <w:rPr>
                <w:rStyle w:val="IndexLink"/>
                <w:rtl w:val="true"/>
              </w:rPr>
              <w:tab/>
            </w:r>
            <w:r>
              <w:rPr>
                <w:rStyle w:val="IndexLink"/>
              </w:rPr>
              <w:t>299</w:t>
            </w:r>
          </w:hyperlink>
        </w:p>
        <w:p>
          <w:pPr>
            <w:pStyle w:val="Contents3"/>
            <w:tabs>
              <w:tab w:val="clear" w:pos="8459"/>
              <w:tab w:val="right" w:pos="9026" w:leader="dot"/>
            </w:tabs>
            <w:rPr/>
          </w:pPr>
          <w:hyperlink w:anchor="__RefHeading___Toc7766714_2870459653">
            <w:r>
              <w:rPr>
                <w:webHidden/>
                <w:rStyle w:val="IndexLink"/>
                <w:rtl w:val="true"/>
              </w:rPr>
              <w:t>مخازن رقومی و نقش های جدید</w:t>
            </w:r>
            <w:r>
              <w:rPr>
                <w:rStyle w:val="IndexLink"/>
                <w:rtl w:val="true"/>
              </w:rPr>
              <w:tab/>
            </w:r>
            <w:r>
              <w:rPr>
                <w:rStyle w:val="IndexLink"/>
              </w:rPr>
              <w:t>300</w:t>
            </w:r>
          </w:hyperlink>
        </w:p>
        <w:p>
          <w:pPr>
            <w:pStyle w:val="Contents3"/>
            <w:tabs>
              <w:tab w:val="clear" w:pos="8459"/>
              <w:tab w:val="right" w:pos="9026" w:leader="dot"/>
            </w:tabs>
            <w:rPr/>
          </w:pPr>
          <w:hyperlink w:anchor="__RefHeading___Toc7766716_2870459653">
            <w:r>
              <w:rPr>
                <w:webHidden/>
                <w:rStyle w:val="IndexLink"/>
                <w:rtl w:val="true"/>
              </w:rPr>
              <w:t>مدیریت چالاکی در کتابخانه یو اِن اِس دبلیو</w:t>
            </w:r>
            <w:r>
              <w:rPr>
                <w:rStyle w:val="IndexLink"/>
                <w:rtl w:val="true"/>
              </w:rPr>
              <w:tab/>
            </w:r>
            <w:r>
              <w:rPr>
                <w:rStyle w:val="IndexLink"/>
              </w:rPr>
              <w:t>302</w:t>
            </w:r>
          </w:hyperlink>
        </w:p>
        <w:p>
          <w:pPr>
            <w:pStyle w:val="Contents3"/>
            <w:tabs>
              <w:tab w:val="clear" w:pos="8459"/>
              <w:tab w:val="right" w:pos="9026" w:leader="dot"/>
            </w:tabs>
            <w:rPr/>
          </w:pPr>
          <w:hyperlink w:anchor="__RefHeading___Toc7766718_2870459653">
            <w:r>
              <w:rPr>
                <w:webHidden/>
                <w:rStyle w:val="IndexLink"/>
                <w:rtl w:val="true"/>
              </w:rPr>
              <w:t>منابع</w:t>
            </w:r>
            <w:r>
              <w:rPr>
                <w:rStyle w:val="IndexLink"/>
                <w:rtl w:val="true"/>
              </w:rPr>
              <w:t>:</w:t>
              <w:tab/>
            </w:r>
            <w:r>
              <w:rPr>
                <w:rStyle w:val="IndexLink"/>
              </w:rPr>
              <w:t>305</w:t>
            </w:r>
          </w:hyperlink>
        </w:p>
        <w:p>
          <w:pPr>
            <w:pStyle w:val="Contents2"/>
            <w:tabs>
              <w:tab w:val="clear" w:pos="8743"/>
              <w:tab w:val="right" w:pos="9026" w:leader="dot"/>
            </w:tabs>
            <w:rPr/>
          </w:pPr>
          <w:hyperlink w:anchor="__RefHeading___Toc7766720_2870459653">
            <w:r>
              <w:rPr>
                <w:webHidden/>
                <w:rStyle w:val="IndexLink"/>
                <w:rtl w:val="true"/>
              </w:rPr>
              <w:t>چکیده</w:t>
            </w:r>
            <w:r>
              <w:rPr>
                <w:rStyle w:val="IndexLink"/>
                <w:rtl w:val="true"/>
              </w:rPr>
              <w:tab/>
            </w:r>
            <w:r>
              <w:rPr>
                <w:rStyle w:val="IndexLink"/>
              </w:rPr>
              <w:t>307</w:t>
            </w:r>
          </w:hyperlink>
        </w:p>
        <w:p>
          <w:pPr>
            <w:pStyle w:val="Contents2"/>
            <w:tabs>
              <w:tab w:val="clear" w:pos="8743"/>
              <w:tab w:val="right" w:pos="9026" w:leader="dot"/>
            </w:tabs>
            <w:rPr/>
          </w:pPr>
          <w:hyperlink w:anchor="__RefHeading___Toc7766722_2870459653">
            <w:r>
              <w:rPr>
                <w:webHidden/>
                <w:rStyle w:val="IndexLink"/>
                <w:rtl w:val="true"/>
              </w:rPr>
              <w:t xml:space="preserve">دوره برخط گسترده آزاد </w:t>
            </w:r>
            <w:r>
              <w:rPr>
                <w:rStyle w:val="IndexLink"/>
                <w:rtl w:val="true"/>
              </w:rPr>
              <w:t>(</w:t>
            </w:r>
            <w:r>
              <w:rPr>
                <w:rStyle w:val="IndexLink"/>
                <w:rtl w:val="true"/>
              </w:rPr>
              <w:t>موک</w:t>
            </w:r>
            <w:r>
              <w:rPr>
                <w:rStyle w:val="IndexLink"/>
                <w:rtl w:val="true"/>
              </w:rPr>
              <w:t xml:space="preserve">) </w:t>
            </w:r>
            <w:r>
              <w:rPr>
                <w:rStyle w:val="IndexLink"/>
                <w:rtl w:val="true"/>
              </w:rPr>
              <w:t>و کتابخانه</w:t>
            </w:r>
            <w:r>
              <w:rPr>
                <w:rStyle w:val="IndexLink"/>
                <w:rtl w:val="true"/>
              </w:rPr>
              <w:t xml:space="preserve">: </w:t>
            </w:r>
            <w:r>
              <w:rPr>
                <w:rStyle w:val="IndexLink"/>
                <w:rtl w:val="true"/>
              </w:rPr>
              <w:t>پرداختن به روند تکامل تعلیم و تربیت</w:t>
            </w:r>
            <w:r>
              <w:rPr>
                <w:rStyle w:val="IndexLink"/>
                <w:rtl w:val="true"/>
              </w:rPr>
              <w:tab/>
            </w:r>
            <w:r>
              <w:rPr>
                <w:rStyle w:val="IndexLink"/>
              </w:rPr>
              <w:t>308</w:t>
            </w:r>
          </w:hyperlink>
        </w:p>
        <w:p>
          <w:pPr>
            <w:pStyle w:val="Contents3"/>
            <w:tabs>
              <w:tab w:val="clear" w:pos="8459"/>
              <w:tab w:val="right" w:pos="9026" w:leader="dot"/>
            </w:tabs>
            <w:rPr/>
          </w:pPr>
          <w:hyperlink w:anchor="__RefHeading___Toc7766724_2870459653">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7766726_2870459653">
            <w:r>
              <w:rPr>
                <w:webHidden/>
                <w:rStyle w:val="IndexLink"/>
              </w:rPr>
              <w:t>1</w:t>
            </w:r>
            <w:r>
              <w:rPr>
                <w:rStyle w:val="IndexLink"/>
                <w:rtl w:val="true"/>
              </w:rPr>
              <w:t xml:space="preserve">. </w:t>
            </w:r>
            <w:r>
              <w:rPr>
                <w:rStyle w:val="IndexLink"/>
                <w:rtl w:val="true"/>
              </w:rPr>
              <w:t>مرور مطالب</w:t>
            </w:r>
            <w:r>
              <w:rPr>
                <w:rStyle w:val="IndexLink"/>
                <w:rtl w:val="true"/>
              </w:rPr>
              <w:tab/>
            </w:r>
            <w:r>
              <w:rPr>
                <w:rStyle w:val="IndexLink"/>
              </w:rPr>
              <w:t>308</w:t>
            </w:r>
          </w:hyperlink>
        </w:p>
        <w:p>
          <w:pPr>
            <w:pStyle w:val="Contents3"/>
            <w:tabs>
              <w:tab w:val="clear" w:pos="8459"/>
              <w:tab w:val="right" w:pos="9026" w:leader="dot"/>
            </w:tabs>
            <w:rPr/>
          </w:pPr>
          <w:hyperlink w:anchor="__RefHeading___Toc7766728_2870459653">
            <w:r>
              <w:rPr>
                <w:webHidden/>
                <w:rStyle w:val="IndexLink"/>
              </w:rPr>
              <w:t>2</w:t>
            </w:r>
            <w:r>
              <w:rPr>
                <w:rStyle w:val="IndexLink"/>
                <w:rtl w:val="true"/>
              </w:rPr>
              <w:t xml:space="preserve">. </w:t>
            </w:r>
            <w:r>
              <w:rPr>
                <w:rStyle w:val="IndexLink"/>
                <w:rtl w:val="true"/>
              </w:rPr>
              <w:t>یادگیری از راه دور، یادگیری برخط، و دوره های برخط گسترده آزاد</w:t>
            </w:r>
            <w:r>
              <w:rPr>
                <w:rStyle w:val="IndexLink"/>
                <w:rtl w:val="true"/>
              </w:rPr>
              <w:tab/>
            </w:r>
            <w:r>
              <w:rPr>
                <w:rStyle w:val="IndexLink"/>
              </w:rPr>
              <w:t>309</w:t>
            </w:r>
          </w:hyperlink>
        </w:p>
        <w:p>
          <w:pPr>
            <w:pStyle w:val="Contents3"/>
            <w:tabs>
              <w:tab w:val="clear" w:pos="8459"/>
              <w:tab w:val="right" w:pos="9026" w:leader="dot"/>
            </w:tabs>
            <w:rPr/>
          </w:pPr>
          <w:hyperlink w:anchor="__RefHeading___Toc7766730_2870459653">
            <w:r>
              <w:rPr>
                <w:webHidden/>
                <w:rStyle w:val="IndexLink"/>
              </w:rPr>
              <w:t>3</w:t>
            </w:r>
            <w:r>
              <w:rPr>
                <w:rStyle w:val="IndexLink"/>
                <w:rtl w:val="true"/>
              </w:rPr>
              <w:t xml:space="preserve">. </w:t>
            </w:r>
            <w:r>
              <w:rPr>
                <w:rStyle w:val="IndexLink"/>
                <w:rtl w:val="true"/>
              </w:rPr>
              <w:t>دوره های برخط گسترده آزاد در دانشکده استانفورد و کتابخانه های آن</w:t>
            </w:r>
            <w:r>
              <w:rPr>
                <w:rStyle w:val="IndexLink"/>
                <w:rtl w:val="true"/>
              </w:rPr>
              <w:tab/>
            </w:r>
            <w:r>
              <w:rPr>
                <w:rStyle w:val="IndexLink"/>
              </w:rPr>
              <w:t>311</w:t>
            </w:r>
          </w:hyperlink>
        </w:p>
        <w:p>
          <w:pPr>
            <w:pStyle w:val="Contents4"/>
            <w:tabs>
              <w:tab w:val="clear" w:pos="8176"/>
              <w:tab w:val="right" w:pos="9026" w:leader="dot"/>
            </w:tabs>
            <w:rPr/>
          </w:pPr>
          <w:hyperlink w:anchor="__RefHeading___Toc7766732_2870459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7766734_2870459653">
            <w:r>
              <w:rPr>
                <w:webHidden/>
                <w:rStyle w:val="IndexLink"/>
              </w:rPr>
              <w:t>1-3</w:t>
            </w:r>
            <w:r>
              <w:rPr>
                <w:rStyle w:val="IndexLink"/>
                <w:rtl w:val="true"/>
              </w:rPr>
              <w:t xml:space="preserve">- </w:t>
            </w:r>
            <w:r>
              <w:rPr>
                <w:rStyle w:val="IndexLink"/>
                <w:rtl w:val="true"/>
              </w:rPr>
              <w:t>حق چاپ</w:t>
            </w:r>
            <w:r>
              <w:rPr>
                <w:rStyle w:val="IndexLink"/>
                <w:rtl w:val="true"/>
              </w:rPr>
              <w:tab/>
            </w:r>
            <w:r>
              <w:rPr>
                <w:rStyle w:val="IndexLink"/>
              </w:rPr>
              <w:t>312</w:t>
            </w:r>
          </w:hyperlink>
        </w:p>
        <w:p>
          <w:pPr>
            <w:pStyle w:val="Contents4"/>
            <w:tabs>
              <w:tab w:val="clear" w:pos="8176"/>
              <w:tab w:val="right" w:pos="9026" w:leader="dot"/>
            </w:tabs>
            <w:rPr/>
          </w:pPr>
          <w:hyperlink w:anchor="__RefHeading___Toc7766736_2870459653">
            <w:r>
              <w:rPr>
                <w:webHidden/>
                <w:rStyle w:val="IndexLink"/>
              </w:rPr>
              <w:t>2-3</w:t>
            </w:r>
            <w:r>
              <w:rPr>
                <w:rStyle w:val="IndexLink"/>
                <w:rtl w:val="true"/>
              </w:rPr>
              <w:t xml:space="preserve">- </w:t>
            </w:r>
            <w:r>
              <w:rPr>
                <w:rStyle w:val="IndexLink"/>
                <w:rtl w:val="true"/>
              </w:rPr>
              <w:t>ویدئو و رسانه ها</w:t>
            </w:r>
            <w:r>
              <w:rPr>
                <w:rStyle w:val="IndexLink"/>
                <w:rtl w:val="true"/>
              </w:rPr>
              <w:tab/>
            </w:r>
            <w:r>
              <w:rPr>
                <w:rStyle w:val="IndexLink"/>
              </w:rPr>
              <w:t>314</w:t>
            </w:r>
          </w:hyperlink>
        </w:p>
        <w:p>
          <w:pPr>
            <w:pStyle w:val="Contents4"/>
            <w:tabs>
              <w:tab w:val="clear" w:pos="8176"/>
              <w:tab w:val="right" w:pos="9026" w:leader="dot"/>
            </w:tabs>
            <w:rPr/>
          </w:pPr>
          <w:hyperlink w:anchor="__RefHeading___Toc7766738_2870459653">
            <w:r>
              <w:rPr>
                <w:webHidden/>
                <w:rStyle w:val="IndexLink"/>
              </w:rPr>
              <w:t>3-3</w:t>
            </w:r>
            <w:r>
              <w:rPr>
                <w:rStyle w:val="IndexLink"/>
                <w:rtl w:val="true"/>
              </w:rPr>
              <w:t xml:space="preserve">- </w:t>
            </w:r>
            <w:r>
              <w:rPr>
                <w:rStyle w:val="IndexLink"/>
                <w:rtl w:val="true"/>
              </w:rPr>
              <w:t>نظام های مدیریت یادگیری</w:t>
            </w:r>
            <w:r>
              <w:rPr>
                <w:rStyle w:val="IndexLink"/>
                <w:rtl w:val="true"/>
              </w:rPr>
              <w:tab/>
            </w:r>
            <w:r>
              <w:rPr>
                <w:rStyle w:val="IndexLink"/>
              </w:rPr>
              <w:t>314</w:t>
            </w:r>
          </w:hyperlink>
        </w:p>
        <w:p>
          <w:pPr>
            <w:pStyle w:val="Contents4"/>
            <w:tabs>
              <w:tab w:val="clear" w:pos="8176"/>
              <w:tab w:val="right" w:pos="9026" w:leader="dot"/>
            </w:tabs>
            <w:rPr/>
          </w:pPr>
          <w:hyperlink w:anchor="__RefHeading___Toc7766740_2870459653">
            <w:r>
              <w:rPr>
                <w:webHidden/>
                <w:rStyle w:val="IndexLink"/>
              </w:rPr>
              <w:t>3-4</w:t>
            </w:r>
            <w:r>
              <w:rPr>
                <w:rStyle w:val="IndexLink"/>
                <w:rtl w:val="true"/>
              </w:rPr>
              <w:t xml:space="preserve">- </w:t>
            </w:r>
            <w:r>
              <w:rPr>
                <w:rStyle w:val="IndexLink"/>
                <w:rtl w:val="true"/>
              </w:rPr>
              <w:t>آموزش و توسعه</w:t>
            </w:r>
            <w:r>
              <w:rPr>
                <w:rStyle w:val="IndexLink"/>
                <w:rtl w:val="true"/>
              </w:rPr>
              <w:tab/>
            </w:r>
            <w:r>
              <w:rPr>
                <w:rStyle w:val="IndexLink"/>
              </w:rPr>
              <w:t>315</w:t>
            </w:r>
          </w:hyperlink>
        </w:p>
        <w:p>
          <w:pPr>
            <w:pStyle w:val="Contents4"/>
            <w:tabs>
              <w:tab w:val="clear" w:pos="8176"/>
              <w:tab w:val="right" w:pos="9026" w:leader="dot"/>
            </w:tabs>
            <w:rPr/>
          </w:pPr>
          <w:hyperlink w:anchor="__RefHeading___Toc7766742_2870459653">
            <w:r>
              <w:rPr>
                <w:webHidden/>
                <w:rStyle w:val="IndexLink"/>
              </w:rPr>
              <w:t>5-3</w:t>
            </w:r>
            <w:r>
              <w:rPr>
                <w:rStyle w:val="IndexLink"/>
                <w:rtl w:val="true"/>
              </w:rPr>
              <w:t xml:space="preserve">- </w:t>
            </w:r>
            <w:r>
              <w:rPr>
                <w:rStyle w:val="IndexLink"/>
                <w:rtl w:val="true"/>
              </w:rPr>
              <w:t>آینده</w:t>
            </w:r>
            <w:r>
              <w:rPr>
                <w:rStyle w:val="IndexLink"/>
                <w:rtl w:val="true"/>
              </w:rPr>
              <w:tab/>
            </w:r>
            <w:r>
              <w:rPr>
                <w:rStyle w:val="IndexLink"/>
              </w:rPr>
              <w:t>315</w:t>
            </w:r>
          </w:hyperlink>
        </w:p>
        <w:p>
          <w:pPr>
            <w:pStyle w:val="Contents2"/>
            <w:tabs>
              <w:tab w:val="clear" w:pos="8743"/>
              <w:tab w:val="right" w:pos="9026" w:leader="dot"/>
            </w:tabs>
            <w:rPr/>
          </w:pPr>
          <w:hyperlink w:anchor="__RefHeading___Toc7766744_2870459653">
            <w:r>
              <w:rPr>
                <w:webHidden/>
                <w:rStyle w:val="IndexLink"/>
                <w:rtl w:val="true"/>
              </w:rPr>
              <w:t>چکیده</w:t>
            </w:r>
            <w:r>
              <w:rPr>
                <w:rStyle w:val="IndexLink"/>
                <w:rtl w:val="true"/>
              </w:rPr>
              <w:tab/>
            </w:r>
            <w:r>
              <w:rPr>
                <w:rStyle w:val="IndexLink"/>
              </w:rPr>
              <w:t>317</w:t>
            </w:r>
          </w:hyperlink>
        </w:p>
        <w:p>
          <w:pPr>
            <w:pStyle w:val="Contents2"/>
            <w:tabs>
              <w:tab w:val="clear" w:pos="8743"/>
              <w:tab w:val="right" w:pos="9026" w:leader="dot"/>
            </w:tabs>
            <w:rPr/>
          </w:pPr>
          <w:hyperlink w:anchor="__RefHeading___Toc7766746_2870459653">
            <w:r>
              <w:rPr>
                <w:webHidden/>
                <w:rStyle w:val="IndexLink"/>
                <w:rtl w:val="true"/>
              </w:rPr>
              <w:t>کتابخانه مجهز به نقشه موضوعی</w:t>
            </w:r>
            <w:r>
              <w:rPr>
                <w:rStyle w:val="IndexLink"/>
                <w:rtl w:val="true"/>
              </w:rPr>
              <w:t xml:space="preserve">= </w:t>
            </w:r>
            <w:r>
              <w:rPr>
                <w:rStyle w:val="IndexLink"/>
                <w:rtl w:val="true"/>
              </w:rPr>
              <w:t>کتابخانه مطلوب تر</w:t>
            </w:r>
            <w:r>
              <w:rPr>
                <w:rStyle w:val="IndexLink"/>
                <w:rtl w:val="true"/>
              </w:rPr>
              <w:t xml:space="preserve">: </w:t>
            </w:r>
            <w:r>
              <w:rPr>
                <w:rStyle w:val="IndexLink"/>
                <w:rtl w:val="true"/>
              </w:rPr>
              <w:t xml:space="preserve">درآمدی بر طرح </w:t>
            </w:r>
            <w:r>
              <w:rPr>
                <w:rStyle w:val="IndexLink"/>
                <w:rtl w:val="true"/>
              </w:rPr>
              <w:t>"</w:t>
            </w:r>
            <w:r>
              <w:rPr>
                <w:rStyle w:val="IndexLink"/>
                <w:rtl w:val="true"/>
              </w:rPr>
              <w:t>کتابخانه ملی لهستان</w:t>
            </w:r>
            <w:r>
              <w:rPr>
                <w:rStyle w:val="IndexLink"/>
                <w:rtl w:val="true"/>
              </w:rPr>
              <w:t>"</w:t>
              <w:tab/>
            </w:r>
            <w:r>
              <w:rPr>
                <w:rStyle w:val="IndexLink"/>
              </w:rPr>
              <w:t>318</w:t>
            </w:r>
          </w:hyperlink>
        </w:p>
        <w:p>
          <w:pPr>
            <w:pStyle w:val="Contents3"/>
            <w:tabs>
              <w:tab w:val="clear" w:pos="8459"/>
              <w:tab w:val="right" w:pos="9026" w:leader="dot"/>
            </w:tabs>
            <w:rPr/>
          </w:pPr>
          <w:hyperlink w:anchor="__RefHeading___Toc7766748_2870459653">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7766750_2870459653">
            <w:r>
              <w:rPr>
                <w:webHidden/>
                <w:rStyle w:val="IndexLink"/>
                <w:rtl w:val="true"/>
              </w:rPr>
              <w:t>پیش درآمد</w:t>
            </w:r>
            <w:r>
              <w:rPr>
                <w:rStyle w:val="IndexLink"/>
                <w:rtl w:val="true"/>
              </w:rPr>
              <w:tab/>
            </w:r>
            <w:r>
              <w:rPr>
                <w:rStyle w:val="IndexLink"/>
              </w:rPr>
              <w:t>318</w:t>
            </w:r>
          </w:hyperlink>
        </w:p>
        <w:p>
          <w:pPr>
            <w:pStyle w:val="Contents3"/>
            <w:tabs>
              <w:tab w:val="clear" w:pos="8459"/>
              <w:tab w:val="right" w:pos="9026" w:leader="dot"/>
            </w:tabs>
            <w:rPr/>
          </w:pPr>
          <w:hyperlink w:anchor="__RefHeading___Toc7766752_2870459653">
            <w:r>
              <w:rPr>
                <w:webHidden/>
                <w:rStyle w:val="IndexLink"/>
              </w:rPr>
              <w:t>1</w:t>
            </w:r>
            <w:r>
              <w:rPr>
                <w:rStyle w:val="IndexLink"/>
                <w:rtl w:val="true"/>
              </w:rPr>
              <w:t xml:space="preserve">. </w:t>
            </w:r>
            <w:r>
              <w:rPr>
                <w:rStyle w:val="IndexLink"/>
                <w:rtl w:val="true"/>
              </w:rPr>
              <w:t>ایجاد یک نقشه موضوعی از سرعنوان های موضوعی کتابخانه ملی لهستان</w:t>
            </w:r>
            <w:r>
              <w:rPr>
                <w:rStyle w:val="IndexLink"/>
                <w:rtl w:val="true"/>
              </w:rPr>
              <w:tab/>
            </w:r>
            <w:r>
              <w:rPr>
                <w:rStyle w:val="IndexLink"/>
              </w:rPr>
              <w:t>326</w:t>
            </w:r>
          </w:hyperlink>
        </w:p>
        <w:p>
          <w:pPr>
            <w:pStyle w:val="Contents3"/>
            <w:tabs>
              <w:tab w:val="clear" w:pos="8459"/>
              <w:tab w:val="right" w:pos="9026" w:leader="dot"/>
            </w:tabs>
            <w:rPr/>
          </w:pPr>
          <w:hyperlink w:anchor="__RefHeading___Toc7766754_2870459653">
            <w:r>
              <w:rPr>
                <w:webHidden/>
                <w:rStyle w:val="IndexLink"/>
              </w:rPr>
              <w:t>2</w:t>
            </w:r>
            <w:r>
              <w:rPr>
                <w:rStyle w:val="IndexLink"/>
                <w:rtl w:val="true"/>
              </w:rPr>
              <w:t xml:space="preserve">. </w:t>
            </w:r>
            <w:r>
              <w:rPr>
                <w:rStyle w:val="IndexLink"/>
                <w:rtl w:val="true"/>
              </w:rPr>
              <w:t>پیدا کردن یک راه حل مناسب برای مصورسازی نقشه موضوعی جهت استفاده در کتابخانه و تهیه و طراحی یک برنامه کاربردی وب</w:t>
            </w:r>
            <w:r>
              <w:rPr>
                <w:rStyle w:val="IndexLink"/>
                <w:rtl w:val="true"/>
              </w:rPr>
              <w:t>.</w:t>
              <w:tab/>
            </w:r>
            <w:r>
              <w:rPr>
                <w:rStyle w:val="IndexLink"/>
              </w:rPr>
              <w:t>327</w:t>
            </w:r>
          </w:hyperlink>
        </w:p>
        <w:p>
          <w:pPr>
            <w:pStyle w:val="Contents3"/>
            <w:tabs>
              <w:tab w:val="clear" w:pos="8459"/>
              <w:tab w:val="right" w:pos="9026" w:leader="dot"/>
            </w:tabs>
            <w:rPr/>
          </w:pPr>
          <w:hyperlink w:anchor="__RefHeading___Toc7766756_2870459653">
            <w:r>
              <w:rPr>
                <w:webHidden/>
                <w:rStyle w:val="IndexLink"/>
              </w:rPr>
              <w:t>3</w:t>
            </w:r>
            <w:r>
              <w:rPr>
                <w:rStyle w:val="IndexLink"/>
                <w:rtl w:val="true"/>
              </w:rPr>
              <w:t xml:space="preserve">. </w:t>
            </w:r>
            <w:r>
              <w:rPr>
                <w:rStyle w:val="IndexLink"/>
                <w:rtl w:val="true"/>
              </w:rPr>
              <w:t>آزمایش الگوی اولیه</w:t>
            </w:r>
            <w:r>
              <w:rPr>
                <w:rStyle w:val="IndexLink"/>
                <w:rtl w:val="true"/>
              </w:rPr>
              <w:tab/>
            </w:r>
            <w:r>
              <w:rPr>
                <w:rStyle w:val="IndexLink"/>
              </w:rPr>
              <w:t>329</w:t>
            </w:r>
          </w:hyperlink>
        </w:p>
        <w:p>
          <w:pPr>
            <w:pStyle w:val="Contents3"/>
            <w:tabs>
              <w:tab w:val="clear" w:pos="8459"/>
              <w:tab w:val="right" w:pos="9026" w:leader="dot"/>
            </w:tabs>
            <w:rPr/>
          </w:pPr>
          <w:hyperlink w:anchor="__RefHeading___Toc7766758_2870459653">
            <w:r>
              <w:rPr>
                <w:webHidden/>
                <w:rStyle w:val="IndexLink"/>
                <w:rtl w:val="true"/>
              </w:rPr>
              <w:t>منابع</w:t>
            </w:r>
            <w:r>
              <w:rPr>
                <w:rStyle w:val="IndexLink"/>
                <w:rtl w:val="true"/>
              </w:rPr>
              <w:tab/>
            </w:r>
            <w:r>
              <w:rPr>
                <w:rStyle w:val="IndexLink"/>
              </w:rPr>
              <w:t>330</w:t>
            </w:r>
          </w:hyperlink>
        </w:p>
        <w:p>
          <w:pPr>
            <w:pStyle w:val="Contents2"/>
            <w:tabs>
              <w:tab w:val="clear" w:pos="8743"/>
              <w:tab w:val="right" w:pos="9026" w:leader="dot"/>
            </w:tabs>
            <w:rPr/>
          </w:pPr>
          <w:hyperlink w:anchor="__RefHeading___Toc7766760_2870459653">
            <w:r>
              <w:rPr>
                <w:webHidden/>
                <w:rStyle w:val="IndexLink"/>
                <w:rtl w:val="true"/>
              </w:rPr>
              <w:t>چکیده</w:t>
            </w:r>
            <w:r>
              <w:rPr>
                <w:rStyle w:val="IndexLink"/>
                <w:rtl w:val="true"/>
              </w:rPr>
              <w:tab/>
            </w:r>
            <w:r>
              <w:rPr>
                <w:rStyle w:val="IndexLink"/>
              </w:rPr>
              <w:t>335</w:t>
            </w:r>
          </w:hyperlink>
        </w:p>
        <w:p>
          <w:pPr>
            <w:pStyle w:val="Contents2"/>
            <w:tabs>
              <w:tab w:val="clear" w:pos="8743"/>
              <w:tab w:val="right" w:pos="9026" w:leader="dot"/>
            </w:tabs>
            <w:rPr/>
          </w:pPr>
          <w:hyperlink w:anchor="__RefHeading___Toc7766762_2870459653">
            <w:r>
              <w:rPr>
                <w:webHidden/>
                <w:rStyle w:val="IndexLink"/>
                <w:rtl w:val="true"/>
              </w:rPr>
              <w:t>مشارکت و آموزش</w:t>
            </w:r>
            <w:r>
              <w:rPr>
                <w:rStyle w:val="IndexLink"/>
                <w:rtl w:val="true"/>
              </w:rPr>
              <w:t xml:space="preserve">: </w:t>
            </w:r>
            <w:r>
              <w:rPr>
                <w:rStyle w:val="IndexLink"/>
                <w:rtl w:val="true"/>
              </w:rPr>
              <w:t>یک دستور العمل برای آموزش</w:t>
            </w:r>
            <w:r>
              <w:rPr>
                <w:rStyle w:val="IndexLink"/>
                <w:rtl w:val="true"/>
              </w:rPr>
              <w:tab/>
            </w:r>
            <w:r>
              <w:rPr>
                <w:rStyle w:val="IndexLink"/>
              </w:rPr>
              <w:t>336</w:t>
            </w:r>
          </w:hyperlink>
        </w:p>
        <w:p>
          <w:pPr>
            <w:pStyle w:val="Contents3"/>
            <w:tabs>
              <w:tab w:val="clear" w:pos="8459"/>
              <w:tab w:val="right" w:pos="9026" w:leader="dot"/>
            </w:tabs>
            <w:rPr/>
          </w:pPr>
          <w:hyperlink w:anchor="__RefHeading___Toc7766764_2870459653">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7766766_2870459653">
            <w:r>
              <w:rPr>
                <w:webHidden/>
                <w:rStyle w:val="IndexLink"/>
              </w:rPr>
              <w:t>1</w:t>
            </w:r>
            <w:r>
              <w:rPr>
                <w:rStyle w:val="IndexLink"/>
                <w:rtl w:val="true"/>
              </w:rPr>
              <w:t xml:space="preserve">. </w:t>
            </w:r>
            <w:r>
              <w:rPr>
                <w:rStyle w:val="IndexLink"/>
                <w:rtl w:val="true"/>
              </w:rPr>
              <w:t>معرفی</w:t>
            </w:r>
            <w:r>
              <w:rPr>
                <w:rStyle w:val="IndexLink"/>
                <w:rtl w:val="true"/>
              </w:rPr>
              <w:tab/>
            </w:r>
            <w:r>
              <w:rPr>
                <w:rStyle w:val="IndexLink"/>
              </w:rPr>
              <w:t>336</w:t>
            </w:r>
          </w:hyperlink>
        </w:p>
        <w:p>
          <w:pPr>
            <w:pStyle w:val="Contents3"/>
            <w:tabs>
              <w:tab w:val="clear" w:pos="8459"/>
              <w:tab w:val="right" w:pos="9026" w:leader="dot"/>
            </w:tabs>
            <w:rPr/>
          </w:pPr>
          <w:hyperlink w:anchor="__RefHeading___Toc7766768_2870459653">
            <w:r>
              <w:rPr>
                <w:webHidden/>
                <w:rStyle w:val="IndexLink"/>
              </w:rPr>
              <w:t>2</w:t>
            </w:r>
            <w:r>
              <w:rPr>
                <w:rStyle w:val="IndexLink"/>
                <w:rtl w:val="true"/>
              </w:rPr>
              <w:t xml:space="preserve">. </w:t>
            </w:r>
            <w:r>
              <w:rPr>
                <w:rStyle w:val="IndexLink"/>
                <w:rtl w:val="true"/>
              </w:rPr>
              <w:t>سازمان یادگیرنده</w:t>
            </w:r>
            <w:r>
              <w:rPr>
                <w:rStyle w:val="IndexLink"/>
                <w:rtl w:val="true"/>
              </w:rPr>
              <w:tab/>
            </w:r>
            <w:r>
              <w:rPr>
                <w:rStyle w:val="IndexLink"/>
              </w:rPr>
              <w:t>338</w:t>
            </w:r>
          </w:hyperlink>
        </w:p>
        <w:p>
          <w:pPr>
            <w:pStyle w:val="Contents4"/>
            <w:tabs>
              <w:tab w:val="clear" w:pos="8176"/>
              <w:tab w:val="right" w:pos="9026" w:leader="dot"/>
            </w:tabs>
            <w:rPr/>
          </w:pPr>
          <w:hyperlink w:anchor="__RefHeading___Toc7766770_2870459653">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7766772_2870459653">
            <w:r>
              <w:rPr>
                <w:webHidden/>
                <w:rStyle w:val="IndexLink"/>
              </w:rPr>
              <w:t>1-2</w:t>
            </w:r>
            <w:r>
              <w:rPr>
                <w:rStyle w:val="IndexLink"/>
                <w:rtl w:val="true"/>
              </w:rPr>
              <w:t xml:space="preserve">. </w:t>
            </w:r>
            <w:r>
              <w:rPr>
                <w:rStyle w:val="IndexLink"/>
                <w:rtl w:val="true"/>
              </w:rPr>
              <w:t>یادگیری سازمان</w:t>
            </w:r>
            <w:r>
              <w:rPr>
                <w:rStyle w:val="IndexLink"/>
                <w:rtl w:val="true"/>
              </w:rPr>
              <w:tab/>
            </w:r>
            <w:r>
              <w:rPr>
                <w:rStyle w:val="IndexLink"/>
              </w:rPr>
              <w:t>338</w:t>
            </w:r>
          </w:hyperlink>
        </w:p>
        <w:p>
          <w:pPr>
            <w:pStyle w:val="Contents4"/>
            <w:tabs>
              <w:tab w:val="clear" w:pos="8176"/>
              <w:tab w:val="right" w:pos="9026" w:leader="dot"/>
            </w:tabs>
            <w:rPr/>
          </w:pPr>
          <w:hyperlink w:anchor="__RefHeading___Toc7766774_2870459653">
            <w:r>
              <w:rPr>
                <w:webHidden/>
                <w:rStyle w:val="IndexLink"/>
              </w:rPr>
              <w:t>2-2</w:t>
            </w:r>
            <w:r>
              <w:rPr>
                <w:rStyle w:val="IndexLink"/>
                <w:rtl w:val="true"/>
              </w:rPr>
              <w:t xml:space="preserve">. </w:t>
            </w:r>
            <w:r>
              <w:rPr>
                <w:rStyle w:val="IndexLink"/>
                <w:rtl w:val="true"/>
              </w:rPr>
              <w:t>اهمیت به اشتراک گذاری دانش شما</w:t>
            </w:r>
            <w:r>
              <w:rPr>
                <w:rStyle w:val="IndexLink"/>
                <w:rtl w:val="true"/>
              </w:rPr>
              <w:tab/>
            </w:r>
            <w:r>
              <w:rPr>
                <w:rStyle w:val="IndexLink"/>
              </w:rPr>
              <w:t>339</w:t>
            </w:r>
          </w:hyperlink>
        </w:p>
        <w:p>
          <w:pPr>
            <w:pStyle w:val="Contents4"/>
            <w:tabs>
              <w:tab w:val="clear" w:pos="8176"/>
              <w:tab w:val="right" w:pos="9026" w:leader="dot"/>
            </w:tabs>
            <w:rPr/>
          </w:pPr>
          <w:hyperlink w:anchor="__RefHeading___Toc7766776_2870459653">
            <w:r>
              <w:rPr>
                <w:webHidden/>
                <w:rStyle w:val="IndexLink"/>
              </w:rPr>
              <w:t>3-2</w:t>
            </w:r>
            <w:r>
              <w:rPr>
                <w:rStyle w:val="IndexLink"/>
                <w:rtl w:val="true"/>
              </w:rPr>
              <w:t xml:space="preserve">. </w:t>
            </w:r>
            <w:r>
              <w:rPr>
                <w:rStyle w:val="IndexLink"/>
                <w:rtl w:val="true"/>
              </w:rPr>
              <w:t>جوامع تجربه</w:t>
            </w:r>
            <w:r>
              <w:rPr>
                <w:rStyle w:val="IndexLink"/>
                <w:rtl w:val="true"/>
              </w:rPr>
              <w:tab/>
            </w:r>
            <w:r>
              <w:rPr>
                <w:rStyle w:val="IndexLink"/>
              </w:rPr>
              <w:t>340</w:t>
            </w:r>
          </w:hyperlink>
        </w:p>
        <w:p>
          <w:pPr>
            <w:pStyle w:val="Contents3"/>
            <w:tabs>
              <w:tab w:val="clear" w:pos="8459"/>
              <w:tab w:val="right" w:pos="9026" w:leader="dot"/>
            </w:tabs>
            <w:rPr/>
          </w:pPr>
          <w:hyperlink w:anchor="__RefHeading___Toc7766778_2870459653">
            <w:r>
              <w:rPr>
                <w:webHidden/>
                <w:rStyle w:val="IndexLink"/>
              </w:rPr>
              <w:t>3</w:t>
            </w:r>
            <w:r>
              <w:rPr>
                <w:rStyle w:val="IndexLink"/>
                <w:rtl w:val="true"/>
              </w:rPr>
              <w:t xml:space="preserve">. </w:t>
            </w:r>
            <w:r>
              <w:rPr>
                <w:rStyle w:val="IndexLink"/>
                <w:rtl w:val="true"/>
              </w:rPr>
              <w:t>دستور العمل به عنوان یک ابزار یادگیری</w:t>
            </w:r>
            <w:r>
              <w:rPr>
                <w:rStyle w:val="IndexLink"/>
                <w:rtl w:val="true"/>
              </w:rPr>
              <w:tab/>
            </w:r>
            <w:r>
              <w:rPr>
                <w:rStyle w:val="IndexLink"/>
              </w:rPr>
              <w:t>340</w:t>
            </w:r>
          </w:hyperlink>
        </w:p>
        <w:p>
          <w:pPr>
            <w:pStyle w:val="Contents3"/>
            <w:tabs>
              <w:tab w:val="clear" w:pos="8459"/>
              <w:tab w:val="right" w:pos="9026" w:leader="dot"/>
            </w:tabs>
            <w:rPr/>
          </w:pPr>
          <w:hyperlink w:anchor="__RefHeading___Toc7766780_2870459653">
            <w:r>
              <w:rPr>
                <w:webHidden/>
                <w:rStyle w:val="IndexLink"/>
              </w:rPr>
              <w:t>4</w:t>
            </w:r>
            <w:r>
              <w:rPr>
                <w:rStyle w:val="IndexLink"/>
                <w:rtl w:val="true"/>
              </w:rPr>
              <w:t xml:space="preserve">- </w:t>
            </w:r>
            <w:r>
              <w:rPr>
                <w:rStyle w:val="IndexLink"/>
                <w:rtl w:val="true"/>
              </w:rPr>
              <w:t>گام های بعدی روند کلی</w:t>
            </w:r>
            <w:r>
              <w:rPr>
                <w:rStyle w:val="IndexLink"/>
                <w:rtl w:val="true"/>
              </w:rPr>
              <w:tab/>
            </w:r>
            <w:r>
              <w:rPr>
                <w:rStyle w:val="IndexLink"/>
              </w:rPr>
              <w:t>342</w:t>
            </w:r>
          </w:hyperlink>
        </w:p>
        <w:p>
          <w:pPr>
            <w:pStyle w:val="Contents3"/>
            <w:tabs>
              <w:tab w:val="clear" w:pos="8459"/>
              <w:tab w:val="right" w:pos="9026" w:leader="dot"/>
            </w:tabs>
            <w:rPr/>
          </w:pPr>
          <w:hyperlink w:anchor="__RefHeading___Toc7766782_2870459653">
            <w:r>
              <w:rPr>
                <w:webHidden/>
                <w:rStyle w:val="IndexLink"/>
              </w:rPr>
              <w:t>5</w:t>
            </w:r>
            <w:r>
              <w:rPr>
                <w:rStyle w:val="IndexLink"/>
                <w:rtl w:val="true"/>
              </w:rPr>
              <w:t xml:space="preserve">. </w:t>
            </w:r>
            <w:r>
              <w:rPr>
                <w:rStyle w:val="IndexLink"/>
                <w:rtl w:val="true"/>
              </w:rPr>
              <w:t>نتیجه گیری</w:t>
            </w:r>
            <w:r>
              <w:rPr>
                <w:rStyle w:val="IndexLink"/>
                <w:rtl w:val="true"/>
              </w:rPr>
              <w:tab/>
            </w:r>
            <w:r>
              <w:rPr>
                <w:rStyle w:val="IndexLink"/>
              </w:rPr>
              <w:t>343</w:t>
            </w:r>
          </w:hyperlink>
        </w:p>
        <w:p>
          <w:pPr>
            <w:pStyle w:val="Contents3"/>
            <w:tabs>
              <w:tab w:val="clear" w:pos="8459"/>
              <w:tab w:val="right" w:pos="9026" w:leader="dot"/>
            </w:tabs>
            <w:rPr/>
          </w:pPr>
          <w:hyperlink w:anchor="__RefHeading___Toc7766784_2870459653">
            <w:r>
              <w:rPr>
                <w:webHidden/>
                <w:rStyle w:val="IndexLink"/>
                <w:rtl w:val="true"/>
              </w:rPr>
              <w:t>منابع</w:t>
            </w:r>
            <w:r>
              <w:rPr>
                <w:rStyle w:val="IndexLink"/>
                <w:rtl w:val="true"/>
              </w:rPr>
              <w:tab/>
            </w:r>
            <w:r>
              <w:rPr>
                <w:rStyle w:val="IndexLink"/>
              </w:rPr>
              <w:t>344</w:t>
            </w:r>
          </w:hyperlink>
        </w:p>
        <w:p>
          <w:pPr>
            <w:pStyle w:val="Contents2"/>
            <w:tabs>
              <w:tab w:val="clear" w:pos="8743"/>
              <w:tab w:val="right" w:pos="9026" w:leader="dot"/>
            </w:tabs>
            <w:rPr/>
          </w:pPr>
          <w:hyperlink w:anchor="__RefHeading___Toc7766786_2870459653">
            <w:r>
              <w:rPr>
                <w:webHidden/>
                <w:rStyle w:val="IndexLink"/>
                <w:rtl w:val="true"/>
              </w:rPr>
              <w:t>چکیده</w:t>
            </w:r>
            <w:r>
              <w:rPr>
                <w:rStyle w:val="IndexLink"/>
                <w:rtl w:val="true"/>
              </w:rPr>
              <w:tab/>
            </w:r>
            <w:r>
              <w:rPr>
                <w:rStyle w:val="IndexLink"/>
              </w:rPr>
              <w:t>345</w:t>
            </w:r>
          </w:hyperlink>
        </w:p>
        <w:p>
          <w:pPr>
            <w:pStyle w:val="Contents2"/>
            <w:tabs>
              <w:tab w:val="clear" w:pos="8743"/>
              <w:tab w:val="right" w:pos="9026" w:leader="dot"/>
            </w:tabs>
            <w:rPr/>
          </w:pPr>
          <w:hyperlink w:anchor="__RefHeading___Toc7766788_2870459653">
            <w:r>
              <w:rPr>
                <w:webHidden/>
                <w:rStyle w:val="IndexLink"/>
                <w:rtl w:val="true"/>
              </w:rPr>
              <w:t>استانداردهای توصیفی ایالات متحده برای اسناد، نسخ خطی تاریخی و کتاب های نادر</w:t>
            </w:r>
            <w:r>
              <w:rPr>
                <w:rStyle w:val="IndexLink"/>
                <w:rtl w:val="true"/>
              </w:rPr>
              <w:tab/>
            </w:r>
            <w:r>
              <w:rPr>
                <w:rStyle w:val="IndexLink"/>
              </w:rPr>
              <w:t>346</w:t>
            </w:r>
          </w:hyperlink>
        </w:p>
        <w:p>
          <w:pPr>
            <w:pStyle w:val="Contents3"/>
            <w:tabs>
              <w:tab w:val="clear" w:pos="8459"/>
              <w:tab w:val="right" w:pos="9026" w:leader="dot"/>
            </w:tabs>
            <w:rPr/>
          </w:pPr>
          <w:hyperlink w:anchor="__RefHeading___Toc7766790_2870459653">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7766792_2870459653">
            <w:r>
              <w:rPr>
                <w:webHidden/>
                <w:rStyle w:val="IndexLink"/>
                <w:rtl w:val="true"/>
              </w:rPr>
              <w:t>مقدمه</w:t>
            </w:r>
            <w:r>
              <w:rPr>
                <w:rStyle w:val="IndexLink"/>
                <w:rtl w:val="true"/>
              </w:rPr>
              <w:tab/>
            </w:r>
            <w:r>
              <w:rPr>
                <w:rStyle w:val="IndexLink"/>
              </w:rPr>
              <w:t>346</w:t>
            </w:r>
          </w:hyperlink>
        </w:p>
        <w:p>
          <w:pPr>
            <w:pStyle w:val="Contents3"/>
            <w:tabs>
              <w:tab w:val="clear" w:pos="8459"/>
              <w:tab w:val="right" w:pos="9026" w:leader="dot"/>
            </w:tabs>
            <w:rPr/>
          </w:pPr>
          <w:hyperlink w:anchor="__RefHeading___Toc7766794_2870459653">
            <w:r>
              <w:rPr>
                <w:webHidden/>
                <w:rStyle w:val="IndexLink"/>
                <w:rtl w:val="true"/>
              </w:rPr>
              <w:t>مرور جعبه پندورا</w:t>
            </w:r>
            <w:r>
              <w:rPr>
                <w:rStyle w:val="IndexLink"/>
                <w:rtl w:val="true"/>
              </w:rPr>
              <w:tab/>
            </w:r>
            <w:r>
              <w:rPr>
                <w:rStyle w:val="IndexLink"/>
              </w:rPr>
              <w:t>348</w:t>
            </w:r>
          </w:hyperlink>
        </w:p>
        <w:p>
          <w:pPr>
            <w:pStyle w:val="Contents3"/>
            <w:tabs>
              <w:tab w:val="clear" w:pos="8459"/>
              <w:tab w:val="right" w:pos="9026" w:leader="dot"/>
            </w:tabs>
            <w:rPr/>
          </w:pPr>
          <w:hyperlink w:anchor="__RefHeading___Toc7766796_2870459653">
            <w:r>
              <w:rPr>
                <w:webHidden/>
                <w:rStyle w:val="IndexLink"/>
                <w:rtl w:val="true"/>
              </w:rPr>
              <w:t>استانداردهای محتوای اصلی توسط جامعه</w:t>
            </w:r>
            <w:r>
              <w:rPr>
                <w:rStyle w:val="IndexLink"/>
                <w:rtl w:val="true"/>
              </w:rPr>
              <w:tab/>
            </w:r>
            <w:r>
              <w:rPr>
                <w:rStyle w:val="IndexLink"/>
              </w:rPr>
              <w:t>349</w:t>
            </w:r>
          </w:hyperlink>
        </w:p>
        <w:p>
          <w:pPr>
            <w:pStyle w:val="Contents3"/>
            <w:tabs>
              <w:tab w:val="clear" w:pos="8459"/>
              <w:tab w:val="right" w:pos="9026" w:leader="dot"/>
            </w:tabs>
            <w:rPr/>
          </w:pPr>
          <w:hyperlink w:anchor="__RefHeading___Toc7766798_2870459653">
            <w:r>
              <w:rPr>
                <w:webHidden/>
                <w:rStyle w:val="IndexLink"/>
                <w:rtl w:val="true"/>
              </w:rPr>
              <w:t>استانداردهای انتقال هسته</w:t>
            </w:r>
            <w:r>
              <w:rPr>
                <w:rStyle w:val="IndexLink"/>
                <w:rtl w:val="true"/>
              </w:rPr>
              <w:tab/>
            </w:r>
            <w:r>
              <w:rPr>
                <w:rStyle w:val="IndexLink"/>
              </w:rPr>
              <w:t>351</w:t>
            </w:r>
          </w:hyperlink>
        </w:p>
        <w:p>
          <w:pPr>
            <w:pStyle w:val="Contents3"/>
            <w:tabs>
              <w:tab w:val="clear" w:pos="8459"/>
              <w:tab w:val="right" w:pos="9026" w:leader="dot"/>
            </w:tabs>
            <w:rPr/>
          </w:pPr>
          <w:hyperlink w:anchor="__RefHeading___Toc7766800_2870459653">
            <w:r>
              <w:rPr>
                <w:webHidden/>
                <w:rStyle w:val="IndexLink"/>
                <w:rtl w:val="true"/>
              </w:rPr>
              <w:t>گسترش شعبه ها</w:t>
            </w:r>
            <w:r>
              <w:rPr>
                <w:rStyle w:val="IndexLink"/>
                <w:rtl w:val="true"/>
              </w:rPr>
              <w:tab/>
            </w:r>
            <w:r>
              <w:rPr>
                <w:rStyle w:val="IndexLink"/>
              </w:rPr>
              <w:t>352</w:t>
            </w:r>
          </w:hyperlink>
        </w:p>
        <w:p>
          <w:pPr>
            <w:pStyle w:val="Contents3"/>
            <w:tabs>
              <w:tab w:val="clear" w:pos="8459"/>
              <w:tab w:val="right" w:pos="9026" w:leader="dot"/>
            </w:tabs>
            <w:rPr/>
          </w:pPr>
          <w:hyperlink w:anchor="__RefHeading___Toc7766802_2870459653">
            <w:r>
              <w:rPr>
                <w:webHidden/>
                <w:rStyle w:val="IndexLink"/>
                <w:rtl w:val="true"/>
              </w:rPr>
              <w:t>نظام های اکتشافی</w:t>
            </w:r>
            <w:r>
              <w:rPr>
                <w:rStyle w:val="IndexLink"/>
                <w:rtl w:val="true"/>
              </w:rPr>
              <w:tab/>
            </w:r>
            <w:r>
              <w:rPr>
                <w:rStyle w:val="IndexLink"/>
              </w:rPr>
              <w:t>354</w:t>
            </w:r>
          </w:hyperlink>
        </w:p>
        <w:p>
          <w:pPr>
            <w:pStyle w:val="Contents3"/>
            <w:tabs>
              <w:tab w:val="clear" w:pos="8459"/>
              <w:tab w:val="right" w:pos="9026" w:leader="dot"/>
            </w:tabs>
            <w:rPr/>
          </w:pPr>
          <w:hyperlink w:anchor="__RefHeading___Toc7766804_2870459653">
            <w:r>
              <w:rPr>
                <w:webHidden/>
                <w:rStyle w:val="IndexLink"/>
                <w:rtl w:val="true"/>
              </w:rPr>
              <w:t>کاربردهای عملی در دانشگاه یانگ بریگهام</w:t>
            </w:r>
            <w:r>
              <w:rPr>
                <w:rStyle w:val="IndexLink"/>
                <w:rtl w:val="true"/>
              </w:rPr>
              <w:tab/>
            </w:r>
            <w:r>
              <w:rPr>
                <w:rStyle w:val="IndexLink"/>
              </w:rPr>
              <w:t>356</w:t>
            </w:r>
          </w:hyperlink>
        </w:p>
        <w:p>
          <w:pPr>
            <w:pStyle w:val="Contents3"/>
            <w:tabs>
              <w:tab w:val="clear" w:pos="8459"/>
              <w:tab w:val="right" w:pos="9026" w:leader="dot"/>
            </w:tabs>
            <w:rPr/>
          </w:pPr>
          <w:hyperlink w:anchor="__RefHeading___Toc7766806_2870459653">
            <w:r>
              <w:rPr>
                <w:webHidden/>
                <w:rStyle w:val="IndexLink"/>
                <w:rtl w:val="true"/>
              </w:rPr>
              <w:t>مجموعه نسخ خطی و اسناد</w:t>
            </w:r>
            <w:r>
              <w:rPr>
                <w:rStyle w:val="IndexLink"/>
                <w:rtl w:val="true"/>
              </w:rPr>
              <w:tab/>
            </w:r>
            <w:r>
              <w:rPr>
                <w:rStyle w:val="IndexLink"/>
              </w:rPr>
              <w:t>357</w:t>
            </w:r>
          </w:hyperlink>
        </w:p>
        <w:p>
          <w:pPr>
            <w:pStyle w:val="Contents3"/>
            <w:tabs>
              <w:tab w:val="clear" w:pos="8459"/>
              <w:tab w:val="right" w:pos="9026" w:leader="dot"/>
            </w:tabs>
            <w:rPr/>
          </w:pPr>
          <w:hyperlink w:anchor="__RefHeading___Toc7766808_2870459653">
            <w:r>
              <w:rPr>
                <w:webHidden/>
                <w:rStyle w:val="IndexLink"/>
                <w:rtl w:val="true"/>
              </w:rPr>
              <w:t>مجموعه عکس</w:t>
            </w:r>
            <w:r>
              <w:rPr>
                <w:rStyle w:val="IndexLink"/>
                <w:rtl w:val="true"/>
              </w:rPr>
              <w:tab/>
            </w:r>
            <w:r>
              <w:rPr>
                <w:rStyle w:val="IndexLink"/>
              </w:rPr>
              <w:t>358</w:t>
            </w:r>
          </w:hyperlink>
        </w:p>
        <w:p>
          <w:pPr>
            <w:pStyle w:val="Contents3"/>
            <w:tabs>
              <w:tab w:val="clear" w:pos="8459"/>
              <w:tab w:val="right" w:pos="9026" w:leader="dot"/>
            </w:tabs>
            <w:rPr/>
          </w:pPr>
          <w:hyperlink w:anchor="__RefHeading___Toc7766810_2870459653">
            <w:r>
              <w:rPr>
                <w:webHidden/>
                <w:rStyle w:val="IndexLink"/>
                <w:rtl w:val="true"/>
              </w:rPr>
              <w:t>کتاب های نادر</w:t>
            </w:r>
            <w:r>
              <w:rPr>
                <w:rStyle w:val="IndexLink"/>
                <w:rtl w:val="true"/>
              </w:rPr>
              <w:tab/>
            </w:r>
            <w:r>
              <w:rPr>
                <w:rStyle w:val="IndexLink"/>
              </w:rPr>
              <w:t>358</w:t>
            </w:r>
          </w:hyperlink>
        </w:p>
        <w:p>
          <w:pPr>
            <w:pStyle w:val="Contents3"/>
            <w:tabs>
              <w:tab w:val="clear" w:pos="8459"/>
              <w:tab w:val="right" w:pos="9026" w:leader="dot"/>
            </w:tabs>
            <w:rPr/>
          </w:pPr>
          <w:hyperlink w:anchor="__RefHeading___Toc7766812_2870459653">
            <w:r>
              <w:rPr>
                <w:webHidden/>
                <w:rStyle w:val="IndexLink"/>
                <w:rtl w:val="true"/>
              </w:rPr>
              <w:t>نتیجه گیری</w:t>
            </w:r>
            <w:r>
              <w:rPr>
                <w:rStyle w:val="IndexLink"/>
                <w:rtl w:val="true"/>
              </w:rPr>
              <w:tab/>
            </w:r>
            <w:r>
              <w:rPr>
                <w:rStyle w:val="IndexLink"/>
              </w:rPr>
              <w:t>358</w:t>
            </w:r>
          </w:hyperlink>
        </w:p>
        <w:p>
          <w:pPr>
            <w:pStyle w:val="Contents2"/>
            <w:tabs>
              <w:tab w:val="clear" w:pos="8743"/>
              <w:tab w:val="right" w:pos="9026" w:leader="dot"/>
            </w:tabs>
            <w:rPr/>
          </w:pPr>
          <w:hyperlink w:anchor="__RefHeading___Toc7766814_2870459653">
            <w:r>
              <w:rPr>
                <w:webHidden/>
                <w:rStyle w:val="IndexLink"/>
                <w:rtl w:val="true"/>
              </w:rPr>
              <w:t>چکیده</w:t>
            </w:r>
            <w:r>
              <w:rPr>
                <w:rStyle w:val="IndexLink"/>
                <w:rtl w:val="true"/>
              </w:rPr>
              <w:tab/>
            </w:r>
            <w:r>
              <w:rPr>
                <w:rStyle w:val="IndexLink"/>
              </w:rPr>
              <w:t>361</w:t>
            </w:r>
          </w:hyperlink>
        </w:p>
        <w:p>
          <w:pPr>
            <w:pStyle w:val="Contents2"/>
            <w:tabs>
              <w:tab w:val="clear" w:pos="8743"/>
              <w:tab w:val="right" w:pos="9026" w:leader="dot"/>
            </w:tabs>
            <w:rPr/>
          </w:pPr>
          <w:hyperlink w:anchor="__RefHeading___Toc7766816_2870459653">
            <w:r>
              <w:rPr>
                <w:webHidden/>
                <w:rStyle w:val="IndexLink"/>
                <w:rtl w:val="true"/>
              </w:rPr>
              <w:t>دعوت به ضیافت</w:t>
            </w:r>
            <w:r>
              <w:rPr>
                <w:rStyle w:val="IndexLink"/>
                <w:rtl w:val="true"/>
              </w:rPr>
              <w:t xml:space="preserve">: </w:t>
            </w:r>
            <w:r>
              <w:rPr>
                <w:rStyle w:val="IndexLink"/>
                <w:rtl w:val="true"/>
              </w:rPr>
              <w:t>خدمات دسترسی به کتاب های الکترونیکی در کتابخانه های عمومی انگلستان</w:t>
            </w:r>
            <w:r>
              <w:rPr>
                <w:rStyle w:val="IndexLink"/>
                <w:rtl w:val="true"/>
              </w:rPr>
              <w:tab/>
            </w:r>
            <w:r>
              <w:rPr>
                <w:rStyle w:val="IndexLink"/>
              </w:rPr>
              <w:t>362</w:t>
            </w:r>
          </w:hyperlink>
        </w:p>
        <w:p>
          <w:pPr>
            <w:pStyle w:val="Contents3"/>
            <w:tabs>
              <w:tab w:val="clear" w:pos="8459"/>
              <w:tab w:val="right" w:pos="9026" w:leader="dot"/>
            </w:tabs>
            <w:rPr/>
          </w:pPr>
          <w:hyperlink w:anchor="__RefHeading___Toc7766818_2870459653">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7766820_2870459653">
            <w:r>
              <w:rPr>
                <w:webHidden/>
                <w:rStyle w:val="IndexLink"/>
                <w:rtl w:val="true"/>
              </w:rPr>
              <w:t>کتاب های الکترونیکی در انگلستان</w:t>
            </w:r>
            <w:r>
              <w:rPr>
                <w:rStyle w:val="IndexLink"/>
                <w:rtl w:val="true"/>
              </w:rPr>
              <w:tab/>
            </w:r>
            <w:r>
              <w:rPr>
                <w:rStyle w:val="IndexLink"/>
              </w:rPr>
              <w:t>362</w:t>
            </w:r>
          </w:hyperlink>
        </w:p>
        <w:p>
          <w:pPr>
            <w:pStyle w:val="Contents3"/>
            <w:tabs>
              <w:tab w:val="clear" w:pos="8459"/>
              <w:tab w:val="right" w:pos="9026" w:leader="dot"/>
            </w:tabs>
            <w:rPr/>
          </w:pPr>
          <w:hyperlink w:anchor="__RefHeading___Toc7766822_2870459653">
            <w:r>
              <w:rPr>
                <w:webHidden/>
                <w:rStyle w:val="IndexLink"/>
                <w:rtl w:val="true"/>
              </w:rPr>
              <w:t>دستگاه های خواندن</w:t>
            </w:r>
            <w:r>
              <w:rPr>
                <w:rStyle w:val="IndexLink"/>
                <w:rtl w:val="true"/>
              </w:rPr>
              <w:tab/>
            </w:r>
            <w:r>
              <w:rPr>
                <w:rStyle w:val="IndexLink"/>
              </w:rPr>
              <w:t>362</w:t>
            </w:r>
          </w:hyperlink>
        </w:p>
        <w:p>
          <w:pPr>
            <w:pStyle w:val="Contents3"/>
            <w:tabs>
              <w:tab w:val="clear" w:pos="8459"/>
              <w:tab w:val="right" w:pos="9026" w:leader="dot"/>
            </w:tabs>
            <w:rPr/>
          </w:pPr>
          <w:hyperlink w:anchor="__RefHeading___Toc7766824_2870459653">
            <w:r>
              <w:rPr>
                <w:webHidden/>
                <w:rStyle w:val="IndexLink"/>
                <w:rtl w:val="true"/>
              </w:rPr>
              <w:t>کتاب های الکترونیکی</w:t>
            </w:r>
            <w:r>
              <w:rPr>
                <w:rStyle w:val="IndexLink"/>
                <w:rtl w:val="true"/>
              </w:rPr>
              <w:tab/>
            </w:r>
            <w:r>
              <w:rPr>
                <w:rStyle w:val="IndexLink"/>
              </w:rPr>
              <w:t>363</w:t>
            </w:r>
          </w:hyperlink>
        </w:p>
        <w:p>
          <w:pPr>
            <w:pStyle w:val="Contents3"/>
            <w:tabs>
              <w:tab w:val="clear" w:pos="8459"/>
              <w:tab w:val="right" w:pos="9026" w:leader="dot"/>
            </w:tabs>
            <w:rPr/>
          </w:pPr>
          <w:hyperlink w:anchor="__RefHeading___Toc7766826_2870459653">
            <w:r>
              <w:rPr>
                <w:webHidden/>
                <w:rStyle w:val="IndexLink"/>
                <w:rtl w:val="true"/>
              </w:rPr>
              <w:t>وضعیت نابینایان و کم بینایان</w:t>
            </w:r>
            <w:r>
              <w:rPr>
                <w:rStyle w:val="IndexLink"/>
                <w:rtl w:val="true"/>
              </w:rPr>
              <w:tab/>
            </w:r>
            <w:r>
              <w:rPr>
                <w:rStyle w:val="IndexLink"/>
              </w:rPr>
              <w:t>364</w:t>
            </w:r>
          </w:hyperlink>
        </w:p>
        <w:p>
          <w:pPr>
            <w:pStyle w:val="Contents3"/>
            <w:tabs>
              <w:tab w:val="clear" w:pos="8459"/>
              <w:tab w:val="right" w:pos="9026" w:leader="dot"/>
            </w:tabs>
            <w:rPr/>
          </w:pPr>
          <w:hyperlink w:anchor="__RefHeading___Toc7766828_2870459653">
            <w:r>
              <w:rPr>
                <w:webHidden/>
                <w:rStyle w:val="IndexLink"/>
                <w:rtl w:val="true"/>
              </w:rPr>
              <w:t>راهبردهای آر ان آی بی</w:t>
            </w:r>
            <w:r>
              <w:rPr>
                <w:rStyle w:val="IndexLink"/>
                <w:rtl w:val="true"/>
              </w:rPr>
              <w:tab/>
            </w:r>
            <w:r>
              <w:rPr>
                <w:rStyle w:val="IndexLink"/>
              </w:rPr>
              <w:t>364</w:t>
            </w:r>
          </w:hyperlink>
        </w:p>
        <w:p>
          <w:pPr>
            <w:pStyle w:val="Contents3"/>
            <w:tabs>
              <w:tab w:val="clear" w:pos="8459"/>
              <w:tab w:val="right" w:pos="9026" w:leader="dot"/>
            </w:tabs>
            <w:rPr/>
          </w:pPr>
          <w:hyperlink w:anchor="__RefHeading___Toc7766830_2870459653">
            <w:r>
              <w:rPr>
                <w:webHidden/>
                <w:rStyle w:val="IndexLink"/>
                <w:rtl w:val="true"/>
              </w:rPr>
              <w:t>نتایج</w:t>
            </w:r>
            <w:r>
              <w:rPr>
                <w:rStyle w:val="IndexLink"/>
                <w:rtl w:val="true"/>
              </w:rPr>
              <w:tab/>
            </w:r>
            <w:r>
              <w:rPr>
                <w:rStyle w:val="IndexLink"/>
              </w:rPr>
              <w:t>365</w:t>
            </w:r>
          </w:hyperlink>
        </w:p>
        <w:p>
          <w:pPr>
            <w:pStyle w:val="Contents3"/>
            <w:tabs>
              <w:tab w:val="clear" w:pos="8459"/>
              <w:tab w:val="right" w:pos="9026" w:leader="dot"/>
            </w:tabs>
            <w:rPr/>
          </w:pPr>
          <w:hyperlink w:anchor="__RefHeading___Toc7766832_2870459653">
            <w:r>
              <w:rPr>
                <w:webHidden/>
                <w:rStyle w:val="IndexLink"/>
                <w:rtl w:val="true"/>
              </w:rPr>
              <w:t>تمهیدات کتابخانه های رقومی انگلستان</w:t>
            </w:r>
            <w:r>
              <w:rPr>
                <w:rStyle w:val="IndexLink"/>
                <w:rtl w:val="true"/>
              </w:rPr>
              <w:tab/>
            </w:r>
            <w:r>
              <w:rPr>
                <w:rStyle w:val="IndexLink"/>
              </w:rPr>
              <w:t>365</w:t>
            </w:r>
          </w:hyperlink>
        </w:p>
        <w:p>
          <w:pPr>
            <w:pStyle w:val="Contents3"/>
            <w:tabs>
              <w:tab w:val="clear" w:pos="8459"/>
              <w:tab w:val="right" w:pos="9026" w:leader="dot"/>
            </w:tabs>
            <w:rPr/>
          </w:pPr>
          <w:hyperlink w:anchor="__RefHeading___Toc7766834_2870459653">
            <w:r>
              <w:rPr>
                <w:webHidden/>
                <w:rStyle w:val="IndexLink"/>
                <w:rtl w:val="true"/>
              </w:rPr>
              <w:t>راهبرد آر ان آی بی در مورد کتابخانه های عمومی</w:t>
            </w:r>
            <w:r>
              <w:rPr>
                <w:rStyle w:val="IndexLink"/>
                <w:rtl w:val="true"/>
              </w:rPr>
              <w:tab/>
            </w:r>
            <w:r>
              <w:rPr>
                <w:rStyle w:val="IndexLink"/>
              </w:rPr>
              <w:t>367</w:t>
            </w:r>
          </w:hyperlink>
        </w:p>
        <w:p>
          <w:pPr>
            <w:pStyle w:val="Contents3"/>
            <w:tabs>
              <w:tab w:val="clear" w:pos="8459"/>
              <w:tab w:val="right" w:pos="9026" w:leader="dot"/>
            </w:tabs>
            <w:rPr/>
          </w:pPr>
          <w:hyperlink w:anchor="__RefHeading___Toc7766836_2870459653">
            <w:r>
              <w:rPr>
                <w:webHidden/>
                <w:rStyle w:val="IndexLink"/>
                <w:rtl w:val="true"/>
              </w:rPr>
              <w:t>اهداف بررسی</w:t>
            </w:r>
            <w:r>
              <w:rPr>
                <w:rStyle w:val="IndexLink"/>
                <w:rtl w:val="true"/>
              </w:rPr>
              <w:tab/>
            </w:r>
            <w:r>
              <w:rPr>
                <w:rStyle w:val="IndexLink"/>
              </w:rPr>
              <w:t>367</w:t>
            </w:r>
          </w:hyperlink>
        </w:p>
        <w:p>
          <w:pPr>
            <w:pStyle w:val="Contents3"/>
            <w:tabs>
              <w:tab w:val="clear" w:pos="8459"/>
              <w:tab w:val="right" w:pos="9026" w:leader="dot"/>
            </w:tabs>
            <w:rPr/>
          </w:pPr>
          <w:hyperlink w:anchor="__RefHeading___Toc7766838_2870459653">
            <w:r>
              <w:rPr>
                <w:webHidden/>
                <w:rStyle w:val="IndexLink"/>
                <w:rtl w:val="true"/>
              </w:rPr>
              <w:t>یافته های پیمایش</w:t>
            </w:r>
            <w:r>
              <w:rPr>
                <w:rStyle w:val="IndexLink"/>
                <w:rtl w:val="true"/>
              </w:rPr>
              <w:tab/>
            </w:r>
            <w:r>
              <w:rPr>
                <w:rStyle w:val="IndexLink"/>
              </w:rPr>
              <w:t>367</w:t>
            </w:r>
          </w:hyperlink>
        </w:p>
        <w:p>
          <w:pPr>
            <w:pStyle w:val="Contents3"/>
            <w:tabs>
              <w:tab w:val="clear" w:pos="8459"/>
              <w:tab w:val="right" w:pos="9026" w:leader="dot"/>
            </w:tabs>
            <w:rPr/>
          </w:pPr>
          <w:hyperlink w:anchor="__RefHeading___Toc7766840_2870459653">
            <w:r>
              <w:rPr>
                <w:webHidden/>
                <w:rStyle w:val="IndexLink"/>
                <w:rtl w:val="true"/>
              </w:rPr>
              <w:t>سخن کاربران</w:t>
            </w:r>
            <w:r>
              <w:rPr>
                <w:rStyle w:val="IndexLink"/>
                <w:rtl w:val="true"/>
              </w:rPr>
              <w:tab/>
            </w:r>
            <w:r>
              <w:rPr>
                <w:rStyle w:val="IndexLink"/>
              </w:rPr>
              <w:t>369</w:t>
            </w:r>
          </w:hyperlink>
        </w:p>
        <w:p>
          <w:pPr>
            <w:pStyle w:val="Contents3"/>
            <w:tabs>
              <w:tab w:val="clear" w:pos="8459"/>
              <w:tab w:val="right" w:pos="9026" w:leader="dot"/>
            </w:tabs>
            <w:rPr/>
          </w:pPr>
          <w:hyperlink w:anchor="__RefHeading___Toc7766842_2870459653">
            <w:r>
              <w:rPr>
                <w:webHidden/>
                <w:rStyle w:val="IndexLink"/>
                <w:rtl w:val="true"/>
              </w:rPr>
              <w:t>آن چه بعد روی داد</w:t>
            </w:r>
            <w:r>
              <w:rPr>
                <w:rStyle w:val="IndexLink"/>
                <w:rtl w:val="true"/>
              </w:rPr>
              <w:tab/>
            </w:r>
            <w:r>
              <w:rPr>
                <w:rStyle w:val="IndexLink"/>
              </w:rPr>
              <w:t>369</w:t>
            </w:r>
          </w:hyperlink>
        </w:p>
        <w:p>
          <w:pPr>
            <w:pStyle w:val="Contents3"/>
            <w:tabs>
              <w:tab w:val="clear" w:pos="8459"/>
              <w:tab w:val="right" w:pos="9026" w:leader="dot"/>
            </w:tabs>
            <w:rPr/>
          </w:pPr>
          <w:hyperlink w:anchor="__RefHeading___Toc7766844_2870459653">
            <w:r>
              <w:rPr>
                <w:webHidden/>
                <w:rStyle w:val="IndexLink"/>
                <w:rtl w:val="true"/>
              </w:rPr>
              <w:t>نتیجه گیری</w:t>
            </w:r>
            <w:r>
              <w:rPr>
                <w:rStyle w:val="IndexLink"/>
                <w:rtl w:val="true"/>
              </w:rPr>
              <w:tab/>
            </w:r>
            <w:r>
              <w:rPr>
                <w:rStyle w:val="IndexLink"/>
              </w:rPr>
              <w:t>369</w:t>
            </w:r>
          </w:hyperlink>
        </w:p>
        <w:p>
          <w:pPr>
            <w:pStyle w:val="Contents3"/>
            <w:tabs>
              <w:tab w:val="clear" w:pos="8459"/>
              <w:tab w:val="right" w:pos="9026" w:leader="dot"/>
            </w:tabs>
            <w:rPr/>
          </w:pPr>
          <w:hyperlink w:anchor="__RefHeading___Toc7766846_2870459653">
            <w:r>
              <w:rPr>
                <w:webHidden/>
                <w:rStyle w:val="IndexLink"/>
                <w:rtl w:val="true"/>
              </w:rPr>
              <w:t>خوانندگان از خود می گویند</w:t>
            </w:r>
            <w:r>
              <w:rPr>
                <w:rStyle w:val="IndexLink"/>
                <w:rtl w:val="true"/>
              </w:rPr>
              <w:tab/>
            </w:r>
            <w:r>
              <w:rPr>
                <w:rStyle w:val="IndexLink"/>
              </w:rPr>
              <w:t>370</w:t>
            </w:r>
          </w:hyperlink>
        </w:p>
        <w:p>
          <w:pPr>
            <w:pStyle w:val="Contents3"/>
            <w:tabs>
              <w:tab w:val="clear" w:pos="8459"/>
              <w:tab w:val="right" w:pos="9026" w:leader="dot"/>
            </w:tabs>
            <w:rPr/>
          </w:pPr>
          <w:hyperlink w:anchor="__RefHeading___Toc7766848_2870459653">
            <w:r>
              <w:rPr>
                <w:webHidden/>
                <w:rStyle w:val="IndexLink"/>
                <w:rtl w:val="true"/>
              </w:rPr>
              <w:t>یک ابزار واقعاً با ارزش</w:t>
            </w:r>
            <w:r>
              <w:rPr>
                <w:rStyle w:val="IndexLink"/>
                <w:rtl w:val="true"/>
              </w:rPr>
              <w:tab/>
            </w:r>
            <w:r>
              <w:rPr>
                <w:rStyle w:val="IndexLink"/>
              </w:rPr>
              <w:t>370</w:t>
            </w:r>
          </w:hyperlink>
        </w:p>
        <w:p>
          <w:pPr>
            <w:pStyle w:val="Contents3"/>
            <w:tabs>
              <w:tab w:val="clear" w:pos="8459"/>
              <w:tab w:val="right" w:pos="9026" w:leader="dot"/>
            </w:tabs>
            <w:rPr/>
          </w:pPr>
          <w:hyperlink w:anchor="__RefHeading___Toc7766850_2870459653">
            <w:r>
              <w:rPr>
                <w:webHidden/>
                <w:rStyle w:val="IndexLink"/>
                <w:rtl w:val="true"/>
              </w:rPr>
              <w:t>لذت بخشی رقومی</w:t>
            </w:r>
            <w:r>
              <w:rPr>
                <w:rStyle w:val="IndexLink"/>
                <w:rtl w:val="true"/>
              </w:rPr>
              <w:tab/>
            </w:r>
            <w:r>
              <w:rPr>
                <w:rStyle w:val="IndexLink"/>
              </w:rPr>
              <w:t>371</w:t>
            </w:r>
          </w:hyperlink>
        </w:p>
        <w:p>
          <w:pPr>
            <w:pStyle w:val="Contents3"/>
            <w:tabs>
              <w:tab w:val="clear" w:pos="8459"/>
              <w:tab w:val="right" w:pos="9026" w:leader="dot"/>
            </w:tabs>
            <w:rPr/>
          </w:pPr>
          <w:hyperlink w:anchor="__RefHeading___Toc7766852_2870459653">
            <w:r>
              <w:rPr>
                <w:webHidden/>
                <w:rStyle w:val="IndexLink"/>
                <w:rtl w:val="true"/>
              </w:rPr>
              <w:t>منابع</w:t>
            </w:r>
            <w:r>
              <w:rPr>
                <w:rStyle w:val="IndexLink"/>
                <w:rtl w:val="true"/>
              </w:rPr>
              <w:tab/>
            </w:r>
            <w:r>
              <w:rPr>
                <w:rStyle w:val="IndexLink"/>
              </w:rPr>
              <w:t>371</w:t>
            </w:r>
          </w:hyperlink>
        </w:p>
        <w:p>
          <w:pPr>
            <w:pStyle w:val="Contents2"/>
            <w:tabs>
              <w:tab w:val="clear" w:pos="8743"/>
              <w:tab w:val="right" w:pos="9026" w:leader="dot"/>
            </w:tabs>
            <w:rPr/>
          </w:pPr>
          <w:hyperlink w:anchor="__RefHeading___Toc7766854_2870459653">
            <w:r>
              <w:rPr>
                <w:webHidden/>
                <w:rStyle w:val="IndexLink"/>
                <w:rtl w:val="true"/>
              </w:rPr>
              <w:t>چکیده</w:t>
            </w:r>
            <w:r>
              <w:rPr>
                <w:rStyle w:val="IndexLink"/>
                <w:rtl w:val="true"/>
              </w:rPr>
              <w:tab/>
            </w:r>
            <w:r>
              <w:rPr>
                <w:rStyle w:val="IndexLink"/>
              </w:rPr>
              <w:t>375</w:t>
            </w:r>
          </w:hyperlink>
        </w:p>
        <w:p>
          <w:pPr>
            <w:pStyle w:val="Contents2"/>
            <w:tabs>
              <w:tab w:val="clear" w:pos="8743"/>
              <w:tab w:val="right" w:pos="9026" w:leader="dot"/>
            </w:tabs>
            <w:rPr/>
          </w:pPr>
          <w:hyperlink w:anchor="__RefHeading___Toc7766856_2870459653">
            <w:r>
              <w:rPr>
                <w:webHidden/>
                <w:rStyle w:val="IndexLink"/>
                <w:rtl w:val="true"/>
              </w:rPr>
              <w:t>ساخت پل ها</w:t>
            </w:r>
            <w:r>
              <w:rPr>
                <w:rStyle w:val="IndexLink"/>
                <w:rtl w:val="true"/>
              </w:rPr>
              <w:t xml:space="preserve">: </w:t>
            </w:r>
            <w:r>
              <w:rPr>
                <w:rStyle w:val="IndexLink"/>
                <w:rtl w:val="true"/>
              </w:rPr>
              <w:t>از کتابخانه های یوروپیانا تا روزنامه های یوروپیانا</w:t>
            </w:r>
            <w:r>
              <w:rPr>
                <w:rStyle w:val="IndexLink"/>
                <w:rtl w:val="true"/>
              </w:rPr>
              <w:tab/>
            </w:r>
            <w:r>
              <w:rPr>
                <w:rStyle w:val="IndexLink"/>
              </w:rPr>
              <w:t>376</w:t>
            </w:r>
          </w:hyperlink>
        </w:p>
        <w:p>
          <w:pPr>
            <w:pStyle w:val="Contents3"/>
            <w:tabs>
              <w:tab w:val="clear" w:pos="8459"/>
              <w:tab w:val="right" w:pos="9026" w:leader="dot"/>
            </w:tabs>
            <w:rPr/>
          </w:pPr>
          <w:hyperlink w:anchor="__RefHeading___Toc7766858_2870459653">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7766860_2870459653">
            <w:r>
              <w:rPr>
                <w:webHidden/>
                <w:rStyle w:val="IndexLink"/>
                <w:rtl w:val="true"/>
              </w:rPr>
              <w:t>مقدمه</w:t>
            </w:r>
            <w:r>
              <w:rPr>
                <w:rStyle w:val="IndexLink"/>
                <w:rtl w:val="true"/>
              </w:rPr>
              <w:tab/>
            </w:r>
            <w:r>
              <w:rPr>
                <w:rStyle w:val="IndexLink"/>
              </w:rPr>
              <w:t>376</w:t>
            </w:r>
          </w:hyperlink>
        </w:p>
        <w:p>
          <w:pPr>
            <w:pStyle w:val="Contents3"/>
            <w:tabs>
              <w:tab w:val="clear" w:pos="8459"/>
              <w:tab w:val="right" w:pos="9026" w:leader="dot"/>
            </w:tabs>
            <w:rPr/>
          </w:pPr>
          <w:hyperlink w:anchor="__RefHeading___Toc7766862_2870459653">
            <w:r>
              <w:rPr>
                <w:webHidden/>
                <w:rStyle w:val="IndexLink"/>
                <w:rtl w:val="true"/>
              </w:rPr>
              <w:t xml:space="preserve">سنگ بنا </w:t>
            </w:r>
            <w:r>
              <w:rPr>
                <w:rStyle w:val="IndexLink"/>
                <w:rtl w:val="true"/>
              </w:rPr>
              <w:t>(</w:t>
            </w:r>
            <w:r>
              <w:rPr>
                <w:rStyle w:val="IndexLink"/>
                <w:rtl w:val="true"/>
              </w:rPr>
              <w:t>بنیان</w:t>
            </w:r>
            <w:r>
              <w:rPr>
                <w:rStyle w:val="IndexLink"/>
                <w:rtl w:val="true"/>
              </w:rPr>
              <w:t>)</w:t>
              <w:tab/>
            </w:r>
            <w:r>
              <w:rPr>
                <w:rStyle w:val="IndexLink"/>
              </w:rPr>
              <w:t>377</w:t>
            </w:r>
          </w:hyperlink>
        </w:p>
        <w:p>
          <w:pPr>
            <w:pStyle w:val="Contents3"/>
            <w:tabs>
              <w:tab w:val="clear" w:pos="8459"/>
              <w:tab w:val="right" w:pos="9026" w:leader="dot"/>
            </w:tabs>
            <w:rPr/>
          </w:pPr>
          <w:hyperlink w:anchor="__RefHeading___Toc7766864_2870459653">
            <w:r>
              <w:rPr>
                <w:webHidden/>
                <w:rStyle w:val="IndexLink"/>
                <w:rtl w:val="true"/>
              </w:rPr>
              <w:t>مشارکت</w:t>
            </w:r>
            <w:r>
              <w:rPr>
                <w:rStyle w:val="IndexLink"/>
                <w:rtl w:val="true"/>
              </w:rPr>
              <w:tab/>
            </w:r>
            <w:r>
              <w:rPr>
                <w:rStyle w:val="IndexLink"/>
              </w:rPr>
              <w:t>377</w:t>
            </w:r>
          </w:hyperlink>
        </w:p>
        <w:p>
          <w:pPr>
            <w:pStyle w:val="Contents3"/>
            <w:tabs>
              <w:tab w:val="clear" w:pos="8459"/>
              <w:tab w:val="right" w:pos="9026" w:leader="dot"/>
            </w:tabs>
            <w:rPr/>
          </w:pPr>
          <w:hyperlink w:anchor="__RefHeading___Toc7766866_2870459653">
            <w:r>
              <w:rPr>
                <w:webHidden/>
                <w:rStyle w:val="IndexLink"/>
                <w:rtl w:val="true"/>
              </w:rPr>
              <w:t>اهمیت اشتراک و تعاون</w:t>
            </w:r>
            <w:r>
              <w:rPr>
                <w:rStyle w:val="IndexLink"/>
                <w:rtl w:val="true"/>
              </w:rPr>
              <w:tab/>
            </w:r>
            <w:r>
              <w:rPr>
                <w:rStyle w:val="IndexLink"/>
              </w:rPr>
              <w:t>378</w:t>
            </w:r>
          </w:hyperlink>
        </w:p>
        <w:p>
          <w:pPr>
            <w:pStyle w:val="Contents3"/>
            <w:tabs>
              <w:tab w:val="clear" w:pos="8459"/>
              <w:tab w:val="right" w:pos="9026" w:leader="dot"/>
            </w:tabs>
            <w:rPr/>
          </w:pPr>
          <w:hyperlink w:anchor="__RefHeading___Toc7766868_2870459653">
            <w:r>
              <w:rPr>
                <w:webHidden/>
                <w:rStyle w:val="IndexLink"/>
                <w:rtl w:val="true"/>
              </w:rPr>
              <w:t>طراحی درگاه</w:t>
            </w:r>
            <w:r>
              <w:rPr>
                <w:rStyle w:val="IndexLink"/>
                <w:rtl w:val="true"/>
              </w:rPr>
              <w:tab/>
            </w:r>
            <w:r>
              <w:rPr>
                <w:rStyle w:val="IndexLink"/>
              </w:rPr>
              <w:t>379</w:t>
            </w:r>
          </w:hyperlink>
        </w:p>
        <w:p>
          <w:pPr>
            <w:pStyle w:val="Contents3"/>
            <w:tabs>
              <w:tab w:val="clear" w:pos="8459"/>
              <w:tab w:val="right" w:pos="9026" w:leader="dot"/>
            </w:tabs>
            <w:rPr/>
          </w:pPr>
          <w:hyperlink w:anchor="__RefHeading___Toc7766870_2870459653">
            <w:r>
              <w:rPr>
                <w:webHidden/>
                <w:rStyle w:val="IndexLink"/>
                <w:rtl w:val="true"/>
              </w:rPr>
              <w:t>ساخت پل ها</w:t>
            </w:r>
            <w:r>
              <w:rPr>
                <w:rStyle w:val="IndexLink"/>
                <w:rtl w:val="true"/>
              </w:rPr>
              <w:tab/>
            </w:r>
            <w:r>
              <w:rPr>
                <w:rStyle w:val="IndexLink"/>
              </w:rPr>
              <w:t>380</w:t>
            </w:r>
          </w:hyperlink>
        </w:p>
        <w:p>
          <w:pPr>
            <w:pStyle w:val="Contents4"/>
            <w:tabs>
              <w:tab w:val="clear" w:pos="8176"/>
              <w:tab w:val="right" w:pos="9026" w:leader="dot"/>
            </w:tabs>
            <w:rPr/>
          </w:pPr>
          <w:hyperlink w:anchor="__RefHeading___Toc7766872_2870459653">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7766874_2870459653">
            <w:r>
              <w:rPr>
                <w:webHidden/>
                <w:rStyle w:val="IndexLink"/>
              </w:rPr>
              <w:t>1</w:t>
            </w:r>
            <w:r>
              <w:rPr>
                <w:rStyle w:val="IndexLink"/>
                <w:rtl w:val="true"/>
              </w:rPr>
              <w:t xml:space="preserve">. </w:t>
            </w:r>
            <w:r>
              <w:rPr>
                <w:rStyle w:val="IndexLink"/>
                <w:rtl w:val="true"/>
              </w:rPr>
              <w:t>کارگزاری فراهم نمودن محتوای رقومی</w:t>
            </w:r>
            <w:r>
              <w:rPr>
                <w:rStyle w:val="IndexLink"/>
                <w:rtl w:val="true"/>
              </w:rPr>
              <w:tab/>
            </w:r>
            <w:r>
              <w:rPr>
                <w:rStyle w:val="IndexLink"/>
              </w:rPr>
              <w:t>381</w:t>
            </w:r>
          </w:hyperlink>
        </w:p>
        <w:p>
          <w:pPr>
            <w:pStyle w:val="Contents4"/>
            <w:tabs>
              <w:tab w:val="clear" w:pos="8176"/>
              <w:tab w:val="right" w:pos="9026" w:leader="dot"/>
            </w:tabs>
            <w:rPr/>
          </w:pPr>
          <w:hyperlink w:anchor="__RefHeading___Toc7766876_2870459653">
            <w:r>
              <w:rPr>
                <w:webHidden/>
                <w:rStyle w:val="IndexLink"/>
              </w:rPr>
              <w:t>2</w:t>
            </w:r>
            <w:r>
              <w:rPr>
                <w:rStyle w:val="IndexLink"/>
                <w:rtl w:val="true"/>
              </w:rPr>
              <w:t xml:space="preserve">. </w:t>
            </w:r>
            <w:r>
              <w:rPr>
                <w:rStyle w:val="IndexLink"/>
                <w:rtl w:val="true"/>
              </w:rPr>
              <w:t>استانداردسازی فراداده ها</w:t>
            </w:r>
            <w:r>
              <w:rPr>
                <w:rStyle w:val="IndexLink"/>
                <w:rtl w:val="true"/>
              </w:rPr>
              <w:tab/>
            </w:r>
            <w:r>
              <w:rPr>
                <w:rStyle w:val="IndexLink"/>
              </w:rPr>
              <w:t>381</w:t>
            </w:r>
          </w:hyperlink>
        </w:p>
        <w:p>
          <w:pPr>
            <w:pStyle w:val="Contents4"/>
            <w:tabs>
              <w:tab w:val="clear" w:pos="8176"/>
              <w:tab w:val="right" w:pos="9026" w:leader="dot"/>
            </w:tabs>
            <w:rPr/>
          </w:pPr>
          <w:hyperlink w:anchor="__RefHeading___Toc7766878_2870459653">
            <w:r>
              <w:rPr>
                <w:webHidden/>
                <w:rStyle w:val="IndexLink"/>
              </w:rPr>
              <w:t>3</w:t>
            </w:r>
            <w:r>
              <w:rPr>
                <w:rStyle w:val="IndexLink"/>
                <w:rtl w:val="true"/>
              </w:rPr>
              <w:t xml:space="preserve">. </w:t>
            </w:r>
            <w:r>
              <w:rPr>
                <w:rStyle w:val="IndexLink"/>
                <w:rtl w:val="true"/>
              </w:rPr>
              <w:t>قابلیت های نمایش بهینه</w:t>
            </w:r>
            <w:r>
              <w:rPr>
                <w:rStyle w:val="IndexLink"/>
                <w:rtl w:val="true"/>
              </w:rPr>
              <w:tab/>
            </w:r>
            <w:r>
              <w:rPr>
                <w:rStyle w:val="IndexLink"/>
              </w:rPr>
              <w:t>381</w:t>
            </w:r>
          </w:hyperlink>
        </w:p>
        <w:p>
          <w:pPr>
            <w:pStyle w:val="Contents3"/>
            <w:tabs>
              <w:tab w:val="clear" w:pos="8459"/>
              <w:tab w:val="right" w:pos="9026" w:leader="dot"/>
            </w:tabs>
            <w:rPr/>
          </w:pPr>
          <w:hyperlink w:anchor="__RefHeading___Toc7766880_2870459653">
            <w:r>
              <w:rPr>
                <w:webHidden/>
                <w:rStyle w:val="IndexLink"/>
                <w:rtl w:val="true"/>
              </w:rPr>
              <w:t>نتیجه گیری</w:t>
            </w:r>
            <w:r>
              <w:rPr>
                <w:rStyle w:val="IndexLink"/>
                <w:rtl w:val="true"/>
              </w:rPr>
              <w:tab/>
            </w:r>
            <w:r>
              <w:rPr>
                <w:rStyle w:val="IndexLink"/>
              </w:rPr>
              <w:t>382</w:t>
            </w:r>
          </w:hyperlink>
        </w:p>
        <w:p>
          <w:pPr>
            <w:pStyle w:val="Contents3"/>
            <w:tabs>
              <w:tab w:val="clear" w:pos="8459"/>
              <w:tab w:val="right" w:pos="9026" w:leader="dot"/>
            </w:tabs>
            <w:rPr/>
          </w:pPr>
          <w:hyperlink w:anchor="__RefHeading___Toc7766882_2870459653">
            <w:r>
              <w:rPr>
                <w:webHidden/>
                <w:rStyle w:val="IndexLink"/>
                <w:rtl w:val="true"/>
              </w:rPr>
              <w:t>منابع</w:t>
            </w:r>
            <w:r>
              <w:rPr>
                <w:rStyle w:val="IndexLink"/>
                <w:rtl w:val="true"/>
              </w:rPr>
              <w:tab/>
            </w:r>
            <w:r>
              <w:rPr>
                <w:rStyle w:val="IndexLink"/>
              </w:rPr>
              <w:t>383</w:t>
            </w:r>
          </w:hyperlink>
        </w:p>
        <w:p>
          <w:pPr>
            <w:pStyle w:val="Contents2"/>
            <w:tabs>
              <w:tab w:val="clear" w:pos="8743"/>
              <w:tab w:val="right" w:pos="9026" w:leader="dot"/>
            </w:tabs>
            <w:rPr/>
          </w:pPr>
          <w:hyperlink w:anchor="__RefHeading___Toc7766884_2870459653">
            <w:r>
              <w:rPr>
                <w:webHidden/>
                <w:rStyle w:val="IndexLink"/>
                <w:rtl w:val="true"/>
              </w:rPr>
              <w:t>چکیده</w:t>
            </w:r>
            <w:r>
              <w:rPr>
                <w:rStyle w:val="IndexLink"/>
                <w:rtl w:val="true"/>
              </w:rPr>
              <w:tab/>
            </w:r>
            <w:r>
              <w:rPr>
                <w:rStyle w:val="IndexLink"/>
              </w:rPr>
              <w:t>385</w:t>
            </w:r>
          </w:hyperlink>
        </w:p>
        <w:p>
          <w:pPr>
            <w:pStyle w:val="Contents2"/>
            <w:tabs>
              <w:tab w:val="clear" w:pos="8743"/>
              <w:tab w:val="right" w:pos="9026" w:leader="dot"/>
            </w:tabs>
            <w:rPr/>
          </w:pPr>
          <w:hyperlink w:anchor="__RefHeading___Toc7766886_2870459653">
            <w:r>
              <w:rPr>
                <w:webHidden/>
                <w:rStyle w:val="IndexLink"/>
                <w:rtl w:val="true"/>
              </w:rPr>
              <w:t>نقش کتابخانه ها در نگهداری و مراقبت از داده های پژوهشی در آلمان</w:t>
            </w:r>
            <w:r>
              <w:rPr>
                <w:rStyle w:val="IndexLink"/>
                <w:rtl w:val="true"/>
              </w:rPr>
              <w:t xml:space="preserve">: </w:t>
            </w:r>
            <w:r>
              <w:rPr>
                <w:rStyle w:val="IndexLink"/>
                <w:rtl w:val="true"/>
              </w:rPr>
              <w:t>یافته های یک مطالعه</w:t>
            </w:r>
            <w:r>
              <w:rPr>
                <w:rStyle w:val="IndexLink"/>
                <w:rtl w:val="true"/>
              </w:rPr>
              <w:tab/>
            </w:r>
            <w:r>
              <w:rPr>
                <w:rStyle w:val="IndexLink"/>
              </w:rPr>
              <w:t>386</w:t>
            </w:r>
          </w:hyperlink>
        </w:p>
        <w:p>
          <w:pPr>
            <w:pStyle w:val="Contents3"/>
            <w:tabs>
              <w:tab w:val="clear" w:pos="8459"/>
              <w:tab w:val="right" w:pos="9026" w:leader="dot"/>
            </w:tabs>
            <w:rPr/>
          </w:pPr>
          <w:hyperlink w:anchor="__RefHeading___Toc7766888_2870459653">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7766890_2870459653">
            <w:r>
              <w:rPr>
                <w:webHidden/>
                <w:rStyle w:val="IndexLink"/>
                <w:rtl w:val="true"/>
              </w:rPr>
              <w:t>مقدمه</w:t>
            </w:r>
            <w:r>
              <w:rPr>
                <w:rStyle w:val="IndexLink"/>
                <w:rtl w:val="true"/>
              </w:rPr>
              <w:tab/>
            </w:r>
            <w:r>
              <w:rPr>
                <w:rStyle w:val="IndexLink"/>
              </w:rPr>
              <w:t>386</w:t>
            </w:r>
          </w:hyperlink>
        </w:p>
        <w:p>
          <w:pPr>
            <w:pStyle w:val="Contents3"/>
            <w:tabs>
              <w:tab w:val="clear" w:pos="8459"/>
              <w:tab w:val="right" w:pos="9026" w:leader="dot"/>
            </w:tabs>
            <w:rPr/>
          </w:pPr>
          <w:hyperlink w:anchor="__RefHeading___Toc7766892_2870459653">
            <w:r>
              <w:rPr>
                <w:webHidden/>
                <w:rStyle w:val="IndexLink"/>
                <w:rtl w:val="true"/>
              </w:rPr>
              <w:t>نتایج مطالعه پایه ای نستور درباره مراقبت و حفاظت رقومی از داده های پژوهشی در آلمان</w:t>
            </w:r>
            <w:r>
              <w:rPr>
                <w:rStyle w:val="IndexLink"/>
                <w:rtl w:val="true"/>
              </w:rPr>
              <w:tab/>
            </w:r>
            <w:r>
              <w:rPr>
                <w:rStyle w:val="IndexLink"/>
              </w:rPr>
              <w:t>388</w:t>
            </w:r>
          </w:hyperlink>
        </w:p>
        <w:p>
          <w:pPr>
            <w:pStyle w:val="Contents3"/>
            <w:tabs>
              <w:tab w:val="clear" w:pos="8459"/>
              <w:tab w:val="right" w:pos="9026" w:leader="dot"/>
            </w:tabs>
            <w:rPr/>
          </w:pPr>
          <w:hyperlink w:anchor="__RefHeading___Toc7766894_2870459653">
            <w:r>
              <w:rPr>
                <w:webHidden/>
                <w:rStyle w:val="IndexLink"/>
                <w:rtl w:val="true"/>
              </w:rPr>
              <w:t>جدیدترین گزارش یا چگونه این نتایج با نتایج حاصل از پژوهش های صورت گرفته در کشورهای دیگر همخوانی دارد؟</w:t>
            </w:r>
            <w:r>
              <w:rPr>
                <w:rStyle w:val="IndexLink"/>
                <w:rtl w:val="true"/>
              </w:rPr>
              <w:tab/>
            </w:r>
            <w:r>
              <w:rPr>
                <w:rStyle w:val="IndexLink"/>
              </w:rPr>
              <w:t>389</w:t>
            </w:r>
          </w:hyperlink>
        </w:p>
        <w:p>
          <w:pPr>
            <w:pStyle w:val="Contents3"/>
            <w:tabs>
              <w:tab w:val="clear" w:pos="8459"/>
              <w:tab w:val="right" w:pos="9026" w:leader="dot"/>
            </w:tabs>
            <w:rPr/>
          </w:pPr>
          <w:hyperlink w:anchor="__RefHeading___Toc7766896_2870459653">
            <w:r>
              <w:rPr>
                <w:webHidden/>
                <w:rStyle w:val="IndexLink"/>
                <w:rtl w:val="true"/>
              </w:rPr>
              <w:t>در حال حاضر چه نوع ساختارهای مشارکتی وجود دارد و چه نقشی را کتابخانه ها در این مشارکت ها ایفا می کنند؟</w:t>
            </w:r>
            <w:r>
              <w:rPr>
                <w:rStyle w:val="IndexLink"/>
                <w:rtl w:val="true"/>
              </w:rPr>
              <w:tab/>
            </w:r>
            <w:r>
              <w:rPr>
                <w:rStyle w:val="IndexLink"/>
              </w:rPr>
              <w:t>390</w:t>
            </w:r>
          </w:hyperlink>
        </w:p>
        <w:p>
          <w:pPr>
            <w:pStyle w:val="Contents3"/>
            <w:tabs>
              <w:tab w:val="clear" w:pos="8459"/>
              <w:tab w:val="right" w:pos="9026" w:leader="dot"/>
            </w:tabs>
            <w:rPr/>
          </w:pPr>
          <w:hyperlink w:anchor="__RefHeading___Toc7766898_2870459653">
            <w:r>
              <w:rPr>
                <w:webHidden/>
                <w:rStyle w:val="IndexLink"/>
                <w:rtl w:val="true"/>
              </w:rPr>
              <w:t>آیا مفاهیم کلی یا نقش هایی در حوزه مراقبت از داده ها برای کتابخانه ها و کتابداران تعریف شده است؟</w:t>
            </w:r>
            <w:r>
              <w:rPr>
                <w:rStyle w:val="IndexLink"/>
                <w:rtl w:val="true"/>
              </w:rPr>
              <w:tab/>
            </w:r>
            <w:r>
              <w:rPr>
                <w:rStyle w:val="IndexLink"/>
              </w:rPr>
              <w:t>391</w:t>
            </w:r>
          </w:hyperlink>
        </w:p>
        <w:p>
          <w:pPr>
            <w:pStyle w:val="Contents3"/>
            <w:tabs>
              <w:tab w:val="clear" w:pos="8459"/>
              <w:tab w:val="right" w:pos="9026" w:leader="dot"/>
            </w:tabs>
            <w:rPr/>
          </w:pPr>
          <w:hyperlink w:anchor="__RefHeading___Toc7766900_2870459653">
            <w:r>
              <w:rPr>
                <w:webHidden/>
                <w:rStyle w:val="IndexLink"/>
                <w:rtl w:val="true"/>
              </w:rPr>
              <w:t>قابلیت ها و توانایی هایی ضروری مورد نیاز کتابداران به منظور ارتقای کیفیت فعالیت های مراقبت از داده ها کدامند؟</w:t>
            </w:r>
            <w:r>
              <w:rPr>
                <w:rStyle w:val="IndexLink"/>
                <w:rtl w:val="true"/>
              </w:rPr>
              <w:tab/>
            </w:r>
            <w:r>
              <w:rPr>
                <w:rStyle w:val="IndexLink"/>
              </w:rPr>
              <w:t>394</w:t>
            </w:r>
          </w:hyperlink>
        </w:p>
        <w:p>
          <w:pPr>
            <w:pStyle w:val="Contents3"/>
            <w:tabs>
              <w:tab w:val="clear" w:pos="8459"/>
              <w:tab w:val="right" w:pos="9026" w:leader="dot"/>
            </w:tabs>
            <w:rPr/>
          </w:pPr>
          <w:hyperlink w:anchor="__RefHeading___Toc7766902_2870459653">
            <w:r>
              <w:rPr>
                <w:webHidden/>
                <w:rStyle w:val="IndexLink"/>
                <w:rtl w:val="true"/>
              </w:rPr>
              <w:t>نتیجه گیری</w:t>
            </w:r>
            <w:r>
              <w:rPr>
                <w:rStyle w:val="IndexLink"/>
                <w:rtl w:val="true"/>
              </w:rPr>
              <w:tab/>
            </w:r>
            <w:r>
              <w:rPr>
                <w:rStyle w:val="IndexLink"/>
              </w:rPr>
              <w:t>396</w:t>
            </w:r>
          </w:hyperlink>
        </w:p>
        <w:p>
          <w:pPr>
            <w:pStyle w:val="Contents3"/>
            <w:tabs>
              <w:tab w:val="clear" w:pos="8459"/>
              <w:tab w:val="right" w:pos="9026" w:leader="dot"/>
            </w:tabs>
            <w:rPr/>
          </w:pPr>
          <w:hyperlink w:anchor="__RefHeading___Toc7766904_2870459653">
            <w:r>
              <w:rPr>
                <w:webHidden/>
                <w:rStyle w:val="IndexLink"/>
                <w:rtl w:val="true"/>
              </w:rPr>
              <w:t>منابع</w:t>
            </w:r>
            <w:r>
              <w:rPr>
                <w:rStyle w:val="IndexLink"/>
                <w:rtl w:val="true"/>
              </w:rPr>
              <w:tab/>
            </w:r>
            <w:r>
              <w:rPr>
                <w:rStyle w:val="IndexLink"/>
              </w:rPr>
              <w:t>397</w:t>
            </w:r>
          </w:hyperlink>
        </w:p>
        <w:p>
          <w:pPr>
            <w:pStyle w:val="Contents2"/>
            <w:tabs>
              <w:tab w:val="clear" w:pos="8743"/>
              <w:tab w:val="right" w:pos="9026" w:leader="dot"/>
            </w:tabs>
            <w:rPr/>
          </w:pPr>
          <w:hyperlink w:anchor="__RefHeading___Toc7766906_2870459653">
            <w:r>
              <w:rPr>
                <w:webHidden/>
                <w:rStyle w:val="IndexLink"/>
                <w:rtl w:val="true"/>
              </w:rPr>
              <w:t>چکیده</w:t>
            </w:r>
            <w:r>
              <w:rPr>
                <w:rStyle w:val="IndexLink"/>
                <w:rtl w:val="true"/>
              </w:rPr>
              <w:tab/>
            </w:r>
            <w:r>
              <w:rPr>
                <w:rStyle w:val="IndexLink"/>
              </w:rPr>
              <w:t>401</w:t>
            </w:r>
          </w:hyperlink>
        </w:p>
        <w:p>
          <w:pPr>
            <w:pStyle w:val="Contents2"/>
            <w:tabs>
              <w:tab w:val="clear" w:pos="8743"/>
              <w:tab w:val="right" w:pos="9026" w:leader="dot"/>
            </w:tabs>
            <w:rPr/>
          </w:pPr>
          <w:hyperlink w:anchor="__RefHeading___Toc7766908_2870459653">
            <w:r>
              <w:rPr>
                <w:webHidden/>
                <w:rStyle w:val="IndexLink"/>
                <w:rtl w:val="true"/>
              </w:rPr>
              <w:t xml:space="preserve">توسعه خدمات جدید در محیط حومه شهر </w:t>
            </w:r>
            <w:r>
              <w:rPr>
                <w:rStyle w:val="IndexLink"/>
                <w:rtl w:val="true"/>
              </w:rPr>
              <w:t xml:space="preserve">- </w:t>
            </w:r>
            <w:r>
              <w:rPr>
                <w:rStyle w:val="IndexLink"/>
                <w:rtl w:val="true"/>
              </w:rPr>
              <w:t>اتاق مطالعه مایلی پیورو به یک کتابخانه رسانه تبدیل شد</w:t>
            </w:r>
            <w:r>
              <w:rPr>
                <w:rStyle w:val="IndexLink"/>
                <w:rtl w:val="true"/>
              </w:rPr>
              <w:t>.</w:t>
              <w:tab/>
            </w:r>
            <w:r>
              <w:rPr>
                <w:rStyle w:val="IndexLink"/>
              </w:rPr>
              <w:t>402</w:t>
            </w:r>
          </w:hyperlink>
        </w:p>
        <w:p>
          <w:pPr>
            <w:pStyle w:val="Contents3"/>
            <w:tabs>
              <w:tab w:val="clear" w:pos="8459"/>
              <w:tab w:val="right" w:pos="9026" w:leader="dot"/>
            </w:tabs>
            <w:rPr/>
          </w:pPr>
          <w:hyperlink w:anchor="__RefHeading___Toc7766910_2870459653">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7766912_2870459653">
            <w:r>
              <w:rPr>
                <w:webHidden/>
                <w:rStyle w:val="IndexLink"/>
                <w:rtl w:val="true"/>
              </w:rPr>
              <w:t>زمینه</w:t>
            </w:r>
            <w:r>
              <w:rPr>
                <w:rStyle w:val="IndexLink"/>
                <w:rtl w:val="true"/>
              </w:rPr>
              <w:tab/>
            </w:r>
            <w:r>
              <w:rPr>
                <w:rStyle w:val="IndexLink"/>
              </w:rPr>
              <w:t>402</w:t>
            </w:r>
          </w:hyperlink>
        </w:p>
        <w:p>
          <w:pPr>
            <w:pStyle w:val="Contents3"/>
            <w:tabs>
              <w:tab w:val="clear" w:pos="8459"/>
              <w:tab w:val="right" w:pos="9026" w:leader="dot"/>
            </w:tabs>
            <w:rPr/>
          </w:pPr>
          <w:hyperlink w:anchor="__RefHeading___Toc7766914_2870459653">
            <w:r>
              <w:rPr>
                <w:webHidden/>
                <w:rStyle w:val="IndexLink"/>
                <w:rtl w:val="true"/>
              </w:rPr>
              <w:t>همکاری و الگوها</w:t>
            </w:r>
            <w:r>
              <w:rPr>
                <w:rStyle w:val="IndexLink"/>
                <w:rtl w:val="true"/>
              </w:rPr>
              <w:tab/>
            </w:r>
            <w:r>
              <w:rPr>
                <w:rStyle w:val="IndexLink"/>
              </w:rPr>
              <w:t>403</w:t>
            </w:r>
          </w:hyperlink>
        </w:p>
        <w:p>
          <w:pPr>
            <w:pStyle w:val="Contents3"/>
            <w:tabs>
              <w:tab w:val="clear" w:pos="8459"/>
              <w:tab w:val="right" w:pos="9026" w:leader="dot"/>
            </w:tabs>
            <w:rPr/>
          </w:pPr>
          <w:hyperlink w:anchor="__RefHeading___Toc7766916_2870459653">
            <w:r>
              <w:rPr>
                <w:webHidden/>
                <w:rStyle w:val="IndexLink"/>
                <w:rtl w:val="true"/>
              </w:rPr>
              <w:t>خدمات</w:t>
            </w:r>
            <w:r>
              <w:rPr>
                <w:rStyle w:val="IndexLink"/>
                <w:rtl w:val="true"/>
              </w:rPr>
              <w:tab/>
            </w:r>
            <w:r>
              <w:rPr>
                <w:rStyle w:val="IndexLink"/>
              </w:rPr>
              <w:t>404</w:t>
            </w:r>
          </w:hyperlink>
        </w:p>
        <w:p>
          <w:pPr>
            <w:pStyle w:val="Contents3"/>
            <w:tabs>
              <w:tab w:val="clear" w:pos="8459"/>
              <w:tab w:val="right" w:pos="9026" w:leader="dot"/>
            </w:tabs>
            <w:rPr/>
          </w:pPr>
          <w:hyperlink w:anchor="__RefHeading___Toc7766918_2870459653">
            <w:r>
              <w:rPr>
                <w:webHidden/>
                <w:rStyle w:val="IndexLink"/>
                <w:rtl w:val="true"/>
              </w:rPr>
              <w:t>خدمات جدید پیشنهادی</w:t>
            </w:r>
            <w:r>
              <w:rPr>
                <w:rStyle w:val="IndexLink"/>
                <w:rtl w:val="true"/>
              </w:rPr>
              <w:tab/>
            </w:r>
            <w:r>
              <w:rPr>
                <w:rStyle w:val="IndexLink"/>
              </w:rPr>
              <w:t>404</w:t>
            </w:r>
          </w:hyperlink>
        </w:p>
        <w:p>
          <w:pPr>
            <w:pStyle w:val="Contents3"/>
            <w:tabs>
              <w:tab w:val="clear" w:pos="8459"/>
              <w:tab w:val="right" w:pos="9026" w:leader="dot"/>
            </w:tabs>
            <w:rPr/>
          </w:pPr>
          <w:hyperlink w:anchor="__RefHeading___Toc7766920_2870459653">
            <w:r>
              <w:rPr>
                <w:webHidden/>
                <w:rStyle w:val="IndexLink"/>
                <w:rtl w:val="true"/>
              </w:rPr>
              <w:t>نتیجه گیری</w:t>
            </w:r>
            <w:r>
              <w:rPr>
                <w:rStyle w:val="IndexLink"/>
                <w:rtl w:val="true"/>
              </w:rPr>
              <w:t>:</w:t>
              <w:tab/>
            </w:r>
            <w:r>
              <w:rPr>
                <w:rStyle w:val="IndexLink"/>
              </w:rPr>
              <w:t>405</w:t>
            </w:r>
          </w:hyperlink>
        </w:p>
        <w:p>
          <w:pPr>
            <w:pStyle w:val="Contents2"/>
            <w:tabs>
              <w:tab w:val="clear" w:pos="8743"/>
              <w:tab w:val="right" w:pos="9026" w:leader="dot"/>
            </w:tabs>
            <w:rPr/>
          </w:pPr>
          <w:hyperlink w:anchor="__RefHeading___Toc7766922_2870459653">
            <w:r>
              <w:rPr>
                <w:webHidden/>
                <w:rStyle w:val="IndexLink"/>
                <w:rtl w:val="true"/>
              </w:rPr>
              <w:t>چکیده</w:t>
            </w:r>
            <w:r>
              <w:rPr>
                <w:rStyle w:val="IndexLink"/>
                <w:rtl w:val="true"/>
              </w:rPr>
              <w:tab/>
            </w:r>
            <w:r>
              <w:rPr>
                <w:rStyle w:val="IndexLink"/>
              </w:rPr>
              <w:t>407</w:t>
            </w:r>
          </w:hyperlink>
        </w:p>
        <w:p>
          <w:pPr>
            <w:pStyle w:val="Contents2"/>
            <w:tabs>
              <w:tab w:val="clear" w:pos="8743"/>
              <w:tab w:val="right" w:pos="9026" w:leader="dot"/>
            </w:tabs>
            <w:rPr/>
          </w:pPr>
          <w:hyperlink w:anchor="__RefHeading___Toc7766924_2870459653">
            <w:r>
              <w:rPr>
                <w:webHidden/>
                <w:rStyle w:val="IndexLink"/>
                <w:rtl w:val="true"/>
              </w:rPr>
              <w:t>بهبود عملکردها</w:t>
            </w:r>
            <w:r>
              <w:rPr>
                <w:rStyle w:val="IndexLink"/>
                <w:rtl w:val="true"/>
              </w:rPr>
              <w:t xml:space="preserve">: </w:t>
            </w:r>
            <w:r>
              <w:rPr>
                <w:rStyle w:val="IndexLink"/>
                <w:rtl w:val="true"/>
              </w:rPr>
              <w:t>استانداردهای آماری در کتابخانه های جهان</w:t>
            </w:r>
            <w:r>
              <w:rPr>
                <w:rStyle w:val="IndexLink"/>
                <w:rtl w:val="true"/>
              </w:rPr>
              <w:tab/>
            </w:r>
            <w:r>
              <w:rPr>
                <w:rStyle w:val="IndexLink"/>
              </w:rPr>
              <w:t>408</w:t>
            </w:r>
          </w:hyperlink>
        </w:p>
        <w:p>
          <w:pPr>
            <w:pStyle w:val="Contents3"/>
            <w:tabs>
              <w:tab w:val="clear" w:pos="8459"/>
              <w:tab w:val="right" w:pos="9026" w:leader="dot"/>
            </w:tabs>
            <w:rPr/>
          </w:pPr>
          <w:hyperlink w:anchor="__RefHeading___Toc7766926_2870459653">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7766928_2870459653">
            <w:r>
              <w:rPr>
                <w:webHidden/>
                <w:rStyle w:val="IndexLink"/>
                <w:rtl w:val="true"/>
              </w:rPr>
              <w:t>راهبردهایی برای تغییر</w:t>
            </w:r>
            <w:r>
              <w:rPr>
                <w:rStyle w:val="IndexLink"/>
                <w:rtl w:val="true"/>
              </w:rPr>
              <w:tab/>
            </w:r>
            <w:r>
              <w:rPr>
                <w:rStyle w:val="IndexLink"/>
              </w:rPr>
              <w:t>408</w:t>
            </w:r>
          </w:hyperlink>
        </w:p>
        <w:p>
          <w:pPr>
            <w:pStyle w:val="Contents3"/>
            <w:tabs>
              <w:tab w:val="clear" w:pos="8459"/>
              <w:tab w:val="right" w:pos="9026" w:leader="dot"/>
            </w:tabs>
            <w:rPr/>
          </w:pPr>
          <w:hyperlink w:anchor="__RefHeading___Toc7766930_2870459653">
            <w:r>
              <w:rPr>
                <w:webHidden/>
                <w:rStyle w:val="IndexLink"/>
                <w:rtl w:val="true"/>
              </w:rPr>
              <w:t>گزارش جهانی ایفلا</w:t>
            </w:r>
            <w:r>
              <w:rPr>
                <w:rStyle w:val="IndexLink"/>
                <w:rtl w:val="true"/>
              </w:rPr>
              <w:tab/>
            </w:r>
            <w:r>
              <w:rPr>
                <w:rStyle w:val="IndexLink"/>
              </w:rPr>
              <w:t>414</w:t>
            </w:r>
          </w:hyperlink>
        </w:p>
        <w:p>
          <w:pPr>
            <w:pStyle w:val="Contents3"/>
            <w:tabs>
              <w:tab w:val="clear" w:pos="8459"/>
              <w:tab w:val="right" w:pos="9026" w:leader="dot"/>
            </w:tabs>
            <w:rPr/>
          </w:pPr>
          <w:hyperlink w:anchor="__RefHeading___Toc7766932_2870459653">
            <w:r>
              <w:rPr>
                <w:webHidden/>
                <w:rStyle w:val="IndexLink"/>
                <w:rtl w:val="true"/>
              </w:rPr>
              <w:t>استانداردهای سازمان جهانی استاندارد</w:t>
            </w:r>
            <w:r>
              <w:rPr>
                <w:rStyle w:val="IndexLink"/>
                <w:rtl w:val="true"/>
              </w:rPr>
              <w:tab/>
            </w:r>
            <w:r>
              <w:rPr>
                <w:rStyle w:val="IndexLink"/>
              </w:rPr>
              <w:t>417</w:t>
            </w:r>
          </w:hyperlink>
        </w:p>
        <w:p>
          <w:pPr>
            <w:pStyle w:val="Contents3"/>
            <w:tabs>
              <w:tab w:val="clear" w:pos="8459"/>
              <w:tab w:val="right" w:pos="9026" w:leader="dot"/>
            </w:tabs>
            <w:rPr/>
          </w:pPr>
          <w:hyperlink w:anchor="__RefHeading___Toc7766934_2870459653">
            <w:r>
              <w:rPr>
                <w:webHidden/>
                <w:rStyle w:val="IndexLink"/>
                <w:rtl w:val="true"/>
              </w:rPr>
              <w:t>نتیجه گیری</w:t>
            </w:r>
            <w:r>
              <w:rPr>
                <w:rStyle w:val="IndexLink"/>
                <w:rtl w:val="true"/>
              </w:rPr>
              <w:tab/>
            </w:r>
            <w:r>
              <w:rPr>
                <w:rStyle w:val="IndexLink"/>
              </w:rPr>
              <w:t>420</w:t>
            </w:r>
          </w:hyperlink>
        </w:p>
        <w:p>
          <w:pPr>
            <w:pStyle w:val="Contents3"/>
            <w:tabs>
              <w:tab w:val="clear" w:pos="8459"/>
              <w:tab w:val="right" w:pos="9026" w:leader="dot"/>
            </w:tabs>
            <w:rPr/>
          </w:pPr>
          <w:hyperlink w:anchor="__RefHeading___Toc7766936_2870459653">
            <w:r>
              <w:rPr>
                <w:webHidden/>
                <w:rStyle w:val="IndexLink"/>
                <w:rtl w:val="true"/>
              </w:rPr>
              <w:t>منابع</w:t>
            </w:r>
            <w:r>
              <w:rPr>
                <w:rStyle w:val="IndexLink"/>
                <w:rtl w:val="true"/>
              </w:rPr>
              <w:tab/>
            </w:r>
            <w:r>
              <w:rPr>
                <w:rStyle w:val="IndexLink"/>
              </w:rPr>
              <w:t>422</w:t>
            </w:r>
          </w:hyperlink>
        </w:p>
        <w:p>
          <w:pPr>
            <w:pStyle w:val="Contents2"/>
            <w:tabs>
              <w:tab w:val="clear" w:pos="8743"/>
              <w:tab w:val="right" w:pos="9026" w:leader="dot"/>
            </w:tabs>
            <w:rPr/>
          </w:pPr>
          <w:hyperlink w:anchor="__RefHeading___Toc7766938_2870459653">
            <w:r>
              <w:rPr>
                <w:webHidden/>
                <w:rStyle w:val="IndexLink"/>
                <w:rtl w:val="true"/>
              </w:rPr>
              <w:t>چکیده</w:t>
            </w:r>
            <w:r>
              <w:rPr>
                <w:rStyle w:val="IndexLink"/>
                <w:rtl w:val="true"/>
              </w:rPr>
              <w:tab/>
            </w:r>
            <w:r>
              <w:rPr>
                <w:rStyle w:val="IndexLink"/>
              </w:rPr>
              <w:t>423</w:t>
            </w:r>
          </w:hyperlink>
        </w:p>
        <w:p>
          <w:pPr>
            <w:pStyle w:val="Contents2"/>
            <w:tabs>
              <w:tab w:val="clear" w:pos="8743"/>
              <w:tab w:val="right" w:pos="9026" w:leader="dot"/>
            </w:tabs>
            <w:rPr/>
          </w:pPr>
          <w:hyperlink w:anchor="__RefHeading___Toc7766940_2870459653">
            <w:r>
              <w:rPr>
                <w:webHidden/>
                <w:rStyle w:val="IndexLink"/>
                <w:rtl w:val="true"/>
              </w:rPr>
              <w:t>روابط بین دارندگان حقوق انحصاری کتابخانه ها و کاربران</w:t>
            </w:r>
            <w:r>
              <w:rPr>
                <w:rStyle w:val="IndexLink"/>
                <w:rtl w:val="true"/>
              </w:rPr>
              <w:tab/>
            </w:r>
            <w:r>
              <w:rPr>
                <w:rStyle w:val="IndexLink"/>
              </w:rPr>
              <w:t>424</w:t>
            </w:r>
          </w:hyperlink>
        </w:p>
        <w:p>
          <w:pPr>
            <w:pStyle w:val="Contents3"/>
            <w:tabs>
              <w:tab w:val="clear" w:pos="8459"/>
              <w:tab w:val="right" w:pos="9026" w:leader="dot"/>
            </w:tabs>
            <w:rPr/>
          </w:pPr>
          <w:hyperlink w:anchor="__RefHeading___Toc7766942_2870459653">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7766944_2870459653">
            <w:r>
              <w:rPr>
                <w:webHidden/>
                <w:rStyle w:val="IndexLink"/>
                <w:rtl w:val="true"/>
              </w:rPr>
              <w:t>مقدمه</w:t>
            </w:r>
            <w:r>
              <w:rPr>
                <w:rStyle w:val="IndexLink"/>
                <w:rtl w:val="true"/>
              </w:rPr>
              <w:tab/>
            </w:r>
            <w:r>
              <w:rPr>
                <w:rStyle w:val="IndexLink"/>
              </w:rPr>
              <w:t>424</w:t>
            </w:r>
          </w:hyperlink>
        </w:p>
        <w:p>
          <w:pPr>
            <w:pStyle w:val="Contents3"/>
            <w:tabs>
              <w:tab w:val="clear" w:pos="8459"/>
              <w:tab w:val="right" w:pos="9026" w:leader="dot"/>
            </w:tabs>
            <w:rPr/>
          </w:pPr>
          <w:hyperlink w:anchor="__RefHeading___Toc7766946_2870459653">
            <w:r>
              <w:rPr>
                <w:webHidden/>
                <w:rStyle w:val="IndexLink"/>
                <w:rtl w:val="true"/>
              </w:rPr>
              <w:t>روابط بین تمام دست اندرکاران حقوق انحصاری آثار</w:t>
            </w:r>
            <w:r>
              <w:rPr>
                <w:rStyle w:val="IndexLink"/>
                <w:rtl w:val="true"/>
              </w:rPr>
              <w:tab/>
            </w:r>
            <w:r>
              <w:rPr>
                <w:rStyle w:val="IndexLink"/>
              </w:rPr>
              <w:t>425</w:t>
            </w:r>
          </w:hyperlink>
        </w:p>
        <w:p>
          <w:pPr>
            <w:pStyle w:val="Contents3"/>
            <w:tabs>
              <w:tab w:val="clear" w:pos="8459"/>
              <w:tab w:val="right" w:pos="9026" w:leader="dot"/>
            </w:tabs>
            <w:rPr/>
          </w:pPr>
          <w:hyperlink w:anchor="__RefHeading___Toc7766948_2870459653">
            <w:r>
              <w:rPr>
                <w:webHidden/>
                <w:rStyle w:val="IndexLink"/>
                <w:rtl w:val="true"/>
              </w:rPr>
              <w:t>قوانین حقوق انحصاری اثر در پاکستان</w:t>
            </w:r>
            <w:r>
              <w:rPr>
                <w:rStyle w:val="IndexLink"/>
                <w:rtl w:val="true"/>
              </w:rPr>
              <w:tab/>
            </w:r>
            <w:r>
              <w:rPr>
                <w:rStyle w:val="IndexLink"/>
              </w:rPr>
              <w:t>425</w:t>
            </w:r>
          </w:hyperlink>
        </w:p>
        <w:p>
          <w:pPr>
            <w:pStyle w:val="Contents3"/>
            <w:tabs>
              <w:tab w:val="clear" w:pos="8459"/>
              <w:tab w:val="right" w:pos="9026" w:leader="dot"/>
            </w:tabs>
            <w:rPr/>
          </w:pPr>
          <w:hyperlink w:anchor="__RefHeading___Toc7766950_2870459653">
            <w:r>
              <w:rPr>
                <w:webHidden/>
                <w:rStyle w:val="IndexLink"/>
                <w:rtl w:val="true"/>
              </w:rPr>
              <w:t xml:space="preserve">حکم حقوق انحصاری اثر، سال </w:t>
            </w:r>
            <w:r>
              <w:rPr>
                <w:rStyle w:val="IndexLink"/>
              </w:rPr>
              <w:t>1962</w:t>
            </w:r>
            <w:r>
              <w:rPr>
                <w:rStyle w:val="IndexLink"/>
                <w:rtl w:val="true"/>
              </w:rPr>
              <w:tab/>
            </w:r>
            <w:r>
              <w:rPr>
                <w:rStyle w:val="IndexLink"/>
              </w:rPr>
              <w:t>426</w:t>
            </w:r>
          </w:hyperlink>
        </w:p>
        <w:p>
          <w:pPr>
            <w:pStyle w:val="Contents3"/>
            <w:tabs>
              <w:tab w:val="clear" w:pos="8459"/>
              <w:tab w:val="right" w:pos="9026" w:leader="dot"/>
            </w:tabs>
            <w:rPr/>
          </w:pPr>
          <w:hyperlink w:anchor="__RefHeading___Toc7766952_2870459653">
            <w:r>
              <w:rPr>
                <w:webHidden/>
                <w:rStyle w:val="IndexLink"/>
                <w:rtl w:val="true"/>
              </w:rPr>
              <w:t>موضوعات و مشکلات کنونی درباره حقوق انحصاری آثار در پاکستان</w:t>
            </w:r>
            <w:r>
              <w:rPr>
                <w:rStyle w:val="IndexLink"/>
                <w:rtl w:val="true"/>
              </w:rPr>
              <w:tab/>
            </w:r>
            <w:r>
              <w:rPr>
                <w:rStyle w:val="IndexLink"/>
              </w:rPr>
              <w:t>426</w:t>
            </w:r>
          </w:hyperlink>
        </w:p>
        <w:p>
          <w:pPr>
            <w:pStyle w:val="Contents4"/>
            <w:tabs>
              <w:tab w:val="clear" w:pos="8176"/>
              <w:tab w:val="right" w:pos="9026" w:leader="dot"/>
            </w:tabs>
            <w:rPr/>
          </w:pPr>
          <w:hyperlink w:anchor="__RefHeading___Toc7766954_2870459653">
            <w:r>
              <w:rPr>
                <w:webHidden/>
                <w:rStyle w:val="IndexLink"/>
                <w:rtl w:val="true"/>
              </w:rPr>
              <w:t>تولید کارهای صوتی و تصویری در پاکستان</w:t>
            </w:r>
            <w:r>
              <w:rPr>
                <w:rStyle w:val="IndexLink"/>
                <w:rtl w:val="true"/>
              </w:rPr>
              <w:tab/>
            </w:r>
            <w:r>
              <w:rPr>
                <w:rStyle w:val="IndexLink"/>
              </w:rPr>
              <w:t>426</w:t>
            </w:r>
          </w:hyperlink>
        </w:p>
        <w:p>
          <w:pPr>
            <w:pStyle w:val="Contents4"/>
            <w:tabs>
              <w:tab w:val="clear" w:pos="8176"/>
              <w:tab w:val="right" w:pos="9026" w:leader="dot"/>
            </w:tabs>
            <w:rPr/>
          </w:pPr>
          <w:hyperlink w:anchor="__RefHeading___Toc7766956_2870459653">
            <w:r>
              <w:rPr>
                <w:webHidden/>
                <w:rStyle w:val="IndexLink"/>
                <w:rtl w:val="true"/>
              </w:rPr>
              <w:t>اقتباس ابزار تأثیر، نفوذ و انتقال اطلاعات</w:t>
            </w:r>
            <w:r>
              <w:rPr>
                <w:rStyle w:val="IndexLink"/>
                <w:rtl w:val="true"/>
              </w:rPr>
              <w:tab/>
            </w:r>
            <w:r>
              <w:rPr>
                <w:rStyle w:val="IndexLink"/>
              </w:rPr>
              <w:t>427</w:t>
            </w:r>
          </w:hyperlink>
        </w:p>
        <w:p>
          <w:pPr>
            <w:pStyle w:val="Contents4"/>
            <w:tabs>
              <w:tab w:val="clear" w:pos="8176"/>
              <w:tab w:val="right" w:pos="9026" w:leader="dot"/>
            </w:tabs>
            <w:rPr/>
          </w:pPr>
          <w:hyperlink w:anchor="__RefHeading___Toc7766958_2870459653">
            <w:r>
              <w:rPr>
                <w:webHidden/>
                <w:rStyle w:val="IndexLink"/>
                <w:rtl w:val="true"/>
              </w:rPr>
              <w:t>نقش رسانه های اجتماعی</w:t>
            </w:r>
            <w:r>
              <w:rPr>
                <w:rStyle w:val="IndexLink"/>
                <w:rtl w:val="true"/>
              </w:rPr>
              <w:tab/>
            </w:r>
            <w:r>
              <w:rPr>
                <w:rStyle w:val="IndexLink"/>
              </w:rPr>
              <w:t>427</w:t>
            </w:r>
          </w:hyperlink>
        </w:p>
        <w:p>
          <w:pPr>
            <w:pStyle w:val="Contents4"/>
            <w:tabs>
              <w:tab w:val="clear" w:pos="8176"/>
              <w:tab w:val="right" w:pos="9026" w:leader="dot"/>
            </w:tabs>
            <w:rPr/>
          </w:pPr>
          <w:hyperlink w:anchor="__RefHeading___Toc7766960_2870459653">
            <w:r>
              <w:rPr>
                <w:webHidden/>
                <w:rStyle w:val="IndexLink"/>
                <w:rtl w:val="true"/>
              </w:rPr>
              <w:t>آگاهی نداشتن درباره حقوق مالکیت فکری</w:t>
            </w:r>
            <w:r>
              <w:rPr>
                <w:rStyle w:val="IndexLink"/>
                <w:rtl w:val="true"/>
              </w:rPr>
              <w:tab/>
            </w:r>
            <w:r>
              <w:rPr>
                <w:rStyle w:val="IndexLink"/>
              </w:rPr>
              <w:t>427</w:t>
            </w:r>
          </w:hyperlink>
        </w:p>
        <w:p>
          <w:pPr>
            <w:pStyle w:val="Contents4"/>
            <w:tabs>
              <w:tab w:val="clear" w:pos="8176"/>
              <w:tab w:val="right" w:pos="9026" w:leader="dot"/>
            </w:tabs>
            <w:rPr/>
          </w:pPr>
          <w:hyperlink w:anchor="__RefHeading___Toc7766962_2870459653">
            <w:r>
              <w:rPr>
                <w:webHidden/>
                <w:rStyle w:val="IndexLink"/>
                <w:rtl w:val="true"/>
              </w:rPr>
              <w:t>به تأخیر انداختن عدالت در پرونده های قضایی</w:t>
            </w:r>
            <w:r>
              <w:rPr>
                <w:rStyle w:val="IndexLink"/>
                <w:rtl w:val="true"/>
              </w:rPr>
              <w:tab/>
            </w:r>
            <w:r>
              <w:rPr>
                <w:rStyle w:val="IndexLink"/>
              </w:rPr>
              <w:t>427</w:t>
            </w:r>
          </w:hyperlink>
        </w:p>
        <w:p>
          <w:pPr>
            <w:pStyle w:val="Contents4"/>
            <w:tabs>
              <w:tab w:val="clear" w:pos="8176"/>
              <w:tab w:val="right" w:pos="9026" w:leader="dot"/>
            </w:tabs>
            <w:rPr/>
          </w:pPr>
          <w:hyperlink w:anchor="__RefHeading___Toc7766964_2870459653">
            <w:r>
              <w:rPr>
                <w:webHidden/>
                <w:rStyle w:val="IndexLink"/>
                <w:rtl w:val="true"/>
              </w:rPr>
              <w:t>شکست حمله های دفاتر نمایندگی اجرایی</w:t>
            </w:r>
            <w:r>
              <w:rPr>
                <w:rStyle w:val="IndexLink"/>
                <w:rtl w:val="true"/>
              </w:rPr>
              <w:tab/>
            </w:r>
            <w:r>
              <w:rPr>
                <w:rStyle w:val="IndexLink"/>
              </w:rPr>
              <w:t>427</w:t>
            </w:r>
          </w:hyperlink>
        </w:p>
        <w:p>
          <w:pPr>
            <w:pStyle w:val="Contents4"/>
            <w:tabs>
              <w:tab w:val="clear" w:pos="8176"/>
              <w:tab w:val="right" w:pos="9026" w:leader="dot"/>
            </w:tabs>
            <w:rPr/>
          </w:pPr>
          <w:hyperlink w:anchor="__RefHeading___Toc7766966_2870459653">
            <w:r>
              <w:rPr>
                <w:webHidden/>
                <w:rStyle w:val="IndexLink"/>
                <w:rtl w:val="true"/>
              </w:rPr>
              <w:t>عدم انگیزه دولت</w:t>
            </w:r>
            <w:r>
              <w:rPr>
                <w:rStyle w:val="IndexLink"/>
                <w:rtl w:val="true"/>
              </w:rPr>
              <w:tab/>
            </w:r>
            <w:r>
              <w:rPr>
                <w:rStyle w:val="IndexLink"/>
              </w:rPr>
              <w:t>428</w:t>
            </w:r>
          </w:hyperlink>
        </w:p>
        <w:p>
          <w:pPr>
            <w:pStyle w:val="Contents4"/>
            <w:tabs>
              <w:tab w:val="clear" w:pos="8176"/>
              <w:tab w:val="right" w:pos="9026" w:leader="dot"/>
            </w:tabs>
            <w:rPr/>
          </w:pPr>
          <w:hyperlink w:anchor="__RefHeading___Toc7766968_2870459653">
            <w:r>
              <w:rPr>
                <w:webHidden/>
                <w:rStyle w:val="IndexLink"/>
                <w:rtl w:val="true"/>
              </w:rPr>
              <w:t>نقش مقامات</w:t>
            </w:r>
            <w:r>
              <w:rPr>
                <w:rStyle w:val="IndexLink"/>
                <w:rtl w:val="true"/>
              </w:rPr>
              <w:tab/>
            </w:r>
            <w:r>
              <w:rPr>
                <w:rStyle w:val="IndexLink"/>
              </w:rPr>
              <w:t>428</w:t>
            </w:r>
          </w:hyperlink>
        </w:p>
        <w:p>
          <w:pPr>
            <w:pStyle w:val="Contents3"/>
            <w:tabs>
              <w:tab w:val="clear" w:pos="8459"/>
              <w:tab w:val="right" w:pos="9026" w:leader="dot"/>
            </w:tabs>
            <w:rPr/>
          </w:pPr>
          <w:hyperlink w:anchor="__RefHeading___Toc7766970_2870459653">
            <w:r>
              <w:rPr>
                <w:webHidden/>
                <w:rStyle w:val="IndexLink"/>
                <w:rtl w:val="true"/>
              </w:rPr>
              <w:t>کارهایی که باید انجام شود</w:t>
            </w:r>
            <w:r>
              <w:rPr>
                <w:rStyle w:val="IndexLink"/>
                <w:rtl w:val="true"/>
              </w:rPr>
              <w:tab/>
            </w:r>
            <w:r>
              <w:rPr>
                <w:rStyle w:val="IndexLink"/>
              </w:rPr>
              <w:t>428</w:t>
            </w:r>
          </w:hyperlink>
        </w:p>
        <w:p>
          <w:pPr>
            <w:pStyle w:val="Contents3"/>
            <w:tabs>
              <w:tab w:val="clear" w:pos="8459"/>
              <w:tab w:val="right" w:pos="9026" w:leader="dot"/>
            </w:tabs>
            <w:rPr/>
          </w:pPr>
          <w:hyperlink w:anchor="__RefHeading___Toc7766972_2870459653">
            <w:r>
              <w:rPr>
                <w:webHidden/>
                <w:rStyle w:val="IndexLink"/>
                <w:rtl w:val="true"/>
              </w:rPr>
              <w:t>نقش کتابخانه های قانونی</w:t>
            </w:r>
            <w:r>
              <w:rPr>
                <w:rStyle w:val="IndexLink"/>
                <w:rtl w:val="true"/>
              </w:rPr>
              <w:tab/>
            </w:r>
            <w:r>
              <w:rPr>
                <w:rStyle w:val="IndexLink"/>
              </w:rPr>
              <w:t>428</w:t>
            </w:r>
          </w:hyperlink>
        </w:p>
        <w:p>
          <w:pPr>
            <w:pStyle w:val="Contents3"/>
            <w:tabs>
              <w:tab w:val="clear" w:pos="8459"/>
              <w:tab w:val="right" w:pos="9026" w:leader="dot"/>
            </w:tabs>
            <w:rPr/>
          </w:pPr>
          <w:hyperlink w:anchor="__RefHeading___Toc7766974_2870459653">
            <w:r>
              <w:rPr>
                <w:webHidden/>
                <w:rStyle w:val="IndexLink"/>
                <w:rtl w:val="true"/>
              </w:rPr>
              <w:t>پیشنهادات</w:t>
            </w:r>
            <w:r>
              <w:rPr>
                <w:rStyle w:val="IndexLink"/>
                <w:rtl w:val="true"/>
              </w:rPr>
              <w:t xml:space="preserve">/ </w:t>
            </w:r>
            <w:r>
              <w:rPr>
                <w:rStyle w:val="IndexLink"/>
                <w:rtl w:val="true"/>
              </w:rPr>
              <w:t>نتیجه</w:t>
            </w:r>
            <w:r>
              <w:rPr>
                <w:rStyle w:val="IndexLink"/>
                <w:rtl w:val="true"/>
              </w:rPr>
              <w:tab/>
            </w:r>
            <w:r>
              <w:rPr>
                <w:rStyle w:val="IndexLink"/>
              </w:rPr>
              <w:t>429</w:t>
            </w:r>
          </w:hyperlink>
        </w:p>
        <w:p>
          <w:pPr>
            <w:pStyle w:val="Contents3"/>
            <w:tabs>
              <w:tab w:val="clear" w:pos="8459"/>
              <w:tab w:val="right" w:pos="9026" w:leader="dot"/>
            </w:tabs>
            <w:rPr/>
          </w:pPr>
          <w:hyperlink w:anchor="__RefHeading___Toc7766976_2870459653">
            <w:r>
              <w:rPr>
                <w:webHidden/>
                <w:rStyle w:val="IndexLink"/>
                <w:rtl w:val="true"/>
              </w:rPr>
              <w:t>منابع</w:t>
            </w:r>
            <w:r>
              <w:rPr>
                <w:rStyle w:val="IndexLink"/>
                <w:rtl w:val="true"/>
              </w:rPr>
              <w:tab/>
            </w:r>
            <w:r>
              <w:rPr>
                <w:rStyle w:val="IndexLink"/>
              </w:rPr>
              <w:t>429</w:t>
            </w:r>
          </w:hyperlink>
        </w:p>
        <w:p>
          <w:pPr>
            <w:pStyle w:val="Contents2"/>
            <w:tabs>
              <w:tab w:val="clear" w:pos="8743"/>
              <w:tab w:val="right" w:pos="9026" w:leader="dot"/>
            </w:tabs>
            <w:rPr/>
          </w:pPr>
          <w:hyperlink w:anchor="__RefHeading___Toc7766978_2870459653">
            <w:r>
              <w:rPr>
                <w:webHidden/>
                <w:rStyle w:val="IndexLink"/>
                <w:rtl w:val="true"/>
              </w:rPr>
              <w:t>چکیده</w:t>
            </w:r>
            <w:r>
              <w:rPr>
                <w:rStyle w:val="IndexLink"/>
                <w:rtl w:val="true"/>
              </w:rPr>
              <w:tab/>
            </w:r>
            <w:r>
              <w:rPr>
                <w:rStyle w:val="IndexLink"/>
              </w:rPr>
              <w:t>431</w:t>
            </w:r>
          </w:hyperlink>
        </w:p>
        <w:p>
          <w:pPr>
            <w:pStyle w:val="Contents3"/>
            <w:tabs>
              <w:tab w:val="clear" w:pos="8459"/>
              <w:tab w:val="right" w:pos="9026" w:leader="dot"/>
            </w:tabs>
            <w:rPr/>
          </w:pPr>
          <w:hyperlink w:anchor="__RefHeading___Toc7766980_2870459653">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7766982_2870459653">
            <w:r>
              <w:rPr>
                <w:webHidden/>
                <w:rStyle w:val="IndexLink"/>
                <w:rtl w:val="true"/>
              </w:rPr>
              <w:t>صدور مجوز رسانه های دیداری شنیداری علمی در آلمان</w:t>
            </w:r>
            <w:r>
              <w:rPr>
                <w:rStyle w:val="IndexLink"/>
                <w:rtl w:val="true"/>
              </w:rPr>
              <w:tab/>
            </w:r>
            <w:r>
              <w:rPr>
                <w:rStyle w:val="IndexLink"/>
              </w:rPr>
              <w:t>432</w:t>
            </w:r>
          </w:hyperlink>
        </w:p>
        <w:p>
          <w:pPr>
            <w:pStyle w:val="Contents3"/>
            <w:tabs>
              <w:tab w:val="clear" w:pos="8459"/>
              <w:tab w:val="right" w:pos="9026" w:leader="dot"/>
            </w:tabs>
            <w:rPr/>
          </w:pPr>
          <w:hyperlink w:anchor="__RefHeading___Toc7766984_2870459653">
            <w:r>
              <w:rPr>
                <w:webHidden/>
                <w:rStyle w:val="IndexLink"/>
                <w:rtl w:val="true"/>
              </w:rPr>
              <w:t>قانون واسپاری رسانه های دیداری شنیداری در آلمان</w:t>
            </w:r>
            <w:r>
              <w:rPr>
                <w:rStyle w:val="IndexLink"/>
                <w:rtl w:val="true"/>
              </w:rPr>
              <w:tab/>
            </w:r>
            <w:r>
              <w:rPr>
                <w:rStyle w:val="IndexLink"/>
              </w:rPr>
              <w:t>433</w:t>
            </w:r>
          </w:hyperlink>
        </w:p>
        <w:p>
          <w:pPr>
            <w:pStyle w:val="Contents3"/>
            <w:tabs>
              <w:tab w:val="clear" w:pos="8459"/>
              <w:tab w:val="right" w:pos="9026" w:leader="dot"/>
            </w:tabs>
            <w:rPr/>
          </w:pPr>
          <w:hyperlink w:anchor="__RefHeading___Toc7766986_2870459653">
            <w:r>
              <w:rPr>
                <w:webHidden/>
                <w:rStyle w:val="IndexLink"/>
                <w:rtl w:val="true"/>
              </w:rPr>
              <w:t>معیار بین المللی قانون حق مولف</w:t>
            </w:r>
            <w:r>
              <w:rPr>
                <w:rStyle w:val="IndexLink"/>
                <w:rtl w:val="true"/>
              </w:rPr>
              <w:tab/>
            </w:r>
            <w:r>
              <w:rPr>
                <w:rStyle w:val="IndexLink"/>
              </w:rPr>
              <w:t>436</w:t>
            </w:r>
          </w:hyperlink>
        </w:p>
        <w:p>
          <w:pPr>
            <w:pStyle w:val="Contents3"/>
            <w:tabs>
              <w:tab w:val="clear" w:pos="8459"/>
              <w:tab w:val="right" w:pos="9026" w:leader="dot"/>
            </w:tabs>
            <w:rPr/>
          </w:pPr>
          <w:hyperlink w:anchor="__RefHeading___Toc7766988_2870459653">
            <w:r>
              <w:rPr>
                <w:webHidden/>
                <w:rStyle w:val="IndexLink"/>
                <w:rtl w:val="true"/>
              </w:rPr>
              <w:t>قانون حق مولف و اتحادیه اروپا</w:t>
            </w:r>
            <w:r>
              <w:rPr>
                <w:rStyle w:val="IndexLink"/>
                <w:rtl w:val="true"/>
              </w:rPr>
              <w:tab/>
            </w:r>
            <w:r>
              <w:rPr>
                <w:rStyle w:val="IndexLink"/>
              </w:rPr>
              <w:t>438</w:t>
            </w:r>
          </w:hyperlink>
        </w:p>
        <w:p>
          <w:pPr>
            <w:pStyle w:val="Contents3"/>
            <w:tabs>
              <w:tab w:val="clear" w:pos="8459"/>
              <w:tab w:val="right" w:pos="9026" w:leader="dot"/>
            </w:tabs>
            <w:rPr/>
          </w:pPr>
          <w:hyperlink w:anchor="__RefHeading___Toc7766990_2870459653">
            <w:r>
              <w:rPr>
                <w:webHidden/>
                <w:rStyle w:val="IndexLink"/>
                <w:rtl w:val="true"/>
              </w:rPr>
              <w:t>فعالیت های تیب با توجه به قانون حق مولف آلمان</w:t>
            </w:r>
            <w:r>
              <w:rPr>
                <w:rStyle w:val="IndexLink"/>
                <w:rtl w:val="true"/>
              </w:rPr>
              <w:t>:</w:t>
              <w:tab/>
            </w:r>
            <w:r>
              <w:rPr>
                <w:rStyle w:val="IndexLink"/>
              </w:rPr>
              <w:t>440</w:t>
            </w:r>
          </w:hyperlink>
        </w:p>
        <w:p>
          <w:pPr>
            <w:pStyle w:val="Contents3"/>
            <w:tabs>
              <w:tab w:val="clear" w:pos="8459"/>
              <w:tab w:val="right" w:pos="9026" w:leader="dot"/>
            </w:tabs>
            <w:rPr/>
          </w:pPr>
          <w:hyperlink w:anchor="__RefHeading___Toc7766992_2870459653">
            <w:r>
              <w:rPr>
                <w:webHidden/>
                <w:rStyle w:val="IndexLink"/>
                <w:rtl w:val="true"/>
              </w:rPr>
              <w:t>کسب و صدور مجوز رسانه های دیداری شنیداری</w:t>
            </w:r>
            <w:r>
              <w:rPr>
                <w:rStyle w:val="IndexLink"/>
                <w:rtl w:val="true"/>
              </w:rPr>
              <w:tab/>
            </w:r>
            <w:r>
              <w:rPr>
                <w:rStyle w:val="IndexLink"/>
              </w:rPr>
              <w:t>441</w:t>
            </w:r>
          </w:hyperlink>
        </w:p>
        <w:p>
          <w:pPr>
            <w:pStyle w:val="Contents3"/>
            <w:tabs>
              <w:tab w:val="clear" w:pos="8459"/>
              <w:tab w:val="right" w:pos="9026" w:leader="dot"/>
            </w:tabs>
            <w:rPr/>
          </w:pPr>
          <w:hyperlink w:anchor="__RefHeading___Toc7766994_2870459653">
            <w:r>
              <w:rPr>
                <w:webHidden/>
                <w:rStyle w:val="IndexLink"/>
                <w:rtl w:val="true"/>
              </w:rPr>
              <w:t>چالش های تیب</w:t>
            </w:r>
            <w:r>
              <w:rPr>
                <w:rStyle w:val="IndexLink"/>
                <w:rtl w:val="true"/>
              </w:rPr>
              <w:tab/>
            </w:r>
            <w:r>
              <w:rPr>
                <w:rStyle w:val="IndexLink"/>
              </w:rPr>
              <w:t>443</w:t>
            </w:r>
          </w:hyperlink>
        </w:p>
        <w:p>
          <w:pPr>
            <w:pStyle w:val="Contents3"/>
            <w:tabs>
              <w:tab w:val="clear" w:pos="8459"/>
              <w:tab w:val="right" w:pos="9026" w:leader="dot"/>
            </w:tabs>
            <w:rPr/>
          </w:pPr>
          <w:hyperlink w:anchor="__RefHeading___Toc7766996_2870459653">
            <w:r>
              <w:rPr>
                <w:webHidden/>
                <w:rStyle w:val="IndexLink"/>
                <w:rtl w:val="true"/>
              </w:rPr>
              <w:t>نتیجه گیری ها</w:t>
            </w:r>
            <w:r>
              <w:rPr>
                <w:rStyle w:val="IndexLink"/>
                <w:rtl w:val="true"/>
              </w:rPr>
              <w:tab/>
            </w:r>
            <w:r>
              <w:rPr>
                <w:rStyle w:val="IndexLink"/>
              </w:rPr>
              <w:t>444</w:t>
            </w:r>
          </w:hyperlink>
        </w:p>
        <w:p>
          <w:pPr>
            <w:pStyle w:val="Contents2"/>
            <w:tabs>
              <w:tab w:val="clear" w:pos="8743"/>
              <w:tab w:val="right" w:pos="9026" w:leader="dot"/>
            </w:tabs>
            <w:rPr/>
          </w:pPr>
          <w:hyperlink w:anchor="__RefHeading___Toc7766998_2870459653">
            <w:r>
              <w:rPr>
                <w:webHidden/>
                <w:rStyle w:val="IndexLink"/>
                <w:rtl w:val="true"/>
              </w:rPr>
              <w:t>چکیده</w:t>
            </w:r>
            <w:r>
              <w:rPr>
                <w:rStyle w:val="IndexLink"/>
                <w:rtl w:val="true"/>
              </w:rPr>
              <w:tab/>
            </w:r>
            <w:r>
              <w:rPr>
                <w:rStyle w:val="IndexLink"/>
              </w:rPr>
              <w:t>445</w:t>
            </w:r>
          </w:hyperlink>
        </w:p>
        <w:p>
          <w:pPr>
            <w:pStyle w:val="Contents2"/>
            <w:tabs>
              <w:tab w:val="clear" w:pos="8743"/>
              <w:tab w:val="right" w:pos="9026" w:leader="dot"/>
            </w:tabs>
            <w:rPr/>
          </w:pPr>
          <w:hyperlink w:anchor="__RefHeading___Toc7767000_2870459653">
            <w:r>
              <w:rPr>
                <w:webHidden/>
                <w:rStyle w:val="IndexLink"/>
                <w:rtl w:val="true"/>
              </w:rPr>
              <w:t>کتابخانه های مجازی در مؤسسات سرمایه گذار پژوهشی</w:t>
            </w:r>
            <w:r>
              <w:rPr>
                <w:rStyle w:val="IndexLink"/>
                <w:rtl w:val="true"/>
              </w:rPr>
              <w:t xml:space="preserve">: </w:t>
            </w:r>
            <w:r>
              <w:rPr>
                <w:rStyle w:val="IndexLink"/>
                <w:rtl w:val="true"/>
              </w:rPr>
              <w:t>رویکرد متن باز به اشاعه اطلاعات برای دانشگاهیان، گروه های پژوهشی و جامعه</w:t>
            </w:r>
            <w:r>
              <w:rPr>
                <w:rStyle w:val="IndexLink"/>
                <w:rtl w:val="true"/>
              </w:rPr>
              <w:tab/>
            </w:r>
            <w:r>
              <w:rPr>
                <w:rStyle w:val="IndexLink"/>
              </w:rPr>
              <w:t>446</w:t>
            </w:r>
          </w:hyperlink>
        </w:p>
        <w:p>
          <w:pPr>
            <w:pStyle w:val="Contents3"/>
            <w:tabs>
              <w:tab w:val="clear" w:pos="8459"/>
              <w:tab w:val="right" w:pos="9026" w:leader="dot"/>
            </w:tabs>
            <w:rPr/>
          </w:pPr>
          <w:hyperlink w:anchor="__RefHeading___Toc7767002_2870459653">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7767004_2870459653">
            <w:r>
              <w:rPr>
                <w:webHidden/>
                <w:rStyle w:val="IndexLink"/>
                <w:rtl w:val="true"/>
              </w:rPr>
              <w:t>مقدمه</w:t>
            </w:r>
            <w:r>
              <w:rPr>
                <w:rStyle w:val="IndexLink"/>
                <w:rtl w:val="true"/>
              </w:rPr>
              <w:tab/>
            </w:r>
            <w:r>
              <w:rPr>
                <w:rStyle w:val="IndexLink"/>
              </w:rPr>
              <w:t>446</w:t>
            </w:r>
          </w:hyperlink>
        </w:p>
        <w:p>
          <w:pPr>
            <w:pStyle w:val="Contents3"/>
            <w:tabs>
              <w:tab w:val="clear" w:pos="8459"/>
              <w:tab w:val="right" w:pos="9026" w:leader="dot"/>
            </w:tabs>
            <w:rPr/>
          </w:pPr>
          <w:hyperlink w:anchor="__RefHeading___Toc7767006_2870459653">
            <w:r>
              <w:rPr>
                <w:webHidden/>
                <w:rStyle w:val="IndexLink"/>
              </w:rPr>
              <w:t>2</w:t>
            </w:r>
            <w:r>
              <w:rPr>
                <w:rStyle w:val="IndexLink"/>
                <w:rtl w:val="true"/>
              </w:rPr>
              <w:t xml:space="preserve">- </w:t>
            </w:r>
            <w:r>
              <w:rPr>
                <w:rStyle w:val="IndexLink"/>
                <w:rtl w:val="true"/>
              </w:rPr>
              <w:t>کتابخانه های مجازی در سازمان تحقیقاتی</w:t>
            </w:r>
            <w:r>
              <w:rPr>
                <w:rStyle w:val="IndexLink"/>
                <w:rtl w:val="true"/>
              </w:rPr>
              <w:tab/>
            </w:r>
            <w:r>
              <w:rPr>
                <w:rStyle w:val="IndexLink"/>
              </w:rPr>
              <w:t>447</w:t>
            </w:r>
          </w:hyperlink>
        </w:p>
        <w:p>
          <w:pPr>
            <w:pStyle w:val="Contents4"/>
            <w:tabs>
              <w:tab w:val="clear" w:pos="8176"/>
              <w:tab w:val="right" w:pos="9026" w:leader="dot"/>
            </w:tabs>
            <w:rPr/>
          </w:pPr>
          <w:hyperlink w:anchor="__RefHeading___Toc7767008_2870459653">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7767010_2870459653">
            <w:r>
              <w:rPr>
                <w:webHidden/>
                <w:rStyle w:val="IndexLink"/>
              </w:rPr>
              <w:t>2-1</w:t>
            </w:r>
            <w:r>
              <w:rPr>
                <w:rStyle w:val="IndexLink"/>
                <w:rtl w:val="true"/>
              </w:rPr>
              <w:t xml:space="preserve">- </w:t>
            </w:r>
            <w:r>
              <w:rPr>
                <w:rStyle w:val="IndexLink"/>
                <w:rtl w:val="true"/>
              </w:rPr>
              <w:t>کتابخانه های مجازی در بنیاد پژوهشی سائوپائولو</w:t>
            </w:r>
            <w:r>
              <w:rPr>
                <w:rStyle w:val="IndexLink"/>
                <w:rtl w:val="true"/>
              </w:rPr>
              <w:tab/>
            </w:r>
            <w:r>
              <w:rPr>
                <w:rStyle w:val="IndexLink"/>
              </w:rPr>
              <w:t>448</w:t>
            </w:r>
          </w:hyperlink>
        </w:p>
        <w:p>
          <w:pPr>
            <w:pStyle w:val="Contents3"/>
            <w:tabs>
              <w:tab w:val="clear" w:pos="8459"/>
              <w:tab w:val="right" w:pos="9026" w:leader="dot"/>
            </w:tabs>
            <w:rPr/>
          </w:pPr>
          <w:hyperlink w:anchor="__RefHeading___Toc7767012_2870459653">
            <w:r>
              <w:rPr>
                <w:webHidden/>
                <w:rStyle w:val="IndexLink"/>
              </w:rPr>
              <w:t>3</w:t>
            </w:r>
            <w:r>
              <w:rPr>
                <w:rStyle w:val="IndexLink"/>
                <w:rtl w:val="true"/>
              </w:rPr>
              <w:t xml:space="preserve">- </w:t>
            </w:r>
            <w:r>
              <w:rPr>
                <w:rStyle w:val="IndexLink"/>
                <w:rtl w:val="true"/>
              </w:rPr>
              <w:t>نظام کتابخانه مجازی ارائه شده</w:t>
            </w:r>
            <w:r>
              <w:rPr>
                <w:rStyle w:val="IndexLink"/>
                <w:rtl w:val="true"/>
              </w:rPr>
              <w:tab/>
            </w:r>
            <w:r>
              <w:rPr>
                <w:rStyle w:val="IndexLink"/>
              </w:rPr>
              <w:t>449</w:t>
            </w:r>
          </w:hyperlink>
        </w:p>
        <w:p>
          <w:pPr>
            <w:pStyle w:val="Contents4"/>
            <w:tabs>
              <w:tab w:val="clear" w:pos="8176"/>
              <w:tab w:val="right" w:pos="9026" w:leader="dot"/>
            </w:tabs>
            <w:rPr/>
          </w:pPr>
          <w:hyperlink w:anchor="__RefHeading___Toc7767014_2870459653">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7767016_2870459653">
            <w:r>
              <w:rPr>
                <w:webHidden/>
                <w:rStyle w:val="IndexLink"/>
              </w:rPr>
              <w:t>3-1</w:t>
            </w:r>
            <w:r>
              <w:rPr>
                <w:rStyle w:val="IndexLink"/>
                <w:rtl w:val="true"/>
              </w:rPr>
              <w:t xml:space="preserve">- </w:t>
            </w:r>
            <w:r>
              <w:rPr>
                <w:rStyle w:val="IndexLink"/>
                <w:rtl w:val="true"/>
              </w:rPr>
              <w:t>راه حل های اتخاذ شده اصلی برای نرم افزارهای متن باز</w:t>
            </w:r>
            <w:r>
              <w:rPr>
                <w:rStyle w:val="IndexLink"/>
                <w:rtl w:val="true"/>
              </w:rPr>
              <w:tab/>
            </w:r>
            <w:r>
              <w:rPr>
                <w:rStyle w:val="IndexLink"/>
              </w:rPr>
              <w:t>449</w:t>
            </w:r>
          </w:hyperlink>
        </w:p>
        <w:p>
          <w:pPr>
            <w:pStyle w:val="Contents4"/>
            <w:tabs>
              <w:tab w:val="clear" w:pos="8176"/>
              <w:tab w:val="right" w:pos="9026" w:leader="dot"/>
            </w:tabs>
            <w:rPr/>
          </w:pPr>
          <w:hyperlink w:anchor="__RefHeading___Toc7767018_2870459653">
            <w:r>
              <w:rPr>
                <w:webHidden/>
                <w:rStyle w:val="IndexLink"/>
              </w:rPr>
              <w:t>3-2</w:t>
            </w:r>
            <w:r>
              <w:rPr>
                <w:rStyle w:val="IndexLink"/>
                <w:rtl w:val="true"/>
              </w:rPr>
              <w:t xml:space="preserve">- </w:t>
            </w:r>
            <w:r>
              <w:rPr>
                <w:rStyle w:val="IndexLink"/>
                <w:rtl w:val="true"/>
              </w:rPr>
              <w:t>معماری نظام</w:t>
            </w:r>
            <w:r>
              <w:rPr>
                <w:rStyle w:val="IndexLink"/>
                <w:rtl w:val="true"/>
              </w:rPr>
              <w:tab/>
            </w:r>
            <w:r>
              <w:rPr>
                <w:rStyle w:val="IndexLink"/>
              </w:rPr>
              <w:t>450</w:t>
            </w:r>
          </w:hyperlink>
        </w:p>
        <w:p>
          <w:pPr>
            <w:pStyle w:val="Contents4"/>
            <w:tabs>
              <w:tab w:val="clear" w:pos="8176"/>
              <w:tab w:val="right" w:pos="9026" w:leader="dot"/>
            </w:tabs>
            <w:rPr/>
          </w:pPr>
          <w:hyperlink w:anchor="__RefHeading___Toc7767020_2870459653">
            <w:r>
              <w:rPr>
                <w:webHidden/>
                <w:rStyle w:val="IndexLink"/>
              </w:rPr>
              <w:t>3-3</w:t>
            </w:r>
            <w:r>
              <w:rPr>
                <w:rStyle w:val="IndexLink"/>
                <w:rtl w:val="true"/>
              </w:rPr>
              <w:t xml:space="preserve">- </w:t>
            </w:r>
            <w:r>
              <w:rPr>
                <w:rStyle w:val="IndexLink"/>
                <w:rtl w:val="true"/>
              </w:rPr>
              <w:t>ویژگی ها</w:t>
            </w:r>
            <w:r>
              <w:rPr>
                <w:rStyle w:val="IndexLink"/>
                <w:rtl w:val="true"/>
              </w:rPr>
              <w:tab/>
            </w:r>
            <w:r>
              <w:rPr>
                <w:rStyle w:val="IndexLink"/>
              </w:rPr>
              <w:t>452</w:t>
            </w:r>
          </w:hyperlink>
        </w:p>
        <w:p>
          <w:pPr>
            <w:pStyle w:val="Contents5"/>
            <w:tabs>
              <w:tab w:val="clear" w:pos="7892"/>
              <w:tab w:val="right" w:pos="9026" w:leader="dot"/>
            </w:tabs>
            <w:rPr/>
          </w:pPr>
          <w:hyperlink w:anchor="__RefHeading___Toc7767022_2870459653">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7767024_2870459653">
            <w:r>
              <w:rPr>
                <w:webHidden/>
                <w:rStyle w:val="IndexLink"/>
                <w:rtl w:val="true"/>
              </w:rPr>
              <w:t>الف</w:t>
            </w:r>
            <w:r>
              <w:rPr>
                <w:rStyle w:val="IndexLink"/>
                <w:rtl w:val="true"/>
              </w:rPr>
              <w:t xml:space="preserve">. </w:t>
            </w:r>
            <w:r>
              <w:rPr>
                <w:rStyle w:val="IndexLink"/>
                <w:rtl w:val="true"/>
              </w:rPr>
              <w:t>گردآوری انتشارات علمی</w:t>
            </w:r>
            <w:r>
              <w:rPr>
                <w:rStyle w:val="IndexLink"/>
                <w:rtl w:val="true"/>
              </w:rPr>
              <w:tab/>
            </w:r>
            <w:r>
              <w:rPr>
                <w:rStyle w:val="IndexLink"/>
              </w:rPr>
              <w:t>452</w:t>
            </w:r>
          </w:hyperlink>
        </w:p>
        <w:p>
          <w:pPr>
            <w:pStyle w:val="Contents5"/>
            <w:tabs>
              <w:tab w:val="clear" w:pos="7892"/>
              <w:tab w:val="right" w:pos="9026" w:leader="dot"/>
            </w:tabs>
            <w:rPr/>
          </w:pPr>
          <w:hyperlink w:anchor="__RefHeading___Toc7767026_2870459653">
            <w:r>
              <w:rPr>
                <w:webHidden/>
                <w:rStyle w:val="IndexLink"/>
                <w:rtl w:val="true"/>
              </w:rPr>
              <w:t>ب</w:t>
            </w:r>
            <w:r>
              <w:rPr>
                <w:rStyle w:val="IndexLink"/>
                <w:rtl w:val="true"/>
              </w:rPr>
              <w:t xml:space="preserve">. </w:t>
            </w:r>
            <w:r>
              <w:rPr>
                <w:rStyle w:val="IndexLink"/>
                <w:rtl w:val="true"/>
              </w:rPr>
              <w:t>گردآوری برنامه درسی پژوهشگران</w:t>
            </w:r>
            <w:r>
              <w:rPr>
                <w:rStyle w:val="IndexLink"/>
                <w:rtl w:val="true"/>
              </w:rPr>
              <w:tab/>
            </w:r>
            <w:r>
              <w:rPr>
                <w:rStyle w:val="IndexLink"/>
              </w:rPr>
              <w:t>452</w:t>
            </w:r>
          </w:hyperlink>
        </w:p>
        <w:p>
          <w:pPr>
            <w:pStyle w:val="Contents5"/>
            <w:tabs>
              <w:tab w:val="clear" w:pos="7892"/>
              <w:tab w:val="right" w:pos="9026" w:leader="dot"/>
            </w:tabs>
            <w:rPr/>
          </w:pPr>
          <w:hyperlink w:anchor="__RefHeading___Toc7767028_2870459653">
            <w:r>
              <w:rPr>
                <w:webHidden/>
                <w:rStyle w:val="IndexLink"/>
                <w:rtl w:val="true"/>
              </w:rPr>
              <w:t>ج</w:t>
            </w:r>
            <w:r>
              <w:rPr>
                <w:rStyle w:val="IndexLink"/>
                <w:rtl w:val="true"/>
              </w:rPr>
              <w:t xml:space="preserve">. </w:t>
            </w:r>
            <w:r>
              <w:rPr>
                <w:rStyle w:val="IndexLink"/>
                <w:rtl w:val="true"/>
              </w:rPr>
              <w:t>صفحات اختصاصی برای فیلدهای خاص فراداده</w:t>
            </w:r>
            <w:r>
              <w:rPr>
                <w:rStyle w:val="IndexLink"/>
                <w:rtl w:val="true"/>
              </w:rPr>
              <w:tab/>
            </w:r>
            <w:r>
              <w:rPr>
                <w:rStyle w:val="IndexLink"/>
              </w:rPr>
              <w:t>453</w:t>
            </w:r>
          </w:hyperlink>
        </w:p>
        <w:p>
          <w:pPr>
            <w:pStyle w:val="Contents5"/>
            <w:tabs>
              <w:tab w:val="clear" w:pos="7892"/>
              <w:tab w:val="right" w:pos="9026" w:leader="dot"/>
            </w:tabs>
            <w:rPr/>
          </w:pPr>
          <w:hyperlink w:anchor="__RefHeading___Toc7767030_2870459653">
            <w:r>
              <w:rPr>
                <w:webHidden/>
                <w:rStyle w:val="IndexLink"/>
                <w:rtl w:val="true"/>
              </w:rPr>
              <w:t>د</w:t>
            </w:r>
            <w:r>
              <w:rPr>
                <w:rStyle w:val="IndexLink"/>
                <w:rtl w:val="true"/>
              </w:rPr>
              <w:t xml:space="preserve">. </w:t>
            </w:r>
            <w:r>
              <w:rPr>
                <w:rStyle w:val="IndexLink"/>
                <w:rtl w:val="true"/>
              </w:rPr>
              <w:t>نقشه توزیع کمک هزینه در هر شهر ایالت سائوپائولو</w:t>
            </w:r>
            <w:r>
              <w:rPr>
                <w:rStyle w:val="IndexLink"/>
                <w:rtl w:val="true"/>
              </w:rPr>
              <w:tab/>
            </w:r>
            <w:r>
              <w:rPr>
                <w:rStyle w:val="IndexLink"/>
              </w:rPr>
              <w:t>453</w:t>
            </w:r>
          </w:hyperlink>
        </w:p>
        <w:p>
          <w:pPr>
            <w:pStyle w:val="Contents5"/>
            <w:tabs>
              <w:tab w:val="clear" w:pos="7892"/>
              <w:tab w:val="right" w:pos="9026" w:leader="dot"/>
            </w:tabs>
            <w:rPr/>
          </w:pPr>
          <w:hyperlink w:anchor="__RefHeading___Toc7767032_2870459653">
            <w:r>
              <w:rPr>
                <w:webHidden/>
                <w:rStyle w:val="IndexLink"/>
                <w:rtl w:val="true"/>
              </w:rPr>
              <w:t>ه</w:t>
            </w:r>
            <w:r>
              <w:rPr>
                <w:rStyle w:val="IndexLink"/>
                <w:rtl w:val="true"/>
              </w:rPr>
              <w:t xml:space="preserve">. </w:t>
            </w:r>
            <w:r>
              <w:rPr>
                <w:rStyle w:val="IndexLink"/>
                <w:rtl w:val="true"/>
              </w:rPr>
              <w:t>نگاه تاریخی به واگذاری کمک هزینه تحصیلی در طول زمان</w:t>
            </w:r>
            <w:r>
              <w:rPr>
                <w:rStyle w:val="IndexLink"/>
                <w:rtl w:val="true"/>
              </w:rPr>
              <w:tab/>
            </w:r>
            <w:r>
              <w:rPr>
                <w:rStyle w:val="IndexLink"/>
              </w:rPr>
              <w:t>453</w:t>
            </w:r>
          </w:hyperlink>
        </w:p>
        <w:p>
          <w:pPr>
            <w:pStyle w:val="Contents5"/>
            <w:tabs>
              <w:tab w:val="clear" w:pos="7892"/>
              <w:tab w:val="right" w:pos="9026" w:leader="dot"/>
            </w:tabs>
            <w:rPr/>
          </w:pPr>
          <w:hyperlink w:anchor="__RefHeading___Toc7767034_2870459653">
            <w:r>
              <w:rPr>
                <w:webHidden/>
                <w:rStyle w:val="IndexLink"/>
                <w:rtl w:val="true"/>
              </w:rPr>
              <w:t>و</w:t>
            </w:r>
            <w:r>
              <w:rPr>
                <w:rStyle w:val="IndexLink"/>
                <w:rtl w:val="true"/>
              </w:rPr>
              <w:t xml:space="preserve">. </w:t>
            </w:r>
            <w:r>
              <w:rPr>
                <w:rStyle w:val="IndexLink"/>
                <w:rtl w:val="true"/>
              </w:rPr>
              <w:t>افزایش شفافیت موتورهای جستجو</w:t>
            </w:r>
            <w:r>
              <w:rPr>
                <w:rStyle w:val="IndexLink"/>
                <w:rtl w:val="true"/>
              </w:rPr>
              <w:tab/>
            </w:r>
            <w:r>
              <w:rPr>
                <w:rStyle w:val="IndexLink"/>
              </w:rPr>
              <w:t>454</w:t>
            </w:r>
          </w:hyperlink>
        </w:p>
        <w:p>
          <w:pPr>
            <w:pStyle w:val="Contents5"/>
            <w:tabs>
              <w:tab w:val="clear" w:pos="7892"/>
              <w:tab w:val="right" w:pos="9026" w:leader="dot"/>
            </w:tabs>
            <w:rPr/>
          </w:pPr>
          <w:hyperlink w:anchor="__RefHeading___Toc7767036_2870459653">
            <w:r>
              <w:rPr>
                <w:webHidden/>
                <w:rStyle w:val="IndexLink"/>
                <w:rtl w:val="true"/>
              </w:rPr>
              <w:t>ز</w:t>
            </w:r>
            <w:r>
              <w:rPr>
                <w:rStyle w:val="IndexLink"/>
                <w:rtl w:val="true"/>
              </w:rPr>
              <w:t xml:space="preserve">. </w:t>
            </w:r>
            <w:r>
              <w:rPr>
                <w:rStyle w:val="IndexLink"/>
                <w:rtl w:val="true"/>
              </w:rPr>
              <w:t>بین المللی کردن</w:t>
            </w:r>
            <w:r>
              <w:rPr>
                <w:rStyle w:val="IndexLink"/>
                <w:rtl w:val="true"/>
              </w:rPr>
              <w:tab/>
            </w:r>
            <w:r>
              <w:rPr>
                <w:rStyle w:val="IndexLink"/>
              </w:rPr>
              <w:t>454</w:t>
            </w:r>
          </w:hyperlink>
        </w:p>
        <w:p>
          <w:pPr>
            <w:pStyle w:val="Contents5"/>
            <w:tabs>
              <w:tab w:val="clear" w:pos="7892"/>
              <w:tab w:val="right" w:pos="9026" w:leader="dot"/>
            </w:tabs>
            <w:rPr/>
          </w:pPr>
          <w:hyperlink w:anchor="__RefHeading___Toc7767038_2870459653">
            <w:r>
              <w:rPr>
                <w:webHidden/>
                <w:rStyle w:val="IndexLink"/>
                <w:rtl w:val="true"/>
              </w:rPr>
              <w:t>ح</w:t>
            </w:r>
            <w:r>
              <w:rPr>
                <w:rStyle w:val="IndexLink"/>
                <w:rtl w:val="true"/>
              </w:rPr>
              <w:t xml:space="preserve">. </w:t>
            </w:r>
            <w:r>
              <w:rPr>
                <w:rStyle w:val="IndexLink"/>
                <w:rtl w:val="true"/>
              </w:rPr>
              <w:t>قابلیت دسترسی آمارهای دسترسی به صفحات کمک هزینه تحصیلی برای کارمندان مؤسسه پژوهشی</w:t>
            </w:r>
            <w:r>
              <w:rPr>
                <w:rStyle w:val="IndexLink"/>
                <w:rtl w:val="true"/>
              </w:rPr>
              <w:tab/>
            </w:r>
            <w:r>
              <w:rPr>
                <w:rStyle w:val="IndexLink"/>
              </w:rPr>
              <w:t>454</w:t>
            </w:r>
          </w:hyperlink>
        </w:p>
        <w:p>
          <w:pPr>
            <w:pStyle w:val="Contents5"/>
            <w:tabs>
              <w:tab w:val="clear" w:pos="7892"/>
              <w:tab w:val="right" w:pos="9026" w:leader="dot"/>
            </w:tabs>
            <w:rPr/>
          </w:pPr>
          <w:hyperlink w:anchor="__RefHeading___Toc7767040_2870459653">
            <w:r>
              <w:rPr>
                <w:webHidden/>
                <w:rStyle w:val="IndexLink"/>
                <w:rtl w:val="true"/>
              </w:rPr>
              <w:t>و</w:t>
            </w:r>
            <w:r>
              <w:rPr>
                <w:rStyle w:val="IndexLink"/>
                <w:rtl w:val="true"/>
              </w:rPr>
              <w:t xml:space="preserve">. </w:t>
            </w:r>
            <w:r>
              <w:rPr>
                <w:rStyle w:val="IndexLink"/>
                <w:rtl w:val="true"/>
              </w:rPr>
              <w:t>حوزه اختیارات کارمندان کتابخانه مجازی برای ایجاد، ویرایش و حذف محتوا</w:t>
            </w:r>
            <w:r>
              <w:rPr>
                <w:rStyle w:val="IndexLink"/>
                <w:rtl w:val="true"/>
              </w:rPr>
              <w:tab/>
            </w:r>
            <w:r>
              <w:rPr>
                <w:rStyle w:val="IndexLink"/>
              </w:rPr>
              <w:t>454</w:t>
            </w:r>
          </w:hyperlink>
        </w:p>
        <w:p>
          <w:pPr>
            <w:pStyle w:val="Contents5"/>
            <w:tabs>
              <w:tab w:val="clear" w:pos="7892"/>
              <w:tab w:val="right" w:pos="9026" w:leader="dot"/>
            </w:tabs>
            <w:rPr/>
          </w:pPr>
          <w:hyperlink w:anchor="__RefHeading___Toc7767042_2870459653">
            <w:r>
              <w:rPr>
                <w:webHidden/>
                <w:rStyle w:val="IndexLink"/>
                <w:rtl w:val="true"/>
              </w:rPr>
              <w:t>ز</w:t>
            </w:r>
            <w:r>
              <w:rPr>
                <w:rStyle w:val="IndexLink"/>
                <w:rtl w:val="true"/>
              </w:rPr>
              <w:t xml:space="preserve">. </w:t>
            </w:r>
            <w:r>
              <w:rPr>
                <w:rStyle w:val="IndexLink"/>
                <w:rtl w:val="true"/>
              </w:rPr>
              <w:t>فرستادن نامه های الکترونیکی هشداردهنده به مشترکین</w:t>
            </w:r>
            <w:r>
              <w:rPr>
                <w:rStyle w:val="IndexLink"/>
                <w:rtl w:val="true"/>
              </w:rPr>
              <w:tab/>
            </w:r>
            <w:r>
              <w:rPr>
                <w:rStyle w:val="IndexLink"/>
              </w:rPr>
              <w:t>455</w:t>
            </w:r>
          </w:hyperlink>
        </w:p>
        <w:p>
          <w:pPr>
            <w:pStyle w:val="Contents4"/>
            <w:tabs>
              <w:tab w:val="clear" w:pos="8176"/>
              <w:tab w:val="right" w:pos="9026" w:leader="dot"/>
            </w:tabs>
            <w:rPr/>
          </w:pPr>
          <w:hyperlink w:anchor="__RefHeading___Toc7767044_2870459653">
            <w:r>
              <w:rPr>
                <w:webHidden/>
                <w:rStyle w:val="IndexLink"/>
                <w:rtl w:val="true"/>
              </w:rPr>
              <w:t>اقدام آینده</w:t>
            </w:r>
            <w:r>
              <w:rPr>
                <w:rStyle w:val="IndexLink"/>
                <w:rtl w:val="true"/>
              </w:rPr>
              <w:tab/>
            </w:r>
            <w:r>
              <w:rPr>
                <w:rStyle w:val="IndexLink"/>
              </w:rPr>
              <w:t>455</w:t>
            </w:r>
          </w:hyperlink>
        </w:p>
        <w:p>
          <w:pPr>
            <w:pStyle w:val="Contents3"/>
            <w:tabs>
              <w:tab w:val="clear" w:pos="8459"/>
              <w:tab w:val="right" w:pos="9026" w:leader="dot"/>
            </w:tabs>
            <w:rPr/>
          </w:pPr>
          <w:hyperlink w:anchor="__RefHeading___Toc7767046_2870459653">
            <w:r>
              <w:rPr>
                <w:webHidden/>
                <w:rStyle w:val="IndexLink"/>
                <w:rtl w:val="true"/>
              </w:rPr>
              <w:t>نتیجه گیری</w:t>
            </w:r>
            <w:r>
              <w:rPr>
                <w:rStyle w:val="IndexLink"/>
                <w:rtl w:val="true"/>
              </w:rPr>
              <w:tab/>
            </w:r>
            <w:r>
              <w:rPr>
                <w:rStyle w:val="IndexLink"/>
              </w:rPr>
              <w:t>456</w:t>
            </w:r>
          </w:hyperlink>
        </w:p>
        <w:p>
          <w:pPr>
            <w:pStyle w:val="Contents3"/>
            <w:tabs>
              <w:tab w:val="clear" w:pos="8459"/>
              <w:tab w:val="right" w:pos="9026" w:leader="dot"/>
            </w:tabs>
            <w:rPr/>
          </w:pPr>
          <w:hyperlink w:anchor="__RefHeading___Toc7767048_2870459653">
            <w:r>
              <w:rPr>
                <w:webHidden/>
                <w:rStyle w:val="IndexLink"/>
                <w:rtl w:val="true"/>
              </w:rPr>
              <w:t>منابع</w:t>
            </w:r>
            <w:r>
              <w:rPr>
                <w:rStyle w:val="IndexLink"/>
                <w:rtl w:val="true"/>
              </w:rPr>
              <w:tab/>
            </w:r>
            <w:r>
              <w:rPr>
                <w:rStyle w:val="IndexLink"/>
              </w:rPr>
              <w:t>456</w:t>
            </w:r>
          </w:hyperlink>
        </w:p>
        <w:p>
          <w:pPr>
            <w:pStyle w:val="Contents2"/>
            <w:tabs>
              <w:tab w:val="clear" w:pos="8743"/>
              <w:tab w:val="right" w:pos="9026" w:leader="dot"/>
            </w:tabs>
            <w:rPr/>
          </w:pPr>
          <w:hyperlink w:anchor="__RefHeading___Toc7767050_2870459653">
            <w:r>
              <w:rPr>
                <w:webHidden/>
                <w:rStyle w:val="IndexLink"/>
                <w:rtl w:val="true"/>
              </w:rPr>
              <w:t>چکیده</w:t>
            </w:r>
            <w:r>
              <w:rPr>
                <w:rStyle w:val="IndexLink"/>
                <w:rtl w:val="true"/>
              </w:rPr>
              <w:tab/>
            </w:r>
            <w:r>
              <w:rPr>
                <w:rStyle w:val="IndexLink"/>
              </w:rPr>
              <w:t>459</w:t>
            </w:r>
          </w:hyperlink>
        </w:p>
        <w:p>
          <w:pPr>
            <w:pStyle w:val="Contents2"/>
            <w:tabs>
              <w:tab w:val="clear" w:pos="8743"/>
              <w:tab w:val="right" w:pos="9026" w:leader="dot"/>
            </w:tabs>
            <w:rPr/>
          </w:pPr>
          <w:hyperlink w:anchor="__RefHeading___Toc7767052_2870459653">
            <w:r>
              <w:rPr>
                <w:webHidden/>
                <w:rStyle w:val="IndexLink"/>
                <w:rtl w:val="true"/>
              </w:rPr>
              <w:t>کتابشناسی ملی از اینترنت می پرسد</w:t>
            </w:r>
            <w:r>
              <w:rPr>
                <w:rStyle w:val="IndexLink"/>
                <w:rtl w:val="true"/>
              </w:rPr>
              <w:t xml:space="preserve">: </w:t>
            </w:r>
            <w:r>
              <w:rPr>
                <w:rStyle w:val="IndexLink"/>
                <w:rtl w:val="true"/>
              </w:rPr>
              <w:t>آیا تلاش می کنی مرا از میان برداری؟</w:t>
            </w:r>
            <w:r>
              <w:rPr>
                <w:rStyle w:val="IndexLink"/>
                <w:rtl w:val="true"/>
              </w:rPr>
              <w:tab/>
            </w:r>
            <w:r>
              <w:rPr>
                <w:rStyle w:val="IndexLink"/>
              </w:rPr>
              <w:t>460</w:t>
            </w:r>
          </w:hyperlink>
        </w:p>
        <w:p>
          <w:pPr>
            <w:pStyle w:val="Contents3"/>
            <w:tabs>
              <w:tab w:val="clear" w:pos="8459"/>
              <w:tab w:val="right" w:pos="9026" w:leader="dot"/>
            </w:tabs>
            <w:rPr/>
          </w:pPr>
          <w:hyperlink w:anchor="__RefHeading___Toc7767054_2870459653">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7767056_2870459653">
            <w:r>
              <w:rPr>
                <w:webHidden/>
                <w:rStyle w:val="IndexLink"/>
                <w:rtl w:val="true"/>
              </w:rPr>
              <w:t>مقدمه</w:t>
            </w:r>
            <w:r>
              <w:rPr>
                <w:rStyle w:val="IndexLink"/>
                <w:rtl w:val="true"/>
              </w:rPr>
              <w:tab/>
            </w:r>
            <w:r>
              <w:rPr>
                <w:rStyle w:val="IndexLink"/>
              </w:rPr>
              <w:t>460</w:t>
            </w:r>
          </w:hyperlink>
        </w:p>
        <w:p>
          <w:pPr>
            <w:pStyle w:val="Contents3"/>
            <w:tabs>
              <w:tab w:val="clear" w:pos="8459"/>
              <w:tab w:val="right" w:pos="9026" w:leader="dot"/>
            </w:tabs>
            <w:rPr/>
          </w:pPr>
          <w:hyperlink w:anchor="__RefHeading___Toc7767058_2870459653">
            <w:r>
              <w:rPr>
                <w:webHidden/>
                <w:rStyle w:val="IndexLink"/>
                <w:rtl w:val="true"/>
              </w:rPr>
              <w:t>مفهوم و کارکردهای کتابشناسی های ملی</w:t>
            </w:r>
            <w:r>
              <w:rPr>
                <w:rStyle w:val="IndexLink"/>
                <w:rtl w:val="true"/>
              </w:rPr>
              <w:tab/>
            </w:r>
            <w:r>
              <w:rPr>
                <w:rStyle w:val="IndexLink"/>
              </w:rPr>
              <w:t>461</w:t>
            </w:r>
          </w:hyperlink>
        </w:p>
        <w:p>
          <w:pPr>
            <w:pStyle w:val="Contents3"/>
            <w:tabs>
              <w:tab w:val="clear" w:pos="8459"/>
              <w:tab w:val="right" w:pos="9026" w:leader="dot"/>
            </w:tabs>
            <w:rPr/>
          </w:pPr>
          <w:hyperlink w:anchor="__RefHeading___Toc7767060_2870459653">
            <w:r>
              <w:rPr>
                <w:webHidden/>
                <w:rStyle w:val="IndexLink"/>
                <w:rtl w:val="true"/>
              </w:rPr>
              <w:t>چشم انداز کتابشناسی های ملی</w:t>
            </w:r>
            <w:r>
              <w:rPr>
                <w:rStyle w:val="IndexLink"/>
                <w:rtl w:val="true"/>
              </w:rPr>
              <w:tab/>
            </w:r>
            <w:r>
              <w:rPr>
                <w:rStyle w:val="IndexLink"/>
              </w:rPr>
              <w:t>462</w:t>
            </w:r>
          </w:hyperlink>
        </w:p>
        <w:p>
          <w:pPr>
            <w:pStyle w:val="Contents3"/>
            <w:tabs>
              <w:tab w:val="clear" w:pos="8459"/>
              <w:tab w:val="right" w:pos="9026" w:leader="dot"/>
            </w:tabs>
            <w:rPr/>
          </w:pPr>
          <w:hyperlink w:anchor="__RefHeading___Toc7767062_2870459653">
            <w:r>
              <w:rPr>
                <w:webHidden/>
                <w:rStyle w:val="IndexLink"/>
                <w:rtl w:val="true"/>
              </w:rPr>
              <w:t>کتابشناسی در مقابل فهرست</w:t>
            </w:r>
            <w:r>
              <w:rPr>
                <w:rStyle w:val="IndexLink"/>
                <w:rtl w:val="true"/>
              </w:rPr>
              <w:tab/>
            </w:r>
            <w:r>
              <w:rPr>
                <w:rStyle w:val="IndexLink"/>
              </w:rPr>
              <w:t>463</w:t>
            </w:r>
          </w:hyperlink>
        </w:p>
        <w:p>
          <w:pPr>
            <w:pStyle w:val="Contents3"/>
            <w:tabs>
              <w:tab w:val="clear" w:pos="8459"/>
              <w:tab w:val="right" w:pos="9026" w:leader="dot"/>
            </w:tabs>
            <w:rPr/>
          </w:pPr>
          <w:hyperlink w:anchor="__RefHeading___Toc7767064_2870459653">
            <w:r>
              <w:rPr>
                <w:webHidden/>
                <w:rStyle w:val="IndexLink"/>
                <w:rtl w:val="true"/>
              </w:rPr>
              <w:t>به کارگیری قابلیت های محیط رقومی</w:t>
            </w:r>
            <w:r>
              <w:rPr>
                <w:rStyle w:val="IndexLink"/>
                <w:rtl w:val="true"/>
              </w:rPr>
              <w:tab/>
            </w:r>
            <w:r>
              <w:rPr>
                <w:rStyle w:val="IndexLink"/>
              </w:rPr>
              <w:t>465</w:t>
            </w:r>
          </w:hyperlink>
        </w:p>
        <w:p>
          <w:pPr>
            <w:pStyle w:val="Contents3"/>
            <w:tabs>
              <w:tab w:val="clear" w:pos="8459"/>
              <w:tab w:val="right" w:pos="9026" w:leader="dot"/>
            </w:tabs>
            <w:rPr/>
          </w:pPr>
          <w:hyperlink w:anchor="__RefHeading___Toc7767066_2870459653">
            <w:r>
              <w:rPr>
                <w:webHidden/>
                <w:rStyle w:val="IndexLink"/>
                <w:rtl w:val="true"/>
              </w:rPr>
              <w:t>موضوع کتابشناسی و واحد توصیف</w:t>
            </w:r>
            <w:r>
              <w:rPr>
                <w:rStyle w:val="IndexLink"/>
                <w:rtl w:val="true"/>
              </w:rPr>
              <w:tab/>
            </w:r>
            <w:r>
              <w:rPr>
                <w:rStyle w:val="IndexLink"/>
              </w:rPr>
              <w:t>469</w:t>
            </w:r>
          </w:hyperlink>
        </w:p>
        <w:p>
          <w:pPr>
            <w:pStyle w:val="Contents3"/>
            <w:tabs>
              <w:tab w:val="clear" w:pos="8459"/>
              <w:tab w:val="right" w:pos="9026" w:leader="dot"/>
            </w:tabs>
            <w:rPr/>
          </w:pPr>
          <w:hyperlink w:anchor="__RefHeading___Toc7767068_2870459653">
            <w:r>
              <w:rPr>
                <w:webHidden/>
                <w:rStyle w:val="IndexLink"/>
                <w:rtl w:val="true"/>
              </w:rPr>
              <w:t>انواع محتوا درآر دی ای</w:t>
            </w:r>
            <w:r>
              <w:rPr>
                <w:rStyle w:val="IndexLink"/>
                <w:rtl w:val="true"/>
              </w:rPr>
              <w:tab/>
            </w:r>
            <w:r>
              <w:rPr>
                <w:rStyle w:val="IndexLink"/>
              </w:rPr>
              <w:t>473</w:t>
            </w:r>
          </w:hyperlink>
        </w:p>
        <w:p>
          <w:pPr>
            <w:pStyle w:val="Contents3"/>
            <w:tabs>
              <w:tab w:val="clear" w:pos="8459"/>
              <w:tab w:val="right" w:pos="9026" w:leader="dot"/>
            </w:tabs>
            <w:rPr/>
          </w:pPr>
          <w:hyperlink w:anchor="__RefHeading___Toc7767070_2870459653">
            <w:r>
              <w:rPr>
                <w:webHidden/>
                <w:rStyle w:val="IndexLink"/>
                <w:rtl w:val="true"/>
              </w:rPr>
              <w:t>نتیجه گیری</w:t>
            </w:r>
            <w:r>
              <w:rPr>
                <w:rStyle w:val="IndexLink"/>
                <w:rtl w:val="true"/>
              </w:rPr>
              <w:tab/>
            </w:r>
            <w:r>
              <w:rPr>
                <w:rStyle w:val="IndexLink"/>
              </w:rPr>
              <w:t>474</w:t>
            </w:r>
          </w:hyperlink>
        </w:p>
        <w:p>
          <w:pPr>
            <w:pStyle w:val="Contents2"/>
            <w:tabs>
              <w:tab w:val="clear" w:pos="8743"/>
              <w:tab w:val="right" w:pos="9026" w:leader="dot"/>
            </w:tabs>
            <w:rPr/>
          </w:pPr>
          <w:hyperlink w:anchor="__RefHeading___Toc7767072_2870459653">
            <w:r>
              <w:rPr>
                <w:webHidden/>
                <w:rStyle w:val="IndexLink"/>
                <w:rtl w:val="true"/>
              </w:rPr>
              <w:t>چکیده</w:t>
            </w:r>
            <w:r>
              <w:rPr>
                <w:rStyle w:val="IndexLink"/>
                <w:rtl w:val="true"/>
              </w:rPr>
              <w:tab/>
            </w:r>
            <w:r>
              <w:rPr>
                <w:rStyle w:val="IndexLink"/>
              </w:rPr>
              <w:t>477</w:t>
            </w:r>
          </w:hyperlink>
        </w:p>
        <w:p>
          <w:pPr>
            <w:pStyle w:val="Contents2"/>
            <w:tabs>
              <w:tab w:val="clear" w:pos="8743"/>
              <w:tab w:val="right" w:pos="9026" w:leader="dot"/>
            </w:tabs>
            <w:rPr/>
          </w:pPr>
          <w:hyperlink w:anchor="__RefHeading___Toc7767074_2870459653">
            <w:r>
              <w:rPr>
                <w:webHidden/>
                <w:rStyle w:val="IndexLink"/>
                <w:rtl w:val="true"/>
              </w:rPr>
              <w:t>پیاده سازی نظام مدیریتی هوشمند از طریق پردازش شبکه های اجتماعی</w:t>
            </w:r>
            <w:r>
              <w:rPr>
                <w:rStyle w:val="IndexLink"/>
                <w:rtl w:val="true"/>
              </w:rPr>
              <w:tab/>
            </w:r>
            <w:r>
              <w:rPr>
                <w:rStyle w:val="IndexLink"/>
              </w:rPr>
              <w:t>478</w:t>
            </w:r>
          </w:hyperlink>
        </w:p>
        <w:p>
          <w:pPr>
            <w:pStyle w:val="Contents3"/>
            <w:tabs>
              <w:tab w:val="clear" w:pos="8459"/>
              <w:tab w:val="right" w:pos="9026" w:leader="dot"/>
            </w:tabs>
            <w:rPr/>
          </w:pPr>
          <w:hyperlink w:anchor="__RefHeading___Toc7767076_2870459653">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7767078_2870459653">
            <w:r>
              <w:rPr>
                <w:webHidden/>
                <w:rStyle w:val="IndexLink"/>
                <w:rtl w:val="true"/>
              </w:rPr>
              <w:t>مقدمه</w:t>
            </w:r>
            <w:r>
              <w:rPr>
                <w:rStyle w:val="IndexLink"/>
                <w:rtl w:val="true"/>
              </w:rPr>
              <w:t>:</w:t>
              <w:tab/>
            </w:r>
            <w:r>
              <w:rPr>
                <w:rStyle w:val="IndexLink"/>
              </w:rPr>
              <w:t>478</w:t>
            </w:r>
          </w:hyperlink>
        </w:p>
        <w:p>
          <w:pPr>
            <w:pStyle w:val="Contents3"/>
            <w:tabs>
              <w:tab w:val="clear" w:pos="8459"/>
              <w:tab w:val="right" w:pos="9026" w:leader="dot"/>
            </w:tabs>
            <w:rPr/>
          </w:pPr>
          <w:hyperlink w:anchor="__RefHeading___Toc7767080_2870459653">
            <w:r>
              <w:rPr>
                <w:webHidden/>
                <w:rStyle w:val="IndexLink"/>
              </w:rPr>
              <w:t>2</w:t>
            </w:r>
            <w:r>
              <w:rPr>
                <w:rStyle w:val="IndexLink"/>
                <w:rtl w:val="true"/>
              </w:rPr>
              <w:t xml:space="preserve">. </w:t>
            </w:r>
            <w:r>
              <w:rPr>
                <w:rStyle w:val="IndexLink"/>
                <w:rtl w:val="true"/>
              </w:rPr>
              <w:t>ساختار شبکه های اجتماعی</w:t>
            </w:r>
            <w:r>
              <w:rPr>
                <w:rStyle w:val="IndexLink"/>
                <w:rtl w:val="true"/>
              </w:rPr>
              <w:tab/>
            </w:r>
            <w:r>
              <w:rPr>
                <w:rStyle w:val="IndexLink"/>
              </w:rPr>
              <w:t>480</w:t>
            </w:r>
          </w:hyperlink>
        </w:p>
        <w:p>
          <w:pPr>
            <w:pStyle w:val="Contents3"/>
            <w:tabs>
              <w:tab w:val="clear" w:pos="8459"/>
              <w:tab w:val="right" w:pos="9026" w:leader="dot"/>
            </w:tabs>
            <w:rPr/>
          </w:pPr>
          <w:hyperlink w:anchor="__RefHeading___Toc7767082_2870459653">
            <w:r>
              <w:rPr>
                <w:webHidden/>
                <w:rStyle w:val="IndexLink"/>
              </w:rPr>
              <w:t>3</w:t>
            </w:r>
            <w:r>
              <w:rPr>
                <w:rStyle w:val="IndexLink"/>
                <w:rtl w:val="true"/>
              </w:rPr>
              <w:t xml:space="preserve">. </w:t>
            </w:r>
            <w:r>
              <w:rPr>
                <w:rStyle w:val="IndexLink"/>
                <w:rtl w:val="true"/>
              </w:rPr>
              <w:t>همکاری گروه های دانش بنیانی</w:t>
            </w:r>
            <w:r>
              <w:rPr>
                <w:rStyle w:val="IndexLink"/>
                <w:rtl w:val="true"/>
              </w:rPr>
              <w:tab/>
            </w:r>
            <w:r>
              <w:rPr>
                <w:rStyle w:val="IndexLink"/>
              </w:rPr>
              <w:t>480</w:t>
            </w:r>
          </w:hyperlink>
        </w:p>
        <w:p>
          <w:pPr>
            <w:pStyle w:val="Contents3"/>
            <w:tabs>
              <w:tab w:val="clear" w:pos="8459"/>
              <w:tab w:val="right" w:pos="9026" w:leader="dot"/>
            </w:tabs>
            <w:rPr/>
          </w:pPr>
          <w:hyperlink w:anchor="__RefHeading___Toc7767084_2870459653">
            <w:r>
              <w:rPr>
                <w:webHidden/>
                <w:rStyle w:val="IndexLink"/>
              </w:rPr>
              <w:t>4</w:t>
            </w:r>
            <w:r>
              <w:rPr>
                <w:rStyle w:val="IndexLink"/>
                <w:rtl w:val="true"/>
              </w:rPr>
              <w:t xml:space="preserve">. </w:t>
            </w:r>
            <w:r>
              <w:rPr>
                <w:rStyle w:val="IndexLink"/>
                <w:rtl w:val="true"/>
              </w:rPr>
              <w:t>مشخصات یک ساختار مشترک</w:t>
            </w:r>
            <w:r>
              <w:rPr>
                <w:rStyle w:val="IndexLink"/>
                <w:rtl w:val="true"/>
              </w:rPr>
              <w:tab/>
            </w:r>
            <w:r>
              <w:rPr>
                <w:rStyle w:val="IndexLink"/>
              </w:rPr>
              <w:t>482</w:t>
            </w:r>
          </w:hyperlink>
        </w:p>
        <w:p>
          <w:pPr>
            <w:pStyle w:val="Contents3"/>
            <w:tabs>
              <w:tab w:val="clear" w:pos="8459"/>
              <w:tab w:val="right" w:pos="9026" w:leader="dot"/>
            </w:tabs>
            <w:rPr/>
          </w:pPr>
          <w:hyperlink w:anchor="__RefHeading___Toc7767086_2870459653">
            <w:r>
              <w:rPr>
                <w:webHidden/>
                <w:rStyle w:val="IndexLink"/>
                <w:rtl w:val="true"/>
              </w:rPr>
              <w:t>ساختار شبکه ها برای برقراری تعامل و ارتباط</w:t>
            </w:r>
            <w:r>
              <w:rPr>
                <w:rStyle w:val="IndexLink"/>
                <w:rtl w:val="true"/>
              </w:rPr>
              <w:tab/>
            </w:r>
            <w:r>
              <w:rPr>
                <w:rStyle w:val="IndexLink"/>
              </w:rPr>
              <w:t>485</w:t>
            </w:r>
          </w:hyperlink>
        </w:p>
        <w:p>
          <w:pPr>
            <w:pStyle w:val="Contents3"/>
            <w:tabs>
              <w:tab w:val="clear" w:pos="8459"/>
              <w:tab w:val="right" w:pos="9026" w:leader="dot"/>
            </w:tabs>
            <w:rPr/>
          </w:pPr>
          <w:hyperlink w:anchor="__RefHeading___Toc7767088_2870459653">
            <w:r>
              <w:rPr>
                <w:webHidden/>
                <w:rStyle w:val="IndexLink"/>
                <w:rtl w:val="true"/>
              </w:rPr>
              <w:t>نتیجه گیری</w:t>
            </w:r>
            <w:r>
              <w:rPr>
                <w:rStyle w:val="IndexLink"/>
                <w:rtl w:val="true"/>
              </w:rPr>
              <w:tab/>
            </w:r>
            <w:r>
              <w:rPr>
                <w:rStyle w:val="IndexLink"/>
              </w:rPr>
              <w:t>487</w:t>
            </w:r>
          </w:hyperlink>
        </w:p>
        <w:p>
          <w:pPr>
            <w:pStyle w:val="Contents3"/>
            <w:tabs>
              <w:tab w:val="clear" w:pos="8459"/>
              <w:tab w:val="right" w:pos="9026" w:leader="dot"/>
            </w:tabs>
            <w:rPr/>
          </w:pPr>
          <w:hyperlink w:anchor="__RefHeading___Toc7767090_2870459653">
            <w:r>
              <w:rPr>
                <w:webHidden/>
                <w:rStyle w:val="IndexLink"/>
                <w:rtl w:val="true"/>
              </w:rPr>
              <w:t>منابع</w:t>
            </w:r>
            <w:r>
              <w:rPr>
                <w:rStyle w:val="IndexLink"/>
                <w:rtl w:val="true"/>
              </w:rPr>
              <w:tab/>
            </w:r>
            <w:r>
              <w:rPr>
                <w:rStyle w:val="IndexLink"/>
              </w:rPr>
              <w:t>488</w:t>
            </w:r>
          </w:hyperlink>
        </w:p>
        <w:p>
          <w:pPr>
            <w:pStyle w:val="Contents2"/>
            <w:tabs>
              <w:tab w:val="clear" w:pos="8743"/>
              <w:tab w:val="right" w:pos="9026" w:leader="dot"/>
            </w:tabs>
            <w:rPr/>
          </w:pPr>
          <w:hyperlink w:anchor="__RefHeading___Toc7767092_2870459653">
            <w:r>
              <w:rPr>
                <w:webHidden/>
                <w:rStyle w:val="IndexLink"/>
                <w:rtl w:val="true"/>
              </w:rPr>
              <w:t>چکیده</w:t>
            </w:r>
            <w:r>
              <w:rPr>
                <w:rStyle w:val="IndexLink"/>
                <w:rtl w:val="true"/>
              </w:rPr>
              <w:tab/>
            </w:r>
            <w:r>
              <w:rPr>
                <w:rStyle w:val="IndexLink"/>
              </w:rPr>
              <w:t>491</w:t>
            </w:r>
          </w:hyperlink>
        </w:p>
        <w:p>
          <w:pPr>
            <w:pStyle w:val="Contents2"/>
            <w:tabs>
              <w:tab w:val="clear" w:pos="8743"/>
              <w:tab w:val="right" w:pos="9026" w:leader="dot"/>
            </w:tabs>
            <w:rPr/>
          </w:pPr>
          <w:hyperlink w:anchor="__RefHeading___Toc7767094_2870459653">
            <w:r>
              <w:rPr>
                <w:webHidden/>
                <w:rStyle w:val="IndexLink"/>
                <w:rtl w:val="true"/>
              </w:rPr>
              <w:t>آماده سازی کتابشناسی ها برای آینده</w:t>
            </w:r>
            <w:r>
              <w:rPr>
                <w:rStyle w:val="IndexLink"/>
                <w:rtl w:val="true"/>
              </w:rPr>
              <w:t xml:space="preserve">: </w:t>
            </w:r>
            <w:r>
              <w:rPr>
                <w:rStyle w:val="IndexLink"/>
                <w:rtl w:val="true"/>
              </w:rPr>
              <w:t>الگویی پژوهش محور برای کتابشناسی ها</w:t>
            </w:r>
            <w:r>
              <w:rPr>
                <w:rStyle w:val="IndexLink"/>
                <w:rtl w:val="true"/>
              </w:rPr>
              <w:tab/>
            </w:r>
            <w:r>
              <w:rPr>
                <w:rStyle w:val="IndexLink"/>
              </w:rPr>
              <w:t>492</w:t>
            </w:r>
          </w:hyperlink>
        </w:p>
        <w:p>
          <w:pPr>
            <w:pStyle w:val="Contents3"/>
            <w:tabs>
              <w:tab w:val="clear" w:pos="8459"/>
              <w:tab w:val="right" w:pos="9026" w:leader="dot"/>
            </w:tabs>
            <w:rPr/>
          </w:pPr>
          <w:hyperlink w:anchor="__RefHeading___Toc7767096_2870459653">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7767098_2870459653">
            <w:r>
              <w:rPr>
                <w:webHidden/>
                <w:rStyle w:val="IndexLink"/>
                <w:rtl w:val="true"/>
              </w:rPr>
              <w:t>فهرست منابع</w:t>
            </w:r>
            <w:r>
              <w:rPr>
                <w:rStyle w:val="IndexLink"/>
                <w:rtl w:val="true"/>
              </w:rPr>
              <w:tab/>
            </w:r>
            <w:r>
              <w:rPr>
                <w:rStyle w:val="IndexLink"/>
              </w:rPr>
              <w:t>500</w:t>
            </w:r>
          </w:hyperlink>
        </w:p>
        <w:p>
          <w:pPr>
            <w:pStyle w:val="Contents2"/>
            <w:tabs>
              <w:tab w:val="clear" w:pos="8743"/>
              <w:tab w:val="right" w:pos="9026" w:leader="dot"/>
            </w:tabs>
            <w:rPr/>
          </w:pPr>
          <w:hyperlink w:anchor="__RefHeading___Toc7767100_2870459653">
            <w:r>
              <w:rPr>
                <w:webHidden/>
                <w:rStyle w:val="IndexLink"/>
                <w:rtl w:val="true"/>
              </w:rPr>
              <w:t>چکیده</w:t>
            </w:r>
            <w:r>
              <w:rPr>
                <w:rStyle w:val="IndexLink"/>
                <w:rtl w:val="true"/>
              </w:rPr>
              <w:tab/>
            </w:r>
            <w:r>
              <w:rPr>
                <w:rStyle w:val="IndexLink"/>
              </w:rPr>
              <w:t>503</w:t>
            </w:r>
          </w:hyperlink>
        </w:p>
        <w:p>
          <w:pPr>
            <w:pStyle w:val="Contents2"/>
            <w:tabs>
              <w:tab w:val="clear" w:pos="8743"/>
              <w:tab w:val="right" w:pos="9026" w:leader="dot"/>
            </w:tabs>
            <w:rPr/>
          </w:pPr>
          <w:hyperlink w:anchor="__RefHeading___Toc7767102_2870459653">
            <w:r>
              <w:rPr>
                <w:webHidden/>
                <w:rStyle w:val="IndexLink"/>
                <w:rtl w:val="true"/>
              </w:rPr>
              <w:t>آرشیوسازی انقلاب مصر</w:t>
            </w:r>
            <w:r>
              <w:rPr>
                <w:rStyle w:val="IndexLink"/>
                <w:rtl w:val="true"/>
              </w:rPr>
              <w:t xml:space="preserve">: </w:t>
            </w:r>
            <w:r>
              <w:rPr>
                <w:rStyle w:val="IndexLink"/>
                <w:rtl w:val="true"/>
              </w:rPr>
              <w:t xml:space="preserve">طرح </w:t>
            </w:r>
            <w:r>
              <w:rPr>
                <w:rStyle w:val="IndexLink"/>
                <w:rtl w:val="true"/>
              </w:rPr>
              <w:t>"</w:t>
            </w:r>
            <w:r>
              <w:rPr>
                <w:rStyle w:val="IndexLink"/>
                <w:rtl w:val="true"/>
              </w:rPr>
              <w:t>دانشگاه همگام با میدان تحریر</w:t>
            </w:r>
            <w:r>
              <w:rPr>
                <w:rStyle w:val="IndexLink"/>
                <w:rtl w:val="true"/>
              </w:rPr>
              <w:t xml:space="preserve">" </w:t>
            </w:r>
            <w:r>
              <w:rPr>
                <w:rStyle w:val="IndexLink"/>
                <w:rtl w:val="true"/>
              </w:rPr>
              <w:t xml:space="preserve">مستندسازی </w:t>
            </w:r>
            <w:r>
              <w:rPr>
                <w:rStyle w:val="IndexLink"/>
              </w:rPr>
              <w:t>25</w:t>
            </w:r>
            <w:r>
              <w:rPr>
                <w:rStyle w:val="IndexLink"/>
                <w:rtl w:val="true"/>
              </w:rPr>
              <w:t xml:space="preserve"> </w:t>
            </w:r>
            <w:r>
              <w:rPr>
                <w:rStyle w:val="IndexLink"/>
                <w:rtl w:val="true"/>
              </w:rPr>
              <w:t xml:space="preserve">ژانویه </w:t>
            </w:r>
            <w:r>
              <w:rPr>
                <w:rStyle w:val="IndexLink"/>
              </w:rPr>
              <w:t>2011</w:t>
            </w:r>
            <w:r>
              <w:rPr>
                <w:rStyle w:val="IndexLink"/>
                <w:rtl w:val="true"/>
              </w:rPr>
              <w:t xml:space="preserve"> </w:t>
            </w:r>
            <w:r>
              <w:rPr>
                <w:rStyle w:val="IndexLink"/>
                <w:rtl w:val="true"/>
              </w:rPr>
              <w:t>و بعد آن</w:t>
            </w:r>
            <w:r>
              <w:rPr>
                <w:rStyle w:val="IndexLink"/>
                <w:rtl w:val="true"/>
              </w:rPr>
              <w:tab/>
            </w:r>
            <w:r>
              <w:rPr>
                <w:rStyle w:val="IndexLink"/>
              </w:rPr>
              <w:t>504</w:t>
            </w:r>
          </w:hyperlink>
        </w:p>
        <w:p>
          <w:pPr>
            <w:pStyle w:val="Contents3"/>
            <w:tabs>
              <w:tab w:val="clear" w:pos="8459"/>
              <w:tab w:val="right" w:pos="9026" w:leader="dot"/>
            </w:tabs>
            <w:rPr/>
          </w:pPr>
          <w:hyperlink w:anchor="__RefHeading___Toc7767104_2870459653">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7767106_2870459653">
            <w:r>
              <w:rPr>
                <w:webHidden/>
                <w:rStyle w:val="IndexLink"/>
                <w:rtl w:val="true"/>
              </w:rPr>
              <w:t>منابع</w:t>
            </w:r>
            <w:r>
              <w:rPr>
                <w:rStyle w:val="IndexLink"/>
                <w:rtl w:val="true"/>
              </w:rPr>
              <w:tab/>
            </w:r>
            <w:r>
              <w:rPr>
                <w:rStyle w:val="IndexLink"/>
              </w:rPr>
              <w:t>512</w:t>
            </w:r>
          </w:hyperlink>
        </w:p>
        <w:p>
          <w:pPr>
            <w:pStyle w:val="Contents2"/>
            <w:tabs>
              <w:tab w:val="clear" w:pos="8743"/>
              <w:tab w:val="right" w:pos="9026" w:leader="dot"/>
            </w:tabs>
            <w:rPr/>
          </w:pPr>
          <w:hyperlink w:anchor="__RefHeading___Toc7767108_2870459653">
            <w:r>
              <w:rPr>
                <w:webHidden/>
                <w:rStyle w:val="IndexLink"/>
                <w:rtl w:val="true"/>
              </w:rPr>
              <w:t>چکیده</w:t>
            </w:r>
            <w:r>
              <w:rPr>
                <w:rStyle w:val="IndexLink"/>
                <w:rtl w:val="true"/>
              </w:rPr>
              <w:tab/>
            </w:r>
            <w:r>
              <w:rPr>
                <w:rStyle w:val="IndexLink"/>
              </w:rPr>
              <w:t>513</w:t>
            </w:r>
          </w:hyperlink>
        </w:p>
        <w:p>
          <w:pPr>
            <w:pStyle w:val="Contents2"/>
            <w:tabs>
              <w:tab w:val="clear" w:pos="8743"/>
              <w:tab w:val="right" w:pos="9026" w:leader="dot"/>
            </w:tabs>
            <w:rPr/>
          </w:pPr>
          <w:hyperlink w:anchor="__RefHeading___Toc7767110_2870459653">
            <w:r>
              <w:rPr>
                <w:webHidden/>
                <w:rStyle w:val="IndexLink"/>
                <w:rtl w:val="true"/>
              </w:rPr>
              <w:t>خدمات مرجع بر فراز آسمان ها</w:t>
            </w:r>
            <w:r>
              <w:rPr>
                <w:rStyle w:val="IndexLink"/>
                <w:rtl w:val="true"/>
              </w:rPr>
              <w:t xml:space="preserve">: </w:t>
            </w:r>
            <w:r>
              <w:rPr>
                <w:rStyle w:val="IndexLink"/>
                <w:rtl w:val="true"/>
              </w:rPr>
              <w:t>خروج کتابداران از حصار کتابخانه</w:t>
            </w:r>
            <w:r>
              <w:rPr>
                <w:rStyle w:val="IndexLink"/>
                <w:rtl w:val="true"/>
              </w:rPr>
              <w:tab/>
            </w:r>
            <w:r>
              <w:rPr>
                <w:rStyle w:val="IndexLink"/>
              </w:rPr>
              <w:t>514</w:t>
            </w:r>
          </w:hyperlink>
        </w:p>
        <w:p>
          <w:pPr>
            <w:pStyle w:val="Contents2"/>
            <w:tabs>
              <w:tab w:val="clear" w:pos="8743"/>
              <w:tab w:val="right" w:pos="9026" w:leader="dot"/>
            </w:tabs>
            <w:rPr/>
          </w:pPr>
          <w:hyperlink w:anchor="__RefHeading___Toc7767112_2870459653">
            <w:r>
              <w:rPr>
                <w:webHidden/>
                <w:rStyle w:val="IndexLink"/>
                <w:rtl w:val="true"/>
              </w:rPr>
              <w:t>چکیده</w:t>
            </w:r>
            <w:r>
              <w:rPr>
                <w:rStyle w:val="IndexLink"/>
                <w:rtl w:val="true"/>
              </w:rPr>
              <w:tab/>
            </w:r>
            <w:r>
              <w:rPr>
                <w:rStyle w:val="IndexLink"/>
              </w:rPr>
              <w:t>529</w:t>
            </w:r>
          </w:hyperlink>
        </w:p>
        <w:p>
          <w:pPr>
            <w:pStyle w:val="Contents2"/>
            <w:tabs>
              <w:tab w:val="clear" w:pos="8743"/>
              <w:tab w:val="right" w:pos="9026" w:leader="dot"/>
            </w:tabs>
            <w:rPr/>
          </w:pPr>
          <w:hyperlink w:anchor="__RefHeading___Toc7767114_2870459653">
            <w:r>
              <w:rPr>
                <w:webHidden/>
                <w:rStyle w:val="IndexLink"/>
                <w:rtl w:val="true"/>
              </w:rPr>
              <w:t>ایمنی در چندینگی</w:t>
            </w:r>
            <w:r>
              <w:rPr>
                <w:rStyle w:val="IndexLink"/>
                <w:rtl w:val="true"/>
              </w:rPr>
              <w:t xml:space="preserve">: </w:t>
            </w:r>
            <w:r>
              <w:rPr>
                <w:rStyle w:val="IndexLink"/>
                <w:rtl w:val="true"/>
              </w:rPr>
              <w:t>شبکه های حفاظت رقومی توزیع شده</w:t>
            </w:r>
            <w:r>
              <w:rPr>
                <w:rStyle w:val="IndexLink"/>
                <w:rtl w:val="true"/>
              </w:rPr>
              <w:tab/>
            </w:r>
            <w:r>
              <w:rPr>
                <w:rStyle w:val="IndexLink"/>
              </w:rPr>
              <w:t>530</w:t>
            </w:r>
          </w:hyperlink>
        </w:p>
        <w:p>
          <w:pPr>
            <w:pStyle w:val="Contents3"/>
            <w:tabs>
              <w:tab w:val="clear" w:pos="8459"/>
              <w:tab w:val="right" w:pos="9026" w:leader="dot"/>
            </w:tabs>
            <w:rPr/>
          </w:pPr>
          <w:hyperlink w:anchor="__RefHeading___Toc7767116_2870459653">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7767118_2870459653">
            <w:r>
              <w:rPr>
                <w:webHidden/>
                <w:rStyle w:val="IndexLink"/>
                <w:rtl w:val="true"/>
              </w:rPr>
              <w:t>مقدمه</w:t>
            </w:r>
            <w:r>
              <w:rPr>
                <w:rStyle w:val="IndexLink"/>
                <w:rtl w:val="true"/>
              </w:rPr>
              <w:tab/>
            </w:r>
            <w:r>
              <w:rPr>
                <w:rStyle w:val="IndexLink"/>
              </w:rPr>
              <w:t>530</w:t>
            </w:r>
          </w:hyperlink>
        </w:p>
        <w:p>
          <w:pPr>
            <w:pStyle w:val="Contents3"/>
            <w:tabs>
              <w:tab w:val="clear" w:pos="8459"/>
              <w:tab w:val="right" w:pos="9026" w:leader="dot"/>
            </w:tabs>
            <w:rPr/>
          </w:pPr>
          <w:hyperlink w:anchor="__RefHeading___Toc7767120_2870459653">
            <w:r>
              <w:rPr>
                <w:webHidden/>
                <w:rStyle w:val="IndexLink"/>
                <w:rtl w:val="true"/>
              </w:rPr>
              <w:t>حفاظت رقومی توزیع شده و لاکس</w:t>
            </w:r>
            <w:r>
              <w:rPr>
                <w:rStyle w:val="IndexLink"/>
                <w:rtl w:val="true"/>
              </w:rPr>
              <w:tab/>
            </w:r>
            <w:r>
              <w:rPr>
                <w:rStyle w:val="IndexLink"/>
              </w:rPr>
              <w:t>532</w:t>
            </w:r>
          </w:hyperlink>
        </w:p>
        <w:p>
          <w:pPr>
            <w:pStyle w:val="Contents3"/>
            <w:tabs>
              <w:tab w:val="clear" w:pos="8459"/>
              <w:tab w:val="right" w:pos="9026" w:leader="dot"/>
            </w:tabs>
            <w:rPr/>
          </w:pPr>
          <w:hyperlink w:anchor="__RefHeading___Toc7767122_2870459653">
            <w:r>
              <w:rPr>
                <w:webHidden/>
                <w:rStyle w:val="IndexLink"/>
                <w:rtl w:val="true"/>
              </w:rPr>
              <w:t>شبکه های دی دی پی آمریکای شمالی</w:t>
            </w:r>
            <w:r>
              <w:rPr>
                <w:rStyle w:val="IndexLink"/>
                <w:rtl w:val="true"/>
              </w:rPr>
              <w:tab/>
            </w:r>
            <w:r>
              <w:rPr>
                <w:rStyle w:val="IndexLink"/>
              </w:rPr>
              <w:t>534</w:t>
            </w:r>
          </w:hyperlink>
        </w:p>
        <w:p>
          <w:pPr>
            <w:pStyle w:val="Contents3"/>
            <w:tabs>
              <w:tab w:val="clear" w:pos="8459"/>
              <w:tab w:val="right" w:pos="9026" w:leader="dot"/>
            </w:tabs>
            <w:rPr/>
          </w:pPr>
          <w:hyperlink w:anchor="__RefHeading___Toc7767124_2870459653">
            <w:r>
              <w:rPr>
                <w:webHidden/>
                <w:rStyle w:val="IndexLink"/>
                <w:rtl w:val="true"/>
              </w:rPr>
              <w:t>جبران فاجعه</w:t>
            </w:r>
            <w:r>
              <w:rPr>
                <w:rStyle w:val="IndexLink"/>
                <w:rtl w:val="true"/>
              </w:rPr>
              <w:t xml:space="preserve">: </w:t>
            </w:r>
            <w:r>
              <w:rPr>
                <w:rStyle w:val="IndexLink"/>
                <w:rtl w:val="true"/>
              </w:rPr>
              <w:t>با برنامه و بی برنامه</w:t>
            </w:r>
            <w:r>
              <w:rPr>
                <w:rStyle w:val="IndexLink"/>
                <w:rtl w:val="true"/>
              </w:rPr>
              <w:tab/>
            </w:r>
            <w:r>
              <w:rPr>
                <w:rStyle w:val="IndexLink"/>
              </w:rPr>
              <w:t>536</w:t>
            </w:r>
          </w:hyperlink>
        </w:p>
        <w:p>
          <w:pPr>
            <w:pStyle w:val="Contents3"/>
            <w:tabs>
              <w:tab w:val="clear" w:pos="8459"/>
              <w:tab w:val="right" w:pos="9026" w:leader="dot"/>
            </w:tabs>
            <w:rPr/>
          </w:pPr>
          <w:hyperlink w:anchor="__RefHeading___Toc7767126_2870459653">
            <w:r>
              <w:rPr>
                <w:webHidden/>
                <w:rStyle w:val="IndexLink"/>
                <w:rtl w:val="true"/>
              </w:rPr>
              <w:t>دی</w:t>
            </w:r>
            <w:r>
              <w:rPr>
                <w:rStyle w:val="IndexLink"/>
                <w:rtl w:val="true"/>
              </w:rPr>
              <w:t>.</w:t>
            </w:r>
            <w:r>
              <w:rPr>
                <w:rStyle w:val="IndexLink"/>
                <w:rtl w:val="true"/>
              </w:rPr>
              <w:t>دی</w:t>
            </w:r>
            <w:r>
              <w:rPr>
                <w:rStyle w:val="IndexLink"/>
                <w:rtl w:val="true"/>
              </w:rPr>
              <w:t xml:space="preserve">. </w:t>
            </w:r>
            <w:r>
              <w:rPr>
                <w:rStyle w:val="IndexLink"/>
                <w:rtl w:val="true"/>
              </w:rPr>
              <w:t>پی</w:t>
            </w:r>
            <w:r>
              <w:rPr>
                <w:rStyle w:val="IndexLink"/>
                <w:rtl w:val="true"/>
              </w:rPr>
              <w:t xml:space="preserve">. </w:t>
            </w:r>
            <w:r>
              <w:rPr>
                <w:rStyle w:val="IndexLink"/>
                <w:rtl w:val="true"/>
              </w:rPr>
              <w:t>و شبکه های خصوصی لاکس</w:t>
            </w:r>
            <w:r>
              <w:rPr>
                <w:rStyle w:val="IndexLink"/>
                <w:rtl w:val="true"/>
              </w:rPr>
              <w:t xml:space="preserve">: </w:t>
            </w:r>
            <w:r>
              <w:rPr>
                <w:rStyle w:val="IndexLink"/>
                <w:rtl w:val="true"/>
              </w:rPr>
              <w:t>مسائل عملی</w:t>
            </w:r>
            <w:r>
              <w:rPr>
                <w:rStyle w:val="IndexLink"/>
                <w:rtl w:val="true"/>
              </w:rPr>
              <w:tab/>
            </w:r>
            <w:r>
              <w:rPr>
                <w:rStyle w:val="IndexLink"/>
              </w:rPr>
              <w:t>539</w:t>
            </w:r>
          </w:hyperlink>
        </w:p>
        <w:p>
          <w:pPr>
            <w:pStyle w:val="Contents3"/>
            <w:tabs>
              <w:tab w:val="clear" w:pos="8459"/>
              <w:tab w:val="right" w:pos="9026" w:leader="dot"/>
            </w:tabs>
            <w:rPr/>
          </w:pPr>
          <w:hyperlink w:anchor="__RefHeading___Toc7767128_2870459653">
            <w:r>
              <w:rPr>
                <w:webHidden/>
                <w:rStyle w:val="IndexLink"/>
                <w:rtl w:val="true"/>
              </w:rPr>
              <w:t>استمرار</w:t>
            </w:r>
            <w:r>
              <w:rPr>
                <w:rStyle w:val="IndexLink"/>
                <w:rtl w:val="true"/>
              </w:rPr>
              <w:t xml:space="preserve">: </w:t>
            </w:r>
            <w:r>
              <w:rPr>
                <w:rStyle w:val="IndexLink"/>
                <w:rtl w:val="true"/>
              </w:rPr>
              <w:t>چند اصل کمکی</w:t>
            </w:r>
            <w:r>
              <w:rPr>
                <w:rStyle w:val="IndexLink"/>
                <w:rtl w:val="true"/>
              </w:rPr>
              <w:tab/>
            </w:r>
            <w:r>
              <w:rPr>
                <w:rStyle w:val="IndexLink"/>
              </w:rPr>
              <w:t>543</w:t>
            </w:r>
          </w:hyperlink>
        </w:p>
        <w:p>
          <w:pPr>
            <w:pStyle w:val="Contents3"/>
            <w:tabs>
              <w:tab w:val="clear" w:pos="8459"/>
              <w:tab w:val="right" w:pos="9026" w:leader="dot"/>
            </w:tabs>
            <w:rPr/>
          </w:pPr>
          <w:hyperlink w:anchor="__RefHeading___Toc7767130_2870459653">
            <w:r>
              <w:rPr>
                <w:webHidden/>
                <w:rStyle w:val="IndexLink"/>
                <w:rtl w:val="true"/>
              </w:rPr>
              <w:t>نتیجه گیری</w:t>
            </w:r>
            <w:r>
              <w:rPr>
                <w:rStyle w:val="IndexLink"/>
                <w:rtl w:val="true"/>
              </w:rPr>
              <w:t xml:space="preserve">: </w:t>
            </w:r>
            <w:r>
              <w:rPr>
                <w:rStyle w:val="IndexLink"/>
                <w:rtl w:val="true"/>
              </w:rPr>
              <w:t>تداوم و پایداری</w:t>
            </w:r>
            <w:r>
              <w:rPr>
                <w:rStyle w:val="IndexLink"/>
                <w:rtl w:val="true"/>
              </w:rPr>
              <w:tab/>
            </w:r>
            <w:r>
              <w:rPr>
                <w:rStyle w:val="IndexLink"/>
              </w:rPr>
              <w:t>545</w:t>
            </w:r>
          </w:hyperlink>
        </w:p>
        <w:p>
          <w:pPr>
            <w:pStyle w:val="Contents3"/>
            <w:tabs>
              <w:tab w:val="clear" w:pos="8459"/>
              <w:tab w:val="right" w:pos="9026" w:leader="dot"/>
            </w:tabs>
            <w:rPr/>
          </w:pPr>
          <w:hyperlink w:anchor="__RefHeading___Toc7767132_2870459653">
            <w:r>
              <w:rPr>
                <w:webHidden/>
                <w:rStyle w:val="IndexLink"/>
                <w:rtl w:val="true"/>
              </w:rPr>
              <w:t>تقدیر و تشکر</w:t>
            </w:r>
            <w:r>
              <w:rPr>
                <w:rStyle w:val="IndexLink"/>
                <w:rtl w:val="true"/>
              </w:rPr>
              <w:tab/>
            </w:r>
            <w:r>
              <w:rPr>
                <w:rStyle w:val="IndexLink"/>
              </w:rPr>
              <w:t>546</w:t>
            </w:r>
          </w:hyperlink>
        </w:p>
        <w:p>
          <w:pPr>
            <w:pStyle w:val="Contents3"/>
            <w:tabs>
              <w:tab w:val="clear" w:pos="8459"/>
              <w:tab w:val="right" w:pos="9026" w:leader="dot"/>
            </w:tabs>
            <w:rPr/>
          </w:pPr>
          <w:hyperlink w:anchor="__RefHeading___Toc7767134_2870459653">
            <w:r>
              <w:rPr>
                <w:webHidden/>
                <w:rStyle w:val="IndexLink"/>
                <w:rtl w:val="true"/>
              </w:rPr>
              <w:t>منابع</w:t>
            </w:r>
            <w:r>
              <w:rPr>
                <w:rStyle w:val="IndexLink"/>
                <w:rtl w:val="true"/>
              </w:rPr>
              <w:tab/>
            </w:r>
            <w:r>
              <w:rPr>
                <w:rStyle w:val="IndexLink"/>
              </w:rPr>
              <w:t>547</w:t>
            </w:r>
          </w:hyperlink>
        </w:p>
        <w:p>
          <w:pPr>
            <w:pStyle w:val="Contents3"/>
            <w:tabs>
              <w:tab w:val="clear" w:pos="8459"/>
              <w:tab w:val="right" w:pos="9026" w:leader="dot"/>
            </w:tabs>
            <w:rPr/>
          </w:pPr>
          <w:hyperlink w:anchor="__RefHeading___Toc7767136_2870459653">
            <w:r>
              <w:rPr>
                <w:webHidden/>
                <w:rStyle w:val="IndexLink"/>
                <w:rtl w:val="true"/>
              </w:rPr>
              <w:t>مراجع</w:t>
            </w:r>
            <w:r>
              <w:rPr>
                <w:rStyle w:val="IndexLink"/>
                <w:rtl w:val="true"/>
              </w:rPr>
              <w:tab/>
            </w:r>
            <w:r>
              <w:rPr>
                <w:rStyle w:val="IndexLink"/>
              </w:rPr>
              <w:t>548</w:t>
            </w:r>
          </w:hyperlink>
        </w:p>
        <w:p>
          <w:pPr>
            <w:pStyle w:val="Contents2"/>
            <w:tabs>
              <w:tab w:val="clear" w:pos="8743"/>
              <w:tab w:val="right" w:pos="9026" w:leader="dot"/>
            </w:tabs>
            <w:rPr/>
          </w:pPr>
          <w:hyperlink w:anchor="__RefHeading___Toc7767138_2870459653">
            <w:r>
              <w:rPr>
                <w:webHidden/>
                <w:rStyle w:val="IndexLink"/>
                <w:rtl w:val="true"/>
              </w:rPr>
              <w:t>چکیده</w:t>
            </w:r>
            <w:r>
              <w:rPr>
                <w:rStyle w:val="IndexLink"/>
                <w:rtl w:val="true"/>
              </w:rPr>
              <w:tab/>
            </w:r>
            <w:r>
              <w:rPr>
                <w:rStyle w:val="IndexLink"/>
              </w:rPr>
              <w:t>551</w:t>
            </w:r>
          </w:hyperlink>
        </w:p>
        <w:p>
          <w:pPr>
            <w:pStyle w:val="Contents2"/>
            <w:tabs>
              <w:tab w:val="clear" w:pos="8743"/>
              <w:tab w:val="right" w:pos="9026" w:leader="dot"/>
            </w:tabs>
            <w:rPr/>
          </w:pPr>
          <w:hyperlink w:anchor="__RefHeading___Toc7767140_2870459653">
            <w:r>
              <w:rPr>
                <w:webHidden/>
                <w:rStyle w:val="IndexLink"/>
                <w:rtl w:val="true"/>
              </w:rPr>
              <w:t>رهبری در مواقع تغییر</w:t>
            </w:r>
            <w:r>
              <w:rPr>
                <w:rStyle w:val="IndexLink"/>
                <w:rtl w:val="true"/>
              </w:rPr>
              <w:tab/>
            </w:r>
            <w:r>
              <w:rPr>
                <w:rStyle w:val="IndexLink"/>
              </w:rPr>
              <w:t>552</w:t>
            </w:r>
          </w:hyperlink>
        </w:p>
        <w:p>
          <w:pPr>
            <w:pStyle w:val="Contents3"/>
            <w:tabs>
              <w:tab w:val="clear" w:pos="8459"/>
              <w:tab w:val="right" w:pos="9026" w:leader="dot"/>
            </w:tabs>
            <w:rPr/>
          </w:pPr>
          <w:hyperlink w:anchor="__RefHeading___Toc7767142_2870459653">
            <w:r>
              <w:rPr>
                <w:webHidden/>
                <w:rStyle w:val="IndexLink"/>
                <w:rtl w:val="true"/>
              </w:rPr>
              <w:t>اشاره</w:t>
            </w:r>
            <w:r>
              <w:rPr>
                <w:rStyle w:val="IndexLink"/>
                <w:rtl w:val="true"/>
              </w:rPr>
              <w:tab/>
            </w:r>
            <w:r>
              <w:rPr>
                <w:rStyle w:val="IndexLink"/>
              </w:rPr>
              <w:t>552</w:t>
            </w:r>
          </w:hyperlink>
        </w:p>
        <w:p>
          <w:pPr>
            <w:pStyle w:val="Contents3"/>
            <w:tabs>
              <w:tab w:val="clear" w:pos="8459"/>
              <w:tab w:val="right" w:pos="9026" w:leader="dot"/>
            </w:tabs>
            <w:rPr/>
          </w:pPr>
          <w:hyperlink w:anchor="__RefHeading___Toc7767144_2870459653">
            <w:r>
              <w:rPr>
                <w:webHidden/>
                <w:rStyle w:val="IndexLink"/>
              </w:rPr>
              <w:t>1</w:t>
            </w:r>
            <w:r>
              <w:rPr>
                <w:rStyle w:val="IndexLink"/>
                <w:rtl w:val="true"/>
              </w:rPr>
              <w:t xml:space="preserve">. </w:t>
            </w:r>
            <w:r>
              <w:rPr>
                <w:rStyle w:val="IndexLink"/>
                <w:rtl w:val="true"/>
              </w:rPr>
              <w:t xml:space="preserve">قابلیت های مورد نیاز در مدیریت تغییر و رهبری، برای موفقیت در تغییرات عمدی و بزرگ </w:t>
            </w:r>
            <w:r>
              <w:rPr>
                <w:rStyle w:val="IndexLink"/>
                <w:rtl w:val="true"/>
              </w:rPr>
              <w:t xml:space="preserve">- </w:t>
            </w:r>
            <w:r>
              <w:rPr>
                <w:rStyle w:val="IndexLink"/>
                <w:rtl w:val="true"/>
              </w:rPr>
              <w:t xml:space="preserve">فعلی یا آتی </w:t>
            </w:r>
            <w:r>
              <w:rPr>
                <w:rStyle w:val="IndexLink"/>
                <w:rtl w:val="true"/>
              </w:rPr>
              <w:t xml:space="preserve">- </w:t>
            </w:r>
            <w:r>
              <w:rPr>
                <w:rStyle w:val="IndexLink"/>
                <w:rtl w:val="true"/>
              </w:rPr>
              <w:t>در کتابخانه ها</w:t>
            </w:r>
            <w:r>
              <w:rPr>
                <w:rStyle w:val="IndexLink"/>
                <w:rtl w:val="true"/>
              </w:rPr>
              <w:tab/>
            </w:r>
            <w:r>
              <w:rPr>
                <w:rStyle w:val="IndexLink"/>
              </w:rPr>
              <w:t>552</w:t>
            </w:r>
          </w:hyperlink>
        </w:p>
        <w:p>
          <w:pPr>
            <w:pStyle w:val="Contents4"/>
            <w:tabs>
              <w:tab w:val="clear" w:pos="8176"/>
              <w:tab w:val="right" w:pos="9026" w:leader="dot"/>
            </w:tabs>
            <w:rPr/>
          </w:pPr>
          <w:hyperlink w:anchor="__RefHeading___Toc7767146_2870459653">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7767148_2870459653">
            <w:r>
              <w:rPr>
                <w:webHidden/>
                <w:rStyle w:val="IndexLink"/>
                <w:rtl w:val="true"/>
              </w:rPr>
              <w:t>مرحله اول خروج از انجماد</w:t>
            </w:r>
            <w:r>
              <w:rPr>
                <w:rStyle w:val="IndexLink"/>
                <w:rtl w:val="true"/>
              </w:rPr>
              <w:tab/>
            </w:r>
            <w:r>
              <w:rPr>
                <w:rStyle w:val="IndexLink"/>
              </w:rPr>
              <w:t>552</w:t>
            </w:r>
          </w:hyperlink>
        </w:p>
        <w:p>
          <w:pPr>
            <w:pStyle w:val="Contents4"/>
            <w:tabs>
              <w:tab w:val="clear" w:pos="8176"/>
              <w:tab w:val="right" w:pos="9026" w:leader="dot"/>
            </w:tabs>
            <w:rPr/>
          </w:pPr>
          <w:hyperlink w:anchor="__RefHeading___Toc7767150_2870459653">
            <w:r>
              <w:rPr>
                <w:webHidden/>
                <w:rStyle w:val="IndexLink"/>
                <w:rtl w:val="true"/>
              </w:rPr>
              <w:t>مرحله دوم تغییر</w:t>
            </w:r>
            <w:r>
              <w:rPr>
                <w:rStyle w:val="IndexLink"/>
                <w:rtl w:val="true"/>
              </w:rPr>
              <w:t xml:space="preserve">/ </w:t>
            </w:r>
            <w:r>
              <w:rPr>
                <w:rStyle w:val="IndexLink"/>
                <w:rtl w:val="true"/>
              </w:rPr>
              <w:t>حرکت</w:t>
            </w:r>
            <w:r>
              <w:rPr>
                <w:rStyle w:val="IndexLink"/>
                <w:rtl w:val="true"/>
              </w:rPr>
              <w:tab/>
            </w:r>
            <w:r>
              <w:rPr>
                <w:rStyle w:val="IndexLink"/>
              </w:rPr>
              <w:t>553</w:t>
            </w:r>
          </w:hyperlink>
        </w:p>
        <w:p>
          <w:pPr>
            <w:pStyle w:val="Contents4"/>
            <w:tabs>
              <w:tab w:val="clear" w:pos="8176"/>
              <w:tab w:val="right" w:pos="9026" w:leader="dot"/>
            </w:tabs>
            <w:rPr/>
          </w:pPr>
          <w:hyperlink w:anchor="__RefHeading___Toc7767152_2870459653">
            <w:r>
              <w:rPr>
                <w:webHidden/>
                <w:rStyle w:val="IndexLink"/>
                <w:rtl w:val="true"/>
              </w:rPr>
              <w:t>مرحله سوم</w:t>
            </w:r>
            <w:r>
              <w:rPr>
                <w:rStyle w:val="IndexLink"/>
                <w:rtl w:val="true"/>
              </w:rPr>
              <w:t xml:space="preserve">: </w:t>
            </w:r>
            <w:r>
              <w:rPr>
                <w:rStyle w:val="IndexLink"/>
                <w:rtl w:val="true"/>
              </w:rPr>
              <w:t>انجماد مجدد</w:t>
            </w:r>
            <w:r>
              <w:rPr>
                <w:rStyle w:val="IndexLink"/>
                <w:rtl w:val="true"/>
              </w:rPr>
              <w:tab/>
            </w:r>
            <w:r>
              <w:rPr>
                <w:rStyle w:val="IndexLink"/>
              </w:rPr>
              <w:t>553</w:t>
            </w:r>
          </w:hyperlink>
        </w:p>
        <w:p>
          <w:pPr>
            <w:pStyle w:val="Contents3"/>
            <w:tabs>
              <w:tab w:val="clear" w:pos="8459"/>
              <w:tab w:val="right" w:pos="9026" w:leader="dot"/>
            </w:tabs>
            <w:rPr/>
          </w:pPr>
          <w:hyperlink w:anchor="__RefHeading___Toc7767154_2870459653">
            <w:r>
              <w:rPr>
                <w:webHidden/>
                <w:rStyle w:val="IndexLink"/>
              </w:rPr>
              <w:t>2</w:t>
            </w:r>
            <w:r>
              <w:rPr>
                <w:rStyle w:val="IndexLink"/>
                <w:rtl w:val="true"/>
              </w:rPr>
              <w:t xml:space="preserve">. </w:t>
            </w:r>
            <w:r>
              <w:rPr>
                <w:rStyle w:val="IndexLink"/>
                <w:rtl w:val="true"/>
              </w:rPr>
              <w:t>عوامل مهم موفقیت</w:t>
            </w:r>
            <w:r>
              <w:rPr>
                <w:rStyle w:val="IndexLink"/>
                <w:rtl w:val="true"/>
              </w:rPr>
              <w:t xml:space="preserve">: </w:t>
            </w:r>
            <w:r>
              <w:rPr>
                <w:rStyle w:val="IndexLink"/>
                <w:rtl w:val="true"/>
              </w:rPr>
              <w:t>اطلاع رسانی، ایجاد ارتباط و مشارکت</w:t>
            </w:r>
            <w:r>
              <w:rPr>
                <w:rStyle w:val="IndexLink"/>
                <w:rtl w:val="true"/>
              </w:rPr>
              <w:tab/>
            </w:r>
            <w:r>
              <w:rPr>
                <w:rStyle w:val="IndexLink"/>
              </w:rPr>
              <w:t>555</w:t>
            </w:r>
          </w:hyperlink>
        </w:p>
        <w:p>
          <w:pPr>
            <w:pStyle w:val="Contents4"/>
            <w:tabs>
              <w:tab w:val="clear" w:pos="8176"/>
              <w:tab w:val="right" w:pos="9026" w:leader="dot"/>
            </w:tabs>
            <w:rPr/>
          </w:pPr>
          <w:hyperlink w:anchor="__RefHeading___Toc7767156_2870459653">
            <w:r>
              <w:rPr>
                <w:webHidden/>
                <w:rStyle w:val="IndexLink"/>
                <w:rtl w:val="true"/>
              </w:rPr>
              <w:t>اشاره</w:t>
            </w:r>
            <w:r>
              <w:rPr>
                <w:rStyle w:val="IndexLink"/>
                <w:rtl w:val="true"/>
              </w:rPr>
              <w:tab/>
            </w:r>
            <w:r>
              <w:rPr>
                <w:rStyle w:val="IndexLink"/>
              </w:rPr>
              <w:t>555</w:t>
            </w:r>
          </w:hyperlink>
        </w:p>
        <w:p>
          <w:pPr>
            <w:pStyle w:val="Contents4"/>
            <w:tabs>
              <w:tab w:val="clear" w:pos="8176"/>
              <w:tab w:val="right" w:pos="9026" w:leader="dot"/>
            </w:tabs>
            <w:rPr/>
          </w:pPr>
          <w:hyperlink w:anchor="__RefHeading___Toc7767158_2870459653">
            <w:r>
              <w:rPr>
                <w:webHidden/>
                <w:rStyle w:val="IndexLink"/>
                <w:rtl w:val="true"/>
              </w:rPr>
              <w:t>اطلاع رسانی و ایجاد ارتباط</w:t>
            </w:r>
            <w:r>
              <w:rPr>
                <w:rStyle w:val="IndexLink"/>
                <w:rtl w:val="true"/>
              </w:rPr>
              <w:t>:</w:t>
              <w:tab/>
            </w:r>
            <w:r>
              <w:rPr>
                <w:rStyle w:val="IndexLink"/>
              </w:rPr>
              <w:t>555</w:t>
            </w:r>
          </w:hyperlink>
        </w:p>
        <w:p>
          <w:pPr>
            <w:pStyle w:val="Contents4"/>
            <w:tabs>
              <w:tab w:val="clear" w:pos="8176"/>
              <w:tab w:val="right" w:pos="9026" w:leader="dot"/>
            </w:tabs>
            <w:rPr/>
          </w:pPr>
          <w:hyperlink w:anchor="__RefHeading___Toc7767160_2870459653">
            <w:r>
              <w:rPr>
                <w:webHidden/>
                <w:rStyle w:val="IndexLink"/>
                <w:rtl w:val="true"/>
              </w:rPr>
              <w:t>مشارکت</w:t>
            </w:r>
            <w:r>
              <w:rPr>
                <w:rStyle w:val="IndexLink"/>
                <w:rtl w:val="true"/>
              </w:rPr>
              <w:tab/>
            </w:r>
            <w:r>
              <w:rPr>
                <w:rStyle w:val="IndexLink"/>
              </w:rPr>
              <w:t>556</w:t>
            </w:r>
          </w:hyperlink>
        </w:p>
        <w:p>
          <w:pPr>
            <w:pStyle w:val="Contents3"/>
            <w:tabs>
              <w:tab w:val="clear" w:pos="8459"/>
              <w:tab w:val="right" w:pos="9026" w:leader="dot"/>
            </w:tabs>
            <w:rPr/>
          </w:pPr>
          <w:hyperlink w:anchor="__RefHeading___Toc7767162_2870459653">
            <w:r>
              <w:rPr>
                <w:webHidden/>
                <w:rStyle w:val="IndexLink"/>
              </w:rPr>
              <w:t>3</w:t>
            </w:r>
            <w:r>
              <w:rPr>
                <w:rStyle w:val="IndexLink"/>
                <w:rtl w:val="true"/>
              </w:rPr>
              <w:t xml:space="preserve">. </w:t>
            </w:r>
            <w:r>
              <w:rPr>
                <w:rStyle w:val="IndexLink"/>
                <w:rtl w:val="true"/>
              </w:rPr>
              <w:t>رهبری در کتابخانه ها</w:t>
            </w:r>
            <w:r>
              <w:rPr>
                <w:rStyle w:val="IndexLink"/>
                <w:rtl w:val="true"/>
              </w:rPr>
              <w:tab/>
            </w:r>
            <w:r>
              <w:rPr>
                <w:rStyle w:val="IndexLink"/>
              </w:rPr>
              <w:t>556</w:t>
            </w:r>
          </w:hyperlink>
        </w:p>
        <w:p>
          <w:pPr>
            <w:pStyle w:val="Contents4"/>
            <w:tabs>
              <w:tab w:val="clear" w:pos="8176"/>
              <w:tab w:val="right" w:pos="9026" w:leader="dot"/>
            </w:tabs>
            <w:rPr/>
          </w:pPr>
          <w:hyperlink w:anchor="__RefHeading___Toc7767164_2870459653">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7767166_2870459653">
            <w:r>
              <w:rPr>
                <w:webHidden/>
                <w:rStyle w:val="IndexLink"/>
                <w:rtl w:val="true"/>
              </w:rPr>
              <w:t>فرهنگ سازمانی مبتنی بر اعتماد</w:t>
            </w:r>
            <w:r>
              <w:rPr>
                <w:rStyle w:val="IndexLink"/>
                <w:rtl w:val="true"/>
              </w:rPr>
              <w:tab/>
            </w:r>
            <w:r>
              <w:rPr>
                <w:rStyle w:val="IndexLink"/>
              </w:rPr>
              <w:t>558</w:t>
            </w:r>
          </w:hyperlink>
        </w:p>
        <w:p>
          <w:pPr>
            <w:pStyle w:val="Contents3"/>
            <w:tabs>
              <w:tab w:val="clear" w:pos="8459"/>
              <w:tab w:val="right" w:pos="9026" w:leader="dot"/>
            </w:tabs>
            <w:rPr/>
          </w:pPr>
          <w:hyperlink w:anchor="__RefHeading___Toc7767168_2870459653">
            <w:r>
              <w:rPr>
                <w:webHidden/>
                <w:rStyle w:val="IndexLink"/>
              </w:rPr>
              <w:t>1</w:t>
            </w:r>
            <w:r>
              <w:rPr>
                <w:rStyle w:val="IndexLink"/>
                <w:rtl w:val="true"/>
              </w:rPr>
              <w:t>.</w:t>
            </w:r>
            <w:r>
              <w:rPr>
                <w:rStyle w:val="IndexLink"/>
                <w:rtl w:val="true"/>
              </w:rPr>
              <w:t>رهبری در خلال فرایندهای تغییر</w:t>
            </w:r>
            <w:r>
              <w:rPr>
                <w:rStyle w:val="IndexLink"/>
                <w:rtl w:val="true"/>
              </w:rPr>
              <w:tab/>
            </w:r>
            <w:r>
              <w:rPr>
                <w:rStyle w:val="IndexLink"/>
              </w:rPr>
              <w:t>559</w:t>
            </w:r>
          </w:hyperlink>
        </w:p>
        <w:p>
          <w:pPr>
            <w:pStyle w:val="Contents4"/>
            <w:tabs>
              <w:tab w:val="clear" w:pos="8176"/>
              <w:tab w:val="right" w:pos="9026" w:leader="dot"/>
            </w:tabs>
            <w:rPr/>
          </w:pPr>
          <w:hyperlink w:anchor="__RefHeading___Toc7767170_2870459653">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7767172_2870459653">
            <w:r>
              <w:rPr>
                <w:webHidden/>
                <w:rStyle w:val="IndexLink"/>
                <w:rtl w:val="true"/>
              </w:rPr>
              <w:t>رهبران و چشم اندازهای آن ها</w:t>
            </w:r>
            <w:r>
              <w:rPr>
                <w:rStyle w:val="IndexLink"/>
                <w:rtl w:val="true"/>
              </w:rPr>
              <w:t>:</w:t>
              <w:tab/>
            </w:r>
            <w:r>
              <w:rPr>
                <w:rStyle w:val="IndexLink"/>
              </w:rPr>
              <w:t>560</w:t>
            </w:r>
          </w:hyperlink>
        </w:p>
        <w:p>
          <w:pPr>
            <w:pStyle w:val="Contents4"/>
            <w:tabs>
              <w:tab w:val="clear" w:pos="8176"/>
              <w:tab w:val="right" w:pos="9026" w:leader="dot"/>
            </w:tabs>
            <w:rPr/>
          </w:pPr>
          <w:hyperlink w:anchor="__RefHeading___Toc7767174_2870459653">
            <w:r>
              <w:rPr>
                <w:webHidden/>
                <w:rStyle w:val="IndexLink"/>
                <w:rtl w:val="true"/>
              </w:rPr>
              <w:t>رهبران باید قابل اعتماد باشند</w:t>
            </w:r>
            <w:r>
              <w:rPr>
                <w:rStyle w:val="IndexLink"/>
                <w:rtl w:val="true"/>
              </w:rPr>
              <w:t>:</w:t>
              <w:tab/>
            </w:r>
            <w:r>
              <w:rPr>
                <w:rStyle w:val="IndexLink"/>
              </w:rPr>
              <w:t>561</w:t>
            </w:r>
          </w:hyperlink>
        </w:p>
        <w:p>
          <w:pPr>
            <w:pStyle w:val="Contents4"/>
            <w:tabs>
              <w:tab w:val="clear" w:pos="8176"/>
              <w:tab w:val="right" w:pos="9026" w:leader="dot"/>
            </w:tabs>
            <w:rPr/>
          </w:pPr>
          <w:hyperlink w:anchor="__RefHeading___Toc7767176_2870459653">
            <w:r>
              <w:rPr>
                <w:webHidden/>
                <w:rStyle w:val="IndexLink"/>
                <w:rtl w:val="true"/>
              </w:rPr>
              <w:t>رهبران به عنوان مدیران تغییر</w:t>
            </w:r>
            <w:r>
              <w:rPr>
                <w:rStyle w:val="IndexLink"/>
                <w:rtl w:val="true"/>
              </w:rPr>
              <w:t>:</w:t>
              <w:tab/>
            </w:r>
            <w:r>
              <w:rPr>
                <w:rStyle w:val="IndexLink"/>
              </w:rPr>
              <w:t>561</w:t>
            </w:r>
          </w:hyperlink>
        </w:p>
        <w:p>
          <w:pPr>
            <w:pStyle w:val="Contents4"/>
            <w:tabs>
              <w:tab w:val="clear" w:pos="8176"/>
              <w:tab w:val="right" w:pos="9026" w:leader="dot"/>
            </w:tabs>
            <w:rPr/>
          </w:pPr>
          <w:hyperlink w:anchor="__RefHeading___Toc7767178_2870459653">
            <w:r>
              <w:rPr>
                <w:webHidden/>
                <w:rStyle w:val="IndexLink"/>
                <w:rtl w:val="true"/>
              </w:rPr>
              <w:t>اعضای گروه و بقیه کسانی که در کتابخانه کار می کنند</w:t>
            </w:r>
            <w:r>
              <w:rPr>
                <w:rStyle w:val="IndexLink"/>
                <w:rtl w:val="true"/>
              </w:rPr>
              <w:tab/>
            </w:r>
            <w:r>
              <w:rPr>
                <w:rStyle w:val="IndexLink"/>
              </w:rPr>
              <w:t>561</w:t>
            </w:r>
          </w:hyperlink>
        </w:p>
        <w:p>
          <w:pPr>
            <w:pStyle w:val="Contents3"/>
            <w:tabs>
              <w:tab w:val="clear" w:pos="8459"/>
              <w:tab w:val="right" w:pos="9026" w:leader="dot"/>
            </w:tabs>
            <w:rPr/>
          </w:pPr>
          <w:hyperlink w:anchor="__RefHeading___Toc7767180_2870459653">
            <w:r>
              <w:rPr>
                <w:webHidden/>
                <w:rStyle w:val="IndexLink"/>
                <w:rtl w:val="true"/>
              </w:rPr>
              <w:t>نتیجه</w:t>
            </w:r>
            <w:r>
              <w:rPr>
                <w:rStyle w:val="IndexLink"/>
                <w:rtl w:val="true"/>
              </w:rPr>
              <w:tab/>
            </w:r>
            <w:r>
              <w:rPr>
                <w:rStyle w:val="IndexLink"/>
              </w:rPr>
              <w:t>562</w:t>
            </w:r>
          </w:hyperlink>
        </w:p>
        <w:p>
          <w:pPr>
            <w:pStyle w:val="Contents3"/>
            <w:tabs>
              <w:tab w:val="clear" w:pos="8459"/>
              <w:tab w:val="right" w:pos="9026" w:leader="dot"/>
            </w:tabs>
            <w:rPr/>
          </w:pPr>
          <w:hyperlink w:anchor="__RefHeading___Toc7767182_2870459653">
            <w:r>
              <w:rPr>
                <w:webHidden/>
                <w:rStyle w:val="IndexLink"/>
                <w:rtl w:val="true"/>
              </w:rPr>
              <w:t>یادداشت ها</w:t>
            </w:r>
            <w:r>
              <w:rPr>
                <w:rStyle w:val="IndexLink"/>
                <w:rtl w:val="true"/>
              </w:rPr>
              <w:tab/>
            </w:r>
            <w:r>
              <w:rPr>
                <w:rStyle w:val="IndexLink"/>
              </w:rPr>
              <w:t>563</w:t>
            </w:r>
          </w:hyperlink>
        </w:p>
        <w:p>
          <w:pPr>
            <w:pStyle w:val="Contents2"/>
            <w:tabs>
              <w:tab w:val="clear" w:pos="8743"/>
              <w:tab w:val="right" w:pos="9026" w:leader="dot"/>
            </w:tabs>
            <w:rPr/>
          </w:pPr>
          <w:hyperlink w:anchor="__RefHeading___Toc7767184_2870459653">
            <w:r>
              <w:rPr>
                <w:webHidden/>
                <w:rStyle w:val="IndexLink"/>
                <w:rtl w:val="true"/>
              </w:rPr>
              <w:t>چکیده</w:t>
            </w:r>
            <w:r>
              <w:rPr>
                <w:rStyle w:val="IndexLink"/>
                <w:rtl w:val="true"/>
              </w:rPr>
              <w:tab/>
            </w:r>
            <w:r>
              <w:rPr>
                <w:rStyle w:val="IndexLink"/>
              </w:rPr>
              <w:t>565</w:t>
            </w:r>
          </w:hyperlink>
        </w:p>
        <w:p>
          <w:pPr>
            <w:pStyle w:val="Contents2"/>
            <w:tabs>
              <w:tab w:val="clear" w:pos="8743"/>
              <w:tab w:val="right" w:pos="9026" w:leader="dot"/>
            </w:tabs>
            <w:rPr/>
          </w:pPr>
          <w:hyperlink w:anchor="__RefHeading___Toc7767186_2870459653">
            <w:r>
              <w:rPr>
                <w:webHidden/>
                <w:rStyle w:val="IndexLink"/>
                <w:rtl w:val="true"/>
              </w:rPr>
              <w:t>گسترش کتابداری حرفه ای</w:t>
            </w:r>
            <w:r>
              <w:rPr>
                <w:rStyle w:val="IndexLink"/>
                <w:rtl w:val="true"/>
              </w:rPr>
              <w:t xml:space="preserve">: </w:t>
            </w:r>
            <w:r>
              <w:rPr>
                <w:rStyle w:val="IndexLink"/>
                <w:rtl w:val="true"/>
              </w:rPr>
              <w:t>نفوذ جوامع محلی نمونه</w:t>
            </w:r>
            <w:r>
              <w:rPr>
                <w:rStyle w:val="IndexLink"/>
                <w:rtl w:val="true"/>
              </w:rPr>
              <w:tab/>
            </w:r>
            <w:r>
              <w:rPr>
                <w:rStyle w:val="IndexLink"/>
              </w:rPr>
              <w:t>566</w:t>
            </w:r>
          </w:hyperlink>
        </w:p>
        <w:p>
          <w:pPr>
            <w:pStyle w:val="Contents3"/>
            <w:tabs>
              <w:tab w:val="clear" w:pos="8459"/>
              <w:tab w:val="right" w:pos="9026" w:leader="dot"/>
            </w:tabs>
            <w:rPr/>
          </w:pPr>
          <w:hyperlink w:anchor="__RefHeading___Toc7767188_2870459653">
            <w:r>
              <w:rPr>
                <w:webHidden/>
                <w:rStyle w:val="IndexLink"/>
                <w:rtl w:val="true"/>
              </w:rPr>
              <w:t>اشاره</w:t>
            </w:r>
            <w:r>
              <w:rPr>
                <w:rStyle w:val="IndexLink"/>
                <w:rtl w:val="true"/>
              </w:rPr>
              <w:tab/>
            </w:r>
            <w:r>
              <w:rPr>
                <w:rStyle w:val="IndexLink"/>
              </w:rPr>
              <w:t>566</w:t>
            </w:r>
          </w:hyperlink>
        </w:p>
        <w:p>
          <w:pPr>
            <w:pStyle w:val="Contents3"/>
            <w:tabs>
              <w:tab w:val="clear" w:pos="8459"/>
              <w:tab w:val="right" w:pos="9026" w:leader="dot"/>
            </w:tabs>
            <w:rPr/>
          </w:pPr>
          <w:hyperlink w:anchor="__RefHeading___Toc7767190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566</w:t>
            </w:r>
          </w:hyperlink>
        </w:p>
        <w:p>
          <w:pPr>
            <w:pStyle w:val="Contents3"/>
            <w:tabs>
              <w:tab w:val="clear" w:pos="8459"/>
              <w:tab w:val="right" w:pos="9026" w:leader="dot"/>
            </w:tabs>
            <w:rPr/>
          </w:pPr>
          <w:hyperlink w:anchor="__RefHeading___Toc7767192_2870459653">
            <w:r>
              <w:rPr>
                <w:webHidden/>
                <w:rStyle w:val="IndexLink"/>
              </w:rPr>
              <w:t>2</w:t>
            </w:r>
            <w:r>
              <w:rPr>
                <w:rStyle w:val="IndexLink"/>
                <w:rtl w:val="true"/>
              </w:rPr>
              <w:t xml:space="preserve">. </w:t>
            </w:r>
            <w:r>
              <w:rPr>
                <w:rStyle w:val="IndexLink"/>
                <w:rtl w:val="true"/>
              </w:rPr>
              <w:t>مرور متون</w:t>
            </w:r>
            <w:r>
              <w:rPr>
                <w:rStyle w:val="IndexLink"/>
                <w:rtl w:val="true"/>
              </w:rPr>
              <w:tab/>
            </w:r>
            <w:r>
              <w:rPr>
                <w:rStyle w:val="IndexLink"/>
              </w:rPr>
              <w:t>567</w:t>
            </w:r>
          </w:hyperlink>
        </w:p>
        <w:p>
          <w:pPr>
            <w:pStyle w:val="Contents4"/>
            <w:tabs>
              <w:tab w:val="clear" w:pos="8176"/>
              <w:tab w:val="right" w:pos="9026" w:leader="dot"/>
            </w:tabs>
            <w:rPr/>
          </w:pPr>
          <w:hyperlink w:anchor="__RefHeading___Toc7767194_2870459653">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7767196_2870459653">
            <w:r>
              <w:rPr>
                <w:webHidden/>
                <w:rStyle w:val="IndexLink"/>
              </w:rPr>
              <w:t>1-2</w:t>
            </w:r>
            <w:r>
              <w:rPr>
                <w:rStyle w:val="IndexLink"/>
                <w:rtl w:val="true"/>
              </w:rPr>
              <w:t xml:space="preserve">- </w:t>
            </w:r>
            <w:r>
              <w:rPr>
                <w:rStyle w:val="IndexLink"/>
                <w:rtl w:val="true"/>
              </w:rPr>
              <w:t>علاقه به جوامع نمونه</w:t>
            </w:r>
            <w:r>
              <w:rPr>
                <w:rStyle w:val="IndexLink"/>
                <w:rtl w:val="true"/>
              </w:rPr>
              <w:tab/>
            </w:r>
            <w:r>
              <w:rPr>
                <w:rStyle w:val="IndexLink"/>
              </w:rPr>
              <w:t>568</w:t>
            </w:r>
          </w:hyperlink>
        </w:p>
        <w:p>
          <w:pPr>
            <w:pStyle w:val="Contents4"/>
            <w:tabs>
              <w:tab w:val="clear" w:pos="8176"/>
              <w:tab w:val="right" w:pos="9026" w:leader="dot"/>
            </w:tabs>
            <w:rPr/>
          </w:pPr>
          <w:hyperlink w:anchor="__RefHeading___Toc7767198_2870459653">
            <w:r>
              <w:rPr>
                <w:webHidden/>
                <w:rStyle w:val="IndexLink"/>
              </w:rPr>
              <w:t>2-2</w:t>
            </w:r>
            <w:r>
              <w:rPr>
                <w:rStyle w:val="IndexLink"/>
                <w:rtl w:val="true"/>
              </w:rPr>
              <w:t xml:space="preserve">- </w:t>
            </w:r>
            <w:r>
              <w:rPr>
                <w:rStyle w:val="IndexLink"/>
                <w:rtl w:val="true"/>
              </w:rPr>
              <w:t>عنصر یادگیری در جامعه نمونه</w:t>
            </w:r>
            <w:r>
              <w:rPr>
                <w:rStyle w:val="IndexLink"/>
                <w:rtl w:val="true"/>
              </w:rPr>
              <w:tab/>
            </w:r>
            <w:r>
              <w:rPr>
                <w:rStyle w:val="IndexLink"/>
              </w:rPr>
              <w:t>569</w:t>
            </w:r>
          </w:hyperlink>
        </w:p>
        <w:p>
          <w:pPr>
            <w:pStyle w:val="Contents4"/>
            <w:tabs>
              <w:tab w:val="clear" w:pos="8176"/>
              <w:tab w:val="right" w:pos="9026" w:leader="dot"/>
            </w:tabs>
            <w:rPr/>
          </w:pPr>
          <w:hyperlink w:anchor="__RefHeading___Toc7767200_2870459653">
            <w:r>
              <w:rPr>
                <w:webHidden/>
                <w:rStyle w:val="IndexLink"/>
              </w:rPr>
              <w:t>3-2</w:t>
            </w:r>
            <w:r>
              <w:rPr>
                <w:rStyle w:val="IndexLink"/>
                <w:rtl w:val="true"/>
              </w:rPr>
              <w:t xml:space="preserve">- </w:t>
            </w:r>
            <w:r>
              <w:rPr>
                <w:rStyle w:val="IndexLink"/>
                <w:rtl w:val="true"/>
              </w:rPr>
              <w:t>مشارکت جانبی قانونی در جامعه نمونه</w:t>
            </w:r>
            <w:r>
              <w:rPr>
                <w:rStyle w:val="IndexLink"/>
                <w:rtl w:val="true"/>
              </w:rPr>
              <w:tab/>
            </w:r>
            <w:r>
              <w:rPr>
                <w:rStyle w:val="IndexLink"/>
              </w:rPr>
              <w:t>569</w:t>
            </w:r>
          </w:hyperlink>
        </w:p>
        <w:p>
          <w:pPr>
            <w:pStyle w:val="Contents4"/>
            <w:tabs>
              <w:tab w:val="clear" w:pos="8176"/>
              <w:tab w:val="right" w:pos="9026" w:leader="dot"/>
            </w:tabs>
            <w:rPr/>
          </w:pPr>
          <w:hyperlink w:anchor="__RefHeading___Toc7767202_2870459653">
            <w:r>
              <w:rPr>
                <w:webHidden/>
                <w:rStyle w:val="IndexLink"/>
              </w:rPr>
              <w:t>4-2</w:t>
            </w:r>
            <w:r>
              <w:rPr>
                <w:rStyle w:val="IndexLink"/>
                <w:rtl w:val="true"/>
              </w:rPr>
              <w:t xml:space="preserve">- </w:t>
            </w:r>
            <w:r>
              <w:rPr>
                <w:rStyle w:val="IndexLink"/>
                <w:rtl w:val="true"/>
              </w:rPr>
              <w:t>یادگیری اجتماعی در جوامع نمونه</w:t>
            </w:r>
            <w:r>
              <w:rPr>
                <w:rStyle w:val="IndexLink"/>
                <w:rtl w:val="true"/>
              </w:rPr>
              <w:tab/>
            </w:r>
            <w:r>
              <w:rPr>
                <w:rStyle w:val="IndexLink"/>
              </w:rPr>
              <w:t>570</w:t>
            </w:r>
          </w:hyperlink>
        </w:p>
        <w:p>
          <w:pPr>
            <w:pStyle w:val="Contents3"/>
            <w:tabs>
              <w:tab w:val="clear" w:pos="8459"/>
              <w:tab w:val="right" w:pos="9026" w:leader="dot"/>
            </w:tabs>
            <w:rPr/>
          </w:pPr>
          <w:hyperlink w:anchor="__RefHeading___Toc7767204_2870459653">
            <w:r>
              <w:rPr>
                <w:webHidden/>
                <w:rStyle w:val="IndexLink"/>
              </w:rPr>
              <w:t>3</w:t>
            </w:r>
            <w:r>
              <w:rPr>
                <w:rStyle w:val="IndexLink"/>
                <w:rtl w:val="true"/>
              </w:rPr>
              <w:t xml:space="preserve">. </w:t>
            </w:r>
            <w:r>
              <w:rPr>
                <w:rStyle w:val="IndexLink"/>
                <w:rtl w:val="true"/>
              </w:rPr>
              <w:t>تنظیم پژوهش</w:t>
            </w:r>
            <w:r>
              <w:rPr>
                <w:rStyle w:val="IndexLink"/>
                <w:rtl w:val="true"/>
              </w:rPr>
              <w:tab/>
            </w:r>
            <w:r>
              <w:rPr>
                <w:rStyle w:val="IndexLink"/>
              </w:rPr>
              <w:t>570</w:t>
            </w:r>
          </w:hyperlink>
        </w:p>
        <w:p>
          <w:pPr>
            <w:pStyle w:val="Contents4"/>
            <w:tabs>
              <w:tab w:val="clear" w:pos="8176"/>
              <w:tab w:val="right" w:pos="9026" w:leader="dot"/>
            </w:tabs>
            <w:rPr/>
          </w:pPr>
          <w:hyperlink w:anchor="__RefHeading___Toc7767206_2870459653">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7767208_2870459653">
            <w:r>
              <w:rPr>
                <w:webHidden/>
                <w:rStyle w:val="IndexLink"/>
              </w:rPr>
              <w:t>1-3</w:t>
            </w:r>
            <w:r>
              <w:rPr>
                <w:rStyle w:val="IndexLink"/>
                <w:rtl w:val="true"/>
              </w:rPr>
              <w:t xml:space="preserve">- </w:t>
            </w:r>
            <w:r>
              <w:rPr>
                <w:rStyle w:val="IndexLink"/>
                <w:rtl w:val="true"/>
              </w:rPr>
              <w:t>روش شناسی</w:t>
            </w:r>
            <w:r>
              <w:rPr>
                <w:rStyle w:val="IndexLink"/>
                <w:rtl w:val="true"/>
              </w:rPr>
              <w:tab/>
            </w:r>
            <w:r>
              <w:rPr>
                <w:rStyle w:val="IndexLink"/>
              </w:rPr>
              <w:t>572</w:t>
            </w:r>
          </w:hyperlink>
        </w:p>
        <w:p>
          <w:pPr>
            <w:pStyle w:val="Contents5"/>
            <w:tabs>
              <w:tab w:val="clear" w:pos="7892"/>
              <w:tab w:val="right" w:pos="9026" w:leader="dot"/>
            </w:tabs>
            <w:rPr/>
          </w:pPr>
          <w:hyperlink w:anchor="__RefHeading___Toc7767210_2870459653">
            <w:r>
              <w:rPr>
                <w:webHidden/>
                <w:rStyle w:val="IndexLink"/>
                <w:rtl w:val="true"/>
              </w:rPr>
              <w:t>اشاره</w:t>
            </w:r>
            <w:r>
              <w:rPr>
                <w:rStyle w:val="IndexLink"/>
                <w:rtl w:val="true"/>
              </w:rPr>
              <w:tab/>
            </w:r>
            <w:r>
              <w:rPr>
                <w:rStyle w:val="IndexLink"/>
              </w:rPr>
              <w:t>572</w:t>
            </w:r>
          </w:hyperlink>
        </w:p>
        <w:p>
          <w:pPr>
            <w:pStyle w:val="Contents5"/>
            <w:tabs>
              <w:tab w:val="clear" w:pos="7892"/>
              <w:tab w:val="right" w:pos="9026" w:leader="dot"/>
            </w:tabs>
            <w:rPr/>
          </w:pPr>
          <w:hyperlink w:anchor="__RefHeading___Toc7767212_2870459653">
            <w:r>
              <w:rPr>
                <w:webHidden/>
                <w:rStyle w:val="IndexLink"/>
                <w:rtl w:val="true"/>
              </w:rPr>
              <w:t>روش شناسی تحقیق</w:t>
            </w:r>
            <w:r>
              <w:rPr>
                <w:rStyle w:val="IndexLink"/>
                <w:rtl w:val="true"/>
              </w:rPr>
              <w:tab/>
            </w:r>
            <w:r>
              <w:rPr>
                <w:rStyle w:val="IndexLink"/>
              </w:rPr>
              <w:t>572</w:t>
            </w:r>
          </w:hyperlink>
        </w:p>
        <w:p>
          <w:pPr>
            <w:pStyle w:val="Contents5"/>
            <w:tabs>
              <w:tab w:val="clear" w:pos="7892"/>
              <w:tab w:val="right" w:pos="9026" w:leader="dot"/>
            </w:tabs>
            <w:rPr/>
          </w:pPr>
          <w:hyperlink w:anchor="__RefHeading___Toc7767214_2870459653">
            <w:r>
              <w:rPr>
                <w:webHidden/>
                <w:rStyle w:val="IndexLink"/>
                <w:rtl w:val="true"/>
              </w:rPr>
              <w:t>شرکت کنندگان</w:t>
            </w:r>
            <w:r>
              <w:rPr>
                <w:rStyle w:val="IndexLink"/>
                <w:rtl w:val="true"/>
              </w:rPr>
              <w:tab/>
            </w:r>
            <w:r>
              <w:rPr>
                <w:rStyle w:val="IndexLink"/>
              </w:rPr>
              <w:t>572</w:t>
            </w:r>
          </w:hyperlink>
        </w:p>
        <w:p>
          <w:pPr>
            <w:pStyle w:val="Contents5"/>
            <w:tabs>
              <w:tab w:val="clear" w:pos="7892"/>
              <w:tab w:val="right" w:pos="9026" w:leader="dot"/>
            </w:tabs>
            <w:rPr/>
          </w:pPr>
          <w:hyperlink w:anchor="__RefHeading___Toc7767216_2870459653">
            <w:r>
              <w:rPr>
                <w:webHidden/>
                <w:rStyle w:val="IndexLink"/>
                <w:rtl w:val="true"/>
              </w:rPr>
              <w:t>روش ها</w:t>
            </w:r>
            <w:r>
              <w:rPr>
                <w:rStyle w:val="IndexLink"/>
                <w:rtl w:val="true"/>
              </w:rPr>
              <w:tab/>
            </w:r>
            <w:r>
              <w:rPr>
                <w:rStyle w:val="IndexLink"/>
              </w:rPr>
              <w:t>572</w:t>
            </w:r>
          </w:hyperlink>
        </w:p>
        <w:p>
          <w:pPr>
            <w:pStyle w:val="Contents5"/>
            <w:tabs>
              <w:tab w:val="clear" w:pos="7892"/>
              <w:tab w:val="right" w:pos="9026" w:leader="dot"/>
            </w:tabs>
            <w:rPr/>
          </w:pPr>
          <w:hyperlink w:anchor="__RefHeading___Toc7767218_2870459653">
            <w:r>
              <w:rPr>
                <w:webHidden/>
                <w:rStyle w:val="IndexLink"/>
                <w:rtl w:val="true"/>
              </w:rPr>
              <w:t>تحلیل داده ها</w:t>
            </w:r>
            <w:r>
              <w:rPr>
                <w:rStyle w:val="IndexLink"/>
                <w:rtl w:val="true"/>
              </w:rPr>
              <w:tab/>
            </w:r>
            <w:r>
              <w:rPr>
                <w:rStyle w:val="IndexLink"/>
              </w:rPr>
              <w:t>573</w:t>
            </w:r>
          </w:hyperlink>
        </w:p>
        <w:p>
          <w:pPr>
            <w:pStyle w:val="Contents3"/>
            <w:tabs>
              <w:tab w:val="clear" w:pos="8459"/>
              <w:tab w:val="right" w:pos="9026" w:leader="dot"/>
            </w:tabs>
            <w:rPr/>
          </w:pPr>
          <w:hyperlink w:anchor="__RefHeading___Toc7767220_2870459653">
            <w:r>
              <w:rPr>
                <w:webHidden/>
                <w:rStyle w:val="IndexLink"/>
              </w:rPr>
              <w:t>4</w:t>
            </w:r>
            <w:r>
              <w:rPr>
                <w:rStyle w:val="IndexLink"/>
                <w:rtl w:val="true"/>
              </w:rPr>
              <w:t xml:space="preserve">. </w:t>
            </w:r>
            <w:r>
              <w:rPr>
                <w:rStyle w:val="IndexLink"/>
                <w:rtl w:val="true"/>
              </w:rPr>
              <w:t>یافته ها و بحث</w:t>
            </w:r>
            <w:r>
              <w:rPr>
                <w:rStyle w:val="IndexLink"/>
                <w:rtl w:val="true"/>
              </w:rPr>
              <w:tab/>
            </w:r>
            <w:r>
              <w:rPr>
                <w:rStyle w:val="IndexLink"/>
              </w:rPr>
              <w:t>573</w:t>
            </w:r>
          </w:hyperlink>
        </w:p>
        <w:p>
          <w:pPr>
            <w:pStyle w:val="Contents4"/>
            <w:tabs>
              <w:tab w:val="clear" w:pos="8176"/>
              <w:tab w:val="right" w:pos="9026" w:leader="dot"/>
            </w:tabs>
            <w:rPr/>
          </w:pPr>
          <w:hyperlink w:anchor="__RefHeading___Toc7767222_2870459653">
            <w:r>
              <w:rPr>
                <w:webHidden/>
                <w:rStyle w:val="IndexLink"/>
                <w:rtl w:val="true"/>
              </w:rPr>
              <w:t>اشاره</w:t>
            </w:r>
            <w:r>
              <w:rPr>
                <w:rStyle w:val="IndexLink"/>
                <w:rtl w:val="true"/>
              </w:rPr>
              <w:tab/>
            </w:r>
            <w:r>
              <w:rPr>
                <w:rStyle w:val="IndexLink"/>
              </w:rPr>
              <w:t>573</w:t>
            </w:r>
          </w:hyperlink>
        </w:p>
        <w:p>
          <w:pPr>
            <w:pStyle w:val="Contents4"/>
            <w:tabs>
              <w:tab w:val="clear" w:pos="8176"/>
              <w:tab w:val="right" w:pos="9026" w:leader="dot"/>
            </w:tabs>
            <w:rPr/>
          </w:pPr>
          <w:hyperlink w:anchor="__RefHeading___Toc7767224_2870459653">
            <w:r>
              <w:rPr>
                <w:webHidden/>
                <w:rStyle w:val="IndexLink"/>
              </w:rPr>
              <w:t>1-4</w:t>
            </w:r>
            <w:r>
              <w:rPr>
                <w:rStyle w:val="IndexLink"/>
                <w:rtl w:val="true"/>
              </w:rPr>
              <w:t xml:space="preserve">- </w:t>
            </w:r>
            <w:r>
              <w:rPr>
                <w:rStyle w:val="IndexLink"/>
                <w:rtl w:val="true"/>
              </w:rPr>
              <w:t>شرکت کتابداران در کی مایا تا چه میزان بر یادگیری غیررسمی تاثیر دارد؟</w:t>
            </w:r>
            <w:r>
              <w:rPr>
                <w:rStyle w:val="IndexLink"/>
                <w:rtl w:val="true"/>
              </w:rPr>
              <w:tab/>
            </w:r>
            <w:r>
              <w:rPr>
                <w:rStyle w:val="IndexLink"/>
              </w:rPr>
              <w:t>573</w:t>
            </w:r>
          </w:hyperlink>
        </w:p>
        <w:p>
          <w:pPr>
            <w:pStyle w:val="Contents5"/>
            <w:tabs>
              <w:tab w:val="clear" w:pos="7892"/>
              <w:tab w:val="right" w:pos="9026" w:leader="dot"/>
            </w:tabs>
            <w:rPr/>
          </w:pPr>
          <w:hyperlink w:anchor="__RefHeading___Toc7767226_2870459653">
            <w:r>
              <w:rPr>
                <w:webHidden/>
                <w:rStyle w:val="IndexLink"/>
                <w:rtl w:val="true"/>
              </w:rPr>
              <w:t>اشاره</w:t>
            </w:r>
            <w:r>
              <w:rPr>
                <w:rStyle w:val="IndexLink"/>
                <w:rtl w:val="true"/>
              </w:rPr>
              <w:tab/>
            </w:r>
            <w:r>
              <w:rPr>
                <w:rStyle w:val="IndexLink"/>
              </w:rPr>
              <w:t>573</w:t>
            </w:r>
          </w:hyperlink>
        </w:p>
        <w:p>
          <w:pPr>
            <w:pStyle w:val="Contents5"/>
            <w:tabs>
              <w:tab w:val="clear" w:pos="7892"/>
              <w:tab w:val="right" w:pos="9026" w:leader="dot"/>
            </w:tabs>
            <w:rPr/>
          </w:pPr>
          <w:hyperlink w:anchor="__RefHeading___Toc7767228_2870459653">
            <w:r>
              <w:rPr>
                <w:webHidden/>
                <w:rStyle w:val="IndexLink"/>
              </w:rPr>
              <w:t>1-1-4</w:t>
            </w:r>
            <w:r>
              <w:rPr>
                <w:rStyle w:val="IndexLink"/>
                <w:rtl w:val="true"/>
              </w:rPr>
              <w:t xml:space="preserve">- </w:t>
            </w:r>
            <w:r>
              <w:rPr>
                <w:rStyle w:val="IndexLink"/>
                <w:rtl w:val="true"/>
              </w:rPr>
              <w:t>احساس هویت و برحق بودن برای مشارکت در جامعه</w:t>
            </w:r>
            <w:r>
              <w:rPr>
                <w:rStyle w:val="IndexLink"/>
                <w:rtl w:val="true"/>
              </w:rPr>
              <w:tab/>
            </w:r>
            <w:r>
              <w:rPr>
                <w:rStyle w:val="IndexLink"/>
              </w:rPr>
              <w:t>573</w:t>
            </w:r>
          </w:hyperlink>
        </w:p>
        <w:p>
          <w:pPr>
            <w:pStyle w:val="Contents5"/>
            <w:tabs>
              <w:tab w:val="clear" w:pos="7892"/>
              <w:tab w:val="right" w:pos="9026" w:leader="dot"/>
            </w:tabs>
            <w:rPr/>
          </w:pPr>
          <w:hyperlink w:anchor="__RefHeading___Toc7767230_2870459653">
            <w:r>
              <w:rPr>
                <w:webHidden/>
                <w:rStyle w:val="IndexLink"/>
              </w:rPr>
              <w:t>2-1-4</w:t>
            </w:r>
            <w:r>
              <w:rPr>
                <w:rStyle w:val="IndexLink"/>
                <w:rtl w:val="true"/>
              </w:rPr>
              <w:t xml:space="preserve">- </w:t>
            </w:r>
            <w:r>
              <w:rPr>
                <w:rStyle w:val="IndexLink"/>
                <w:rtl w:val="true"/>
              </w:rPr>
              <w:t xml:space="preserve">جامعه </w:t>
            </w:r>
            <w:r>
              <w:rPr>
                <w:rStyle w:val="IndexLink"/>
                <w:rtl w:val="true"/>
              </w:rPr>
              <w:t xml:space="preserve">- </w:t>
            </w:r>
            <w:r>
              <w:rPr>
                <w:rStyle w:val="IndexLink"/>
                <w:rtl w:val="true"/>
              </w:rPr>
              <w:t>تعامل و یادگیری با هم</w:t>
            </w:r>
            <w:r>
              <w:rPr>
                <w:rStyle w:val="IndexLink"/>
                <w:rtl w:val="true"/>
              </w:rPr>
              <w:tab/>
            </w:r>
            <w:r>
              <w:rPr>
                <w:rStyle w:val="IndexLink"/>
              </w:rPr>
              <w:t>574</w:t>
            </w:r>
          </w:hyperlink>
        </w:p>
        <w:p>
          <w:pPr>
            <w:pStyle w:val="Contents5"/>
            <w:tabs>
              <w:tab w:val="clear" w:pos="7892"/>
              <w:tab w:val="right" w:pos="9026" w:leader="dot"/>
            </w:tabs>
            <w:rPr/>
          </w:pPr>
          <w:hyperlink w:anchor="__RefHeading___Toc7767232_2870459653">
            <w:r>
              <w:rPr>
                <w:webHidden/>
                <w:rStyle w:val="IndexLink"/>
              </w:rPr>
              <w:t>3-1-4</w:t>
            </w:r>
            <w:r>
              <w:rPr>
                <w:rStyle w:val="IndexLink"/>
                <w:rtl w:val="true"/>
              </w:rPr>
              <w:t xml:space="preserve">- </w:t>
            </w:r>
            <w:r>
              <w:rPr>
                <w:rStyle w:val="IndexLink"/>
                <w:rtl w:val="true"/>
              </w:rPr>
              <w:t>عملکرد مشارکتی برای فهماندن یادگیری غیر رسمی</w:t>
            </w:r>
            <w:r>
              <w:rPr>
                <w:rStyle w:val="IndexLink"/>
                <w:rtl w:val="true"/>
              </w:rPr>
              <w:tab/>
            </w:r>
            <w:r>
              <w:rPr>
                <w:rStyle w:val="IndexLink"/>
              </w:rPr>
              <w:t>576</w:t>
            </w:r>
          </w:hyperlink>
        </w:p>
        <w:p>
          <w:pPr>
            <w:pStyle w:val="Contents4"/>
            <w:tabs>
              <w:tab w:val="clear" w:pos="8176"/>
              <w:tab w:val="right" w:pos="9026" w:leader="dot"/>
            </w:tabs>
            <w:rPr/>
          </w:pPr>
          <w:hyperlink w:anchor="__RefHeading___Toc7767234_2870459653">
            <w:r>
              <w:rPr>
                <w:webHidden/>
                <w:rStyle w:val="IndexLink"/>
              </w:rPr>
              <w:t>2-4</w:t>
            </w:r>
            <w:r>
              <w:rPr>
                <w:rStyle w:val="IndexLink"/>
                <w:rtl w:val="true"/>
              </w:rPr>
              <w:t xml:space="preserve">- </w:t>
            </w:r>
            <w:r>
              <w:rPr>
                <w:rStyle w:val="IndexLink"/>
                <w:rtl w:val="true"/>
              </w:rPr>
              <w:t>کشف این که چگونه کتابداران از کیمایا برای ارتباط با هم استفاده می کنند</w:t>
            </w:r>
            <w:r>
              <w:rPr>
                <w:rStyle w:val="IndexLink"/>
                <w:rtl w:val="true"/>
              </w:rPr>
              <w:t>.</w:t>
              <w:tab/>
            </w:r>
            <w:r>
              <w:rPr>
                <w:rStyle w:val="IndexLink"/>
              </w:rPr>
              <w:t>577</w:t>
            </w:r>
          </w:hyperlink>
        </w:p>
        <w:p>
          <w:pPr>
            <w:pStyle w:val="Contents3"/>
            <w:tabs>
              <w:tab w:val="clear" w:pos="8459"/>
              <w:tab w:val="right" w:pos="9026" w:leader="dot"/>
            </w:tabs>
            <w:rPr/>
          </w:pPr>
          <w:hyperlink w:anchor="__RefHeading___Toc7767236_2870459653">
            <w:r>
              <w:rPr>
                <w:webHidden/>
                <w:rStyle w:val="IndexLink"/>
                <w:rtl w:val="true"/>
              </w:rPr>
              <w:t>نتیجه گیری</w:t>
            </w:r>
            <w:r>
              <w:rPr>
                <w:rStyle w:val="IndexLink"/>
                <w:rtl w:val="true"/>
              </w:rPr>
              <w:tab/>
            </w:r>
            <w:r>
              <w:rPr>
                <w:rStyle w:val="IndexLink"/>
              </w:rPr>
              <w:t>578</w:t>
            </w:r>
          </w:hyperlink>
        </w:p>
        <w:p>
          <w:pPr>
            <w:pStyle w:val="Contents3"/>
            <w:tabs>
              <w:tab w:val="clear" w:pos="8459"/>
              <w:tab w:val="right" w:pos="9026" w:leader="dot"/>
            </w:tabs>
            <w:rPr/>
          </w:pPr>
          <w:hyperlink w:anchor="__RefHeading___Toc7767238_2870459653">
            <w:r>
              <w:rPr>
                <w:webHidden/>
                <w:rStyle w:val="IndexLink"/>
                <w:rtl w:val="true"/>
              </w:rPr>
              <w:t>منابع</w:t>
            </w:r>
            <w:r>
              <w:rPr>
                <w:rStyle w:val="IndexLink"/>
                <w:rtl w:val="true"/>
              </w:rPr>
              <w:tab/>
            </w:r>
            <w:r>
              <w:rPr>
                <w:rStyle w:val="IndexLink"/>
              </w:rPr>
              <w:t>579</w:t>
            </w:r>
          </w:hyperlink>
        </w:p>
        <w:p>
          <w:pPr>
            <w:pStyle w:val="Contents2"/>
            <w:tabs>
              <w:tab w:val="clear" w:pos="8743"/>
              <w:tab w:val="right" w:pos="9026" w:leader="dot"/>
            </w:tabs>
            <w:rPr/>
          </w:pPr>
          <w:hyperlink w:anchor="__RefHeading___Toc7767240_2870459653">
            <w:r>
              <w:rPr>
                <w:webHidden/>
                <w:rStyle w:val="IndexLink"/>
                <w:rtl w:val="true"/>
              </w:rPr>
              <w:t>چکیده</w:t>
            </w:r>
            <w:r>
              <w:rPr>
                <w:rStyle w:val="IndexLink"/>
                <w:rtl w:val="true"/>
              </w:rPr>
              <w:tab/>
            </w:r>
            <w:r>
              <w:rPr>
                <w:rStyle w:val="IndexLink"/>
              </w:rPr>
              <w:t>583</w:t>
            </w:r>
          </w:hyperlink>
        </w:p>
        <w:p>
          <w:pPr>
            <w:pStyle w:val="Contents2"/>
            <w:tabs>
              <w:tab w:val="clear" w:pos="8743"/>
              <w:tab w:val="right" w:pos="9026" w:leader="dot"/>
            </w:tabs>
            <w:rPr/>
          </w:pPr>
          <w:hyperlink w:anchor="__RefHeading___Toc7767242_2870459653">
            <w:r>
              <w:rPr>
                <w:webHidden/>
                <w:rStyle w:val="IndexLink"/>
                <w:rtl w:val="true"/>
              </w:rPr>
              <w:t>تحولی زنده و پویا</w:t>
            </w:r>
            <w:r>
              <w:rPr>
                <w:rStyle w:val="IndexLink"/>
                <w:rtl w:val="true"/>
              </w:rPr>
              <w:t xml:space="preserve">: </w:t>
            </w:r>
            <w:r>
              <w:rPr>
                <w:rStyle w:val="IndexLink"/>
                <w:rtl w:val="true"/>
              </w:rPr>
              <w:t xml:space="preserve">چگونه کتابخانه ها می توانند </w:t>
            </w:r>
            <w:r>
              <w:rPr>
                <w:rStyle w:val="IndexLink"/>
                <w:rtl w:val="true"/>
              </w:rPr>
              <w:t>"</w:t>
            </w:r>
            <w:r>
              <w:rPr>
                <w:rStyle w:val="IndexLink"/>
                <w:rtl w:val="true"/>
              </w:rPr>
              <w:t>آرشیوهای پویا</w:t>
            </w:r>
            <w:r>
              <w:rPr>
                <w:rStyle w:val="IndexLink"/>
                <w:rtl w:val="true"/>
              </w:rPr>
              <w:t xml:space="preserve">" </w:t>
            </w:r>
            <w:r>
              <w:rPr>
                <w:rStyle w:val="IndexLink"/>
                <w:rtl w:val="true"/>
              </w:rPr>
              <w:t>را به منظور پشتیبانی، بکارگیری و مستندسازی جنبش های اجتماعی بکار گیرند</w:t>
            </w:r>
            <w:r>
              <w:rPr>
                <w:rStyle w:val="IndexLink"/>
                <w:rtl w:val="true"/>
              </w:rPr>
              <w:tab/>
            </w:r>
            <w:r>
              <w:rPr>
                <w:rStyle w:val="IndexLink"/>
              </w:rPr>
              <w:t>584</w:t>
            </w:r>
          </w:hyperlink>
        </w:p>
        <w:p>
          <w:pPr>
            <w:pStyle w:val="Contents3"/>
            <w:tabs>
              <w:tab w:val="clear" w:pos="8459"/>
              <w:tab w:val="right" w:pos="9026" w:leader="dot"/>
            </w:tabs>
            <w:rPr/>
          </w:pPr>
          <w:hyperlink w:anchor="__RefHeading___Toc7767244_2870459653">
            <w:r>
              <w:rPr>
                <w:webHidden/>
                <w:rStyle w:val="IndexLink"/>
                <w:rtl w:val="true"/>
              </w:rPr>
              <w:t>اشاره</w:t>
            </w:r>
            <w:r>
              <w:rPr>
                <w:rStyle w:val="IndexLink"/>
                <w:rtl w:val="true"/>
              </w:rPr>
              <w:tab/>
            </w:r>
            <w:r>
              <w:rPr>
                <w:rStyle w:val="IndexLink"/>
              </w:rPr>
              <w:t>584</w:t>
            </w:r>
          </w:hyperlink>
        </w:p>
        <w:p>
          <w:pPr>
            <w:pStyle w:val="Contents3"/>
            <w:tabs>
              <w:tab w:val="clear" w:pos="8459"/>
              <w:tab w:val="right" w:pos="9026" w:leader="dot"/>
            </w:tabs>
            <w:rPr/>
          </w:pPr>
          <w:hyperlink w:anchor="__RefHeading___Toc7767246_2870459653">
            <w:r>
              <w:rPr>
                <w:webHidden/>
                <w:rStyle w:val="IndexLink"/>
                <w:rtl w:val="true"/>
              </w:rPr>
              <w:t>مقدمه</w:t>
            </w:r>
            <w:r>
              <w:rPr>
                <w:rStyle w:val="IndexLink"/>
                <w:rtl w:val="true"/>
              </w:rPr>
              <w:tab/>
            </w:r>
            <w:r>
              <w:rPr>
                <w:rStyle w:val="IndexLink"/>
              </w:rPr>
              <w:t>584</w:t>
            </w:r>
          </w:hyperlink>
        </w:p>
        <w:p>
          <w:pPr>
            <w:pStyle w:val="Contents3"/>
            <w:tabs>
              <w:tab w:val="clear" w:pos="8459"/>
              <w:tab w:val="right" w:pos="9026" w:leader="dot"/>
            </w:tabs>
            <w:rPr/>
          </w:pPr>
          <w:hyperlink w:anchor="__RefHeading___Toc7767248_2870459653">
            <w:r>
              <w:rPr>
                <w:webHidden/>
                <w:rStyle w:val="IndexLink"/>
                <w:rtl w:val="true"/>
              </w:rPr>
              <w:t>چرا باید کتابخانه ها در این زمینه درگیر شوند؟</w:t>
            </w:r>
            <w:r>
              <w:rPr>
                <w:rStyle w:val="IndexLink"/>
                <w:rtl w:val="true"/>
              </w:rPr>
              <w:tab/>
            </w:r>
            <w:r>
              <w:rPr>
                <w:rStyle w:val="IndexLink"/>
              </w:rPr>
              <w:t>585</w:t>
            </w:r>
          </w:hyperlink>
        </w:p>
        <w:p>
          <w:pPr>
            <w:pStyle w:val="Contents3"/>
            <w:tabs>
              <w:tab w:val="clear" w:pos="8459"/>
              <w:tab w:val="right" w:pos="9026" w:leader="dot"/>
            </w:tabs>
            <w:rPr/>
          </w:pPr>
          <w:hyperlink w:anchor="__RefHeading___Toc7767250_2870459653">
            <w:r>
              <w:rPr>
                <w:webHidden/>
                <w:rStyle w:val="IndexLink"/>
                <w:rtl w:val="true"/>
              </w:rPr>
              <w:t>"</w:t>
            </w:r>
            <w:r>
              <w:rPr>
                <w:rStyle w:val="IndexLink"/>
                <w:rtl w:val="true"/>
              </w:rPr>
              <w:t>آرشیو پویا</w:t>
            </w:r>
            <w:r>
              <w:rPr>
                <w:rStyle w:val="IndexLink"/>
                <w:rtl w:val="true"/>
              </w:rPr>
              <w:t>"</w:t>
              <w:tab/>
            </w:r>
            <w:r>
              <w:rPr>
                <w:rStyle w:val="IndexLink"/>
              </w:rPr>
              <w:t>586</w:t>
            </w:r>
          </w:hyperlink>
        </w:p>
        <w:p>
          <w:pPr>
            <w:pStyle w:val="Contents3"/>
            <w:tabs>
              <w:tab w:val="clear" w:pos="8459"/>
              <w:tab w:val="right" w:pos="9026" w:leader="dot"/>
            </w:tabs>
            <w:rPr/>
          </w:pPr>
          <w:hyperlink w:anchor="__RefHeading___Toc7767252_2870459653">
            <w:r>
              <w:rPr>
                <w:webHidden/>
                <w:rStyle w:val="IndexLink"/>
                <w:rtl w:val="true"/>
              </w:rPr>
              <w:t>عناصر بصری</w:t>
            </w:r>
            <w:r>
              <w:rPr>
                <w:rStyle w:val="IndexLink"/>
                <w:rtl w:val="true"/>
              </w:rPr>
              <w:tab/>
            </w:r>
            <w:r>
              <w:rPr>
                <w:rStyle w:val="IndexLink"/>
              </w:rPr>
              <w:t>591</w:t>
            </w:r>
          </w:hyperlink>
        </w:p>
        <w:p>
          <w:pPr>
            <w:pStyle w:val="Contents3"/>
            <w:tabs>
              <w:tab w:val="clear" w:pos="8459"/>
              <w:tab w:val="right" w:pos="9026" w:leader="dot"/>
            </w:tabs>
            <w:rPr/>
          </w:pPr>
          <w:hyperlink w:anchor="__RefHeading___Toc7767254_2870459653">
            <w:r>
              <w:rPr>
                <w:webHidden/>
                <w:rStyle w:val="IndexLink"/>
                <w:rtl w:val="true"/>
              </w:rPr>
              <w:t>رسانه های اجتماعی</w:t>
            </w:r>
            <w:r>
              <w:rPr>
                <w:rStyle w:val="IndexLink"/>
                <w:rtl w:val="true"/>
              </w:rPr>
              <w:tab/>
            </w:r>
            <w:r>
              <w:rPr>
                <w:rStyle w:val="IndexLink"/>
              </w:rPr>
              <w:t>593</w:t>
            </w:r>
          </w:hyperlink>
        </w:p>
        <w:p>
          <w:pPr>
            <w:pStyle w:val="Contents3"/>
            <w:tabs>
              <w:tab w:val="clear" w:pos="8459"/>
              <w:tab w:val="right" w:pos="9026" w:leader="dot"/>
            </w:tabs>
            <w:rPr/>
          </w:pPr>
          <w:hyperlink w:anchor="__RefHeading___Toc7767256_2870459653">
            <w:r>
              <w:rPr>
                <w:webHidden/>
                <w:rStyle w:val="IndexLink"/>
                <w:rtl w:val="true"/>
              </w:rPr>
              <w:t>بحث</w:t>
            </w:r>
            <w:r>
              <w:rPr>
                <w:rStyle w:val="IndexLink"/>
                <w:rtl w:val="true"/>
              </w:rPr>
              <w:tab/>
            </w:r>
            <w:r>
              <w:rPr>
                <w:rStyle w:val="IndexLink"/>
              </w:rPr>
              <w:t>596</w:t>
            </w:r>
          </w:hyperlink>
        </w:p>
        <w:p>
          <w:pPr>
            <w:pStyle w:val="Contents3"/>
            <w:tabs>
              <w:tab w:val="clear" w:pos="8459"/>
              <w:tab w:val="right" w:pos="9026" w:leader="dot"/>
            </w:tabs>
            <w:rPr/>
          </w:pPr>
          <w:hyperlink w:anchor="__RefHeading___Toc7767258_2870459653">
            <w:r>
              <w:rPr>
                <w:webHidden/>
                <w:rStyle w:val="IndexLink"/>
                <w:rtl w:val="true"/>
              </w:rPr>
              <w:t>منابع</w:t>
            </w:r>
            <w:r>
              <w:rPr>
                <w:rStyle w:val="IndexLink"/>
                <w:rtl w:val="true"/>
              </w:rPr>
              <w:tab/>
            </w:r>
            <w:r>
              <w:rPr>
                <w:rStyle w:val="IndexLink"/>
              </w:rPr>
              <w:t>596</w:t>
            </w:r>
          </w:hyperlink>
        </w:p>
        <w:p>
          <w:pPr>
            <w:pStyle w:val="Contents2"/>
            <w:tabs>
              <w:tab w:val="clear" w:pos="8743"/>
              <w:tab w:val="right" w:pos="9026" w:leader="dot"/>
            </w:tabs>
            <w:rPr/>
          </w:pPr>
          <w:hyperlink w:anchor="__RefHeading___Toc7767260_2870459653">
            <w:r>
              <w:rPr>
                <w:webHidden/>
                <w:rStyle w:val="IndexLink"/>
                <w:rtl w:val="true"/>
              </w:rPr>
              <w:t>چکیده</w:t>
            </w:r>
            <w:r>
              <w:rPr>
                <w:rStyle w:val="IndexLink"/>
                <w:rtl w:val="true"/>
              </w:rPr>
              <w:tab/>
            </w:r>
            <w:r>
              <w:rPr>
                <w:rStyle w:val="IndexLink"/>
              </w:rPr>
              <w:t>599</w:t>
            </w:r>
          </w:hyperlink>
        </w:p>
        <w:p>
          <w:pPr>
            <w:pStyle w:val="Contents2"/>
            <w:tabs>
              <w:tab w:val="clear" w:pos="8743"/>
              <w:tab w:val="right" w:pos="9026" w:leader="dot"/>
            </w:tabs>
            <w:rPr/>
          </w:pPr>
          <w:hyperlink w:anchor="__RefHeading___Toc7767262_2870459653">
            <w:r>
              <w:rPr>
                <w:webHidden/>
                <w:rStyle w:val="IndexLink"/>
                <w:rtl w:val="true"/>
              </w:rPr>
              <w:t>پیوند جنبه های نظری و عملی در آموزش علوم کتابداری و اطلاع رسانی در آمریکای لاتین و کارائیب</w:t>
            </w:r>
            <w:r>
              <w:rPr>
                <w:rStyle w:val="IndexLink"/>
                <w:rtl w:val="true"/>
              </w:rPr>
              <w:tab/>
            </w:r>
            <w:r>
              <w:rPr>
                <w:rStyle w:val="IndexLink"/>
              </w:rPr>
              <w:t>600</w:t>
            </w:r>
          </w:hyperlink>
        </w:p>
        <w:p>
          <w:pPr>
            <w:pStyle w:val="Contents3"/>
            <w:tabs>
              <w:tab w:val="clear" w:pos="8459"/>
              <w:tab w:val="right" w:pos="9026" w:leader="dot"/>
            </w:tabs>
            <w:rPr/>
          </w:pPr>
          <w:hyperlink w:anchor="__RefHeading___Toc7767264_2870459653">
            <w:r>
              <w:rPr>
                <w:webHidden/>
                <w:rStyle w:val="IndexLink"/>
                <w:rtl w:val="true"/>
              </w:rPr>
              <w:t>اشاره</w:t>
            </w:r>
            <w:r>
              <w:rPr>
                <w:rStyle w:val="IndexLink"/>
                <w:rtl w:val="true"/>
              </w:rPr>
              <w:tab/>
            </w:r>
            <w:r>
              <w:rPr>
                <w:rStyle w:val="IndexLink"/>
              </w:rPr>
              <w:t>600</w:t>
            </w:r>
          </w:hyperlink>
        </w:p>
        <w:p>
          <w:pPr>
            <w:pStyle w:val="Contents3"/>
            <w:tabs>
              <w:tab w:val="clear" w:pos="8459"/>
              <w:tab w:val="right" w:pos="9026" w:leader="dot"/>
            </w:tabs>
            <w:rPr/>
          </w:pPr>
          <w:hyperlink w:anchor="__RefHeading___Toc7767266_2870459653">
            <w:r>
              <w:rPr>
                <w:webHidden/>
                <w:rStyle w:val="IndexLink"/>
                <w:rtl w:val="true"/>
              </w:rPr>
              <w:t>آموزش علوم کتابداری و اطلاع رسانی بر اساس جنبه های عملی</w:t>
            </w:r>
            <w:r>
              <w:rPr>
                <w:rStyle w:val="IndexLink"/>
                <w:rtl w:val="true"/>
              </w:rPr>
              <w:tab/>
            </w:r>
            <w:r>
              <w:rPr>
                <w:rStyle w:val="IndexLink"/>
              </w:rPr>
              <w:t>600</w:t>
            </w:r>
          </w:hyperlink>
        </w:p>
        <w:p>
          <w:pPr>
            <w:pStyle w:val="Contents3"/>
            <w:tabs>
              <w:tab w:val="clear" w:pos="8459"/>
              <w:tab w:val="right" w:pos="9026" w:leader="dot"/>
            </w:tabs>
            <w:rPr/>
          </w:pPr>
          <w:hyperlink w:anchor="__RefHeading___Toc7767268_2870459653">
            <w:r>
              <w:rPr>
                <w:webHidden/>
                <w:rStyle w:val="IndexLink"/>
                <w:rtl w:val="true"/>
              </w:rPr>
              <w:t>آموزش علوم کتابداری و اطلاع رسانی مبتنی بر نظریه و عمل</w:t>
            </w:r>
            <w:r>
              <w:rPr>
                <w:rStyle w:val="IndexLink"/>
                <w:rtl w:val="true"/>
              </w:rPr>
              <w:tab/>
            </w:r>
            <w:r>
              <w:rPr>
                <w:rStyle w:val="IndexLink"/>
              </w:rPr>
              <w:t>601</w:t>
            </w:r>
          </w:hyperlink>
        </w:p>
        <w:p>
          <w:pPr>
            <w:pStyle w:val="Contents3"/>
            <w:tabs>
              <w:tab w:val="clear" w:pos="8459"/>
              <w:tab w:val="right" w:pos="9026" w:leader="dot"/>
            </w:tabs>
            <w:rPr/>
          </w:pPr>
          <w:hyperlink w:anchor="__RefHeading___Toc7767270_2870459653">
            <w:r>
              <w:rPr>
                <w:webHidden/>
                <w:rStyle w:val="IndexLink"/>
                <w:rtl w:val="true"/>
              </w:rPr>
              <w:t>رویه های آموزش علوم کتابداری و اطلاع رسانی در آمریکای لاتین</w:t>
            </w:r>
            <w:r>
              <w:rPr>
                <w:rStyle w:val="IndexLink"/>
                <w:rtl w:val="true"/>
              </w:rPr>
              <w:tab/>
            </w:r>
            <w:r>
              <w:rPr>
                <w:rStyle w:val="IndexLink"/>
              </w:rPr>
              <w:t>605</w:t>
            </w:r>
          </w:hyperlink>
        </w:p>
        <w:p>
          <w:pPr>
            <w:pStyle w:val="Contents3"/>
            <w:tabs>
              <w:tab w:val="clear" w:pos="8459"/>
              <w:tab w:val="right" w:pos="9026" w:leader="dot"/>
            </w:tabs>
            <w:rPr/>
          </w:pPr>
          <w:hyperlink w:anchor="__RefHeading___Toc7767272_2870459653">
            <w:r>
              <w:rPr>
                <w:webHidden/>
                <w:rStyle w:val="IndexLink"/>
                <w:rtl w:val="true"/>
              </w:rPr>
              <w:t>نتیجه گیری</w:t>
            </w:r>
            <w:r>
              <w:rPr>
                <w:rStyle w:val="IndexLink"/>
                <w:rtl w:val="true"/>
              </w:rPr>
              <w:tab/>
            </w:r>
            <w:r>
              <w:rPr>
                <w:rStyle w:val="IndexLink"/>
              </w:rPr>
              <w:t>609</w:t>
            </w:r>
          </w:hyperlink>
        </w:p>
        <w:p>
          <w:pPr>
            <w:pStyle w:val="Contents3"/>
            <w:tabs>
              <w:tab w:val="clear" w:pos="8459"/>
              <w:tab w:val="right" w:pos="9026" w:leader="dot"/>
            </w:tabs>
            <w:rPr/>
          </w:pPr>
          <w:hyperlink w:anchor="__RefHeading___Toc7767274_2870459653">
            <w:r>
              <w:rPr>
                <w:webHidden/>
                <w:rStyle w:val="IndexLink"/>
                <w:rtl w:val="true"/>
              </w:rPr>
              <w:t>منابع</w:t>
            </w:r>
            <w:r>
              <w:rPr>
                <w:rStyle w:val="IndexLink"/>
                <w:rtl w:val="true"/>
              </w:rPr>
              <w:tab/>
            </w:r>
            <w:r>
              <w:rPr>
                <w:rStyle w:val="IndexLink"/>
              </w:rPr>
              <w:t>610</w:t>
            </w:r>
          </w:hyperlink>
        </w:p>
        <w:p>
          <w:pPr>
            <w:pStyle w:val="Contents2"/>
            <w:tabs>
              <w:tab w:val="clear" w:pos="8743"/>
              <w:tab w:val="right" w:pos="9026" w:leader="dot"/>
            </w:tabs>
            <w:rPr/>
          </w:pPr>
          <w:hyperlink w:anchor="__RefHeading___Toc7767276_2870459653">
            <w:r>
              <w:rPr>
                <w:webHidden/>
                <w:rStyle w:val="IndexLink"/>
                <w:rtl w:val="true"/>
              </w:rPr>
              <w:t>چکیده</w:t>
            </w:r>
            <w:r>
              <w:rPr>
                <w:rStyle w:val="IndexLink"/>
                <w:rtl w:val="true"/>
              </w:rPr>
              <w:tab/>
            </w:r>
            <w:r>
              <w:rPr>
                <w:rStyle w:val="IndexLink"/>
              </w:rPr>
              <w:t>613</w:t>
            </w:r>
          </w:hyperlink>
        </w:p>
        <w:p>
          <w:pPr>
            <w:pStyle w:val="Contents2"/>
            <w:tabs>
              <w:tab w:val="clear" w:pos="8743"/>
              <w:tab w:val="right" w:pos="9026" w:leader="dot"/>
            </w:tabs>
            <w:rPr/>
          </w:pPr>
          <w:hyperlink w:anchor="__RefHeading___Toc7767278_2870459653">
            <w:r>
              <w:rPr>
                <w:webHidden/>
                <w:rStyle w:val="IndexLink"/>
                <w:rtl w:val="true"/>
              </w:rPr>
              <w:t>کتابخانه های دولتی یونان</w:t>
            </w:r>
            <w:r>
              <w:rPr>
                <w:rStyle w:val="IndexLink"/>
                <w:rtl w:val="true"/>
              </w:rPr>
              <w:t xml:space="preserve">: </w:t>
            </w:r>
            <w:r>
              <w:rPr>
                <w:rStyle w:val="IndexLink"/>
                <w:rtl w:val="true"/>
              </w:rPr>
              <w:t>وضعیت فعلی و ملاحظات آینده</w:t>
            </w:r>
            <w:r>
              <w:rPr>
                <w:rStyle w:val="IndexLink"/>
                <w:rtl w:val="true"/>
              </w:rPr>
              <w:tab/>
            </w:r>
            <w:r>
              <w:rPr>
                <w:rStyle w:val="IndexLink"/>
              </w:rPr>
              <w:t>614</w:t>
            </w:r>
          </w:hyperlink>
        </w:p>
        <w:p>
          <w:pPr>
            <w:pStyle w:val="Contents3"/>
            <w:tabs>
              <w:tab w:val="clear" w:pos="8459"/>
              <w:tab w:val="right" w:pos="9026" w:leader="dot"/>
            </w:tabs>
            <w:rPr/>
          </w:pPr>
          <w:hyperlink w:anchor="__RefHeading___Toc7767280_2870459653">
            <w:r>
              <w:rPr>
                <w:webHidden/>
                <w:rStyle w:val="IndexLink"/>
                <w:rtl w:val="true"/>
              </w:rPr>
              <w:t>اشاره</w:t>
            </w:r>
            <w:r>
              <w:rPr>
                <w:rStyle w:val="IndexLink"/>
                <w:rtl w:val="true"/>
              </w:rPr>
              <w:tab/>
            </w:r>
            <w:r>
              <w:rPr>
                <w:rStyle w:val="IndexLink"/>
              </w:rPr>
              <w:t>614</w:t>
            </w:r>
          </w:hyperlink>
        </w:p>
        <w:p>
          <w:pPr>
            <w:pStyle w:val="Contents3"/>
            <w:tabs>
              <w:tab w:val="clear" w:pos="8459"/>
              <w:tab w:val="right" w:pos="9026" w:leader="dot"/>
            </w:tabs>
            <w:rPr/>
          </w:pPr>
          <w:hyperlink w:anchor="__RefHeading___Toc7767282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614</w:t>
            </w:r>
          </w:hyperlink>
        </w:p>
        <w:p>
          <w:pPr>
            <w:pStyle w:val="Contents4"/>
            <w:tabs>
              <w:tab w:val="clear" w:pos="8176"/>
              <w:tab w:val="right" w:pos="9026" w:leader="dot"/>
            </w:tabs>
            <w:rPr/>
          </w:pPr>
          <w:hyperlink w:anchor="__RefHeading___Toc7767284_2870459653">
            <w:r>
              <w:rPr>
                <w:webHidden/>
                <w:rStyle w:val="IndexLink"/>
                <w:rtl w:val="true"/>
              </w:rPr>
              <w:t>اشاره</w:t>
            </w:r>
            <w:r>
              <w:rPr>
                <w:rStyle w:val="IndexLink"/>
                <w:rtl w:val="true"/>
              </w:rPr>
              <w:tab/>
            </w:r>
            <w:r>
              <w:rPr>
                <w:rStyle w:val="IndexLink"/>
              </w:rPr>
              <w:t>614</w:t>
            </w:r>
          </w:hyperlink>
        </w:p>
        <w:p>
          <w:pPr>
            <w:pStyle w:val="Contents4"/>
            <w:tabs>
              <w:tab w:val="clear" w:pos="8176"/>
              <w:tab w:val="right" w:pos="9026" w:leader="dot"/>
            </w:tabs>
            <w:rPr/>
          </w:pPr>
          <w:hyperlink w:anchor="__RefHeading___Toc7767286_2870459653">
            <w:r>
              <w:rPr>
                <w:webHidden/>
                <w:rStyle w:val="IndexLink"/>
              </w:rPr>
              <w:t>1-1</w:t>
            </w:r>
            <w:r>
              <w:rPr>
                <w:rStyle w:val="IndexLink"/>
                <w:rtl w:val="true"/>
              </w:rPr>
              <w:t xml:space="preserve">- </w:t>
            </w:r>
            <w:r>
              <w:rPr>
                <w:rStyle w:val="IndexLink"/>
                <w:rtl w:val="true"/>
              </w:rPr>
              <w:t>اهداف</w:t>
            </w:r>
            <w:r>
              <w:rPr>
                <w:rStyle w:val="IndexLink"/>
                <w:rtl w:val="true"/>
              </w:rPr>
              <w:tab/>
            </w:r>
            <w:r>
              <w:rPr>
                <w:rStyle w:val="IndexLink"/>
              </w:rPr>
              <w:t>615</w:t>
            </w:r>
          </w:hyperlink>
        </w:p>
        <w:p>
          <w:pPr>
            <w:pStyle w:val="Contents4"/>
            <w:tabs>
              <w:tab w:val="clear" w:pos="8176"/>
              <w:tab w:val="right" w:pos="9026" w:leader="dot"/>
            </w:tabs>
            <w:rPr/>
          </w:pPr>
          <w:hyperlink w:anchor="__RefHeading___Toc7767288_2870459653">
            <w:r>
              <w:rPr>
                <w:webHidden/>
                <w:rStyle w:val="IndexLink"/>
              </w:rPr>
              <w:t>2-1</w:t>
            </w:r>
            <w:r>
              <w:rPr>
                <w:rStyle w:val="IndexLink"/>
                <w:rtl w:val="true"/>
              </w:rPr>
              <w:t xml:space="preserve">- </w:t>
            </w:r>
            <w:r>
              <w:rPr>
                <w:rStyle w:val="IndexLink"/>
                <w:rtl w:val="true"/>
              </w:rPr>
              <w:t>تعریف و وضعیت</w:t>
            </w:r>
            <w:r>
              <w:rPr>
                <w:rStyle w:val="IndexLink"/>
                <w:rtl w:val="true"/>
              </w:rPr>
              <w:tab/>
            </w:r>
            <w:r>
              <w:rPr>
                <w:rStyle w:val="IndexLink"/>
              </w:rPr>
              <w:t>616</w:t>
            </w:r>
          </w:hyperlink>
        </w:p>
        <w:p>
          <w:pPr>
            <w:pStyle w:val="Contents5"/>
            <w:tabs>
              <w:tab w:val="clear" w:pos="7892"/>
              <w:tab w:val="right" w:pos="9026" w:leader="dot"/>
            </w:tabs>
            <w:rPr/>
          </w:pPr>
          <w:hyperlink w:anchor="__RefHeading___Toc7767290_2870459653">
            <w:r>
              <w:rPr>
                <w:webHidden/>
                <w:rStyle w:val="IndexLink"/>
                <w:rtl w:val="true"/>
              </w:rPr>
              <w:t>فهرستگان</w:t>
            </w:r>
            <w:r>
              <w:rPr>
                <w:rStyle w:val="IndexLink"/>
                <w:rtl w:val="true"/>
              </w:rPr>
              <w:tab/>
            </w:r>
            <w:r>
              <w:rPr>
                <w:rStyle w:val="IndexLink"/>
              </w:rPr>
              <w:t>616</w:t>
            </w:r>
          </w:hyperlink>
        </w:p>
        <w:p>
          <w:pPr>
            <w:pStyle w:val="Contents5"/>
            <w:tabs>
              <w:tab w:val="clear" w:pos="7892"/>
              <w:tab w:val="right" w:pos="9026" w:leader="dot"/>
            </w:tabs>
            <w:rPr/>
          </w:pPr>
          <w:hyperlink w:anchor="__RefHeading___Toc7767292_2870459653">
            <w:r>
              <w:rPr>
                <w:webHidden/>
                <w:rStyle w:val="IndexLink"/>
                <w:rtl w:val="true"/>
              </w:rPr>
              <w:t>توسعه مجموعه مشترک</w:t>
            </w:r>
            <w:r>
              <w:rPr>
                <w:rStyle w:val="IndexLink"/>
                <w:rtl w:val="true"/>
              </w:rPr>
              <w:tab/>
            </w:r>
            <w:r>
              <w:rPr>
                <w:rStyle w:val="IndexLink"/>
              </w:rPr>
              <w:t>617</w:t>
            </w:r>
          </w:hyperlink>
        </w:p>
        <w:p>
          <w:pPr>
            <w:pStyle w:val="Contents4"/>
            <w:tabs>
              <w:tab w:val="clear" w:pos="8176"/>
              <w:tab w:val="right" w:pos="9026" w:leader="dot"/>
            </w:tabs>
            <w:rPr/>
          </w:pPr>
          <w:hyperlink w:anchor="__RefHeading___Toc7767294_2870459653">
            <w:r>
              <w:rPr>
                <w:webHidden/>
                <w:rStyle w:val="IndexLink"/>
              </w:rPr>
              <w:t>3-1</w:t>
            </w:r>
            <w:r>
              <w:rPr>
                <w:rStyle w:val="IndexLink"/>
                <w:rtl w:val="true"/>
              </w:rPr>
              <w:t xml:space="preserve">- </w:t>
            </w:r>
            <w:r>
              <w:rPr>
                <w:rStyle w:val="IndexLink"/>
                <w:rtl w:val="true"/>
              </w:rPr>
              <w:t>دامنه و واقعیّات یونانی</w:t>
            </w:r>
            <w:r>
              <w:rPr>
                <w:rStyle w:val="IndexLink"/>
                <w:rtl w:val="true"/>
              </w:rPr>
              <w:tab/>
            </w:r>
            <w:r>
              <w:rPr>
                <w:rStyle w:val="IndexLink"/>
              </w:rPr>
              <w:t>617</w:t>
            </w:r>
          </w:hyperlink>
        </w:p>
        <w:p>
          <w:pPr>
            <w:pStyle w:val="Contents3"/>
            <w:tabs>
              <w:tab w:val="clear" w:pos="8459"/>
              <w:tab w:val="right" w:pos="9026" w:leader="dot"/>
            </w:tabs>
            <w:rPr/>
          </w:pPr>
          <w:hyperlink w:anchor="__RefHeading___Toc7767296_2870459653">
            <w:r>
              <w:rPr>
                <w:webHidden/>
                <w:rStyle w:val="IndexLink"/>
              </w:rPr>
              <w:t>2</w:t>
            </w:r>
            <w:r>
              <w:rPr>
                <w:rStyle w:val="IndexLink"/>
                <w:rtl w:val="true"/>
              </w:rPr>
              <w:t xml:space="preserve">. </w:t>
            </w:r>
            <w:r>
              <w:rPr>
                <w:rStyle w:val="IndexLink"/>
                <w:rtl w:val="true"/>
              </w:rPr>
              <w:t>روش شناسی</w:t>
            </w:r>
            <w:r>
              <w:rPr>
                <w:rStyle w:val="IndexLink"/>
                <w:rtl w:val="true"/>
              </w:rPr>
              <w:tab/>
            </w:r>
            <w:r>
              <w:rPr>
                <w:rStyle w:val="IndexLink"/>
              </w:rPr>
              <w:t>620</w:t>
            </w:r>
          </w:hyperlink>
        </w:p>
        <w:p>
          <w:pPr>
            <w:pStyle w:val="Contents3"/>
            <w:tabs>
              <w:tab w:val="clear" w:pos="8459"/>
              <w:tab w:val="right" w:pos="9026" w:leader="dot"/>
            </w:tabs>
            <w:rPr/>
          </w:pPr>
          <w:hyperlink w:anchor="__RefHeading___Toc7767298_2870459653">
            <w:r>
              <w:rPr>
                <w:webHidden/>
                <w:rStyle w:val="IndexLink"/>
              </w:rPr>
              <w:t>3</w:t>
            </w:r>
            <w:r>
              <w:rPr>
                <w:rStyle w:val="IndexLink"/>
                <w:rtl w:val="true"/>
              </w:rPr>
              <w:t xml:space="preserve">. </w:t>
            </w:r>
            <w:r>
              <w:rPr>
                <w:rStyle w:val="IndexLink"/>
                <w:rtl w:val="true"/>
              </w:rPr>
              <w:t>نتایج</w:t>
            </w:r>
            <w:r>
              <w:rPr>
                <w:rStyle w:val="IndexLink"/>
                <w:rtl w:val="true"/>
              </w:rPr>
              <w:tab/>
            </w:r>
            <w:r>
              <w:rPr>
                <w:rStyle w:val="IndexLink"/>
              </w:rPr>
              <w:t>621</w:t>
            </w:r>
          </w:hyperlink>
        </w:p>
        <w:p>
          <w:pPr>
            <w:pStyle w:val="Contents4"/>
            <w:tabs>
              <w:tab w:val="clear" w:pos="8176"/>
              <w:tab w:val="right" w:pos="9026" w:leader="dot"/>
            </w:tabs>
            <w:rPr/>
          </w:pPr>
          <w:hyperlink w:anchor="__RefHeading___Toc7767300_2870459653">
            <w:r>
              <w:rPr>
                <w:webHidden/>
                <w:rStyle w:val="IndexLink"/>
              </w:rPr>
              <w:t>1-3</w:t>
            </w:r>
            <w:r>
              <w:rPr>
                <w:rStyle w:val="IndexLink"/>
                <w:rtl w:val="true"/>
              </w:rPr>
              <w:t xml:space="preserve">- </w:t>
            </w:r>
            <w:r>
              <w:rPr>
                <w:rStyle w:val="IndexLink"/>
                <w:rtl w:val="true"/>
              </w:rPr>
              <w:t>مشخصات</w:t>
            </w:r>
            <w:r>
              <w:rPr>
                <w:rStyle w:val="IndexLink"/>
                <w:rtl w:val="true"/>
              </w:rPr>
              <w:tab/>
            </w:r>
            <w:r>
              <w:rPr>
                <w:rStyle w:val="IndexLink"/>
              </w:rPr>
              <w:t>621</w:t>
            </w:r>
          </w:hyperlink>
        </w:p>
        <w:p>
          <w:pPr>
            <w:pStyle w:val="Contents4"/>
            <w:tabs>
              <w:tab w:val="clear" w:pos="8176"/>
              <w:tab w:val="right" w:pos="9026" w:leader="dot"/>
            </w:tabs>
            <w:rPr/>
          </w:pPr>
          <w:hyperlink w:anchor="__RefHeading___Toc7767302_2870459653">
            <w:r>
              <w:rPr>
                <w:webHidden/>
                <w:rStyle w:val="IndexLink"/>
              </w:rPr>
              <w:t>2-3</w:t>
            </w:r>
            <w:r>
              <w:rPr>
                <w:rStyle w:val="IndexLink"/>
                <w:rtl w:val="true"/>
              </w:rPr>
              <w:t xml:space="preserve">- </w:t>
            </w:r>
            <w:r>
              <w:rPr>
                <w:rStyle w:val="IndexLink"/>
                <w:rtl w:val="true"/>
              </w:rPr>
              <w:t>مجموعه حوزه های موضوعی</w:t>
            </w:r>
            <w:r>
              <w:rPr>
                <w:rStyle w:val="IndexLink"/>
                <w:rtl w:val="true"/>
              </w:rPr>
              <w:tab/>
            </w:r>
            <w:r>
              <w:rPr>
                <w:rStyle w:val="IndexLink"/>
              </w:rPr>
              <w:t>621</w:t>
            </w:r>
          </w:hyperlink>
        </w:p>
        <w:p>
          <w:pPr>
            <w:pStyle w:val="Contents5"/>
            <w:tabs>
              <w:tab w:val="clear" w:pos="7892"/>
              <w:tab w:val="right" w:pos="9026" w:leader="dot"/>
            </w:tabs>
            <w:rPr/>
          </w:pPr>
          <w:hyperlink w:anchor="__RefHeading___Toc7767304_2870459653">
            <w:r>
              <w:rPr>
                <w:webHidden/>
                <w:rStyle w:val="IndexLink"/>
                <w:rtl w:val="true"/>
              </w:rPr>
              <w:t>اشاره</w:t>
            </w:r>
            <w:r>
              <w:rPr>
                <w:rStyle w:val="IndexLink"/>
                <w:rtl w:val="true"/>
              </w:rPr>
              <w:tab/>
            </w:r>
            <w:r>
              <w:rPr>
                <w:rStyle w:val="IndexLink"/>
              </w:rPr>
              <w:t>621</w:t>
            </w:r>
          </w:hyperlink>
        </w:p>
        <w:p>
          <w:pPr>
            <w:pStyle w:val="Contents5"/>
            <w:tabs>
              <w:tab w:val="clear" w:pos="7892"/>
              <w:tab w:val="right" w:pos="9026" w:leader="dot"/>
            </w:tabs>
            <w:rPr/>
          </w:pPr>
          <w:hyperlink w:anchor="__RefHeading___Toc7767306_2870459653">
            <w:r>
              <w:rPr>
                <w:webHidden/>
                <w:rStyle w:val="IndexLink"/>
                <w:rtl w:val="true"/>
              </w:rPr>
              <w:t>قالب مواد</w:t>
            </w:r>
            <w:r>
              <w:rPr>
                <w:rStyle w:val="IndexLink"/>
                <w:rtl w:val="true"/>
              </w:rPr>
              <w:tab/>
            </w:r>
            <w:r>
              <w:rPr>
                <w:rStyle w:val="IndexLink"/>
              </w:rPr>
              <w:t>622</w:t>
            </w:r>
          </w:hyperlink>
        </w:p>
        <w:p>
          <w:pPr>
            <w:pStyle w:val="Contents5"/>
            <w:tabs>
              <w:tab w:val="clear" w:pos="7892"/>
              <w:tab w:val="right" w:pos="9026" w:leader="dot"/>
            </w:tabs>
            <w:rPr/>
          </w:pPr>
          <w:hyperlink w:anchor="__RefHeading___Toc7767308_2870459653">
            <w:r>
              <w:rPr>
                <w:webHidden/>
                <w:rStyle w:val="IndexLink"/>
                <w:rtl w:val="true"/>
              </w:rPr>
              <w:t>زبان</w:t>
            </w:r>
            <w:r>
              <w:rPr>
                <w:rStyle w:val="IndexLink"/>
                <w:rtl w:val="true"/>
              </w:rPr>
              <w:tab/>
            </w:r>
            <w:r>
              <w:rPr>
                <w:rStyle w:val="IndexLink"/>
              </w:rPr>
              <w:t>623</w:t>
            </w:r>
          </w:hyperlink>
        </w:p>
        <w:p>
          <w:pPr>
            <w:pStyle w:val="Contents5"/>
            <w:tabs>
              <w:tab w:val="clear" w:pos="7892"/>
              <w:tab w:val="right" w:pos="9026" w:leader="dot"/>
            </w:tabs>
            <w:rPr/>
          </w:pPr>
          <w:hyperlink w:anchor="__RefHeading___Toc7767310_2870459653">
            <w:r>
              <w:rPr>
                <w:webHidden/>
                <w:rStyle w:val="IndexLink"/>
                <w:rtl w:val="true"/>
              </w:rPr>
              <w:t xml:space="preserve">پایگاه های </w:t>
            </w:r>
            <w:r>
              <w:rPr>
                <w:rStyle w:val="IndexLink"/>
                <w:rtl w:val="true"/>
              </w:rPr>
              <w:t>/</w:t>
            </w:r>
            <w:r>
              <w:rPr>
                <w:rStyle w:val="IndexLink"/>
                <w:rtl w:val="true"/>
              </w:rPr>
              <w:t>داده دسترسی اینترنتی</w:t>
            </w:r>
            <w:r>
              <w:rPr>
                <w:rStyle w:val="IndexLink"/>
                <w:rtl w:val="true"/>
              </w:rPr>
              <w:tab/>
            </w:r>
            <w:r>
              <w:rPr>
                <w:rStyle w:val="IndexLink"/>
              </w:rPr>
              <w:t>623</w:t>
            </w:r>
          </w:hyperlink>
        </w:p>
        <w:p>
          <w:pPr>
            <w:pStyle w:val="Contents5"/>
            <w:tabs>
              <w:tab w:val="clear" w:pos="7892"/>
              <w:tab w:val="right" w:pos="9026" w:leader="dot"/>
            </w:tabs>
            <w:rPr/>
          </w:pPr>
          <w:hyperlink w:anchor="__RefHeading___Toc7767312_2870459653">
            <w:r>
              <w:rPr>
                <w:webHidden/>
                <w:rStyle w:val="IndexLink"/>
                <w:rtl w:val="true"/>
              </w:rPr>
              <w:t>غنی سازی مجموعه کتابخانه</w:t>
            </w:r>
            <w:r>
              <w:rPr>
                <w:rStyle w:val="IndexLink"/>
                <w:rtl w:val="true"/>
              </w:rPr>
              <w:tab/>
            </w:r>
            <w:r>
              <w:rPr>
                <w:rStyle w:val="IndexLink"/>
              </w:rPr>
              <w:t>623</w:t>
            </w:r>
          </w:hyperlink>
        </w:p>
        <w:p>
          <w:pPr>
            <w:pStyle w:val="Contents4"/>
            <w:tabs>
              <w:tab w:val="clear" w:pos="8176"/>
              <w:tab w:val="right" w:pos="9026" w:leader="dot"/>
            </w:tabs>
            <w:rPr/>
          </w:pPr>
          <w:hyperlink w:anchor="__RefHeading___Toc7767314_2870459653">
            <w:r>
              <w:rPr>
                <w:webHidden/>
                <w:rStyle w:val="IndexLink"/>
              </w:rPr>
              <w:t>3-3</w:t>
            </w:r>
            <w:r>
              <w:rPr>
                <w:rStyle w:val="IndexLink"/>
                <w:rtl w:val="true"/>
              </w:rPr>
              <w:t xml:space="preserve">- </w:t>
            </w:r>
            <w:r>
              <w:rPr>
                <w:rStyle w:val="IndexLink"/>
                <w:rtl w:val="true"/>
              </w:rPr>
              <w:t>امکانات</w:t>
            </w:r>
            <w:r>
              <w:rPr>
                <w:rStyle w:val="IndexLink"/>
                <w:rtl w:val="true"/>
              </w:rPr>
              <w:tab/>
            </w:r>
            <w:r>
              <w:rPr>
                <w:rStyle w:val="IndexLink"/>
              </w:rPr>
              <w:t>624</w:t>
            </w:r>
          </w:hyperlink>
        </w:p>
        <w:p>
          <w:pPr>
            <w:pStyle w:val="Contents5"/>
            <w:tabs>
              <w:tab w:val="clear" w:pos="7892"/>
              <w:tab w:val="right" w:pos="9026" w:leader="dot"/>
            </w:tabs>
            <w:rPr/>
          </w:pPr>
          <w:hyperlink w:anchor="__RefHeading___Toc7767316_2870459653">
            <w:r>
              <w:rPr>
                <w:webHidden/>
                <w:rStyle w:val="IndexLink"/>
                <w:rtl w:val="true"/>
              </w:rPr>
              <w:t xml:space="preserve">تالار مطالعه </w:t>
            </w:r>
            <w:r>
              <w:rPr>
                <w:rStyle w:val="IndexLink"/>
                <w:rtl w:val="true"/>
              </w:rPr>
              <w:t xml:space="preserve">- </w:t>
            </w:r>
            <w:r>
              <w:rPr>
                <w:rStyle w:val="IndexLink"/>
                <w:rtl w:val="true"/>
              </w:rPr>
              <w:t>امکانات تکثیر</w:t>
            </w:r>
            <w:r>
              <w:rPr>
                <w:rStyle w:val="IndexLink"/>
                <w:rtl w:val="true"/>
              </w:rPr>
              <w:t xml:space="preserve">/ </w:t>
            </w:r>
            <w:r>
              <w:rPr>
                <w:rStyle w:val="IndexLink"/>
                <w:rtl w:val="true"/>
              </w:rPr>
              <w:t>پویشگری</w:t>
            </w:r>
            <w:r>
              <w:rPr>
                <w:rStyle w:val="IndexLink"/>
                <w:rtl w:val="true"/>
              </w:rPr>
              <w:t xml:space="preserve">/ </w:t>
            </w:r>
            <w:r>
              <w:rPr>
                <w:rStyle w:val="IndexLink"/>
                <w:rtl w:val="true"/>
              </w:rPr>
              <w:t>عکسبرداری</w:t>
            </w:r>
            <w:r>
              <w:rPr>
                <w:rStyle w:val="IndexLink"/>
                <w:rtl w:val="true"/>
              </w:rPr>
              <w:tab/>
            </w:r>
            <w:r>
              <w:rPr>
                <w:rStyle w:val="IndexLink"/>
              </w:rPr>
              <w:t>624</w:t>
            </w:r>
          </w:hyperlink>
        </w:p>
        <w:p>
          <w:pPr>
            <w:pStyle w:val="Contents4"/>
            <w:tabs>
              <w:tab w:val="clear" w:pos="8176"/>
              <w:tab w:val="right" w:pos="9026" w:leader="dot"/>
            </w:tabs>
            <w:rPr/>
          </w:pPr>
          <w:hyperlink w:anchor="__RefHeading___Toc7767318_2870459653">
            <w:r>
              <w:rPr>
                <w:webHidden/>
                <w:rStyle w:val="IndexLink"/>
              </w:rPr>
              <w:t>4-3</w:t>
            </w:r>
            <w:r>
              <w:rPr>
                <w:rStyle w:val="IndexLink"/>
                <w:rtl w:val="true"/>
              </w:rPr>
              <w:t xml:space="preserve">- </w:t>
            </w:r>
            <w:r>
              <w:rPr>
                <w:rStyle w:val="IndexLink"/>
                <w:rtl w:val="true"/>
              </w:rPr>
              <w:t>سازماندهی مجموعه</w:t>
            </w:r>
            <w:r>
              <w:rPr>
                <w:rStyle w:val="IndexLink"/>
                <w:rtl w:val="true"/>
              </w:rPr>
              <w:tab/>
            </w:r>
            <w:r>
              <w:rPr>
                <w:rStyle w:val="IndexLink"/>
              </w:rPr>
              <w:t>624</w:t>
            </w:r>
          </w:hyperlink>
        </w:p>
        <w:p>
          <w:pPr>
            <w:pStyle w:val="Contents4"/>
            <w:tabs>
              <w:tab w:val="clear" w:pos="8176"/>
              <w:tab w:val="right" w:pos="9026" w:leader="dot"/>
            </w:tabs>
            <w:rPr/>
          </w:pPr>
          <w:hyperlink w:anchor="__RefHeading___Toc7767320_2870459653">
            <w:r>
              <w:rPr>
                <w:webHidden/>
                <w:rStyle w:val="IndexLink"/>
              </w:rPr>
              <w:t>5-3</w:t>
            </w:r>
            <w:r>
              <w:rPr>
                <w:rStyle w:val="IndexLink"/>
                <w:rtl w:val="true"/>
              </w:rPr>
              <w:t xml:space="preserve">- </w:t>
            </w:r>
            <w:r>
              <w:rPr>
                <w:rStyle w:val="IndexLink"/>
                <w:rtl w:val="true"/>
              </w:rPr>
              <w:t>همکاری با سایر کتابخانه ها</w:t>
            </w:r>
            <w:r>
              <w:rPr>
                <w:rStyle w:val="IndexLink"/>
                <w:rtl w:val="true"/>
              </w:rPr>
              <w:tab/>
            </w:r>
            <w:r>
              <w:rPr>
                <w:rStyle w:val="IndexLink"/>
              </w:rPr>
              <w:t>624</w:t>
            </w:r>
          </w:hyperlink>
        </w:p>
        <w:p>
          <w:pPr>
            <w:pStyle w:val="Contents4"/>
            <w:tabs>
              <w:tab w:val="clear" w:pos="8176"/>
              <w:tab w:val="right" w:pos="9026" w:leader="dot"/>
            </w:tabs>
            <w:rPr/>
          </w:pPr>
          <w:hyperlink w:anchor="__RefHeading___Toc7767322_2870459653">
            <w:r>
              <w:rPr>
                <w:webHidden/>
                <w:rStyle w:val="IndexLink"/>
              </w:rPr>
              <w:t>6-3</w:t>
            </w:r>
            <w:r>
              <w:rPr>
                <w:rStyle w:val="IndexLink"/>
                <w:rtl w:val="true"/>
              </w:rPr>
              <w:t xml:space="preserve">- </w:t>
            </w:r>
            <w:r>
              <w:rPr>
                <w:rStyle w:val="IndexLink"/>
                <w:rtl w:val="true"/>
              </w:rPr>
              <w:t>شبکه سازی فهرستنویسی اشتراکی</w:t>
            </w:r>
            <w:r>
              <w:rPr>
                <w:rStyle w:val="IndexLink"/>
                <w:rtl w:val="true"/>
              </w:rPr>
              <w:tab/>
            </w:r>
            <w:r>
              <w:rPr>
                <w:rStyle w:val="IndexLink"/>
              </w:rPr>
              <w:t>625</w:t>
            </w:r>
          </w:hyperlink>
        </w:p>
        <w:p>
          <w:pPr>
            <w:pStyle w:val="Contents4"/>
            <w:tabs>
              <w:tab w:val="clear" w:pos="8176"/>
              <w:tab w:val="right" w:pos="9026" w:leader="dot"/>
            </w:tabs>
            <w:rPr/>
          </w:pPr>
          <w:hyperlink w:anchor="__RefHeading___Toc7767324_2870459653">
            <w:r>
              <w:rPr>
                <w:webHidden/>
                <w:rStyle w:val="IndexLink"/>
              </w:rPr>
              <w:t>7-3</w:t>
            </w:r>
            <w:r>
              <w:rPr>
                <w:rStyle w:val="IndexLink"/>
                <w:rtl w:val="true"/>
              </w:rPr>
              <w:t xml:space="preserve">- </w:t>
            </w:r>
            <w:r>
              <w:rPr>
                <w:rStyle w:val="IndexLink"/>
                <w:rtl w:val="true"/>
              </w:rPr>
              <w:t>مصاحبه با رؤسای کتابخانه ها</w:t>
            </w:r>
            <w:r>
              <w:rPr>
                <w:rStyle w:val="IndexLink"/>
                <w:rtl w:val="true"/>
              </w:rPr>
              <w:tab/>
            </w:r>
            <w:r>
              <w:rPr>
                <w:rStyle w:val="IndexLink"/>
              </w:rPr>
              <w:t>627</w:t>
            </w:r>
          </w:hyperlink>
        </w:p>
        <w:p>
          <w:pPr>
            <w:pStyle w:val="Contents3"/>
            <w:tabs>
              <w:tab w:val="clear" w:pos="8459"/>
              <w:tab w:val="right" w:pos="9026" w:leader="dot"/>
            </w:tabs>
            <w:rPr/>
          </w:pPr>
          <w:hyperlink w:anchor="__RefHeading___Toc7767326_2870459653">
            <w:r>
              <w:rPr>
                <w:webHidden/>
                <w:rStyle w:val="IndexLink"/>
              </w:rPr>
              <w:t>4</w:t>
            </w:r>
            <w:r>
              <w:rPr>
                <w:rStyle w:val="IndexLink"/>
                <w:rtl w:val="true"/>
              </w:rPr>
              <w:t xml:space="preserve">. </w:t>
            </w:r>
            <w:r>
              <w:rPr>
                <w:rStyle w:val="IndexLink"/>
                <w:rtl w:val="true"/>
              </w:rPr>
              <w:t>نتایج</w:t>
            </w:r>
            <w:r>
              <w:rPr>
                <w:rStyle w:val="IndexLink"/>
                <w:rtl w:val="true"/>
              </w:rPr>
              <w:tab/>
            </w:r>
            <w:r>
              <w:rPr>
                <w:rStyle w:val="IndexLink"/>
              </w:rPr>
              <w:t>628</w:t>
            </w:r>
          </w:hyperlink>
        </w:p>
        <w:p>
          <w:pPr>
            <w:pStyle w:val="Contents3"/>
            <w:tabs>
              <w:tab w:val="clear" w:pos="8459"/>
              <w:tab w:val="right" w:pos="9026" w:leader="dot"/>
            </w:tabs>
            <w:rPr/>
          </w:pPr>
          <w:hyperlink w:anchor="__RefHeading___Toc7767328_2870459653">
            <w:r>
              <w:rPr>
                <w:webHidden/>
                <w:rStyle w:val="IndexLink"/>
              </w:rPr>
              <w:t>5</w:t>
            </w:r>
            <w:r>
              <w:rPr>
                <w:rStyle w:val="IndexLink"/>
                <w:rtl w:val="true"/>
              </w:rPr>
              <w:t xml:space="preserve">. </w:t>
            </w:r>
            <w:r>
              <w:rPr>
                <w:rStyle w:val="IndexLink"/>
                <w:rtl w:val="true"/>
              </w:rPr>
              <w:t>پیشنهاد برای پژوهش های بیشتر</w:t>
            </w:r>
            <w:r>
              <w:rPr>
                <w:rStyle w:val="IndexLink"/>
                <w:rtl w:val="true"/>
              </w:rPr>
              <w:tab/>
            </w:r>
            <w:r>
              <w:rPr>
                <w:rStyle w:val="IndexLink"/>
              </w:rPr>
              <w:t>629</w:t>
            </w:r>
          </w:hyperlink>
        </w:p>
        <w:p>
          <w:pPr>
            <w:pStyle w:val="Contents3"/>
            <w:tabs>
              <w:tab w:val="clear" w:pos="8459"/>
              <w:tab w:val="right" w:pos="9026" w:leader="dot"/>
            </w:tabs>
            <w:rPr/>
          </w:pPr>
          <w:hyperlink w:anchor="__RefHeading___Toc7767330_2870459653">
            <w:r>
              <w:rPr>
                <w:webHidden/>
                <w:rStyle w:val="IndexLink"/>
                <w:rtl w:val="true"/>
              </w:rPr>
              <w:t>قدردانی</w:t>
            </w:r>
            <w:r>
              <w:rPr>
                <w:rStyle w:val="IndexLink"/>
                <w:rtl w:val="true"/>
              </w:rPr>
              <w:tab/>
            </w:r>
            <w:r>
              <w:rPr>
                <w:rStyle w:val="IndexLink"/>
              </w:rPr>
              <w:t>630</w:t>
            </w:r>
          </w:hyperlink>
        </w:p>
        <w:p>
          <w:pPr>
            <w:pStyle w:val="Contents3"/>
            <w:tabs>
              <w:tab w:val="clear" w:pos="8459"/>
              <w:tab w:val="right" w:pos="9026" w:leader="dot"/>
            </w:tabs>
            <w:rPr/>
          </w:pPr>
          <w:hyperlink w:anchor="__RefHeading___Toc7767332_2870459653">
            <w:r>
              <w:rPr>
                <w:webHidden/>
                <w:rStyle w:val="IndexLink"/>
                <w:rtl w:val="true"/>
              </w:rPr>
              <w:t>منابع</w:t>
            </w:r>
            <w:r>
              <w:rPr>
                <w:rStyle w:val="IndexLink"/>
                <w:rtl w:val="true"/>
              </w:rPr>
              <w:tab/>
            </w:r>
            <w:r>
              <w:rPr>
                <w:rStyle w:val="IndexLink"/>
              </w:rPr>
              <w:t>630</w:t>
            </w:r>
          </w:hyperlink>
        </w:p>
        <w:p>
          <w:pPr>
            <w:pStyle w:val="Contents3"/>
            <w:tabs>
              <w:tab w:val="clear" w:pos="8459"/>
              <w:tab w:val="right" w:pos="9026" w:leader="dot"/>
            </w:tabs>
            <w:rPr/>
          </w:pPr>
          <w:hyperlink w:anchor="__RefHeading___Toc7767334_2870459653">
            <w:r>
              <w:rPr>
                <w:webHidden/>
                <w:rStyle w:val="IndexLink"/>
                <w:rtl w:val="true"/>
              </w:rPr>
              <w:t>یادداشت ها</w:t>
            </w:r>
            <w:r>
              <w:rPr>
                <w:rStyle w:val="IndexLink"/>
                <w:rtl w:val="true"/>
              </w:rPr>
              <w:tab/>
            </w:r>
            <w:r>
              <w:rPr>
                <w:rStyle w:val="IndexLink"/>
              </w:rPr>
              <w:t>631</w:t>
            </w:r>
          </w:hyperlink>
        </w:p>
        <w:p>
          <w:pPr>
            <w:pStyle w:val="Contents2"/>
            <w:tabs>
              <w:tab w:val="clear" w:pos="8743"/>
              <w:tab w:val="right" w:pos="9026" w:leader="dot"/>
            </w:tabs>
            <w:rPr/>
          </w:pPr>
          <w:hyperlink w:anchor="__RefHeading___Toc7767336_2870459653">
            <w:r>
              <w:rPr>
                <w:webHidden/>
                <w:rStyle w:val="IndexLink"/>
                <w:rtl w:val="true"/>
              </w:rPr>
              <w:t>چکیده</w:t>
            </w:r>
            <w:r>
              <w:rPr>
                <w:rStyle w:val="IndexLink"/>
                <w:rtl w:val="true"/>
              </w:rPr>
              <w:tab/>
            </w:r>
            <w:r>
              <w:rPr>
                <w:rStyle w:val="IndexLink"/>
              </w:rPr>
              <w:t>633</w:t>
            </w:r>
          </w:hyperlink>
        </w:p>
        <w:p>
          <w:pPr>
            <w:pStyle w:val="Contents2"/>
            <w:tabs>
              <w:tab w:val="clear" w:pos="8743"/>
              <w:tab w:val="right" w:pos="9026" w:leader="dot"/>
            </w:tabs>
            <w:rPr/>
          </w:pPr>
          <w:hyperlink w:anchor="__RefHeading___Toc7767338_2870459653">
            <w:r>
              <w:rPr>
                <w:webHidden/>
                <w:rStyle w:val="IndexLink"/>
                <w:rtl w:val="true"/>
              </w:rPr>
              <w:t>آموزش و یادگیری فهرستنویسی و رده بندی علوم کتابداری و اطلاع رسانی</w:t>
            </w:r>
            <w:r>
              <w:rPr>
                <w:rStyle w:val="IndexLink"/>
                <w:rtl w:val="true"/>
              </w:rPr>
              <w:t xml:space="preserve">/ </w:t>
            </w:r>
            <w:r>
              <w:rPr>
                <w:rStyle w:val="IndexLink"/>
                <w:rtl w:val="true"/>
              </w:rPr>
              <w:t>مطالعاتی در آفریقای جنوبی، برزیل و ایالات متحده آمریکا</w:t>
            </w:r>
            <w:r>
              <w:rPr>
                <w:rStyle w:val="IndexLink"/>
                <w:rtl w:val="true"/>
              </w:rPr>
              <w:tab/>
            </w:r>
            <w:r>
              <w:rPr>
                <w:rStyle w:val="IndexLink"/>
              </w:rPr>
              <w:t>634</w:t>
            </w:r>
          </w:hyperlink>
        </w:p>
        <w:p>
          <w:pPr>
            <w:pStyle w:val="Contents3"/>
            <w:tabs>
              <w:tab w:val="clear" w:pos="8459"/>
              <w:tab w:val="right" w:pos="9026" w:leader="dot"/>
            </w:tabs>
            <w:rPr/>
          </w:pPr>
          <w:hyperlink w:anchor="__RefHeading___Toc7767340_2870459653">
            <w:r>
              <w:rPr>
                <w:webHidden/>
                <w:rStyle w:val="IndexLink"/>
                <w:rtl w:val="true"/>
              </w:rPr>
              <w:t>اشاره</w:t>
            </w:r>
            <w:r>
              <w:rPr>
                <w:rStyle w:val="IndexLink"/>
                <w:rtl w:val="true"/>
              </w:rPr>
              <w:tab/>
            </w:r>
            <w:r>
              <w:rPr>
                <w:rStyle w:val="IndexLink"/>
              </w:rPr>
              <w:t>634</w:t>
            </w:r>
          </w:hyperlink>
        </w:p>
        <w:p>
          <w:pPr>
            <w:pStyle w:val="Contents3"/>
            <w:tabs>
              <w:tab w:val="clear" w:pos="8459"/>
              <w:tab w:val="right" w:pos="9026" w:leader="dot"/>
            </w:tabs>
            <w:rPr/>
          </w:pPr>
          <w:hyperlink w:anchor="__RefHeading___Toc7767342_2870459653">
            <w:r>
              <w:rPr>
                <w:webHidden/>
                <w:rStyle w:val="IndexLink"/>
                <w:rtl w:val="true"/>
              </w:rPr>
              <w:t>مقدمه</w:t>
            </w:r>
            <w:r>
              <w:rPr>
                <w:rStyle w:val="IndexLink"/>
                <w:rtl w:val="true"/>
              </w:rPr>
              <w:tab/>
            </w:r>
            <w:r>
              <w:rPr>
                <w:rStyle w:val="IndexLink"/>
              </w:rPr>
              <w:t>634</w:t>
            </w:r>
          </w:hyperlink>
        </w:p>
        <w:p>
          <w:pPr>
            <w:pStyle w:val="Contents3"/>
            <w:tabs>
              <w:tab w:val="clear" w:pos="8459"/>
              <w:tab w:val="right" w:pos="9026" w:leader="dot"/>
            </w:tabs>
            <w:rPr/>
          </w:pPr>
          <w:hyperlink w:anchor="__RefHeading___Toc7767344_2870459653">
            <w:r>
              <w:rPr>
                <w:webHidden/>
                <w:rStyle w:val="IndexLink"/>
                <w:rtl w:val="true"/>
              </w:rPr>
              <w:t>روش شناسی</w:t>
            </w:r>
            <w:r>
              <w:rPr>
                <w:rStyle w:val="IndexLink"/>
                <w:rtl w:val="true"/>
              </w:rPr>
              <w:tab/>
            </w:r>
            <w:r>
              <w:rPr>
                <w:rStyle w:val="IndexLink"/>
              </w:rPr>
              <w:t>636</w:t>
            </w:r>
          </w:hyperlink>
        </w:p>
        <w:p>
          <w:pPr>
            <w:pStyle w:val="Contents3"/>
            <w:tabs>
              <w:tab w:val="clear" w:pos="8459"/>
              <w:tab w:val="right" w:pos="9026" w:leader="dot"/>
            </w:tabs>
            <w:rPr/>
          </w:pPr>
          <w:hyperlink w:anchor="__RefHeading___Toc7767346_2870459653">
            <w:r>
              <w:rPr>
                <w:webHidden/>
                <w:rStyle w:val="IndexLink"/>
                <w:rtl w:val="true"/>
              </w:rPr>
              <w:t>یافته ها</w:t>
            </w:r>
            <w:r>
              <w:rPr>
                <w:rStyle w:val="IndexLink"/>
                <w:rtl w:val="true"/>
              </w:rPr>
              <w:tab/>
            </w:r>
            <w:r>
              <w:rPr>
                <w:rStyle w:val="IndexLink"/>
              </w:rPr>
              <w:t>637</w:t>
            </w:r>
          </w:hyperlink>
        </w:p>
        <w:p>
          <w:pPr>
            <w:pStyle w:val="Contents3"/>
            <w:tabs>
              <w:tab w:val="clear" w:pos="8459"/>
              <w:tab w:val="right" w:pos="9026" w:leader="dot"/>
            </w:tabs>
            <w:rPr/>
          </w:pPr>
          <w:hyperlink w:anchor="__RefHeading___Toc7767348_2870459653">
            <w:r>
              <w:rPr>
                <w:webHidden/>
                <w:rStyle w:val="IndexLink"/>
                <w:rtl w:val="true"/>
              </w:rPr>
              <w:t>آیا برنامه های درسی فهرست نویسی و رده بندی در فرهنگ های کشورهای مختلف متفاوت است؟</w:t>
            </w:r>
            <w:r>
              <w:rPr>
                <w:rStyle w:val="IndexLink"/>
                <w:rtl w:val="true"/>
              </w:rPr>
              <w:tab/>
            </w:r>
            <w:r>
              <w:rPr>
                <w:rStyle w:val="IndexLink"/>
              </w:rPr>
              <w:t>638</w:t>
            </w:r>
          </w:hyperlink>
        </w:p>
        <w:p>
          <w:pPr>
            <w:pStyle w:val="Contents3"/>
            <w:tabs>
              <w:tab w:val="clear" w:pos="8459"/>
              <w:tab w:val="right" w:pos="9026" w:leader="dot"/>
            </w:tabs>
            <w:rPr/>
          </w:pPr>
          <w:hyperlink w:anchor="__RefHeading___Toc7767350_2870459653">
            <w:r>
              <w:rPr>
                <w:webHidden/>
                <w:rStyle w:val="IndexLink"/>
                <w:rtl w:val="true"/>
              </w:rPr>
              <w:t>اگر چنین است، تفاوت ها چیست؟</w:t>
            </w:r>
            <w:r>
              <w:rPr>
                <w:rStyle w:val="IndexLink"/>
                <w:rtl w:val="true"/>
              </w:rPr>
              <w:tab/>
            </w:r>
            <w:r>
              <w:rPr>
                <w:rStyle w:val="IndexLink"/>
              </w:rPr>
              <w:t>641</w:t>
            </w:r>
          </w:hyperlink>
        </w:p>
        <w:p>
          <w:pPr>
            <w:pStyle w:val="Contents3"/>
            <w:tabs>
              <w:tab w:val="clear" w:pos="8459"/>
              <w:tab w:val="right" w:pos="9026" w:leader="dot"/>
            </w:tabs>
            <w:rPr/>
          </w:pPr>
          <w:hyperlink w:anchor="__RefHeading___Toc7767352_2870459653">
            <w:r>
              <w:rPr>
                <w:webHidden/>
                <w:rStyle w:val="IndexLink"/>
                <w:rtl w:val="true"/>
              </w:rPr>
              <w:t>چالش های ناشی از آموزش دوره ها چه هستند؟</w:t>
            </w:r>
            <w:r>
              <w:rPr>
                <w:rStyle w:val="IndexLink"/>
                <w:rtl w:val="true"/>
              </w:rPr>
              <w:tab/>
            </w:r>
            <w:r>
              <w:rPr>
                <w:rStyle w:val="IndexLink"/>
              </w:rPr>
              <w:t>645</w:t>
            </w:r>
          </w:hyperlink>
        </w:p>
        <w:p>
          <w:pPr>
            <w:pStyle w:val="Contents3"/>
            <w:tabs>
              <w:tab w:val="clear" w:pos="8459"/>
              <w:tab w:val="right" w:pos="9026" w:leader="dot"/>
            </w:tabs>
            <w:rPr/>
          </w:pPr>
          <w:hyperlink w:anchor="__RefHeading___Toc7767354_2870459653">
            <w:r>
              <w:rPr>
                <w:webHidden/>
                <w:rStyle w:val="IndexLink"/>
                <w:rtl w:val="true"/>
              </w:rPr>
              <w:t>چه پیشنهادهایی می تواند آینده را بسازد؟</w:t>
            </w:r>
            <w:r>
              <w:rPr>
                <w:rStyle w:val="IndexLink"/>
                <w:rtl w:val="true"/>
              </w:rPr>
              <w:tab/>
            </w:r>
            <w:r>
              <w:rPr>
                <w:rStyle w:val="IndexLink"/>
              </w:rPr>
              <w:t>646</w:t>
            </w:r>
          </w:hyperlink>
        </w:p>
        <w:p>
          <w:pPr>
            <w:pStyle w:val="Contents3"/>
            <w:tabs>
              <w:tab w:val="clear" w:pos="8459"/>
              <w:tab w:val="right" w:pos="9026" w:leader="dot"/>
            </w:tabs>
            <w:rPr/>
          </w:pPr>
          <w:hyperlink w:anchor="__RefHeading___Toc7767356_2870459653">
            <w:r>
              <w:rPr>
                <w:webHidden/>
                <w:rStyle w:val="IndexLink"/>
                <w:rtl w:val="true"/>
              </w:rPr>
              <w:t>نتیجه گیری</w:t>
            </w:r>
            <w:r>
              <w:rPr>
                <w:rStyle w:val="IndexLink"/>
                <w:rtl w:val="true"/>
              </w:rPr>
              <w:tab/>
            </w:r>
            <w:r>
              <w:rPr>
                <w:rStyle w:val="IndexLink"/>
              </w:rPr>
              <w:t>648</w:t>
            </w:r>
          </w:hyperlink>
        </w:p>
        <w:p>
          <w:pPr>
            <w:pStyle w:val="Contents3"/>
            <w:tabs>
              <w:tab w:val="clear" w:pos="8459"/>
              <w:tab w:val="right" w:pos="9026" w:leader="dot"/>
            </w:tabs>
            <w:rPr/>
          </w:pPr>
          <w:hyperlink w:anchor="__RefHeading___Toc7767358_2870459653">
            <w:r>
              <w:rPr>
                <w:webHidden/>
                <w:rStyle w:val="IndexLink"/>
                <w:rtl w:val="true"/>
              </w:rPr>
              <w:t>منابع</w:t>
            </w:r>
            <w:r>
              <w:rPr>
                <w:rStyle w:val="IndexLink"/>
                <w:rtl w:val="true"/>
              </w:rPr>
              <w:tab/>
            </w:r>
            <w:r>
              <w:rPr>
                <w:rStyle w:val="IndexLink"/>
              </w:rPr>
              <w:t>650</w:t>
            </w:r>
          </w:hyperlink>
        </w:p>
        <w:p>
          <w:pPr>
            <w:pStyle w:val="Contents2"/>
            <w:tabs>
              <w:tab w:val="clear" w:pos="8743"/>
              <w:tab w:val="right" w:pos="9026" w:leader="dot"/>
            </w:tabs>
            <w:rPr/>
          </w:pPr>
          <w:hyperlink w:anchor="__RefHeading___Toc7767360_2870459653">
            <w:r>
              <w:rPr>
                <w:webHidden/>
                <w:rStyle w:val="IndexLink"/>
                <w:rtl w:val="true"/>
              </w:rPr>
              <w:t>نمایه ها</w:t>
            </w:r>
            <w:r>
              <w:rPr>
                <w:rStyle w:val="IndexLink"/>
                <w:rtl w:val="true"/>
              </w:rPr>
              <w:tab/>
            </w:r>
            <w:r>
              <w:rPr>
                <w:rStyle w:val="IndexLink"/>
              </w:rPr>
              <w:t>653</w:t>
            </w:r>
          </w:hyperlink>
        </w:p>
        <w:p>
          <w:pPr>
            <w:pStyle w:val="Contents2"/>
            <w:tabs>
              <w:tab w:val="clear" w:pos="8743"/>
              <w:tab w:val="right" w:pos="9026" w:leader="dot"/>
            </w:tabs>
            <w:rPr/>
          </w:pPr>
          <w:hyperlink w:anchor="__RefHeading___Toc7767362_2870459653">
            <w:r>
              <w:rPr>
                <w:webHidden/>
                <w:rStyle w:val="IndexLink"/>
                <w:rtl w:val="true"/>
              </w:rPr>
              <w:t>حمید سلیم گندمی</w:t>
            </w:r>
            <w:r>
              <w:rPr>
                <w:rStyle w:val="IndexLink"/>
                <w:rtl w:val="true"/>
              </w:rPr>
              <w:tab/>
            </w:r>
            <w:r>
              <w:rPr>
                <w:rStyle w:val="IndexLink"/>
              </w:rPr>
              <w:t>656</w:t>
            </w:r>
          </w:hyperlink>
        </w:p>
        <w:p>
          <w:pPr>
            <w:pStyle w:val="Contents3"/>
            <w:tabs>
              <w:tab w:val="clear" w:pos="8459"/>
              <w:tab w:val="right" w:pos="9026" w:leader="dot"/>
            </w:tabs>
            <w:rPr/>
          </w:pPr>
          <w:hyperlink w:anchor="__RefHeading___Toc7767364_2870459653">
            <w:r>
              <w:rPr>
                <w:webHidden/>
                <w:rStyle w:val="IndexLink"/>
                <w:rtl w:val="true"/>
              </w:rPr>
              <w:t>اشاره</w:t>
            </w:r>
            <w:r>
              <w:rPr>
                <w:rStyle w:val="IndexLink"/>
                <w:rtl w:val="true"/>
              </w:rPr>
              <w:tab/>
            </w:r>
            <w:r>
              <w:rPr>
                <w:rStyle w:val="IndexLink"/>
              </w:rPr>
              <w:t>656</w:t>
            </w:r>
          </w:hyperlink>
        </w:p>
        <w:p>
          <w:pPr>
            <w:pStyle w:val="Contents3"/>
            <w:tabs>
              <w:tab w:val="clear" w:pos="8459"/>
              <w:tab w:val="right" w:pos="9026" w:leader="dot"/>
            </w:tabs>
            <w:rPr/>
          </w:pPr>
          <w:hyperlink w:anchor="__RefHeading___Toc7767366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656</w:t>
            </w:r>
          </w:hyperlink>
        </w:p>
        <w:p>
          <w:pPr>
            <w:pStyle w:val="Contents3"/>
            <w:tabs>
              <w:tab w:val="clear" w:pos="8459"/>
              <w:tab w:val="right" w:pos="9026" w:leader="dot"/>
            </w:tabs>
            <w:rPr/>
          </w:pPr>
          <w:hyperlink w:anchor="__RefHeading___Toc7767368_2870459653">
            <w:r>
              <w:rPr>
                <w:webHidden/>
                <w:rStyle w:val="IndexLink"/>
              </w:rPr>
              <w:t>1-1</w:t>
            </w:r>
            <w:r>
              <w:rPr>
                <w:rStyle w:val="IndexLink"/>
                <w:rtl w:val="true"/>
              </w:rPr>
              <w:t xml:space="preserve">) </w:t>
            </w:r>
            <w:r>
              <w:rPr>
                <w:rStyle w:val="IndexLink"/>
                <w:rtl w:val="true"/>
              </w:rPr>
              <w:t>بازیابی اطلاعات مورد نیاز از میان انبوه اطلاعات روزافزون و پراکندگی فراوان آن ها بر اساس سرعت و دقت از اهمیت خاصی برخوردار است نقش ساماندهی و سازماندهی استاندارد اطلاعات برای سرعت بخشیدن و تسهیل در امر بازیابی دقیق اطلاعات مورد نیاز بسیار ویژه و قابل توجه است</w:t>
            </w:r>
            <w:r>
              <w:rPr>
                <w:rStyle w:val="IndexLink"/>
                <w:rtl w:val="true"/>
              </w:rPr>
              <w:t xml:space="preserve">. </w:t>
            </w:r>
            <w:r>
              <w:rPr>
                <w:rStyle w:val="IndexLink"/>
                <w:rtl w:val="true"/>
              </w:rPr>
              <w:t>نمایه سازی اطلاعات تولید شده گامی اساسی در راستای ساماندهی اطلاعات و دستیابی سریع و دقیق به اطلاعات مورد نیاز است</w:t>
            </w:r>
            <w:r>
              <w:rPr>
                <w:rStyle w:val="IndexLink"/>
                <w:rtl w:val="true"/>
              </w:rPr>
              <w:t>.</w:t>
              <w:tab/>
            </w:r>
            <w:r>
              <w:rPr>
                <w:rStyle w:val="IndexLink"/>
              </w:rPr>
              <w:t>656</w:t>
            </w:r>
          </w:hyperlink>
        </w:p>
        <w:p>
          <w:pPr>
            <w:pStyle w:val="Contents3"/>
            <w:tabs>
              <w:tab w:val="clear" w:pos="8459"/>
              <w:tab w:val="right" w:pos="9026" w:leader="dot"/>
            </w:tabs>
            <w:rPr/>
          </w:pPr>
          <w:hyperlink w:anchor="__RefHeading___Toc7767370_2870459653">
            <w:r>
              <w:rPr>
                <w:webHidden/>
                <w:rStyle w:val="IndexLink"/>
              </w:rPr>
              <w:t>2-1</w:t>
            </w:r>
            <w:r>
              <w:rPr>
                <w:rStyle w:val="IndexLink"/>
                <w:rtl w:val="true"/>
              </w:rPr>
              <w:t xml:space="preserve">) </w:t>
            </w:r>
            <w:r>
              <w:rPr>
                <w:rStyle w:val="IndexLink"/>
                <w:rtl w:val="true"/>
              </w:rPr>
              <w:t>هدف از نمایه سازی، فراهم کردن ابزارهای کارآمد برای کمک به محقق و پژوهشگر در پیدا کردن اطلاعات درون مدارک با سرعت و دقت بیشتر است</w:t>
            </w:r>
            <w:r>
              <w:rPr>
                <w:rStyle w:val="IndexLink"/>
                <w:rtl w:val="true"/>
              </w:rPr>
              <w:t xml:space="preserve">. </w:t>
            </w:r>
            <w:r>
              <w:rPr>
                <w:rStyle w:val="IndexLink"/>
                <w:rtl w:val="true"/>
              </w:rPr>
              <w:t>نمایه ساز با صرف وقت و دقت در متون، کلیدواژه هایی را که دارای بار اطلاعات مناسبی هستند انتخاب و بر اساس ترتیب الفبا تنظيم می کند تا مسیر دستیابی به اطلاعات مورد نیاز پژوهشگر و محقق را هموارتر ساخته دسترسی به اطلاعات درون متنی مدارک را با دقت و سرعت بیشتر تسهیل نماید</w:t>
            </w:r>
            <w:r>
              <w:rPr>
                <w:rStyle w:val="IndexLink"/>
                <w:rtl w:val="true"/>
              </w:rPr>
              <w:t>.</w:t>
              <w:tab/>
            </w:r>
            <w:r>
              <w:rPr>
                <w:rStyle w:val="IndexLink"/>
              </w:rPr>
              <w:t>657</w:t>
            </w:r>
          </w:hyperlink>
        </w:p>
        <w:p>
          <w:pPr>
            <w:pStyle w:val="Contents3"/>
            <w:tabs>
              <w:tab w:val="clear" w:pos="8459"/>
              <w:tab w:val="right" w:pos="9026" w:leader="dot"/>
            </w:tabs>
            <w:rPr/>
          </w:pPr>
          <w:hyperlink w:anchor="__RefHeading___Toc7767372_2870459653">
            <w:r>
              <w:rPr>
                <w:webHidden/>
                <w:rStyle w:val="IndexLink"/>
              </w:rPr>
              <w:t>3-1</w:t>
            </w:r>
            <w:r>
              <w:rPr>
                <w:rStyle w:val="IndexLink"/>
                <w:rtl w:val="true"/>
              </w:rPr>
              <w:t xml:space="preserve">) </w:t>
            </w:r>
            <w:r>
              <w:rPr>
                <w:rStyle w:val="IndexLink"/>
                <w:rtl w:val="true"/>
              </w:rPr>
              <w:t>ساختار و ویژگی</w:t>
            </w:r>
            <w:r>
              <w:rPr>
                <w:rStyle w:val="IndexLink"/>
                <w:rtl w:val="true"/>
              </w:rPr>
              <w:t xml:space="preserve">: </w:t>
            </w:r>
            <w:r>
              <w:rPr>
                <w:rStyle w:val="IndexLink"/>
                <w:rtl w:val="true"/>
              </w:rPr>
              <w:t>نمایه ها در دو قسمت</w:t>
            </w:r>
            <w:r>
              <w:rPr>
                <w:rStyle w:val="IndexLink"/>
                <w:rtl w:val="true"/>
              </w:rPr>
              <w:t xml:space="preserve">: </w:t>
            </w:r>
            <w:r>
              <w:rPr>
                <w:rStyle w:val="IndexLink"/>
                <w:rtl w:val="true"/>
              </w:rPr>
              <w:t xml:space="preserve">فهرست ها، </w:t>
            </w:r>
            <w:r>
              <w:rPr>
                <w:rStyle w:val="IndexLink"/>
                <w:rtl w:val="true"/>
              </w:rPr>
              <w:t>(</w:t>
            </w:r>
            <w:r>
              <w:rPr>
                <w:rStyle w:val="IndexLink"/>
                <w:rtl w:val="true"/>
              </w:rPr>
              <w:t>عناوین، مؤلفین و مترجمین</w:t>
            </w:r>
            <w:r>
              <w:rPr>
                <w:rStyle w:val="IndexLink"/>
                <w:rtl w:val="true"/>
              </w:rPr>
              <w:t xml:space="preserve">) </w:t>
            </w:r>
            <w:r>
              <w:rPr>
                <w:rStyle w:val="IndexLink"/>
                <w:rtl w:val="true"/>
              </w:rPr>
              <w:t>و نمایه موضوعی تهیه شده است</w:t>
            </w:r>
            <w:r>
              <w:rPr>
                <w:rStyle w:val="IndexLink"/>
                <w:rtl w:val="true"/>
              </w:rPr>
              <w:t xml:space="preserve">. </w:t>
            </w:r>
            <w:r>
              <w:rPr>
                <w:rStyle w:val="IndexLink"/>
                <w:rtl w:val="true"/>
              </w:rPr>
              <w:t>بدیهی است نمایه موضوعی بیشترین کاربرد و استفاده را برای مخاطبان دارد</w:t>
            </w:r>
            <w:r>
              <w:rPr>
                <w:rStyle w:val="IndexLink"/>
                <w:rtl w:val="true"/>
              </w:rPr>
              <w:t xml:space="preserve">. </w:t>
            </w:r>
            <w:r>
              <w:rPr>
                <w:rStyle w:val="IndexLink"/>
                <w:rtl w:val="true"/>
              </w:rPr>
              <w:t xml:space="preserve">برای تهیه نمایه موضوعی مقالات منتشر شده در کتاب گزیده مقالات ایفلا </w:t>
            </w:r>
            <w:r>
              <w:rPr>
                <w:rStyle w:val="IndexLink"/>
                <w:rtl w:val="true"/>
              </w:rPr>
              <w:t>(</w:t>
            </w:r>
            <w:r>
              <w:rPr>
                <w:rStyle w:val="IndexLink"/>
              </w:rPr>
              <w:t>2013</w:t>
            </w:r>
            <w:r>
              <w:rPr>
                <w:rStyle w:val="IndexLink"/>
                <w:rtl w:val="true"/>
              </w:rPr>
              <w:t xml:space="preserve"> </w:t>
            </w:r>
            <w:r>
              <w:rPr>
                <w:rStyle w:val="IndexLink"/>
                <w:rtl w:val="true"/>
              </w:rPr>
              <w:t xml:space="preserve">و </w:t>
            </w:r>
            <w:r>
              <w:rPr>
                <w:rStyle w:val="IndexLink"/>
              </w:rPr>
              <w:t>2012</w:t>
            </w:r>
            <w:r>
              <w:rPr>
                <w:rStyle w:val="IndexLink"/>
                <w:rtl w:val="true"/>
              </w:rPr>
              <w:t>)</w:t>
            </w:r>
            <w:r>
              <w:rPr>
                <w:rStyle w:val="IndexLink"/>
                <w:rtl w:val="true"/>
              </w:rPr>
              <w:t>، متن مقاله ها مطالعه و کلیدواژه هایی از متن استخراج و یا متناسب با متن انتخاب شده است</w:t>
            </w:r>
            <w:r>
              <w:rPr>
                <w:rStyle w:val="IndexLink"/>
                <w:rtl w:val="true"/>
              </w:rPr>
              <w:t xml:space="preserve">. </w:t>
            </w:r>
            <w:r>
              <w:rPr>
                <w:rStyle w:val="IndexLink"/>
                <w:rtl w:val="true"/>
              </w:rPr>
              <w:t xml:space="preserve">با توجه به فشردگی موضوعات، در اغلب موارد حتی المقدور از مطالبی که به طور متوسط در حد نیم صفحه یا </w:t>
            </w:r>
            <w:r>
              <w:rPr>
                <w:rStyle w:val="IndexLink"/>
              </w:rPr>
              <w:t>2</w:t>
            </w:r>
            <w:r>
              <w:rPr>
                <w:rStyle w:val="IndexLink"/>
                <w:rtl w:val="true"/>
              </w:rPr>
              <w:t xml:space="preserve"> </w:t>
            </w:r>
            <w:r>
              <w:rPr>
                <w:rStyle w:val="IndexLink"/>
                <w:rtl w:val="true"/>
              </w:rPr>
              <w:t>پاراگراف بلند ارائه شده باشند، کلیدواژه های موضوعی انتخاب شده و در نمایه موضوع به عنوان مدخل وارد شده اند</w:t>
            </w:r>
            <w:r>
              <w:rPr>
                <w:rStyle w:val="IndexLink"/>
                <w:rtl w:val="true"/>
              </w:rPr>
              <w:t>.</w:t>
              <w:tab/>
            </w:r>
            <w:r>
              <w:rPr>
                <w:rStyle w:val="IndexLink"/>
              </w:rPr>
              <w:t>657</w:t>
            </w:r>
          </w:hyperlink>
        </w:p>
        <w:p>
          <w:pPr>
            <w:pStyle w:val="Contents3"/>
            <w:tabs>
              <w:tab w:val="clear" w:pos="8459"/>
              <w:tab w:val="right" w:pos="9026" w:leader="dot"/>
            </w:tabs>
            <w:rPr/>
          </w:pPr>
          <w:hyperlink w:anchor="__RefHeading___Toc7767374_2870459653">
            <w:r>
              <w:rPr>
                <w:webHidden/>
                <w:rStyle w:val="IndexLink"/>
              </w:rPr>
              <w:t>2</w:t>
            </w:r>
            <w:r>
              <w:rPr>
                <w:rStyle w:val="IndexLink"/>
                <w:rtl w:val="true"/>
              </w:rPr>
              <w:t xml:space="preserve">. </w:t>
            </w:r>
            <w:r>
              <w:rPr>
                <w:rStyle w:val="IndexLink"/>
                <w:rtl w:val="true"/>
              </w:rPr>
              <w:t>فهرست عناوین</w:t>
            </w:r>
            <w:r>
              <w:rPr>
                <w:rStyle w:val="IndexLink"/>
                <w:rtl w:val="true"/>
              </w:rPr>
              <w:tab/>
            </w:r>
            <w:r>
              <w:rPr>
                <w:rStyle w:val="IndexLink"/>
              </w:rPr>
              <w:t>660</w:t>
            </w:r>
          </w:hyperlink>
        </w:p>
        <w:p>
          <w:pPr>
            <w:pStyle w:val="Contents3"/>
            <w:tabs>
              <w:tab w:val="clear" w:pos="8459"/>
              <w:tab w:val="right" w:pos="9026" w:leader="dot"/>
            </w:tabs>
            <w:rPr/>
          </w:pPr>
          <w:hyperlink w:anchor="__RefHeading___Toc7767376_2870459653">
            <w:r>
              <w:rPr>
                <w:webHidden/>
                <w:rStyle w:val="IndexLink"/>
              </w:rPr>
              <w:t>3</w:t>
            </w:r>
            <w:r>
              <w:rPr>
                <w:rStyle w:val="IndexLink"/>
                <w:rtl w:val="true"/>
              </w:rPr>
              <w:t xml:space="preserve">. </w:t>
            </w:r>
            <w:r>
              <w:rPr>
                <w:rStyle w:val="IndexLink"/>
                <w:rtl w:val="true"/>
              </w:rPr>
              <w:t>فهرست مؤلفین</w:t>
            </w:r>
            <w:r>
              <w:rPr>
                <w:rStyle w:val="IndexLink"/>
                <w:rtl w:val="true"/>
              </w:rPr>
              <w:tab/>
            </w:r>
            <w:r>
              <w:rPr>
                <w:rStyle w:val="IndexLink"/>
              </w:rPr>
              <w:t>664</w:t>
            </w:r>
          </w:hyperlink>
        </w:p>
        <w:p>
          <w:pPr>
            <w:pStyle w:val="Contents3"/>
            <w:tabs>
              <w:tab w:val="clear" w:pos="8459"/>
              <w:tab w:val="right" w:pos="9026" w:leader="dot"/>
            </w:tabs>
            <w:rPr/>
          </w:pPr>
          <w:hyperlink w:anchor="__RefHeading___Toc7767378_2870459653">
            <w:r>
              <w:rPr>
                <w:webHidden/>
                <w:rStyle w:val="IndexLink"/>
              </w:rPr>
              <w:t>4</w:t>
            </w:r>
            <w:r>
              <w:rPr>
                <w:rStyle w:val="IndexLink"/>
                <w:rtl w:val="true"/>
              </w:rPr>
              <w:t xml:space="preserve">. </w:t>
            </w:r>
            <w:r>
              <w:rPr>
                <w:rStyle w:val="IndexLink"/>
                <w:rtl w:val="true"/>
              </w:rPr>
              <w:t>فهرست مترجمی</w:t>
            </w:r>
            <w:r>
              <w:rPr>
                <w:rStyle w:val="IndexLink"/>
                <w:rtl w:val="true"/>
              </w:rPr>
              <w:tab/>
            </w:r>
            <w:r>
              <w:rPr>
                <w:rStyle w:val="IndexLink"/>
              </w:rPr>
              <w:t>666</w:t>
            </w:r>
          </w:hyperlink>
        </w:p>
        <w:p>
          <w:pPr>
            <w:pStyle w:val="Contents3"/>
            <w:tabs>
              <w:tab w:val="clear" w:pos="8459"/>
              <w:tab w:val="right" w:pos="9026" w:leader="dot"/>
            </w:tabs>
            <w:rPr/>
          </w:pPr>
          <w:hyperlink w:anchor="__RefHeading___Toc7767380_2870459653">
            <w:r>
              <w:rPr>
                <w:webHidden/>
                <w:rStyle w:val="IndexLink"/>
              </w:rPr>
              <w:t>5</w:t>
            </w:r>
            <w:r>
              <w:rPr>
                <w:rStyle w:val="IndexLink"/>
                <w:rtl w:val="true"/>
              </w:rPr>
              <w:t xml:space="preserve">. </w:t>
            </w:r>
            <w:r>
              <w:rPr>
                <w:rStyle w:val="IndexLink"/>
                <w:rtl w:val="true"/>
              </w:rPr>
              <w:t>نمایه موضوع</w:t>
            </w:r>
            <w:r>
              <w:rPr>
                <w:rStyle w:val="IndexLink"/>
                <w:rtl w:val="true"/>
              </w:rPr>
              <w:tab/>
            </w:r>
            <w:r>
              <w:rPr>
                <w:rStyle w:val="IndexLink"/>
              </w:rPr>
              <w:t>668</w:t>
            </w:r>
          </w:hyperlink>
        </w:p>
        <w:p>
          <w:pPr>
            <w:pStyle w:val="Contents2"/>
            <w:tabs>
              <w:tab w:val="clear" w:pos="8743"/>
              <w:tab w:val="right" w:pos="9026" w:leader="dot"/>
            </w:tabs>
            <w:rPr/>
          </w:pPr>
          <w:hyperlink w:anchor="__RefHeading___Toc7767382_2870459653">
            <w:r>
              <w:rPr>
                <w:webHidden/>
                <w:rStyle w:val="IndexLink"/>
                <w:rtl w:val="true"/>
              </w:rPr>
              <w:t>فهرست موضوعی</w:t>
            </w:r>
            <w:r>
              <w:rPr>
                <w:rStyle w:val="IndexLink"/>
                <w:rtl w:val="true"/>
              </w:rPr>
              <w:tab/>
            </w:r>
            <w:r>
              <w:rPr>
                <w:rStyle w:val="IndexLink"/>
              </w:rPr>
              <w:t>727</w:t>
            </w:r>
          </w:hyperlink>
        </w:p>
        <w:p>
          <w:pPr>
            <w:pStyle w:val="Contents3"/>
            <w:tabs>
              <w:tab w:val="clear" w:pos="8459"/>
              <w:tab w:val="right" w:pos="9026" w:leader="dot"/>
            </w:tabs>
            <w:rPr/>
          </w:pPr>
          <w:hyperlink w:anchor="__RefHeading___Toc7767384_2870459653">
            <w:r>
              <w:rPr>
                <w:webHidden/>
                <w:rStyle w:val="IndexLink"/>
                <w:rtl w:val="true"/>
              </w:rPr>
              <w:t>آرشیو</w:t>
            </w:r>
            <w:r>
              <w:rPr>
                <w:rStyle w:val="IndexLink"/>
                <w:rtl w:val="true"/>
              </w:rPr>
              <w:tab/>
            </w:r>
            <w:r>
              <w:rPr>
                <w:rStyle w:val="IndexLink"/>
              </w:rPr>
              <w:t>727</w:t>
            </w:r>
          </w:hyperlink>
        </w:p>
        <w:p>
          <w:pPr>
            <w:pStyle w:val="Contents3"/>
            <w:tabs>
              <w:tab w:val="clear" w:pos="8459"/>
              <w:tab w:val="right" w:pos="9026" w:leader="dot"/>
            </w:tabs>
            <w:rPr/>
          </w:pPr>
          <w:hyperlink w:anchor="__RefHeading___Toc7767386_2870459653">
            <w:r>
              <w:rPr>
                <w:webHidden/>
                <w:rStyle w:val="IndexLink"/>
                <w:rtl w:val="true"/>
              </w:rPr>
              <w:t>آموزش الکترونیکی</w:t>
            </w:r>
            <w:r>
              <w:rPr>
                <w:rStyle w:val="IndexLink"/>
                <w:rtl w:val="true"/>
              </w:rPr>
              <w:tab/>
            </w:r>
            <w:r>
              <w:rPr>
                <w:rStyle w:val="IndexLink"/>
              </w:rPr>
              <w:t>727</w:t>
            </w:r>
          </w:hyperlink>
        </w:p>
        <w:p>
          <w:pPr>
            <w:pStyle w:val="Contents3"/>
            <w:tabs>
              <w:tab w:val="clear" w:pos="8459"/>
              <w:tab w:val="right" w:pos="9026" w:leader="dot"/>
            </w:tabs>
            <w:rPr/>
          </w:pPr>
          <w:hyperlink w:anchor="__RefHeading___Toc7767388_2870459653">
            <w:r>
              <w:rPr>
                <w:webHidden/>
                <w:rStyle w:val="IndexLink"/>
                <w:rtl w:val="true"/>
              </w:rPr>
              <w:t>آموزش کتابداری و اطلاع رسانی</w:t>
            </w:r>
            <w:r>
              <w:rPr>
                <w:rStyle w:val="IndexLink"/>
                <w:rtl w:val="true"/>
              </w:rPr>
              <w:tab/>
            </w:r>
            <w:r>
              <w:rPr>
                <w:rStyle w:val="IndexLink"/>
              </w:rPr>
              <w:t>727</w:t>
            </w:r>
          </w:hyperlink>
        </w:p>
        <w:p>
          <w:pPr>
            <w:pStyle w:val="Contents3"/>
            <w:tabs>
              <w:tab w:val="clear" w:pos="8459"/>
              <w:tab w:val="right" w:pos="9026" w:leader="dot"/>
            </w:tabs>
            <w:rPr/>
          </w:pPr>
          <w:hyperlink w:anchor="__RefHeading___Toc7767390_2870459653">
            <w:r>
              <w:rPr>
                <w:webHidden/>
                <w:rStyle w:val="IndexLink"/>
                <w:rtl w:val="true"/>
              </w:rPr>
              <w:t>چندفرهنگی</w:t>
            </w:r>
            <w:r>
              <w:rPr>
                <w:rStyle w:val="IndexLink"/>
                <w:rtl w:val="true"/>
              </w:rPr>
              <w:tab/>
            </w:r>
            <w:r>
              <w:rPr>
                <w:rStyle w:val="IndexLink"/>
              </w:rPr>
              <w:t>728</w:t>
            </w:r>
          </w:hyperlink>
        </w:p>
        <w:p>
          <w:pPr>
            <w:pStyle w:val="Contents3"/>
            <w:tabs>
              <w:tab w:val="clear" w:pos="8459"/>
              <w:tab w:val="right" w:pos="9026" w:leader="dot"/>
            </w:tabs>
            <w:rPr/>
          </w:pPr>
          <w:hyperlink w:anchor="__RefHeading___Toc7767392_2870459653">
            <w:r>
              <w:rPr>
                <w:webHidden/>
                <w:rStyle w:val="IndexLink"/>
                <w:rtl w:val="true"/>
              </w:rPr>
              <w:t>حفاظت رقمی</w:t>
            </w:r>
            <w:r>
              <w:rPr>
                <w:rStyle w:val="IndexLink"/>
                <w:rtl w:val="true"/>
              </w:rPr>
              <w:tab/>
            </w:r>
            <w:r>
              <w:rPr>
                <w:rStyle w:val="IndexLink"/>
              </w:rPr>
              <w:t>728</w:t>
            </w:r>
          </w:hyperlink>
        </w:p>
        <w:p>
          <w:pPr>
            <w:pStyle w:val="Contents3"/>
            <w:tabs>
              <w:tab w:val="clear" w:pos="8459"/>
              <w:tab w:val="right" w:pos="9026" w:leader="dot"/>
            </w:tabs>
            <w:rPr/>
          </w:pPr>
          <w:hyperlink w:anchor="__RefHeading___Toc7767394_2870459653">
            <w:r>
              <w:rPr>
                <w:webHidden/>
                <w:rStyle w:val="IndexLink"/>
                <w:rtl w:val="true"/>
              </w:rPr>
              <w:t>خدمات مرجع الکترونیکی</w:t>
            </w:r>
            <w:r>
              <w:rPr>
                <w:rStyle w:val="IndexLink"/>
                <w:rtl w:val="true"/>
              </w:rPr>
              <w:tab/>
            </w:r>
            <w:r>
              <w:rPr>
                <w:rStyle w:val="IndexLink"/>
              </w:rPr>
              <w:t>728</w:t>
            </w:r>
          </w:hyperlink>
        </w:p>
        <w:p>
          <w:pPr>
            <w:pStyle w:val="Contents3"/>
            <w:tabs>
              <w:tab w:val="clear" w:pos="8459"/>
              <w:tab w:val="right" w:pos="9026" w:leader="dot"/>
            </w:tabs>
            <w:rPr/>
          </w:pPr>
          <w:hyperlink w:anchor="__RefHeading___Toc7767396_2870459653">
            <w:r>
              <w:rPr>
                <w:webHidden/>
                <w:rStyle w:val="IndexLink"/>
                <w:rtl w:val="true"/>
              </w:rPr>
              <w:t>سواد اطلاعاتی</w:t>
            </w:r>
            <w:r>
              <w:rPr>
                <w:rStyle w:val="IndexLink"/>
                <w:rtl w:val="true"/>
              </w:rPr>
              <w:tab/>
            </w:r>
            <w:r>
              <w:rPr>
                <w:rStyle w:val="IndexLink"/>
              </w:rPr>
              <w:t>728</w:t>
            </w:r>
          </w:hyperlink>
        </w:p>
        <w:p>
          <w:pPr>
            <w:pStyle w:val="Contents3"/>
            <w:tabs>
              <w:tab w:val="clear" w:pos="8459"/>
              <w:tab w:val="right" w:pos="9026" w:leader="dot"/>
            </w:tabs>
            <w:rPr/>
          </w:pPr>
          <w:hyperlink w:anchor="__RefHeading___Toc7767398_2870459653">
            <w:r>
              <w:rPr>
                <w:webHidden/>
                <w:rStyle w:val="IndexLink"/>
                <w:rtl w:val="true"/>
              </w:rPr>
              <w:t>فهرستنویسی</w:t>
            </w:r>
            <w:r>
              <w:rPr>
                <w:rStyle w:val="IndexLink"/>
                <w:rtl w:val="true"/>
              </w:rPr>
              <w:tab/>
            </w:r>
            <w:r>
              <w:rPr>
                <w:rStyle w:val="IndexLink"/>
              </w:rPr>
              <w:t>728</w:t>
            </w:r>
          </w:hyperlink>
        </w:p>
        <w:p>
          <w:pPr>
            <w:pStyle w:val="Contents3"/>
            <w:tabs>
              <w:tab w:val="clear" w:pos="8459"/>
              <w:tab w:val="right" w:pos="9026" w:leader="dot"/>
            </w:tabs>
            <w:rPr/>
          </w:pPr>
          <w:hyperlink w:anchor="__RefHeading___Toc7767400_2870459653">
            <w:r>
              <w:rPr>
                <w:webHidden/>
                <w:rStyle w:val="IndexLink"/>
                <w:rtl w:val="true"/>
              </w:rPr>
              <w:t>کتابخانه ها</w:t>
            </w:r>
            <w:r>
              <w:rPr>
                <w:rStyle w:val="IndexLink"/>
                <w:rtl w:val="true"/>
              </w:rPr>
              <w:t xml:space="preserve">- </w:t>
            </w:r>
            <w:r>
              <w:rPr>
                <w:rStyle w:val="IndexLink"/>
                <w:rtl w:val="true"/>
              </w:rPr>
              <w:t>خدمات چندرسانه ای</w:t>
            </w:r>
            <w:r>
              <w:rPr>
                <w:rStyle w:val="IndexLink"/>
                <w:rtl w:val="true"/>
              </w:rPr>
              <w:tab/>
            </w:r>
            <w:r>
              <w:rPr>
                <w:rStyle w:val="IndexLink"/>
              </w:rPr>
              <w:t>729</w:t>
            </w:r>
          </w:hyperlink>
        </w:p>
        <w:p>
          <w:pPr>
            <w:pStyle w:val="Contents3"/>
            <w:tabs>
              <w:tab w:val="clear" w:pos="8459"/>
              <w:tab w:val="right" w:pos="9026" w:leader="dot"/>
            </w:tabs>
            <w:rPr/>
          </w:pPr>
          <w:hyperlink w:anchor="__RefHeading___Toc7767402_2870459653">
            <w:r>
              <w:rPr>
                <w:webHidden/>
                <w:rStyle w:val="IndexLink"/>
                <w:rtl w:val="true"/>
              </w:rPr>
              <w:t xml:space="preserve">کتابخانه ها </w:t>
            </w:r>
            <w:r>
              <w:rPr>
                <w:rStyle w:val="IndexLink"/>
                <w:rtl w:val="true"/>
              </w:rPr>
              <w:t xml:space="preserve">- </w:t>
            </w:r>
            <w:r>
              <w:rPr>
                <w:rStyle w:val="IndexLink"/>
                <w:rtl w:val="true"/>
              </w:rPr>
              <w:t>سیاست حق مولف</w:t>
            </w:r>
            <w:r>
              <w:rPr>
                <w:rStyle w:val="IndexLink"/>
                <w:rtl w:val="true"/>
              </w:rPr>
              <w:tab/>
            </w:r>
            <w:r>
              <w:rPr>
                <w:rStyle w:val="IndexLink"/>
              </w:rPr>
              <w:t>729</w:t>
            </w:r>
          </w:hyperlink>
        </w:p>
        <w:p>
          <w:pPr>
            <w:pStyle w:val="Contents3"/>
            <w:tabs>
              <w:tab w:val="clear" w:pos="8459"/>
              <w:tab w:val="right" w:pos="9026" w:leader="dot"/>
            </w:tabs>
            <w:rPr/>
          </w:pPr>
          <w:hyperlink w:anchor="__RefHeading___Toc7767404_2870459653">
            <w:r>
              <w:rPr>
                <w:webHidden/>
                <w:rStyle w:val="IndexLink"/>
                <w:rtl w:val="true"/>
              </w:rPr>
              <w:t>کتابخانه های الکترونیکی</w:t>
            </w:r>
            <w:r>
              <w:rPr>
                <w:rStyle w:val="IndexLink"/>
                <w:rtl w:val="true"/>
              </w:rPr>
              <w:tab/>
            </w:r>
            <w:r>
              <w:rPr>
                <w:rStyle w:val="IndexLink"/>
              </w:rPr>
              <w:t>729</w:t>
            </w:r>
          </w:hyperlink>
        </w:p>
        <w:p>
          <w:pPr>
            <w:pStyle w:val="Contents3"/>
            <w:tabs>
              <w:tab w:val="clear" w:pos="8459"/>
              <w:tab w:val="right" w:pos="9026" w:leader="dot"/>
            </w:tabs>
            <w:rPr/>
          </w:pPr>
          <w:hyperlink w:anchor="__RefHeading___Toc7767406_2870459653">
            <w:r>
              <w:rPr>
                <w:webHidden/>
                <w:rStyle w:val="IndexLink"/>
                <w:rtl w:val="true"/>
              </w:rPr>
              <w:t>کتابخانه های دولتی</w:t>
            </w:r>
            <w:r>
              <w:rPr>
                <w:rStyle w:val="IndexLink"/>
                <w:rtl w:val="true"/>
              </w:rPr>
              <w:tab/>
            </w:r>
            <w:r>
              <w:rPr>
                <w:rStyle w:val="IndexLink"/>
              </w:rPr>
              <w:t>729</w:t>
            </w:r>
          </w:hyperlink>
        </w:p>
        <w:p>
          <w:pPr>
            <w:pStyle w:val="Contents3"/>
            <w:tabs>
              <w:tab w:val="clear" w:pos="8459"/>
              <w:tab w:val="right" w:pos="9026" w:leader="dot"/>
            </w:tabs>
            <w:rPr/>
          </w:pPr>
          <w:hyperlink w:anchor="__RefHeading___Toc7767408_2870459653">
            <w:r>
              <w:rPr>
                <w:webHidden/>
                <w:rStyle w:val="IndexLink"/>
                <w:rtl w:val="true"/>
              </w:rPr>
              <w:t>کتابداری بین المللی</w:t>
            </w:r>
            <w:r>
              <w:rPr>
                <w:rStyle w:val="IndexLink"/>
                <w:rtl w:val="true"/>
              </w:rPr>
              <w:tab/>
            </w:r>
            <w:r>
              <w:rPr>
                <w:rStyle w:val="IndexLink"/>
              </w:rPr>
              <w:t>730</w:t>
            </w:r>
          </w:hyperlink>
        </w:p>
        <w:p>
          <w:pPr>
            <w:pStyle w:val="Contents3"/>
            <w:tabs>
              <w:tab w:val="clear" w:pos="8459"/>
              <w:tab w:val="right" w:pos="9026" w:leader="dot"/>
            </w:tabs>
            <w:rPr/>
          </w:pPr>
          <w:hyperlink w:anchor="__RefHeading___Toc7767410_2870459653">
            <w:r>
              <w:rPr>
                <w:webHidden/>
                <w:rStyle w:val="IndexLink"/>
                <w:rtl w:val="true"/>
              </w:rPr>
              <w:t>کتابشناسی</w:t>
            </w:r>
            <w:r>
              <w:rPr>
                <w:rStyle w:val="IndexLink"/>
                <w:rtl w:val="true"/>
              </w:rPr>
              <w:tab/>
            </w:r>
            <w:r>
              <w:rPr>
                <w:rStyle w:val="IndexLink"/>
              </w:rPr>
              <w:t>730</w:t>
            </w:r>
          </w:hyperlink>
        </w:p>
        <w:p>
          <w:pPr>
            <w:pStyle w:val="Contents3"/>
            <w:tabs>
              <w:tab w:val="clear" w:pos="8459"/>
              <w:tab w:val="right" w:pos="9026" w:leader="dot"/>
            </w:tabs>
            <w:rPr/>
          </w:pPr>
          <w:hyperlink w:anchor="__RefHeading___Toc7767412_2870459653">
            <w:r>
              <w:rPr>
                <w:webHidden/>
                <w:rStyle w:val="IndexLink"/>
                <w:rtl w:val="true"/>
              </w:rPr>
              <w:t>مدیریت دانش</w:t>
            </w:r>
            <w:r>
              <w:rPr>
                <w:rStyle w:val="IndexLink"/>
                <w:rtl w:val="true"/>
              </w:rPr>
              <w:tab/>
            </w:r>
            <w:r>
              <w:rPr>
                <w:rStyle w:val="IndexLink"/>
              </w:rPr>
              <w:t>730</w:t>
            </w:r>
          </w:hyperlink>
        </w:p>
        <w:p>
          <w:pPr>
            <w:pStyle w:val="Contents3"/>
            <w:tabs>
              <w:tab w:val="clear" w:pos="8459"/>
              <w:tab w:val="right" w:pos="9026" w:leader="dot"/>
            </w:tabs>
            <w:rPr/>
          </w:pPr>
          <w:hyperlink w:anchor="__RefHeading___Toc7767414_2870459653">
            <w:r>
              <w:rPr>
                <w:webHidden/>
                <w:rStyle w:val="IndexLink"/>
                <w:rtl w:val="true"/>
              </w:rPr>
              <w:t xml:space="preserve">مدیریت طرح های تحقیقاتی </w:t>
            </w:r>
            <w:r>
              <w:rPr>
                <w:rStyle w:val="IndexLink"/>
                <w:rtl w:val="true"/>
              </w:rPr>
              <w:t xml:space="preserve">/ </w:t>
            </w:r>
            <w:r>
              <w:rPr>
                <w:rStyle w:val="IndexLink"/>
                <w:rtl w:val="true"/>
              </w:rPr>
              <w:t>مدیریت داده ها</w:t>
            </w:r>
            <w:r>
              <w:rPr>
                <w:rStyle w:val="IndexLink"/>
                <w:rtl w:val="true"/>
              </w:rPr>
              <w:tab/>
            </w:r>
            <w:r>
              <w:rPr>
                <w:rStyle w:val="IndexLink"/>
              </w:rPr>
              <w:t>730</w:t>
            </w:r>
          </w:hyperlink>
        </w:p>
        <w:p>
          <w:pPr>
            <w:pStyle w:val="Contents3"/>
            <w:tabs>
              <w:tab w:val="clear" w:pos="8459"/>
              <w:tab w:val="right" w:pos="9026" w:leader="dot"/>
            </w:tabs>
            <w:rPr/>
          </w:pPr>
          <w:hyperlink w:anchor="__RefHeading___Toc7767416_2870459653">
            <w:r>
              <w:rPr>
                <w:webHidden/>
                <w:rStyle w:val="IndexLink"/>
                <w:rtl w:val="true"/>
              </w:rPr>
              <w:t>مدیریت کتابخانه ها و مراکز اطلاع رسانی</w:t>
            </w:r>
            <w:r>
              <w:rPr>
                <w:rStyle w:val="IndexLink"/>
                <w:rtl w:val="true"/>
              </w:rPr>
              <w:tab/>
            </w:r>
            <w:r>
              <w:rPr>
                <w:rStyle w:val="IndexLink"/>
              </w:rPr>
              <w:t>731</w:t>
            </w:r>
          </w:hyperlink>
        </w:p>
        <w:p>
          <w:pPr>
            <w:pStyle w:val="Contents3"/>
            <w:tabs>
              <w:tab w:val="clear" w:pos="8459"/>
              <w:tab w:val="right" w:pos="9026" w:leader="dot"/>
            </w:tabs>
            <w:rPr/>
          </w:pPr>
          <w:hyperlink w:anchor="__RefHeading___Toc7767418_2870459653">
            <w:r>
              <w:rPr>
                <w:webHidden/>
                <w:rStyle w:val="IndexLink"/>
                <w:rtl w:val="true"/>
              </w:rPr>
              <w:t>مصورسازی اطلاعات</w:t>
            </w:r>
            <w:r>
              <w:rPr>
                <w:rStyle w:val="IndexLink"/>
                <w:rtl w:val="true"/>
              </w:rPr>
              <w:tab/>
            </w:r>
            <w:r>
              <w:rPr>
                <w:rStyle w:val="IndexLink"/>
              </w:rPr>
              <w:t>731</w:t>
            </w:r>
          </w:hyperlink>
        </w:p>
        <w:p>
          <w:pPr>
            <w:pStyle w:val="Contents3"/>
            <w:tabs>
              <w:tab w:val="clear" w:pos="8459"/>
              <w:tab w:val="right" w:pos="9026" w:leader="dot"/>
            </w:tabs>
            <w:rPr/>
          </w:pPr>
          <w:hyperlink w:anchor="__RefHeading___Toc7767420_2870459653">
            <w:r>
              <w:rPr>
                <w:webHidden/>
                <w:rStyle w:val="IndexLink"/>
                <w:rtl w:val="true"/>
              </w:rPr>
              <w:t xml:space="preserve">مطالعه </w:t>
            </w:r>
            <w:r>
              <w:rPr>
                <w:rStyle w:val="IndexLink"/>
                <w:rtl w:val="true"/>
              </w:rPr>
              <w:t xml:space="preserve">/ </w:t>
            </w:r>
            <w:r>
              <w:rPr>
                <w:rStyle w:val="IndexLink"/>
                <w:rtl w:val="true"/>
              </w:rPr>
              <w:t>خواندن</w:t>
            </w:r>
            <w:r>
              <w:rPr>
                <w:rStyle w:val="IndexLink"/>
                <w:rtl w:val="true"/>
              </w:rPr>
              <w:tab/>
            </w:r>
            <w:r>
              <w:rPr>
                <w:rStyle w:val="IndexLink"/>
              </w:rPr>
              <w:t>731</w:t>
            </w:r>
          </w:hyperlink>
        </w:p>
        <w:p>
          <w:pPr>
            <w:pStyle w:val="Contents3"/>
            <w:tabs>
              <w:tab w:val="clear" w:pos="8459"/>
              <w:tab w:val="right" w:pos="9026" w:leader="dot"/>
            </w:tabs>
            <w:rPr/>
          </w:pPr>
          <w:hyperlink w:anchor="__RefHeading___Toc7767422_2870459653">
            <w:r>
              <w:rPr>
                <w:webHidden/>
                <w:rStyle w:val="IndexLink"/>
                <w:rtl w:val="true"/>
              </w:rPr>
              <w:t>مواد کتابخانه ای</w:t>
            </w:r>
            <w:r>
              <w:rPr>
                <w:rStyle w:val="IndexLink"/>
                <w:rtl w:val="true"/>
              </w:rPr>
              <w:t xml:space="preserve">- </w:t>
            </w:r>
            <w:r>
              <w:rPr>
                <w:rStyle w:val="IndexLink"/>
                <w:rtl w:val="true"/>
              </w:rPr>
              <w:t>نگهداری و مرمت</w:t>
            </w:r>
            <w:r>
              <w:rPr>
                <w:rStyle w:val="IndexLink"/>
                <w:rtl w:val="true"/>
              </w:rPr>
              <w:tab/>
            </w:r>
            <w:r>
              <w:rPr>
                <w:rStyle w:val="IndexLink"/>
              </w:rPr>
              <w:t>731</w:t>
            </w:r>
          </w:hyperlink>
        </w:p>
        <w:p>
          <w:pPr>
            <w:pStyle w:val="Contents3"/>
            <w:tabs>
              <w:tab w:val="clear" w:pos="8459"/>
              <w:tab w:val="right" w:pos="9026" w:leader="dot"/>
            </w:tabs>
            <w:rPr/>
          </w:pPr>
          <w:hyperlink w:anchor="__RefHeading___Toc7767424_2870459653">
            <w:r>
              <w:rPr>
                <w:webHidden/>
                <w:rStyle w:val="IndexLink"/>
                <w:rtl w:val="true"/>
              </w:rPr>
              <w:t>یادگیری سازمانی</w:t>
            </w:r>
            <w:r>
              <w:rPr>
                <w:rStyle w:val="IndexLink"/>
                <w:rtl w:val="true"/>
              </w:rPr>
              <w:tab/>
            </w:r>
            <w:r>
              <w:rPr>
                <w:rStyle w:val="IndexLink"/>
              </w:rPr>
              <w:t>731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53_81669"/>
      <w:bookmarkStart w:id="1" w:name="pg9653_81669"/>
      <w:bookmarkEnd w:id="1"/>
    </w:p>
    <w:p>
      <w:pPr>
        <w:pStyle w:val="Heading2"/>
        <w:numPr>
          <w:ilvl w:val="1"/>
          <w:numId w:val="1"/>
        </w:numPr>
        <w:rPr/>
      </w:pPr>
      <w:bookmarkStart w:id="2" w:name="pg9653_81669"/>
      <w:bookmarkStart w:id="3" w:name="__RefHeading___Toc776625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سالانه ایفلا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هشتمین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هلسینکی، فنلاند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IFLA General Conference‪ ( 78th : 2012 : Helsinki, Finland)</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مقالات ایفلا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هلسینکی، فنلاند،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علمی رضا خانی‌پور، با همكاری محبوبه قربانی؛ نمایه‌ساز حمید سلیم‌گندمی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همایش‌های کتابداری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IFLA 2012 &amp; 2013 78th, 11-17 August 2012, Helsinki, Finland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Library science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Information science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خانی‌پور، 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محبوبه،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گندمی، حمید،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سالانه ایفلا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نهمین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سنگاپور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IFLA General Conference‪ ( 79th : 2013 : Singapore)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ایفلا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Federation of Library Associations and Institutions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020/621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4456783</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http://dl.nlai.ir/UI/1cd2641e-53cc-4daf-bd42-1c5aacd89fa6/Catalogue.asp</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66254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گزیده مقالات ایفلا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هلسینکی، فنلاند،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علمی</w:t>
      </w:r>
    </w:p>
    <w:p>
      <w:pPr>
        <w:pStyle w:val="BookText"/>
        <w:rPr/>
      </w:pPr>
      <w:r>
        <w:rPr>
          <w:rFonts w:ascii="IRNazanin" w:hAnsi="IRNazanin" w:eastAsia="IRNazanin"/>
          <w:color w:val="111111"/>
          <w:sz w:val="28"/>
          <w:sz w:val="28"/>
          <w:szCs w:val="28"/>
          <w:rtl w:val="true"/>
          <w:lang w:bidi="fa-IR"/>
        </w:rPr>
        <w:t>رضا خانی پور</w:t>
      </w:r>
    </w:p>
    <w:p>
      <w:pPr>
        <w:pStyle w:val="BookText"/>
        <w:rPr/>
      </w:pPr>
      <w:r>
        <w:rPr>
          <w:rFonts w:ascii="IRNazanin" w:hAnsi="IRNazanin" w:eastAsia="IRNazanin"/>
          <w:color w:val="111111"/>
          <w:sz w:val="28"/>
          <w:sz w:val="28"/>
          <w:szCs w:val="28"/>
          <w:rtl w:val="true"/>
          <w:lang w:bidi="fa-IR"/>
        </w:rPr>
        <w:t>با همکاری</w:t>
      </w:r>
    </w:p>
    <w:p>
      <w:pPr>
        <w:pStyle w:val="BookText"/>
        <w:rPr/>
      </w:pPr>
      <w:r>
        <w:rPr>
          <w:rFonts w:ascii="IRNazanin" w:hAnsi="IRNazanin" w:eastAsia="IRNazanin"/>
          <w:color w:val="111111"/>
          <w:sz w:val="28"/>
          <w:sz w:val="28"/>
          <w:szCs w:val="28"/>
          <w:rtl w:val="true"/>
          <w:lang w:bidi="fa-IR"/>
        </w:rPr>
        <w:t>محبوبه قربانی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خانی پور، 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 ویراستار</w:t>
      </w:r>
    </w:p>
    <w:p>
      <w:pPr>
        <w:pStyle w:val="BookText"/>
        <w:rPr/>
      </w:pPr>
      <w:r>
        <w:rPr>
          <w:rFonts w:ascii="IRNazanin" w:hAnsi="IRNazanin" w:eastAsia="IRNazanin"/>
          <w:color w:val="111111"/>
          <w:sz w:val="28"/>
          <w:sz w:val="28"/>
          <w:szCs w:val="28"/>
          <w:rtl w:val="true"/>
          <w:lang w:bidi="fa-IR"/>
        </w:rPr>
        <w:t xml:space="preserve">گزیده مقالات ایفلا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هلسینکی فنلاند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علمی رضا خانی پور، با همکاری محبوبه قربانی؛ نمایه ساز حمید سلیم گندمی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Library science -- Congresses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Library science -- Addresses, essays, lectures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congresses -- Information science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Addresses, essays, lectures -- Information science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محبوبه،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گندمی، حمید،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سالانه 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و هشتمین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هلسینکی فنلاند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IFLA General Conference ( 78th : 2012 : Helsinki, Finland)</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سالانه 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و نهمین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سنگاپور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IFLA General Conference ( yath : 2013 : Singapore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Z672/5 1395 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020/621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4456783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ای</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 xml:space="preserve">گزیده مقالات ایفلا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 پور با همکاری محبوبه قربانی</w:t>
      </w:r>
    </w:p>
    <w:p>
      <w:pPr>
        <w:pStyle w:val="BookText"/>
        <w:rPr/>
      </w:pPr>
      <w:r>
        <w:rPr>
          <w:rFonts w:ascii="IRNazanin" w:hAnsi="IRNazanin" w:eastAsia="IRNazanin"/>
          <w:color w:val="111111"/>
          <w:sz w:val="28"/>
          <w:sz w:val="28"/>
          <w:szCs w:val="28"/>
          <w:rtl w:val="true"/>
          <w:lang w:bidi="fa-IR"/>
        </w:rPr>
        <w:t>نمایه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سلیم گندمی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ایران</w:t>
      </w:r>
    </w:p>
    <w:p>
      <w:pPr>
        <w:pStyle w:val="BookText"/>
        <w:rPr/>
      </w:pPr>
      <w:r>
        <w:rPr>
          <w:rFonts w:ascii="IRNazanin" w:hAnsi="IRNazanin" w:eastAsia="IRNazanin"/>
          <w:color w:val="111111"/>
          <w:sz w:val="28"/>
          <w:sz w:val="28"/>
          <w:szCs w:val="28"/>
          <w:rtl w:val="true"/>
          <w:lang w:bidi="fa-IR"/>
        </w:rPr>
        <w:t>سید آصف آصفی</w:t>
      </w:r>
    </w:p>
    <w:p>
      <w:pPr>
        <w:pStyle w:val="BookText"/>
        <w:rPr/>
      </w:pPr>
      <w:r>
        <w:rPr>
          <w:rFonts w:ascii="IRNazanin" w:hAnsi="IRNazanin" w:eastAsia="IRNazanin"/>
          <w:color w:val="111111"/>
          <w:sz w:val="28"/>
          <w:sz w:val="28"/>
          <w:szCs w:val="28"/>
          <w:rtl w:val="true"/>
          <w:lang w:bidi="fa-IR"/>
        </w:rPr>
        <w:t>طرح جلد،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خوری، علیرضا خورسندی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ایستگاه مترو، بلوار کتابخانه ملی</w:t>
      </w:r>
    </w:p>
    <w:p>
      <w:pPr>
        <w:pStyle w:val="BookText"/>
        <w:rPr/>
      </w:pPr>
      <w:r>
        <w:rPr>
          <w:rFonts w:ascii="IRNazanin" w:hAnsi="IRNazanin" w:eastAsia="IRNazanin"/>
          <w:color w:val="111111"/>
          <w:sz w:val="28"/>
          <w:sz w:val="28"/>
          <w:szCs w:val="28"/>
          <w:rtl w:val="true"/>
          <w:lang w:bidi="fa-IR"/>
        </w:rPr>
        <w:t>دفتر فروش</w:t>
      </w:r>
      <w:r>
        <w:rPr>
          <w:rFonts w:eastAsia="IRNazanin" w:cs="IRNazanin"/>
          <w:color w:val="111111"/>
          <w:sz w:val="28"/>
          <w:szCs w:val="28"/>
          <w:rtl w:val="true"/>
          <w:lang w:bidi="fa-IR"/>
        </w:rPr>
        <w:t xml:space="preserve">: </w:t>
      </w:r>
      <w:r>
        <w:rPr>
          <w:rFonts w:eastAsia="IRNazanin" w:cs="IRNazanin"/>
          <w:color w:val="111111"/>
          <w:sz w:val="28"/>
          <w:szCs w:val="28"/>
          <w:lang w:bidi="fa-IR"/>
        </w:rPr>
        <w:t>81623277</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bookmarkStart w:id="7" w:name="pg9653_81673"/>
    </w:p>
    <w:p>
      <w:pPr>
        <w:pStyle w:val="Heading2"/>
        <w:numPr>
          <w:ilvl w:val="1"/>
          <w:numId w:val="1"/>
        </w:numPr>
        <w:rPr/>
      </w:pPr>
      <w:bookmarkStart w:id="8" w:name="__RefHeading___Toc7766256_2870459653"/>
      <w:bookmarkStart w:id="9" w:name="_Toc3"/>
      <w:bookmarkEnd w:id="7"/>
      <w:bookmarkEnd w:id="8"/>
      <w:r>
        <w:rPr>
          <w:rtl w:val="true"/>
        </w:rPr>
        <w:t xml:space="preserve">فهرست مندرجات </w:t>
      </w:r>
      <w:r>
        <w:rPr/>
        <w:t>2012</w:t>
      </w:r>
      <w:r>
        <w:rPr>
          <w:rtl w:val="true"/>
        </w:rPr>
        <w:t>-</w:t>
      </w:r>
      <w:r>
        <w:rPr/>
        <w:t>2013</w:t>
      </w:r>
      <w:bookmarkEnd w:id="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داده های پژوهشی ملی در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لین کوپلند، برنت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اباذری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مجموعه های خاص در نمایه چندرسانه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پاتریتسیا مارتینی، گابریلا گونتاردی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اظهره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مدیریت داده ها در دانشگاه نورث آمپتون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میگی پیکتون، سارا جونز، مارکی 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مریم اسدی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جوامع دانش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خط مشی ملی برای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کارول پریستلی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امیررضا اصنافی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پیوندی برای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انتقال مفهومی از ساختارهای رکوردی کتابخانه ای به مدل های داده ای بر پایه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گِتِنه آلمیو، برت استیونز، پنی راس، جین چندلر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سعیده اکبری داریان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پیایندهای جدید، نقشه های جدید، موضوعات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شارون دایاس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زینب پاپی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همۀ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جامع به مدیریت حفاظت منابع کتابخانه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هیتر براون، راس هاروی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مهسا پورحقانی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کتابداری بین المللی، توسعه و نظریه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اِستیو 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تهوری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قابلیت و دسترس پذیری کتاب خوان های الکترونیکی برای افرادی که توانایی مطالعه آثار مکتوب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اِستفانی ماتا، لوری بونیچی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افسانه تیموری خانی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سازی حفاظت فیزیکی و رقومی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مؤثر در کتابخانه ملی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فیلیپ والِس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جعفرزاده کرمانی، گیسو گمرکی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آفریقا به عنوان مراکز آموزش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تورد هُیویک ترجمه لاله جولاهی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کمال در پژوهش های تطبیقی و بین المللی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لور پیتر جوهان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نجلا حریری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اخبار و روزنامه های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نیک کرابنهوفت، کاترین اسکینر، مت شولتس و فردریک 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مهدی خادمیان</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فرهنگی در کتابخانه های دانشگاه تورنتو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جک هانگ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 لئونگ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رضا خانی پور</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درونی سواد اطلاعاتی با استفاده از محیط های آموزش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دیوید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لورتشا، بلانچ وولز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فریبرز درودی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چالاکی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راهبردهایی برای موفقیت در مدت زمان تغییرات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کتابخانه دانشگاهی استرالیایی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اندرو 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محبوبه ربیعی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برخط گسترده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روند تکامل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ماریلن کالتر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عارف 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مجهز به نقشه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مطلوب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بارتلومی ولودار 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فیروزان زهادی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العمل برای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تیمو روحلا، ماریتا هارجونپا، آنکی مولاری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سلیم گندمی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توصیفی ایالات متحده برای اسناد، نسخ خطی تاریخی و کتاب های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گوردون دینز، کوری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لیلی سیفی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عوت به ضیافت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دسترسی به کتاب های الکترونیکی در کتابخانه های عمومی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هلن برازیر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فرزانه شادانپور</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پل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کتابخانه های یوروپیانا تا روزنامه های یوروپیانا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سوزان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صدیقه شاکری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کتابخانه ها در نگهداری و مراقبت از داده های پژوهشی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یک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اَشیم اُسوالد، استفان استراثمن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مهدی طاهری، سید محمد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خدمات جدید در محیط حومه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مطالعه مایلی پیورو به یک کتابخانه رسانه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کورت هیرن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نرگس خاتون عزیزیان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عملکردها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 آماری در کتابخانه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تورد هُیویک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ابراهیم عمرانی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دارندگان حقوق انحصاری کتابخانه ها و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شفیق، آبیدا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رجمه سعید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مجوز رسانه های دیداری شنیداری علمی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الکه برم ترجمه سهیلا فعال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مجازی در مؤسسات سرمایه گذار پژوهشی، رویکرد متن باز به اشاعه اطلاعات برای دانشگاهیان، گروه های پژوهشی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دیه گو فریرا اوکا، گیلرمه گیاکتو موریرا، رُزالی فاوِرو کِرزیزانووسکی، اینِس ماریا دِموریس ایمپراتریز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محبوبه قربانی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ملی از اینترنت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تلاش می کنی مرا از میان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یِروسلاو پاسِک، مَگدانا کِرینیسکا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معصومه کربلا آقایی کامران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نظام مدیریتی هوشمند از طریق پردازش شبکه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مارگارت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احترام کیانمهر</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کتابشناسی ها برای آینده، الگویی پژوهش محور برای کتابشناسی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هِگ اِستنسرود حسین، ایرن 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گیلوری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آرشیوسازی انقلاب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میدان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استیون اور 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نرگس محمد علی پور</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بر فراز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کتابداران از حصار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سارا وینگیت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فرناز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در چندینگی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حفاظت رقومی توزیع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اِرون تِراب، مارتین هالبرت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 مقدمی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در مواقع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پترا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عصمت مومنی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کتابداری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جوامع محلی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شوکرایا بنتی حج یون، گیتا آلبرت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زهره میرحسینی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زنده و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کتابخانه ها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آرشیوهای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پشتیبانی، بکارگیری و مستندسازی جنبش های اجتماعی بکار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تا ما را رودز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اعظم نجفقلی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جنبه های نظری و عملی در آموزش علوم کتابداری و اطلاع رسانی در آمریکای لاتین و کارائیب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فیلیبِرتو فیلیپه مارتینِز آرِلاندو، جِیمی رایوز اورتگا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لیلا نعمتی انارکی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دولتی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و ملاحظات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ماریا مونوپولی، آنا ماستور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مرضیه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یادگیری فهرستنویسی و رده بندی علوم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در آفریقای جنوبی، برزیل و 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دنیس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اوکالا و لیدمیلا او کالا، هوپ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اولسون و جینت آر، گلاور خوزه اوگوستو گویماراس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طاهره یعقوب پور نرگسی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ها </w:t>
      </w:r>
      <w:bookmarkStart w:id="10" w:name="pg9653_81677"/>
    </w:p>
    <w:p>
      <w:pPr>
        <w:pStyle w:val="Heading2"/>
        <w:numPr>
          <w:ilvl w:val="1"/>
          <w:numId w:val="1"/>
        </w:numPr>
        <w:rPr/>
      </w:pPr>
      <w:bookmarkStart w:id="11" w:name="__RefHeading___Toc7766258_2870459653"/>
      <w:bookmarkStart w:id="12" w:name="_Toc4"/>
      <w:bookmarkEnd w:id="10"/>
      <w:bookmarkEnd w:id="11"/>
      <w:r>
        <w:rPr>
          <w:rtl w:val="true"/>
        </w:rPr>
        <w:t>سخن نخست</w:t>
      </w:r>
      <w:r>
        <w:rPr>
          <w:rtl w:val="true"/>
        </w:rPr>
        <w:t>:</w:t>
      </w:r>
      <w:bookmarkEnd w:id="12"/>
    </w:p>
    <w:p>
      <w:pPr>
        <w:pStyle w:val="BookText"/>
        <w:rPr/>
      </w:pPr>
      <w:r>
        <w:rPr>
          <w:rFonts w:ascii="IRNazanin" w:hAnsi="IRNazanin" w:eastAsia="IRNazanin"/>
          <w:color w:val="111111"/>
          <w:sz w:val="28"/>
          <w:sz w:val="28"/>
          <w:szCs w:val="28"/>
          <w:rtl w:val="true"/>
          <w:lang w:bidi="fa-IR"/>
        </w:rPr>
        <w:t xml:space="preserve">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بین المللی انجمن ها و مؤسسات 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سازمان های مستقل، غیر دولتی و غیر انتفاعی در حوزه کتابداری و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فدراسیون برقراری ارتباط همکاری و ارتقای تفاهم بین المللی، پژوهش، توسعه و پیشرفت در موضوعات گوناگون این حوزه همچون سازماندهی اطلاعات، کتابشناسی، خدمات اطلاع رسانی، آموزش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در راستای وظایف ذاتی خود و به منظور اشاعه اطلاعات جدید و دانش افزایی در این عرصه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ترجمه و انتشار گزیده مقالات مهم ارائه شده در گردهمایی سالانه ایفلا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 این ارتباط ضروری به نظر می رسد این است که اعضای هیأت علمی استادان و کارشناسان خبره و اصولا جامعه کتابداری ما، می بایست علاوه بر بومی سازی تجارب مفید سایر کشورها، به مباحث بنیادی نظریه پردازی نیز در این حوزه توجه ویژه ای مبذول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فناوری های جدید در عرصه ارتباطات و اطلاعات ابزاری برای تعمیق، تحلیل و غنی سازی تمدن فرهنگ و تاریخ و پیشینه گرانسنگ علمی ما باشد، جایگاه و منزلت علم اطلاعات و دانش شناسی در کشور متحول خواهد شد و از این رهگذر در عرصه های جهانی حرف های زیادی برای گفتن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به مدد توفیقات الهی همکاری های همه جانبه و سازنده و هم افزایی دانش و تجربه متخصصان حوزه علم اطلاعات و دانش شناسی در این مسیر گام هایی ماندگار و ارزشمند بردارند و نقش حساس و تحول آفرین خود را به نحوی شایسته و در خور تحسین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دکتر رضا خانی پور که این کتاب به کوشش ایشان تدوین یافته است و نیز همکاران انتشارات که در آماده سازی آن تلاش داشته اند سپاسگزاری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صالحی امیری</w:t>
      </w:r>
    </w:p>
    <w:p>
      <w:pPr>
        <w:pStyle w:val="BookText"/>
        <w:rPr/>
      </w:pPr>
      <w:r>
        <w:rPr>
          <w:rFonts w:ascii="IRNazanin" w:hAnsi="IRNazanin" w:eastAsia="IRNazanin"/>
          <w:color w:val="111111"/>
          <w:sz w:val="28"/>
          <w:sz w:val="28"/>
          <w:szCs w:val="28"/>
          <w:rtl w:val="true"/>
          <w:lang w:bidi="fa-IR"/>
        </w:rPr>
        <w:t>رئیس سازمان اسناد و کتابخانه ملی</w:t>
      </w:r>
    </w:p>
    <w:p>
      <w:pPr>
        <w:pStyle w:val="BookText"/>
        <w:rPr/>
      </w:pPr>
      <w:r>
        <w:rPr>
          <w:rFonts w:ascii="IRNazanin" w:hAnsi="IRNazanin" w:eastAsia="IRNazanin"/>
          <w:color w:val="111111"/>
          <w:sz w:val="28"/>
          <w:sz w:val="28"/>
          <w:szCs w:val="28"/>
          <w:rtl w:val="true"/>
          <w:lang w:bidi="fa-IR"/>
        </w:rPr>
        <w:t>جمهوری اسلامی ایران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653_81679"/>
      <w:bookmarkStart w:id="14" w:name="pg9653_81679"/>
      <w:bookmarkEnd w:id="14"/>
    </w:p>
    <w:p>
      <w:pPr>
        <w:pStyle w:val="Heading2"/>
        <w:numPr>
          <w:ilvl w:val="1"/>
          <w:numId w:val="1"/>
        </w:numPr>
        <w:rPr/>
      </w:pPr>
      <w:bookmarkStart w:id="15" w:name="pg9653_81679"/>
      <w:bookmarkStart w:id="16" w:name="__RefHeading___Toc7766260_2870459653"/>
      <w:bookmarkStart w:id="17" w:name="_Toc5"/>
      <w:bookmarkEnd w:id="15"/>
      <w:bookmarkEnd w:id="16"/>
      <w:r>
        <w:rPr>
          <w:rtl w:val="true"/>
        </w:rPr>
        <w:t>مقدمه</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بین المللی انجمن ها و مؤسسات کتابداری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نهادی مستقل، غیر حکومتی و غیر انتفاعی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اهداف آن می توان به ارتقای تفاهم بین المللی همکاری، گفت و شنود و پژوهش و توسعه در همه حوزه های کتابداری؛ شامل کتابشناسی، خدمات اطلاع رسانی آموزش ایجاد تشکیلاتی که جنبه های بین المللی کتابداری را تقویت و ارائه نماید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دستیابی به اهداف پیشگفته ایفلا در زمینه انواع فعالیت هایی که مناسب و مفید تشخیص داده می شود تصمیم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عبارتند از حمایت و هماهنگی مطالعات و پژوهش ها، گردآوری، بررسی انتشار و اشاعه اطلاعات مرتبط با فعالیت های کتابداری تهیه کتابشناسی اطلاعات و آموزش، سازماندهی و برگزاری همایش های تخصصی همکاری با مؤسسات بین المللی در حوزه کتابداری و اطلاع ،رسانی سند پردازش آرشیوداری و ایجاد دفاتر برای انجام وظایف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ایفلا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گردهمایی بین المللی در شهر ادینبورو ادینبورگ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اسکاتلند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اجلاس ایفلا پس از جنگ جهانی دوم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اسلو با حضور پنجاه و دو نماینده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برگزار شد مهمترین دستاورد این اجلاس، توافقنامه همکاری میان ایفلا و یونسکو و همچنین پذیرفته شدن ساختار بین المللی فهرستبرگه ها بود مقر اصلی ایفلا، کتابخانه سلطنتی در شهر لاهه هلند است</w:t>
      </w:r>
      <w:r>
        <w:rPr>
          <w:rFonts w:eastAsia="IRNazanin" w:cs="IRNazanin"/>
          <w:color w:val="111111"/>
          <w:sz w:val="28"/>
          <w:szCs w:val="28"/>
          <w:rtl w:val="true"/>
          <w:lang w:bidi="fa-IR"/>
        </w:rPr>
        <w:t>.</w:t>
      </w:r>
    </w:p>
    <w:p>
      <w:pPr>
        <w:pStyle w:val="Heading2"/>
        <w:numPr>
          <w:ilvl w:val="1"/>
          <w:numId w:val="1"/>
        </w:numPr>
        <w:rPr/>
      </w:pPr>
      <w:bookmarkStart w:id="18" w:name="__RefHeading___Toc7766262_2870459653"/>
      <w:bookmarkStart w:id="19" w:name="_Toc6"/>
      <w:bookmarkEnd w:id="18"/>
      <w:r>
        <w:rPr>
          <w:rtl w:val="true"/>
        </w:rPr>
        <w:t>عضویت</w:t>
      </w:r>
      <w:r>
        <w:rPr>
          <w:rtl w:val="true"/>
        </w:rPr>
        <w:t>:</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ایفلا دو نوع عضویت با حق رأی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 و مؤسسات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ایفلا 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از یکصد و پنجاه و پنج کشور جهان دارد اعضای آن به هفت گروه اصلی از جمله انجمن ها مؤسسات ،افراد شرکت ها و کتابخانه های آموزشگاهی تقسیم می شوند </w:t>
      </w:r>
      <w:bookmarkStart w:id="20" w:name="pg9653_81680"/>
    </w:p>
    <w:p>
      <w:pPr>
        <w:pStyle w:val="Heading2"/>
        <w:numPr>
          <w:ilvl w:val="1"/>
          <w:numId w:val="1"/>
        </w:numPr>
        <w:rPr/>
      </w:pPr>
      <w:bookmarkStart w:id="21" w:name="__RefHeading___Toc7766264_2870459653"/>
      <w:bookmarkStart w:id="22" w:name="_Toc7"/>
      <w:bookmarkEnd w:id="20"/>
      <w:bookmarkEnd w:id="21"/>
      <w:r>
        <w:rPr>
          <w:rtl w:val="true"/>
        </w:rPr>
        <w:t>شاخه ها و بخش ها</w:t>
      </w:r>
      <w:bookmarkEnd w:id="22"/>
    </w:p>
    <w:p>
      <w:pPr>
        <w:pStyle w:val="BookText"/>
        <w:rPr/>
      </w:pPr>
      <w:r>
        <w:rPr>
          <w:rFonts w:ascii="IRNazanin" w:hAnsi="IRNazanin" w:eastAsia="IRNazanin"/>
          <w:color w:val="111111"/>
          <w:sz w:val="28"/>
          <w:sz w:val="28"/>
          <w:szCs w:val="28"/>
          <w:rtl w:val="true"/>
          <w:lang w:bidi="fa-IR"/>
        </w:rPr>
        <w:t>هشت شاخه اصلی ایفلا که هر کدام بخش های گوناگونی دارند،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های پژوهشی عمومی اعم از ملی دانشگاهی و پارلمانی؛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های تخصصی؛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های عمومی که بخش های کتابخانه های نابینایان، کودکان، آموزشگاهی و سیار در آن قرار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کتابشناختی اعم از کتابشناسی، فهرستنویسی رده بندی و نمایه سازی؛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سازی و خدمات عمومی؛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فن آوری اطلاعات؛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منطقه ای</w:t>
      </w:r>
      <w:r>
        <w:rPr>
          <w:rFonts w:eastAsia="IRNazanin" w:cs="IRNazanin"/>
          <w:color w:val="111111"/>
          <w:sz w:val="28"/>
          <w:szCs w:val="28"/>
          <w:rtl w:val="true"/>
          <w:lang w:bidi="fa-IR"/>
        </w:rPr>
        <w:t>.</w:t>
      </w:r>
    </w:p>
    <w:p>
      <w:pPr>
        <w:pStyle w:val="Heading2"/>
        <w:numPr>
          <w:ilvl w:val="1"/>
          <w:numId w:val="1"/>
        </w:numPr>
        <w:rPr/>
      </w:pPr>
      <w:bookmarkStart w:id="23" w:name="__RefHeading___Toc7766266_2870459653"/>
      <w:bookmarkStart w:id="24" w:name="_Toc8"/>
      <w:bookmarkEnd w:id="23"/>
      <w:r>
        <w:rPr>
          <w:rtl w:val="true"/>
        </w:rPr>
        <w:t>برنامه های اصلی</w:t>
      </w:r>
      <w:bookmarkEnd w:id="24"/>
    </w:p>
    <w:p>
      <w:pPr>
        <w:pStyle w:val="BookText"/>
        <w:rPr/>
      </w:pPr>
      <w:r>
        <w:rPr>
          <w:rFonts w:ascii="IRNazanin" w:hAnsi="IRNazanin" w:eastAsia="IRNazanin"/>
          <w:color w:val="111111"/>
          <w:sz w:val="28"/>
          <w:sz w:val="28"/>
          <w:szCs w:val="28"/>
          <w:rtl w:val="true"/>
          <w:lang w:bidi="fa-IR"/>
        </w:rPr>
        <w:t xml:space="preserve">ایفلا دارای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چندین میزگرد و گروه های کاری است که جنبه های متنوع و گسترده حوزه های کتابداری و اطلاع رسانی را در بر می گیرد؛ اما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اصلی است ایفلا همکاری میان بخش ها را برای به ثمر رساندن آن ها مورد تأکید و تشویق قرار می دهد این شش برنامه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کتابشناختی جهانی و مارک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جهانی به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بین المللی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حفاظت مواد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جهانی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پیشبرد کتابداری در جهان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Style w:val="FootnoteAnchor"/>
          <w:rtl w:val="true"/>
        </w:rPr>
        <w:footnoteReference w:id="8"/>
      </w:r>
      <w:bookmarkStart w:id="25" w:name="pg9653_81681"/>
    </w:p>
    <w:p>
      <w:pPr>
        <w:pStyle w:val="Heading2"/>
        <w:numPr>
          <w:ilvl w:val="1"/>
          <w:numId w:val="1"/>
        </w:numPr>
        <w:rPr/>
      </w:pPr>
      <w:bookmarkStart w:id="26" w:name="__RefHeading___Toc7766268_2870459653"/>
      <w:bookmarkStart w:id="27" w:name="_Toc9"/>
      <w:bookmarkEnd w:id="25"/>
      <w:bookmarkEnd w:id="26"/>
      <w:r>
        <w:rPr>
          <w:rtl w:val="true"/>
        </w:rPr>
        <w:t>بودجه</w:t>
      </w:r>
      <w:bookmarkEnd w:id="27"/>
    </w:p>
    <w:p>
      <w:pPr>
        <w:pStyle w:val="BookText"/>
        <w:rPr/>
      </w:pPr>
      <w:r>
        <w:rPr>
          <w:rFonts w:ascii="IRNazanin" w:hAnsi="IRNazanin" w:eastAsia="IRNazanin"/>
          <w:color w:val="111111"/>
          <w:sz w:val="28"/>
          <w:sz w:val="28"/>
          <w:szCs w:val="28"/>
          <w:rtl w:val="true"/>
          <w:lang w:bidi="fa-IR"/>
        </w:rPr>
        <w:t>کمک های مالی همکاران ایفلا، برخی از کشورها، نهادها، مؤسسات، نمایندگی ها و شرکت ها به منظور برگزاری همایش ها و کارگاه های آموزشی طرح های مطالعاتی و پژوهشی و همچنین دریافت حق عضویت است این ها در واقع تأمین کننده بخش عمده بودجه ایفلا محسوب می شوند فروش انتشارات نیز از منابع درآمدی این نهاد است برنامه های حرفه ای ایفلا با کمک های یونسکو و دیگر نهادهای ملی و بین المللی حمایت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اصلی ایفلا مورد حمایت بیست کتابخانه ملی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کتابخانه ملی و دانشگاهی نیز انجام این برنامه ها را برعهده دارند یا به عنوان دبیرخانه ایفلا فعالیت می کنند</w:t>
      </w:r>
      <w:r>
        <w:rPr>
          <w:rFonts w:eastAsia="IRNazanin" w:cs="IRNazanin"/>
          <w:color w:val="111111"/>
          <w:sz w:val="28"/>
          <w:szCs w:val="28"/>
          <w:rtl w:val="true"/>
          <w:lang w:bidi="fa-IR"/>
        </w:rPr>
        <w:t>.</w:t>
      </w:r>
    </w:p>
    <w:p>
      <w:pPr>
        <w:pStyle w:val="Heading2"/>
        <w:numPr>
          <w:ilvl w:val="1"/>
          <w:numId w:val="1"/>
        </w:numPr>
        <w:rPr/>
      </w:pPr>
      <w:bookmarkStart w:id="28" w:name="__RefHeading___Toc7766270_2870459653"/>
      <w:bookmarkStart w:id="29" w:name="_Toc10"/>
      <w:bookmarkEnd w:id="28"/>
      <w:r>
        <w:rPr>
          <w:rtl w:val="true"/>
        </w:rPr>
        <w:t>انتشارات</w:t>
      </w:r>
      <w:bookmarkEnd w:id="29"/>
    </w:p>
    <w:p>
      <w:pPr>
        <w:pStyle w:val="BookText"/>
        <w:rPr/>
      </w:pPr>
      <w:r>
        <w:rPr>
          <w:rFonts w:ascii="IRNazanin" w:hAnsi="IRNazanin" w:eastAsia="IRNazanin"/>
          <w:color w:val="111111"/>
          <w:sz w:val="28"/>
          <w:sz w:val="28"/>
          <w:szCs w:val="28"/>
          <w:rtl w:val="true"/>
          <w:lang w:bidi="fa-IR"/>
        </w:rPr>
        <w:t>نتایج و دستاوردهای علمی برنامه ها و اهداف ایفلا که در گروه های حرفه ای آن متجلی می شود در انتشارات، ذخیره و انتشار می یابد عمده انتشارات ایفلا شامل این عناوین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ایفلا</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چهار شماره در سال انتشار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نسخه اخبار و وقایع فعالیت ها و عناوین جاری ایفلا را پوشش می دهد همچنین موضوعات گوناگون بین المللی در حوزه کتابداری، از جمله آزادی اطلاعات، حفاظت، خدمات به نابینایان و مالکیت فکری را در برمی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سالانه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دستاوردهای سال گذشته ایفلا را منعکس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پیایندی ایفلا</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توسط انتشارات آلمانی </w:t>
      </w:r>
      <w:r>
        <w:rPr>
          <w:rFonts w:eastAsia="Times New Roman" w:cs="Times New Roman" w:ascii="Times New Roman" w:hAnsi="Times New Roman"/>
          <w:color w:val="111111"/>
          <w:sz w:val="28"/>
          <w:szCs w:val="28"/>
          <w:lang w:val="en-US" w:bidi="en-US"/>
        </w:rPr>
        <w:t>Saur Verla .k.G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مونیخ انتشار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 تخصصی ایفلا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پیایندهایی که گزارش های مرتبط با نشست های حرفه ای و تخصصی و رهنمودهای اجرایی را ارائه می دهند و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دبیرخانه مرکزی انتشار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کتابشناختی و فهرستنویسی بین المللی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ایفلا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که هر دو سال یکبار منتشر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سایر موارد</w:t>
      </w:r>
      <w:r>
        <w:rPr>
          <w:rFonts w:eastAsia="IRNazanin" w:cs="IRNazanin"/>
          <w:color w:val="111111"/>
          <w:sz w:val="28"/>
          <w:szCs w:val="28"/>
          <w:rtl w:val="true"/>
          <w:lang w:bidi="fa-IR"/>
        </w:rPr>
        <w:t xml:space="preserve">. </w:t>
      </w:r>
      <w:r>
        <w:rPr>
          <w:rStyle w:val="FootnoteAnchor"/>
          <w:rtl w:val="true"/>
        </w:rPr>
        <w:footnoteReference w:id="15"/>
      </w:r>
      <w:bookmarkStart w:id="30" w:name="pg9653_81682"/>
    </w:p>
    <w:p>
      <w:pPr>
        <w:pStyle w:val="Heading2"/>
        <w:numPr>
          <w:ilvl w:val="1"/>
          <w:numId w:val="1"/>
        </w:numPr>
        <w:rPr/>
      </w:pPr>
      <w:bookmarkStart w:id="31" w:name="__RefHeading___Toc7766272_2870459653"/>
      <w:bookmarkStart w:id="32" w:name="_Toc11"/>
      <w:bookmarkEnd w:id="30"/>
      <w:bookmarkEnd w:id="31"/>
      <w:r>
        <w:rPr>
          <w:rtl w:val="true"/>
        </w:rPr>
        <w:t>زبان</w:t>
      </w:r>
      <w:bookmarkEnd w:id="32"/>
    </w:p>
    <w:p>
      <w:pPr>
        <w:pStyle w:val="BookText"/>
        <w:rPr/>
      </w:pPr>
      <w:r>
        <w:rPr>
          <w:rFonts w:ascii="IRNazanin" w:hAnsi="IRNazanin" w:eastAsia="IRNazanin"/>
          <w:color w:val="111111"/>
          <w:sz w:val="28"/>
          <w:sz w:val="28"/>
          <w:szCs w:val="28"/>
          <w:rtl w:val="true"/>
          <w:lang w:bidi="fa-IR"/>
        </w:rPr>
        <w:t>زبان های رسمی ایفلا، انگلیسی فرانسوی، روسی، آلمانی و اسپانیولی است</w:t>
      </w:r>
      <w:r>
        <w:rPr>
          <w:rFonts w:eastAsia="IRNazanin" w:cs="IRNazanin"/>
          <w:color w:val="111111"/>
          <w:sz w:val="28"/>
          <w:szCs w:val="28"/>
          <w:rtl w:val="true"/>
          <w:lang w:bidi="fa-IR"/>
        </w:rPr>
        <w:t>.</w:t>
      </w:r>
    </w:p>
    <w:p>
      <w:pPr>
        <w:pStyle w:val="Heading2"/>
        <w:numPr>
          <w:ilvl w:val="1"/>
          <w:numId w:val="1"/>
        </w:numPr>
        <w:rPr/>
      </w:pPr>
      <w:bookmarkStart w:id="33" w:name="__RefHeading___Toc7766274_2870459653"/>
      <w:bookmarkStart w:id="34" w:name="_Toc12"/>
      <w:bookmarkEnd w:id="33"/>
      <w:r>
        <w:rPr>
          <w:rtl w:val="true"/>
        </w:rPr>
        <w:t>وب گاه های ایفلا</w:t>
      </w:r>
      <w:bookmarkEnd w:id="34"/>
    </w:p>
    <w:p>
      <w:pPr>
        <w:pStyle w:val="BookText"/>
        <w:rPr/>
      </w:pPr>
      <w:r>
        <w:rPr>
          <w:rFonts w:ascii="IRNazanin" w:hAnsi="IRNazanin" w:eastAsia="IRNazanin"/>
          <w:color w:val="111111"/>
          <w:sz w:val="28"/>
          <w:sz w:val="28"/>
          <w:szCs w:val="28"/>
          <w:rtl w:val="true"/>
          <w:lang w:bidi="fa-IR"/>
        </w:rPr>
        <w:t>عمده ترین وب گاه های ایفلا در حال حاضر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http://archive.ifla.org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http://blogs.ifla.org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http://extranet.ifla.org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http://work-report.ifla.org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webmaster@ifla.org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الکترونیکی ایفلا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توسعه علم اطلاعات و دانش شناسی و نیز اشاعه اطلاعات و دانش افزایی در این حوزه سازمان اسناد و کتابخانه ملی جمهوری اسلامی ایران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ترجمه گزیده ای از مقالات ارائه شده در فراهمایی سالانه ایفلا را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مجموعه تاکنون ترجمه گزیده مقالات ایفلا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بانکوک؛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گلاسکو؛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گوتنبرگ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خوان پورتوریکو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حاضر نیز تصمیم گرفته شد که ترجمه گزیده مقالات فراهمایی سال های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فراهمایی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هلسینکی فنلاند و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سنگاپور برگزار شد موضوع و درونمایه کلی گردهمایی هلسینکی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الهام بخش شگفت آور، توانبخش</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آینده بی نهایت احتمالات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مقالات ارائه شده در سال های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با عنایت به اهمیت موضوعات رشته علم اطلاعات و دانش شناسی و نیازهای جامعه کتابداری و مراکز اطلاع رسانی انتخاب و برای ترجمه ارسال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که بیشتر آن ها در مهلت اعلام شده بدستمان رسید پس از انجام امور مربوط به </w:t>
      </w:r>
    </w:p>
    <w:p>
      <w:pPr>
        <w:pStyle w:val="BookText"/>
        <w:rPr/>
      </w:pPr>
      <w:r>
        <w:rPr>
          <w:rFonts w:ascii="IRNazanin" w:hAnsi="IRNazanin" w:eastAsia="IRNazanin"/>
          <w:color w:val="111111"/>
          <w:sz w:val="28"/>
          <w:sz w:val="28"/>
          <w:szCs w:val="28"/>
          <w:rtl w:val="true"/>
          <w:lang w:bidi="fa-IR"/>
        </w:rPr>
        <w:t>مقابله ویرایش و آماده سازی، آماده انتشار گردید به منظور حفظ انسجام و یکدستی مجموعه مقالات برای مقالاتی که چکیده نداشتند چکیده تدوین شد همچنین به جهت تسهیل و تسریع بازیابی اطلاعات محورهای کلی موضوعی و نمایه موضوعی بدان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همه مترجمان محترم که با سازمان همکاری مؤثری داشتند سپاسگزاری می نمایم همچنین از سرکار خانم مریم فرهنگ رنجبر برای بازبینی و یکدست سازی مقالات و همکاران مسئول در واحد چاپ و انتشار سازمان صمیمانه قدردانی و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خانی پور</w:t>
      </w:r>
    </w:p>
    <w:p>
      <w:pPr>
        <w:pStyle w:val="BookText"/>
        <w:rPr/>
      </w:pPr>
      <w:r>
        <w:rPr>
          <w:rFonts w:ascii="IRNazanin" w:hAnsi="IRNazanin" w:eastAsia="IRNazanin"/>
          <w:color w:val="111111"/>
          <w:sz w:val="28"/>
          <w:sz w:val="28"/>
          <w:szCs w:val="28"/>
          <w:rtl w:val="true"/>
          <w:lang w:bidi="fa-IR"/>
        </w:rPr>
        <w:t>عضو هیأت علمی سازمان اسناد و کتابخانه ملی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w:t>
      </w:r>
      <w:bookmarkStart w:id="35" w:name="pg9653_81684"/>
    </w:p>
    <w:p>
      <w:pPr>
        <w:pStyle w:val="Heading2"/>
        <w:numPr>
          <w:ilvl w:val="1"/>
          <w:numId w:val="1"/>
        </w:numPr>
        <w:rPr/>
      </w:pPr>
      <w:bookmarkStart w:id="36" w:name="__RefHeading___Toc7766276_2870459653"/>
      <w:bookmarkStart w:id="37" w:name="_Toc13"/>
      <w:bookmarkEnd w:id="35"/>
      <w:bookmarkEnd w:id="36"/>
      <w:r>
        <w:rPr>
          <w:rtl w:val="true"/>
        </w:rPr>
        <w:t>چکیده</w:t>
      </w:r>
      <w:bookmarkEnd w:id="37"/>
    </w:p>
    <w:p>
      <w:pPr>
        <w:pStyle w:val="BookText"/>
        <w:rPr/>
      </w:pPr>
      <w:r>
        <w:rPr>
          <w:rFonts w:ascii="IRNazanin" w:hAnsi="IRNazanin" w:eastAsia="IRNazanin"/>
          <w:color w:val="111111"/>
          <w:sz w:val="28"/>
          <w:sz w:val="28"/>
          <w:szCs w:val="28"/>
          <w:rtl w:val="true"/>
          <w:lang w:bidi="fa-IR"/>
        </w:rPr>
        <w:t xml:space="preserve">انجمن کتابخانه های عضو کتابخانه های پژوهشی ملی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ای آراِل</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سرپرستی و دسترسی به داده های پژوهشی در دانشگاه ها و همچنین نوآوری های مختلف در داده های پژوهشی ملی و منطقه ای و به عنوان سازمان ارائه دهنده مقالات و آموزش اطلاع رسانی نقشی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اطلاع رسانی فنی و علمی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آی اس تی ای</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نیز در مسائل مربوط به حفظ و سرپرستی داده های پژوهشی علمی فعالانه عمل کرده است سی ای آرال در سال 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بالقوه حفظ داده های پژوهشی با سرمایه ملی را مورد بررسی قرارداد گروهی متخصص از پژوهشگران رشته های مختلف بر اساس رایزنی با مؤسسات سرمایه گذار، گروه های فناوری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تی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ملی معاونان پژوهشی دانشگاه و دیگران در ارائه وضعیت هر یک از کتابخانه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اِى آر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 های جمعی و ترویج اهمیت خدمات و راه بردی حفظ سرپرستی داده های پژوهش های ملی کانادا به طور موفقیت آمیزی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در بکارگیری نقش آفرینان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های آی تی، کتابخانه ها، دولت، دانشگاه ها، کتابخانه و آرشیوهای کانادا، سی آی اِس تی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وضعیت کتابخانه ها در رابطه با نقش حساس آن ها دسترسی سرپرستی و حفظ داده های پژوهشی با همکاری سازمان آی تی با موفقیت رو بر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آی اس تی 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آردی اس دبلیو جی</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فرایند شکل گیری داده های پژوهشی کانادا جهت ترویج و جمع آوری منابع مالی برای زیر ساخت داده های پژوهشی ملی قرار گرفت نوآوری های دیگر توسط سی ای آر ال، سی آی اس تی ای سازمان های ملی آی تی و کتابخانه های منفرد و منطقه ای تداوم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عضو کتابخانه های پژوهشی ملی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ای آر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پژوهشی موسسه اطلاع رسانی فنی و علمی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آی اس تی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w:t>
      </w:r>
      <w:bookmarkStart w:id="38" w:name="pg9653_81685"/>
    </w:p>
    <w:p>
      <w:pPr>
        <w:pStyle w:val="Heading2"/>
        <w:numPr>
          <w:ilvl w:val="1"/>
          <w:numId w:val="1"/>
        </w:numPr>
        <w:rPr/>
      </w:pPr>
      <w:bookmarkStart w:id="39" w:name="__RefHeading___Toc7766278_2870459653"/>
      <w:bookmarkStart w:id="40" w:name="_Toc14"/>
      <w:bookmarkEnd w:id="38"/>
      <w:bookmarkEnd w:id="39"/>
      <w:r>
        <w:rPr>
          <w:rtl w:val="true"/>
        </w:rPr>
        <w:t>نوآوری در داده های پژوهشی ملی در کانادا</w:t>
      </w:r>
      <w:bookmarkEnd w:id="40"/>
    </w:p>
    <w:p>
      <w:pPr>
        <w:pStyle w:val="Heading3"/>
        <w:numPr>
          <w:ilvl w:val="2"/>
          <w:numId w:val="1"/>
        </w:numPr>
        <w:rPr/>
      </w:pPr>
      <w:bookmarkStart w:id="41" w:name="__RefHeading___Toc7766280_2870459653"/>
      <w:bookmarkStart w:id="42" w:name="_Toc15"/>
      <w:bookmarkEnd w:id="41"/>
      <w:r>
        <w:rPr>
          <w:rtl w:val="true"/>
        </w:rPr>
        <w:t>اشاره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نوآوری در داده های پژوهشی ملی در کانادا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لین کوپلند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بر نت رو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زهرا اباذری </w:t>
      </w:r>
      <w:r>
        <w:rPr>
          <w:rStyle w:val="FootnoteAnchor"/>
          <w:rtl w:val="true"/>
        </w:rPr>
        <w:footnoteReference w:id="25"/>
      </w:r>
    </w:p>
    <w:p>
      <w:pPr>
        <w:pStyle w:val="Heading3"/>
        <w:numPr>
          <w:ilvl w:val="2"/>
          <w:numId w:val="1"/>
        </w:numPr>
        <w:rPr/>
      </w:pPr>
      <w:bookmarkStart w:id="43" w:name="__RefHeading___Toc7766282_2870459653"/>
      <w:bookmarkStart w:id="44" w:name="_Toc16"/>
      <w:bookmarkEnd w:id="43"/>
      <w:r>
        <w:rPr>
          <w:rtl w:val="true"/>
        </w:rPr>
        <w:t>مقدمه</w:t>
      </w:r>
      <w:bookmarkEnd w:id="44"/>
    </w:p>
    <w:p>
      <w:pPr>
        <w:pStyle w:val="BookText"/>
        <w:rPr/>
      </w:pPr>
      <w:r>
        <w:rPr>
          <w:rFonts w:ascii="IRNazanin" w:hAnsi="IRNazanin" w:eastAsia="IRNazanin"/>
          <w:color w:val="111111"/>
          <w:sz w:val="28"/>
          <w:sz w:val="28"/>
          <w:szCs w:val="28"/>
          <w:rtl w:val="true"/>
          <w:lang w:bidi="fa-IR"/>
        </w:rPr>
        <w:t xml:space="preserve">انجمن کتابخانه های پژوهشی کانادا که از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کرد شامل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پژوهشی دانشگاهی و سازمان کتابخانه ای پژوهشی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سیای آرال در ارتباط با تحول مداوم ارتباطات علمی، حمایت از پیامدهای مطلوب در محیط سیاست عمومی فدرال و تقویت و ترویج کتابخانه های پژوهشی کانادا قرار دارد </w:t>
      </w:r>
      <w:r>
        <w:rPr>
          <w:rStyle w:val="FootnoteAnchor"/>
          <w:rtl w:val="true"/>
        </w:rPr>
        <w:footnoteReference w:id="26"/>
      </w:r>
      <w:r>
        <w:rPr>
          <w:rFonts w:ascii="IRNazanin" w:hAnsi="IRNazanin" w:eastAsia="IRNazanin"/>
          <w:color w:val="111111"/>
          <w:sz w:val="28"/>
          <w:sz w:val="28"/>
          <w:szCs w:val="28"/>
          <w:rtl w:val="true"/>
          <w:lang w:bidi="fa-IR"/>
        </w:rPr>
        <w:t>سی ای آر ال از نوآوری های مرتبط با منابع نهادینه ای، دسترسی باز، و انتشار اینترنتی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سی ای آر اِل طی چند سال در زمینه مدیریت داده ها، ارائه گزارش ها و مقاله های متعدد </w:t>
      </w:r>
      <w:r>
        <w:rPr>
          <w:rStyle w:val="FootnoteAnchor"/>
          <w:rtl w:val="true"/>
        </w:rPr>
        <w:footnoteReference w:id="27"/>
      </w:r>
      <w:r>
        <w:rPr>
          <w:rFonts w:ascii="IRNazanin" w:hAnsi="IRNazanin" w:eastAsia="IRNazanin"/>
          <w:color w:val="111111"/>
          <w:sz w:val="28"/>
          <w:sz w:val="28"/>
          <w:szCs w:val="28"/>
          <w:rtl w:val="true"/>
          <w:lang w:bidi="fa-IR"/>
        </w:rPr>
        <w:t>و حمایت برنامه های آموزشی و مؤسسه علوم اینترنتی پژوهشی بطور متمرکز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سی ای آرال در رایزنی های بودجه ای فدرال و تأکید بر اهمیت حمایت ملی از آرشیوسازی داده های پژوهشی تلاش کرده است بسیاری از کتابخانه های مستقل پژوهشی کانادا خدمات داده ای را که از طریق کتابخانه داده ای پژوهشی از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اند بر علوم اجتماعی خریداری شده و دارای مجوز مرکز داده های پژوهشی و خدمات و داده های مالی تأکید داشته اند در بسیاری از موارد این امر بر اساس رشد و حمایت جمعی از ابزارهای ذخیره سازی و بازیابی صورت گرفته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اطلاع رسانی فنی و علمی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آی اس تی آی</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بازوی کتابخانه علوم شورای پژوهشی ملی کانادا نیز در پیشبرد مباشرت داده های پژوهشی مبتنی بر گروه کار راهبردی داده های </w:t>
      </w:r>
    </w:p>
    <w:p>
      <w:pPr>
        <w:pStyle w:val="BookText"/>
        <w:rPr/>
      </w:pP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اس دبلیو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تحت رهبری پام بیورنسون </w:t>
      </w:r>
      <w:r>
        <w:rPr>
          <w:rStyle w:val="FootnoteAnchor"/>
          <w:rtl w:val="true"/>
        </w:rPr>
        <w:footnoteReference w:id="29"/>
      </w:r>
      <w:r>
        <w:rPr>
          <w:rFonts w:ascii="IRNazanin" w:hAnsi="IRNazanin" w:eastAsia="IRNazanin"/>
          <w:color w:val="111111"/>
          <w:sz w:val="28"/>
          <w:sz w:val="28"/>
          <w:szCs w:val="28"/>
          <w:rtl w:val="true"/>
          <w:lang w:bidi="fa-IR"/>
        </w:rPr>
        <w:t>، مدیر عامل سی آی اس تی آی به همراه نمایندگانی از سازمان های مختلف مرتبط با مدیریت داده های پژوهشی نقشی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دی اس دبلیو جی مایل به درک این نکته بود که چرا برخی از پیشنهادات از سوی مشاوران ملی در مورد دسترسی به داده های پژوهشی علمی سال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 ای اس آر دی</w:t>
      </w:r>
      <w:r>
        <w:rPr>
          <w:rFonts w:eastAsia="IRNazanin" w:cs="IRNazanin"/>
          <w:color w:val="111111"/>
          <w:sz w:val="28"/>
          <w:szCs w:val="28"/>
          <w:rtl w:val="true"/>
          <w:lang w:bidi="fa-IR"/>
        </w:rPr>
        <w:t xml:space="preserve">) </w:t>
      </w:r>
      <w:r>
        <w:rPr>
          <w:rStyle w:val="FootnoteAnchor"/>
          <w:rtl w:val="true"/>
        </w:rPr>
        <w:footnoteReference w:id="30"/>
      </w:r>
      <w:r>
        <w:rPr>
          <w:rStyle w:val="FootnoteAnchor"/>
          <w:rtl w:val="true"/>
        </w:rPr>
        <w:footnoteReference w:id="31"/>
      </w:r>
      <w:r>
        <w:rPr>
          <w:rFonts w:ascii="IRNazanin" w:hAnsi="IRNazanin" w:eastAsia="IRNazanin"/>
          <w:color w:val="111111"/>
          <w:sz w:val="28"/>
          <w:sz w:val="28"/>
          <w:szCs w:val="28"/>
          <w:rtl w:val="true"/>
          <w:lang w:bidi="fa-IR"/>
        </w:rPr>
        <w:t>با موفقیت مواجه شد در صورتی که رایزنی های بعدی موفقیت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دی اس دبلیو جی، متوجه شکاف های اساسی در شالوده داده های پژوهشی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ها مواد خام اقتصاد مبتنی بر معرفت هستند تغییر و تحول مجدد مؤثر آن ها درون وضعیتی ارزشمندتر مقیاس موفقیت اقتصادی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سیاست های سازگار اجرایی نقطه ضعفی در برابر رقبای بین المللی محسوب می شود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شکاف های سطحی در خط مشی ها استانداردها، پژوهش، ارائه و دسترسی و شکاف های عمیق تر در سرمایه گذاری نقش ها و مسولیت ها، منابع رقومی معتبر، مهارت ها و آموزش، سیستم های پادشدهی و قدر شناسی و محافظت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حوزه ای شکاف ها کوچک یا صفر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کانادا در این حوزه ها بر تری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نوآوری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اف آی</w:t>
      </w:r>
      <w:r>
        <w:rPr>
          <w:rFonts w:eastAsia="IRNazanin" w:cs="IRNazanin"/>
          <w:color w:val="111111"/>
          <w:sz w:val="28"/>
          <w:szCs w:val="28"/>
          <w:rtl w:val="true"/>
          <w:lang w:bidi="fa-IR"/>
        </w:rPr>
        <w:t xml:space="preserve">) </w:t>
      </w:r>
      <w:r>
        <w:rPr>
          <w:rStyle w:val="FootnoteAnchor"/>
          <w:rtl w:val="true"/>
        </w:rPr>
        <w:footnoteReference w:id="33"/>
      </w:r>
      <w:r>
        <w:rPr>
          <w:rStyle w:val="FootnoteAnchor"/>
          <w:rtl w:val="true"/>
        </w:rPr>
        <w:footnoteReference w:id="34"/>
      </w:r>
      <w:r>
        <w:rPr>
          <w:rFonts w:ascii="IRNazanin" w:hAnsi="IRNazanin" w:eastAsia="IRNazanin"/>
          <w:color w:val="111111"/>
          <w:sz w:val="28"/>
          <w:sz w:val="28"/>
          <w:szCs w:val="28"/>
          <w:rtl w:val="true"/>
          <w:lang w:bidi="fa-IR"/>
        </w:rPr>
        <w:t xml:space="preserve">به فراخوانی طرح های کارآمد پرداخت این بنیاد نهادهایی را پیش از این سرمایه گذاری کرده بود همچون مراکز داده های پژوهش ملی شبکه علوم پژوهشی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آر کی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کنسرسیوم اصلی رقومی آکادمیک دارای مجوز مجموعه های الکترونیکی و نشریات اینترنتی هم افزایی و نوآوری دیگر مرتبط با کتابخانه های پژوهشی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به طرح های متعدد مدیریت داده ای در سطح نهادهای مجزا یا میان نهادی داده شد یا قرار بود که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اجلاس شبکه ای مرکز بین المللی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پولاریر</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متعلق به دانشگاه آلبرتا، دانشگاه واترلو و اسکولارز پرتال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خدماتی با مجوز رقومی شورای کتابخانه های دانشگاهی اوناریو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سه بخش دولتی فدرال طرح سرمایه گذاری در دانشگاه سایمون فریزر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اف یو</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برای حفظ داده های پژوهشی در زمینه های مختلف علوم اجتماعی، طرح سی اف آی از سوی اس اف یو و دانشگاه مونترال در مورد طرح سینرجیز و موارد دیگر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ای آرال با این پیش زمینه به بررسی امکان نوآوری داده های پژوهشی ملی و ارائه آن در </w:t>
      </w:r>
      <w:bookmarkStart w:id="45" w:name="pg9653_81687"/>
    </w:p>
    <w:p>
      <w:pPr>
        <w:pStyle w:val="BookText"/>
        <w:rPr/>
      </w:pPr>
      <w:bookmarkEnd w:id="45"/>
      <w:r>
        <w:rPr>
          <w:rFonts w:ascii="IRNazanin" w:hAnsi="IRNazanin" w:eastAsia="IRNazanin"/>
          <w:color w:val="111111"/>
          <w:sz w:val="28"/>
          <w:sz w:val="28"/>
          <w:szCs w:val="28"/>
          <w:rtl w:val="true"/>
          <w:lang w:bidi="fa-IR"/>
        </w:rPr>
        <w:t xml:space="preserve">قالب نوآوری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ساخت داده ای جمعی ملی کانادا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ان سی دی آی</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پرداخت در نهایت سی اف آی تصمیم گرفت تا بر اساس برنامه های سرمایه گذاری فعال تا آن زمان طرح های زیر ساخت پژوهشی ملی را سرمایه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با این حال سی ای آر ال در حال آرشیوسازی بر خی موفقیت ها در زمینه ایجاد ارتباطات و درک مشترک مرتبط با سازمان های آی تی شوراهای واگذاری اعتبار، پژوهشگران و مدیران دانشگاه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ها موجب نوآوری های بیشتر و نهایتاً حمایت های مالی در سطح ملی شود دیدگاه سی ان سی دی آی همواره بر این پایه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ارائه و طرح مجدد داده های پژوهشی بسیار زیاد است و دامنه ای از موضوعاتی مانند طراحی ژنوم انسان شناسایی سیارات و منظومه های شمسی جدید کشف ذخایر نفتی از طریق بررسی مجدد داده های ماهواره ای را در بر می گیرد تصور کنید که در صورتی که تمامی داده های پژوهشی از این طریق ارائه شود میزان کشفیات جدید تا چه اندازه افزایش خواهد یافت بنا بر گفته گروه فوق متخصص اتحادیه اروپا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آستانه جهشی عظیم در توانمندی علمی مبتنی بر داده ها 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سوار بر موج،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دسترسی به داده های رقومی ماهیت و دامنه تلاش های پژوهشی در تمامی حوزه ها در قرن بیست و یکم را به طور شگرف مجدداً تشریح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ما آینده ای است که در آن، کانادا همگام با روند پژوهش های شدیداً داده ای سرمایه گذاری می کند آینده ای که در آن کانادا رهبر دنیای پژوهش و فناوری و مکانی برای نوآوری وخلاقیت کارآفرینی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قابل دسترسی است اما مستلزم ارائه زیر ساخت مدیریت داده های پژوهشی در مقیاسی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زیرساخت باید قابل انعطاف و معتبر، امن، کاملا باز منطقه ای و جهانی، علمی و کاملا قابل 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پژوهشی بر اساس این زیر ساخت و کنترل های مناسب مربوط به امنیت و حریم شخصی می تواند به طور گسترده برای تمامی بخش های دانشگاهی صنعتی، دولتی و عمومی با امکانات بسیار و باروری متقابل عقاید و دیدگاه های قابل دسترس باشد که به ارائه راه حل های خلاقانه حمایت از ارائه محصولات جدید و ترویج درک بیشتر مسائل پیچیده می پردازند کانادا با چنین زیر ساختی قادر خواهد بود نقشی اساسی در عرصه پژوهش های جهانی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6" w:name="__RefHeading___Toc7766284_2870459653"/>
      <w:bookmarkStart w:id="47" w:name="_Toc17"/>
      <w:bookmarkEnd w:id="46"/>
      <w:r>
        <w:rPr>
          <w:rtl w:val="true"/>
        </w:rPr>
        <w:t>رایزنی ها</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ای آر ال در ارتباط با رایزنی های مربوط به کتابخانه ها، شوراهای واگذاری اعتبار و سی اف آی، </w:t>
      </w:r>
    </w:p>
    <w:p>
      <w:pPr>
        <w:pStyle w:val="BookText"/>
        <w:rPr/>
      </w:pPr>
      <w:r>
        <w:rPr>
          <w:rFonts w:ascii="IRNazanin" w:hAnsi="IRNazanin" w:eastAsia="IRNazanin"/>
          <w:color w:val="111111"/>
          <w:sz w:val="28"/>
          <w:sz w:val="28"/>
          <w:szCs w:val="28"/>
          <w:rtl w:val="true"/>
          <w:lang w:bidi="fa-IR"/>
        </w:rPr>
        <w:t xml:space="preserve">گروه های گروه های ملی آی 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سی ای ان ای آر آی</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 شبکه پژوهشی رقومی ملی کانادا با سرعت بالا </w:t>
      </w:r>
      <w:r>
        <w:rPr>
          <w:rStyle w:val="FootnoteAnchor"/>
          <w:rtl w:val="true"/>
        </w:rPr>
        <w:footnoteReference w:id="41"/>
      </w:r>
      <w:r>
        <w:rPr>
          <w:rFonts w:ascii="IRNazanin" w:hAnsi="IRNazanin" w:eastAsia="IRNazanin"/>
          <w:color w:val="111111"/>
          <w:sz w:val="28"/>
          <w:sz w:val="28"/>
          <w:szCs w:val="28"/>
          <w:rtl w:val="true"/>
          <w:lang w:bidi="fa-IR"/>
        </w:rPr>
        <w:t xml:space="preserve">سی یو سی سی آی او شورای مسئولان اصلی اطلاع رسانی دانشگاه کانادا </w:t>
      </w:r>
      <w:r>
        <w:rPr>
          <w:rStyle w:val="FootnoteAnchor"/>
          <w:rtl w:val="true"/>
        </w:rPr>
        <w:footnoteReference w:id="42"/>
      </w:r>
      <w:r>
        <w:rPr>
          <w:rFonts w:ascii="IRNazanin" w:hAnsi="IRNazanin" w:eastAsia="IRNazanin"/>
          <w:color w:val="111111"/>
          <w:sz w:val="28"/>
          <w:sz w:val="28"/>
          <w:szCs w:val="28"/>
          <w:rtl w:val="true"/>
          <w:lang w:bidi="fa-IR"/>
        </w:rPr>
        <w:t xml:space="preserve">و کانادا کامپیوت </w:t>
      </w:r>
      <w:r>
        <w:rPr>
          <w:rStyle w:val="FootnoteAnchor"/>
          <w:rtl w:val="true"/>
        </w:rPr>
        <w:footnoteReference w:id="43"/>
      </w:r>
      <w:r>
        <w:rPr>
          <w:rFonts w:ascii="IRNazanin" w:hAnsi="IRNazanin" w:eastAsia="IRNazanin"/>
          <w:color w:val="111111"/>
          <w:sz w:val="28"/>
          <w:sz w:val="28"/>
          <w:szCs w:val="28"/>
          <w:rtl w:val="true"/>
          <w:lang w:bidi="fa-IR"/>
        </w:rPr>
        <w:t xml:space="preserve">کنسرسیوم پردازش سطح بالای ملی کانادا </w:t>
      </w:r>
      <w:r>
        <w:rPr>
          <w:rStyle w:val="FootnoteAnchor"/>
          <w:rtl w:val="true"/>
        </w:rPr>
        <w:footnoteReference w:id="44"/>
      </w:r>
      <w:r>
        <w:rPr>
          <w:rFonts w:ascii="IRNazanin" w:hAnsi="IRNazanin" w:eastAsia="IRNazanin"/>
          <w:color w:val="111111"/>
          <w:sz w:val="28"/>
          <w:sz w:val="28"/>
          <w:szCs w:val="28"/>
          <w:rtl w:val="true"/>
          <w:lang w:bidi="fa-IR"/>
        </w:rPr>
        <w:t>حامی پژوهش های دانشگاهی به همراه اعضای سرشناس دولتی و دانشگاه قرار داشت نتایج این رایزنی ها، مبنای درک اولیه سی ان سی دی آی را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ای آر ال الگویی برای خدمات و امکانات زیر ساخت مدیریت داده های پژوهشی ارائه داد که شامل مسئولیت هایی است که کتابخانه و اعضای آی تی باید مدّ نظر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طبقه بندی مربوط به مسئولیت زیر ساخت داده های پژوهشی تعیین شد و طرح اولیه کار شامل هزینه های اصلی هر طبقه بندی ارائه گردید این سه طبقه بندی عبارت بودند از منابع ذخیره سازی ،اضافی مراکز جذب علمی، سایت های ریز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طبقه بندی شناسایی شده مفهومی بودند و انتظار می رفت که موسسه ها مسئولیت بیش از یک طبقه را در نظر گیرند و در ضمن ویژگی های هر طبقه بندی در ارتباط با مراحل اولیه طرح بود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متمرکز پژوهشگران از رشته ها، تجربیات حرفه ای، مناطق زبان ها و جنسیت های مختلف در مارس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پس از آن گزارشی ارائه داد </w:t>
      </w:r>
      <w:r>
        <w:rPr>
          <w:rStyle w:val="FootnoteAnchor"/>
          <w:rtl w:val="true"/>
        </w:rPr>
        <w:footnoteReference w:id="46"/>
      </w:r>
      <w:r>
        <w:rPr>
          <w:rFonts w:ascii="IRNazanin" w:hAnsi="IRNazanin" w:eastAsia="IRNazanin"/>
          <w:color w:val="111111"/>
          <w:sz w:val="28"/>
          <w:sz w:val="28"/>
          <w:szCs w:val="28"/>
          <w:rtl w:val="true"/>
          <w:lang w:bidi="fa-IR"/>
        </w:rPr>
        <w:t>نتیجه گیری های گزارش گروه متمرکز در چارچوب بندی سرپرستی داده ها از سوی کانادا و زیرساخت مدیریت و حمایت حائز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مقوله های مطرح توسط گروه متمرکز حول محور حریم شخصی، اصول اخلاقی و دسترس پذیری، فرهنگ داده ای و حمایت، حقوق داده ای، مالکیت و دارایی فکری، منبع سازی معتبر و حمایت ابر داده ها و استانداردها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قابلیت کار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ارتباط با طرح ضرورت هماهنگی و شناسایی حدود طرح و چالش های تکنیکی مربوط به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واکنش های منفی احتمالی نسبت به این طرح را به صورت زیر شناسایی کرد هراس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شخصی، اعتقاد به کم ارزشی داده ها خارج از طرح اصلی پژوهش فقدان درک نقش کتابخانه ها نگرانی در مورد تأثیر منفی در پژوهش تجاری سازی داده ها و اعتقاد به این که بخش تجاری می تواند آن را سریعتر انجام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تأثيرات بالقوه عدم حفظ داده های پژوهشی عبارت بودند از فقدان کنترل بر داده های با ارزش پژوهشی مورد لزوم برای پژوهش های بعدی هراس از این که دانشگاه ها نتوانند از عهده رسالت حمایت از پژوهش های برتر برایند، نگرانی از این که ممکن است برای اجرای عملکردها و خط مشی های مبتنی </w:t>
      </w:r>
      <w:bookmarkStart w:id="48" w:name="pg9653_81689"/>
    </w:p>
    <w:p>
      <w:pPr>
        <w:pStyle w:val="BookText"/>
        <w:rPr/>
      </w:pPr>
      <w:bookmarkEnd w:id="48"/>
      <w:r>
        <w:rPr>
          <w:rFonts w:ascii="IRNazanin" w:hAnsi="IRNazanin" w:eastAsia="IRNazanin"/>
          <w:color w:val="111111"/>
          <w:sz w:val="28"/>
          <w:sz w:val="28"/>
          <w:szCs w:val="28"/>
          <w:rtl w:val="true"/>
          <w:lang w:bidi="fa-IR"/>
        </w:rPr>
        <w:t xml:space="preserve">بر مدارک داده های کافی موجود نباشد هراس از این که مقوله های قضایی مربوط به مالکیت و فقدان کار متقابل ممکن است دسترسی به داده ها را دشوار ،کند تأثیر منفی در جامعه، اقتصاد و سلامت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تأثیر منفی کاهش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کاهش رقابت بین المللی برای کانادا در عرصه پژوهش، عدم استفاده شایسته از داده ها و در نهایت نگرانی از این که مجموعه داده ها قابل کار متقابل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مثبت پژوهش نگهداری و سرپرستی داده ها عبارت بودند از دسترسی بیشتر به داده های پژوهشی برای تحقیق و سیاست گذاران افزایش سرعت اکتشاف ارتباطات قدرتمندتر میان پژوهشگر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انتظار این که ابزارهای نوآوری و فناوری ها برای بهره گیری از داده ها به طرق جدید بوجود می آیند ایجاد همکاری گسترده تر میان صنعت و پژوهش علمی، حمایت ها و منابع مدیریت داده های رشته های تخصصی در دسترس بیشتر خواهند بود، ارائه وسیع تر داده ها، کار برد گسترده تر استانداردها و یکپارچگی داده ها گسترش مشوق ها برای پژوهشگران جهت ارائه داده های خود قدردانی از کسانی که از این داده ها بهره می برند ارائه پروتکل ها برای مدیریت حقوق و مالکیت درک کلی از داده ها به عنوان دارایی مهم عمومی ارائه پروتکل ها برای تضمین محافظت و ناشناس ماندن داده ها و ارائه عملکردها و خط مشی های مستحکم در کلیه نهادهای ملی واگذاری اعتبار پژوهشگران بیشتر از مکانیک ها در زمینهٔ پژوهش مدیریت داده ها وقت صرف می کنند این امر مستلزم طرح های کامل طبقه بندی چند بعدی و امکانات بی پایان برای پژوهش های جدید است</w:t>
      </w:r>
      <w:r>
        <w:rPr>
          <w:rFonts w:eastAsia="IRNazanin" w:cs="IRNazanin"/>
          <w:color w:val="111111"/>
          <w:sz w:val="28"/>
          <w:szCs w:val="28"/>
          <w:rtl w:val="true"/>
          <w:lang w:bidi="fa-IR"/>
        </w:rPr>
        <w:t>.</w:t>
      </w:r>
    </w:p>
    <w:p>
      <w:pPr>
        <w:pStyle w:val="Heading3"/>
        <w:numPr>
          <w:ilvl w:val="2"/>
          <w:numId w:val="1"/>
        </w:numPr>
        <w:rPr/>
      </w:pPr>
      <w:bookmarkStart w:id="49" w:name="__RefHeading___Toc7766286_2870459653"/>
      <w:bookmarkStart w:id="50" w:name="_Toc18"/>
      <w:bookmarkEnd w:id="49"/>
      <w:r>
        <w:rPr>
          <w:rtl w:val="true"/>
        </w:rPr>
        <w:t>عدم تداوم سی ان سی دی آی</w:t>
      </w:r>
      <w:bookmarkEnd w:id="50"/>
    </w:p>
    <w:p>
      <w:pPr>
        <w:pStyle w:val="BookText"/>
        <w:rPr/>
      </w:pPr>
      <w:r>
        <w:rPr>
          <w:rFonts w:ascii="IRNazanin" w:hAnsi="IRNazanin" w:eastAsia="IRNazanin"/>
          <w:color w:val="111111"/>
          <w:sz w:val="28"/>
          <w:sz w:val="28"/>
          <w:szCs w:val="28"/>
          <w:rtl w:val="true"/>
          <w:lang w:bidi="fa-IR"/>
        </w:rPr>
        <w:t>در نهایت، با توجه به عدم سرمایه گذاری ملی طرحی در دوره اخیر سی اف آی و تمرکز شدید بر طرح های تحقیقات تخصصی، تصمیم بر این شد که در این مرحله تقاضای سی ان سی دی آی پذیرفته نشود با این وجود، اهمیت بازبینی طرح سی ان سی دی آی بطور کامل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سی ای آر ال به عنوان عامل اصلی گسترش راهبردی ملی در زمینه زیر ساخت داده های پژوهشی بشمار می رود باید سه ستون عمده شبکه های ارتباطی با سرعت بالا عملکرد قوی پردازش و مدیریت داده ها و خدمات نگهداری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ای آرال در زمینه ستون آخر مبتنی بر ارائه طرح ها و فرصت های سرمایه گذاری های آینده کوشیده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ای آرال طی دوره طرح سی ان سی دی آی در رابطه با مسئله مدیریت داده های پژوهشی در سطح ملی به عنوان هماهنگ کننده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ایجاد روابط با سرمایه گذاران دیگر، بسط توصیف مسئله و تشریح صریح مدیریت و حفظ داده ها، نقش اساسی کتابخانه های سی ای آر ال در عرصه داده های پژوهشی است در ژانویه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مدیره سی ای آر ال گزارش نهایی طرح را </w:t>
      </w:r>
      <w:bookmarkStart w:id="51" w:name="pg9653_81690"/>
    </w:p>
    <w:p>
      <w:pPr>
        <w:pStyle w:val="BookText"/>
        <w:rPr/>
      </w:pPr>
      <w:bookmarkEnd w:id="51"/>
      <w:r>
        <w:rPr>
          <w:rFonts w:ascii="IRNazanin" w:hAnsi="IRNazanin" w:eastAsia="IRNazanin"/>
          <w:color w:val="111111"/>
          <w:sz w:val="28"/>
          <w:sz w:val="28"/>
          <w:szCs w:val="28"/>
          <w:rtl w:val="true"/>
          <w:lang w:bidi="fa-IR"/>
        </w:rPr>
        <w:t>پذیرفت این طرح بر پیشرفت های مهم نوآوری سی ان سی دی آی و تداوم مشارکت با گروه های دیگر سرمایه گذار جهت افزایش آگاهی و درک ضرورت سرپرستی داده های پژوهشی کانادا تاکید می ورزد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52" w:name="__RefHeading___Toc7766288_2870459653"/>
      <w:bookmarkStart w:id="53" w:name="_Toc19"/>
      <w:bookmarkEnd w:id="52"/>
      <w:r>
        <w:rPr>
          <w:rtl w:val="true"/>
        </w:rPr>
        <w:t>پیشرفت های جدید در چشم انداز مدیریت داده های پژوهشی کانادا</w:t>
      </w:r>
      <w:bookmarkEnd w:id="53"/>
    </w:p>
    <w:p>
      <w:pPr>
        <w:pStyle w:val="BookText"/>
        <w:rPr/>
      </w:pPr>
      <w:r>
        <w:rPr>
          <w:rFonts w:ascii="IRNazanin" w:hAnsi="IRNazanin" w:eastAsia="IRNazanin"/>
          <w:color w:val="111111"/>
          <w:sz w:val="28"/>
          <w:sz w:val="28"/>
          <w:szCs w:val="28"/>
          <w:rtl w:val="true"/>
          <w:lang w:bidi="fa-IR"/>
        </w:rPr>
        <w:t xml:space="preserve">هیئت مدیره سیای آرال طی بررسی گزارش نهایی طرح سی ان سی دی آی بر اساس اطلاعات مطرح از سوی مؤلفان آن، اقداماتی برای هدایت نوآوری های مدیریت داده های پژوهشی سی ای آر ال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انجام داد و معتقد بود که همکاری یکی از اصول اساسی کتابخانه های تحقیقاتی کانادا بشمار می رود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تجربه سی ای آر ال و تخصص کتابخانه های عضو آن در امر مدیریت و نگهداری در این مورد می تواند زمینه سازی ارائه زیر ساخت داده های پژوهشی ملی مبتنی بر مواردی غیر از سرمایه گذاری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های داده ای کتابخانه های مجزا و منطقه ای تحقیقاتی و سیای آرال در بخشی از نوآوری های زیر فعالانه می کوشند</w:t>
      </w:r>
      <w:r>
        <w:rPr>
          <w:rFonts w:eastAsia="IRNazanin" w:cs="IRNazanin"/>
          <w:color w:val="111111"/>
          <w:sz w:val="28"/>
          <w:szCs w:val="28"/>
          <w:rtl w:val="true"/>
          <w:lang w:bidi="fa-IR"/>
        </w:rPr>
        <w:t>.</w:t>
      </w:r>
    </w:p>
    <w:p>
      <w:pPr>
        <w:pStyle w:val="Heading3"/>
        <w:numPr>
          <w:ilvl w:val="2"/>
          <w:numId w:val="1"/>
        </w:numPr>
        <w:rPr/>
      </w:pPr>
      <w:bookmarkStart w:id="54" w:name="__RefHeading___Toc7766290_2870459653"/>
      <w:bookmarkStart w:id="55" w:name="_Toc20"/>
      <w:bookmarkEnd w:id="54"/>
      <w:r>
        <w:rPr>
          <w:rtl w:val="true"/>
        </w:rPr>
        <w:t>گروه کار راهبردی داده های پژوهشی و اجلاس سران داده های پژوهشی کانادا</w:t>
      </w:r>
      <w:bookmarkEnd w:id="55"/>
    </w:p>
    <w:p>
      <w:pPr>
        <w:pStyle w:val="BookText"/>
        <w:rPr/>
      </w:pPr>
      <w:r>
        <w:rPr>
          <w:rFonts w:ascii="IRNazanin" w:hAnsi="IRNazanin" w:eastAsia="IRNazanin"/>
          <w:color w:val="111111"/>
          <w:sz w:val="28"/>
          <w:sz w:val="28"/>
          <w:szCs w:val="28"/>
          <w:rtl w:val="true"/>
          <w:lang w:bidi="fa-IR"/>
        </w:rPr>
        <w:t xml:space="preserve">به طور خلاصه، پیش از فروپاشی نوآوری سی ان سی دی آی سی آی اس تی آی آر دی اس دبلیو 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ای آرال عضوی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سران داده های پژوهشی کانادا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داشت </w:t>
      </w:r>
      <w:r>
        <w:rPr>
          <w:rStyle w:val="FootnoteAnchor"/>
          <w:rtl w:val="true"/>
        </w:rPr>
        <w:footnoteReference w:id="50"/>
      </w:r>
      <w:r>
        <w:rPr>
          <w:rFonts w:ascii="IRNazanin" w:hAnsi="IRNazanin" w:eastAsia="IRNazanin"/>
          <w:color w:val="111111"/>
          <w:sz w:val="28"/>
          <w:sz w:val="28"/>
          <w:szCs w:val="28"/>
          <w:rtl w:val="true"/>
          <w:lang w:bidi="fa-IR"/>
        </w:rPr>
        <w:t xml:space="preserve">، این اجلاس به جای روشن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داده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بر اساس رایزنی با تمامی گروه های سرمایه گذار جامعه، در صدد بود آن چه را که باید و می توانست انجام شود در رایزنی با گروه های سرمایه گذار جامعه و بطور واقع گرایانه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اجلاس در زمینه ارائه توصیه های مؤثر و رضایت گروه های شرکت کننده برای حمایت و اقدامات عملی موفق بود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آن، آر دی اس دبلیو جی بر ضرورت و ایجاد فرصت برای حمایت سازمان های سرمایه گذار به منظور تشکیل گروه الگو به عنوان گروه هماهنگ کننده و گردآورنده منابع مالی تاکید ورزید تا بتواند از طرح های مهم جهت توانمندسازی بیشتری پژوهشگران در آرشیوسازی داده های خود و استفاده مجدد آن توسط دیگران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و پیشبینی بر این بود که سازمانی جدید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پژوهشی کانادا</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می تواند بخشی از بودجه اولیه خود را از طریق گروه هایی همچون </w:t>
      </w:r>
      <w:bookmarkStart w:id="56" w:name="pg9653_81691"/>
    </w:p>
    <w:p>
      <w:pPr>
        <w:pStyle w:val="BookText"/>
        <w:rPr/>
      </w:pPr>
      <w:bookmarkEnd w:id="56"/>
      <w:r>
        <w:rPr>
          <w:rFonts w:ascii="IRNazanin" w:hAnsi="IRNazanin" w:eastAsia="IRNazanin"/>
          <w:color w:val="111111"/>
          <w:sz w:val="28"/>
          <w:sz w:val="28"/>
          <w:szCs w:val="28"/>
          <w:rtl w:val="true"/>
          <w:lang w:bidi="fa-IR"/>
        </w:rPr>
        <w:t xml:space="preserve">شورای واگذاری اعتبار، انجمن های کتابخانه های تحقیقاتی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آی او</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دانشگاهی، شبکه های ملی تحقیقاتی با سرعت بالا و نهادهای پردازش سطح بالا تأمین کند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7766292_2870459653"/>
      <w:bookmarkStart w:id="58" w:name="_Toc21"/>
      <w:bookmarkEnd w:id="57"/>
      <w:r>
        <w:rPr>
          <w:rtl w:val="true"/>
        </w:rPr>
        <w:t>اجلاس سران سی یو سی سی آی او</w:t>
      </w:r>
      <w:r>
        <w:rPr>
          <w:rtl w:val="true"/>
        </w:rPr>
        <w:t xml:space="preserve">: </w:t>
      </w:r>
      <w:r>
        <w:rPr>
          <w:rtl w:val="true"/>
        </w:rPr>
        <w:t>زیر ساخت رقومی برای پژوهش ها</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سران سی یو سی سی آی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ساخت رقومی برای پژوهش ها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آی او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 یو سی سی آی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رایزنی های ملی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راهبردی اقتصاد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با چندین سازمان آی تی حامی پژوهش های دانشگاهی همکاری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آنان معتقد بودند به جای رویکرد مرحله به مرحله موجود در رابطه با زیرساخت پژوهشی کانادا باید به رویکرد یکپارچه ملی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ساخت پژوهش، آموزش و نوآوری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ایی آی</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زیرساخت نظام منابع داده ای پژوهشی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زمانی که این عقیده در پاییز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که سرمایه گذاری اساسی برای نوآوری سی ان سی دی آی در آینده نزدیک روی نخواهد داد، سی یو سی سی آی او برای جلسه سران برنامه ریزی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جلسه سران زیرساخت رقومی در سال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پژوهشگران کانادایی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این اجلاس و سازمان جدید منشعب از آن با تأکید بر مفهوم وسیع تر زیر ساخت رقومی پژوهش مبتنی بر مدیریت داده های پژوهشی از جنبه های بسیار مهم مدیریت داده ای بر 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مشخص نیست چگونه این گروه جدید مکانی را برای داده های پژوهشی کانادا بیابد، لیکن با حضور سازمان های اصلی سرمایه گذار در هر دو گردهمایی این فعالیت های مشابه نمایانگر نیاز مبرم به سازمانی است که بتواند این مقوله ها را متمرکز کند</w:t>
      </w:r>
      <w:r>
        <w:rPr>
          <w:rFonts w:eastAsia="IRNazanin" w:cs="IRNazanin"/>
          <w:color w:val="111111"/>
          <w:sz w:val="28"/>
          <w:szCs w:val="28"/>
          <w:rtl w:val="true"/>
          <w:lang w:bidi="fa-IR"/>
        </w:rPr>
        <w:t>.</w:t>
      </w:r>
    </w:p>
    <w:p>
      <w:pPr>
        <w:pStyle w:val="Heading3"/>
        <w:numPr>
          <w:ilvl w:val="2"/>
          <w:numId w:val="1"/>
        </w:numPr>
        <w:rPr/>
      </w:pPr>
      <w:bookmarkStart w:id="59" w:name="__RefHeading___Toc7766294_2870459653"/>
      <w:bookmarkStart w:id="60" w:name="_Toc22"/>
      <w:bookmarkEnd w:id="59"/>
      <w:r>
        <w:rPr>
          <w:rtl w:val="true"/>
        </w:rPr>
        <w:t>مرکز آی بی ام توسعه و تحقق کانادا</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آی بی ام توسعه و تحقق کانادا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ایجاد زیر ساخت فوق پردازش و پردازش کُر با سرمایه گذاری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آی بی 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دولت فدرال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دولت استانی اونتاریو اعلام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هفت دانشگاه اونتاریو در ایجاد تسهیلات فوق پردازش در دانشگاه تورنتو کانون پردازش کُر در دانشگاه وسترن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 اونتاریو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باریراتا پاییز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بی ام این طرح، این سرمایه گذاری ها به پژوهشگران آی بی ام و دانشگاه ها کمک می کند تا از عملکرد بالا و توانمندی های پردازش کُر جهت مدیریت بهتر و بکارگیری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های </w:t>
      </w:r>
      <w:bookmarkStart w:id="61" w:name="pg9653_81692"/>
    </w:p>
    <w:p>
      <w:pPr>
        <w:pStyle w:val="BookText"/>
        <w:rPr/>
      </w:pPr>
      <w:bookmarkEnd w:id="61"/>
      <w:r>
        <w:rPr>
          <w:rFonts w:ascii="IRNazanin" w:hAnsi="IRNazanin" w:eastAsia="IRNazanin"/>
          <w:color w:val="111111"/>
          <w:sz w:val="28"/>
          <w:sz w:val="28"/>
          <w:szCs w:val="28"/>
          <w:rtl w:val="true"/>
          <w:lang w:bidi="fa-IR"/>
        </w:rPr>
        <w:t>عظیم برای رفع چالش های اساسی در شهرها مراکز بهداشتی و سیستم های مدیریت آب و انرژی بهره برند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62" w:name="__RefHeading___Toc7766296_2870459653"/>
      <w:bookmarkStart w:id="63" w:name="_Toc23"/>
      <w:bookmarkEnd w:id="62"/>
      <w:r>
        <w:rPr>
          <w:rtl w:val="true"/>
        </w:rPr>
        <w:t xml:space="preserve">مؤسسه مدیریت داده های پژوهشی سی ای آر ال در حال برنامه ریزی برای </w:t>
      </w:r>
      <w:r>
        <w:rPr/>
        <w:t>2013</w:t>
      </w:r>
      <w:bookmarkEnd w:id="63"/>
    </w:p>
    <w:p>
      <w:pPr>
        <w:pStyle w:val="BookText"/>
        <w:rPr/>
      </w:pPr>
      <w:r>
        <w:rPr>
          <w:rFonts w:ascii="IRNazanin" w:hAnsi="IRNazanin" w:eastAsia="IRNazanin"/>
          <w:color w:val="111111"/>
          <w:sz w:val="28"/>
          <w:sz w:val="28"/>
          <w:szCs w:val="28"/>
          <w:rtl w:val="true"/>
          <w:lang w:bidi="fa-IR"/>
        </w:rPr>
        <w:t>سی ای آر ال این نکته را درک کرد که مهمترین نقش کتابخانه ها در زمینه مدیریت داده ها، همکاری با پژوهشگران و یاری به آنان جهت ایجاد و توصیف داده ها و قرارگیری و استفاده از داده های آرشیو شده برای استفاده مجدد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مؤسسه مدیریت داده های پژوهشی برای کتابخانه های علمی را در سرتاسر کانادا تأسیس کرد تا توانمندی های کتابخانه ها در زمینه مدیریت داده ای افزایش یابد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انتظار می رود که نخستین مؤسسه در بهار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کند از سویی دیگر کارگاه عمومی یک روزه مقدماتی در مورد داده ها در سال های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سی ای آر ال بر گزار شد این مؤسسه نخستین فرصت یادگیری مدیریت داده های پژوهشی در کانادا محسوب می شود</w:t>
      </w:r>
      <w:r>
        <w:rPr>
          <w:rFonts w:eastAsia="IRNazanin" w:cs="IRNazanin"/>
          <w:color w:val="111111"/>
          <w:sz w:val="28"/>
          <w:szCs w:val="28"/>
          <w:rtl w:val="true"/>
          <w:lang w:bidi="fa-IR"/>
        </w:rPr>
        <w:t>.</w:t>
      </w:r>
    </w:p>
    <w:p>
      <w:pPr>
        <w:pStyle w:val="Heading3"/>
        <w:numPr>
          <w:ilvl w:val="2"/>
          <w:numId w:val="1"/>
        </w:numPr>
        <w:rPr/>
      </w:pPr>
      <w:bookmarkStart w:id="64" w:name="__RefHeading___Toc7766298_2870459653"/>
      <w:bookmarkStart w:id="65" w:name="_Toc24"/>
      <w:bookmarkEnd w:id="64"/>
      <w:r>
        <w:rPr>
          <w:rtl w:val="true"/>
        </w:rPr>
        <w:t>نوآوری داده های باز دولت فدرال</w:t>
      </w:r>
      <w:bookmarkEnd w:id="65"/>
    </w:p>
    <w:p>
      <w:pPr>
        <w:pStyle w:val="BookText"/>
        <w:rPr/>
      </w:pP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کوچک از اعضای کارکنان دولتی کانادا یک پرتال ساده و بی ایجاد کردند تا دسترسی عموم به مجموعه های اطلاعاتی دولت فدرال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اطلاعاتی حداقل به صورت نظری برای عموم موجود بود این پرتال ذاتاً توجه همگان را جلب کرد و در مارس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خزانه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استوکول دی</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اعلام کرد که دولت فدرال طرح یکساله آزمایشی داده های باز را راه 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دولت </w:t>
      </w:r>
      <w:r>
        <w:rPr>
          <w:rFonts w:eastAsia="IRNazanin" w:cs="IRNazanin"/>
          <w:color w:val="111111"/>
          <w:sz w:val="28"/>
          <w:szCs w:val="28"/>
          <w:lang w:bidi="fa-IR"/>
        </w:rPr>
        <w:t>260000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اطلاعاتی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پرتال داده ای باز</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به عنوان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راهبردی اقتصاد رقومی</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دولت و تعهد او به دولت باز در اختیار عموم قرار داده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بخش اعظم داده های موجود ماهیتاً جغرافیای فضایی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دولت متعهد شد در آینده حوزه های دیگر را هم اضافه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خزانه داری تونی کلمنت گسترش طرح پرتال داده های باز برای سه سال آینده را 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اقدام دولت باز کانادا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مطرح کرد و افزودن مجموعه های اطلاعاتی را به مجموعه های اطلاعاتی دیگر اعلام داشت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تا زمان نگارش این ،مقاله حدودا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اطلاعاتی غیر جغرافیای فضایی برای جستجو در این پرتال موجود بود با دید طعنه آمیز در سال </w:t>
      </w:r>
      <w:bookmarkStart w:id="66" w:name="pg9653_81693"/>
    </w:p>
    <w:p>
      <w:pPr>
        <w:pStyle w:val="BookText"/>
        <w:rPr/>
      </w:pPr>
      <w:bookmarkEnd w:id="66"/>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آقای کلمنت سرشماری اجباری و بلند مدت ملی را باطل کرد و به جای آن بررسی داوطلبانه را جایگزین نمود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با این وجود دولت فدرال دسترسی عمومی به مجموعه های اطلاعاتی دولتی را آسان کرده و ظاهراً درک ارزش آن را برای پژوهش دانشگاهی و تجارت و صنعتی خصوصی امکان پذیر ساخته است</w:t>
      </w:r>
      <w:r>
        <w:rPr>
          <w:rFonts w:eastAsia="IRNazanin" w:cs="IRNazanin"/>
          <w:color w:val="111111"/>
          <w:sz w:val="28"/>
          <w:szCs w:val="28"/>
          <w:rtl w:val="true"/>
          <w:lang w:bidi="fa-IR"/>
        </w:rPr>
        <w:t>.</w:t>
      </w:r>
    </w:p>
    <w:p>
      <w:pPr>
        <w:pStyle w:val="Heading3"/>
        <w:numPr>
          <w:ilvl w:val="2"/>
          <w:numId w:val="1"/>
        </w:numPr>
        <w:rPr/>
      </w:pPr>
      <w:bookmarkStart w:id="67" w:name="__RefHeading___Toc7766300_2870459653"/>
      <w:bookmarkStart w:id="68" w:name="_Toc25"/>
      <w:bookmarkEnd w:id="67"/>
      <w:r>
        <w:rPr>
          <w:rtl w:val="true"/>
        </w:rPr>
        <w:t>عملیات کاربردی سرمایه گذاری برای ذخیره سازی داده ها از سوی کانادا کامپیوت</w:t>
      </w:r>
      <w:bookmarkEnd w:id="68"/>
    </w:p>
    <w:p>
      <w:pPr>
        <w:pStyle w:val="BookText"/>
        <w:rPr/>
      </w:pP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کانادا کامپیوت، سازمان ملی پردازش با کارایی بالا، برنامه ای عملیاتی تحت نام لیدینگ اج فاوند </w:t>
      </w:r>
      <w:r>
        <w:rPr>
          <w:rStyle w:val="FootnoteAnchor"/>
          <w:rtl w:val="true"/>
        </w:rPr>
        <w:footnoteReference w:id="68"/>
      </w:r>
      <w:r>
        <w:rPr>
          <w:rFonts w:ascii="IRNazanin" w:hAnsi="IRNazanin" w:eastAsia="IRNazanin"/>
          <w:color w:val="111111"/>
          <w:sz w:val="28"/>
          <w:sz w:val="28"/>
          <w:szCs w:val="28"/>
          <w:rtl w:val="true"/>
          <w:lang w:bidi="fa-IR"/>
        </w:rPr>
        <w:t>برای افزایش توانمندی ذخیره سازی داده ها به سی اف آی ارائه داد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سی اف آی تا پاییز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موفق را اعلام نکرد</w:t>
      </w:r>
      <w:r>
        <w:rPr>
          <w:rFonts w:eastAsia="IRNazanin" w:cs="IRNazanin"/>
          <w:color w:val="111111"/>
          <w:sz w:val="28"/>
          <w:szCs w:val="28"/>
          <w:rtl w:val="true"/>
          <w:lang w:bidi="fa-IR"/>
        </w:rPr>
        <w:t>.</w:t>
      </w:r>
    </w:p>
    <w:p>
      <w:pPr>
        <w:pStyle w:val="Heading3"/>
        <w:numPr>
          <w:ilvl w:val="2"/>
          <w:numId w:val="1"/>
        </w:numPr>
        <w:rPr/>
      </w:pPr>
      <w:bookmarkStart w:id="69" w:name="__RefHeading___Toc7766302_2870459653"/>
      <w:bookmarkStart w:id="70" w:name="_Toc26"/>
      <w:bookmarkEnd w:id="69"/>
      <w:r>
        <w:rPr>
          <w:rtl w:val="true"/>
        </w:rPr>
        <w:t>سرمایه گذاری مجدد دولت برای سی اف آی و سى اِى اِن اِى آر آى اى</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گذاری مجدد دولت برای سی اف آی و سى اِى اِن اِى آر آى اى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حالی که بودجه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فدرال بودجه ای صرفه جویانه با پیش بینی از دست رفتن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خدمات اجتماعی فدرال است، </w:t>
      </w:r>
      <w:r>
        <w:rPr>
          <w:rStyle w:val="FootnoteAnchor"/>
          <w:rtl w:val="true"/>
        </w:rPr>
        <w:footnoteReference w:id="71"/>
      </w:r>
      <w:r>
        <w:rPr>
          <w:rFonts w:ascii="IRNazanin" w:hAnsi="IRNazanin" w:eastAsia="IRNazanin"/>
          <w:color w:val="111111"/>
          <w:sz w:val="28"/>
          <w:sz w:val="28"/>
          <w:szCs w:val="28"/>
          <w:rtl w:val="true"/>
          <w:lang w:bidi="fa-IR"/>
        </w:rPr>
        <w:t>دولت به حمایت خود از علوم و تحقیقات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اِف آی در میان تسهیلات دیگر، پانصد میلیون دلار دیگر برای پنج سال آینده از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ارائه برنامه های سرمایه گذاری برای رشد زیر ساخت مدیریت داده های ملی را امکان پذیر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سی ای ان ای آر آی ای، شبکه ملی پژوهش رقومی با سرعت بالا سرمایه دوساله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دریافت کرد در حقیقت وجود این نهاد به عنوان عناصر اصلی زیر ساخت مدیریت داده های ملی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آی اس تی آی، کتابخانه های پژوهشی کانادا و گروه های ملی آی تی در زمینه زیر ساخت داده های پژوهشی ملی با یکدیگر همکاری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ان سی دی آی بخش مهم این فرایند است و سی ای آرال که نقش فعال در زیر ساخت داده های پژوهشی در کانادا دارد، برای ایجاد فرصت های سرمایه گذاری ملی در آینده نزدیک می کوشد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 site. April 23, 2012. &lt;http://sciencepolicy.ca/news/canarie%E2%80%99s-re- sponse-kathryn-anthonise</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آی اس تی</w:t>
      </w:r>
    </w:p>
    <w:p>
      <w:pPr>
        <w:pStyle w:val="BookText"/>
        <w:rPr/>
      </w:pPr>
      <w:r>
        <w:rPr>
          <w:rFonts w:ascii="IRNazanin" w:hAnsi="IRNazanin" w:eastAsia="IRNazanin"/>
          <w:color w:val="111111"/>
          <w:sz w:val="28"/>
          <w:sz w:val="28"/>
          <w:szCs w:val="28"/>
          <w:rtl w:val="true"/>
          <w:lang w:bidi="fa-IR"/>
        </w:rPr>
        <w:t xml:space="preserve">آی آر دى اس دبلیو 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داده های پژوهشی در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شکاف</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1" w:name="pg9653_81697"/>
    </w:p>
    <w:p>
      <w:pPr>
        <w:pStyle w:val="Heading3"/>
        <w:numPr>
          <w:ilvl w:val="2"/>
          <w:numId w:val="1"/>
        </w:numPr>
        <w:rPr/>
      </w:pPr>
      <w:bookmarkStart w:id="72" w:name="__RefHeading___Toc7766304_2870459653"/>
      <w:bookmarkStart w:id="73" w:name="_Toc27"/>
      <w:bookmarkEnd w:id="71"/>
      <w:bookmarkEnd w:id="72"/>
      <w:r>
        <w:rPr>
          <w:rtl w:val="true"/>
        </w:rPr>
        <w:t>منابع</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Home. Canadian Association of Research Libraries, 2011. Web site. April 23, 2012. http://www.carlabrc.ca</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Available at http://carl-abrc.ca/en/scholarly-communications/data-manage- ment-sub-committee.htmlpapers and http://carl-abrc.ca/fr/communication-savante/gestion-des-donnees-sous-com- ite.htmldocuments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Canada Institute for Scientific and Technical Information. NRC National Sci- ence Library. National Research Council Canada, March 26, 2010. Web site. April 23, 2012. &lt;http://cisti-icist. nrccnrc. gc.ca/eng/ibp/cisti/index.html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Data Strategy Working Group. Research Data Strategy. Canada Insti- tute for Scientific and Technical Information, January 30, 2012. Web site. April 23, 2012. &lt;http://rds-sdr. cisti-icist.nrc-cnrc.gc.ca</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Data Strategy Working Group. National Consultation on Access to Scientific Research Data (NCASRD). Canada Institute for Scientific and Technical Information, March 8, 2012. Web site. April 23, 2012. http://rds-sdr.cisti-icist.nrc-cnrc.gc.ca/eng/ncasrd/index.html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Data Strategy Working Group. Stewardship of Research Data in Can- ada: A Gap Analysis. Canada Institute for Scientific and Technical Information, October 2008. PDF Web docu- ment. April 23, 2012. &lt;http://publications.gc.ca/collections/collection_2009/cnrc-nrc/NR16-123- 2008E.pdf</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INNOVATION.CA. Canada Foundation for Innovation, 2012. Web site. April 23, 2012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http://www.innovation.ca/en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Copeland, Lynn and Martha Whitehead. Canadian National Collaborative Data Infrastructure Project: Final Report. Canadian Association of Research Libraries, January 2012. PDF Web doc- ument. April 23, 2012. &lt; http://carl-abrc.ca/uploads/pdfs/carl_cncdi_final_report.pdf</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Canada's Advanced Research and Innovation Network. CANARIE, 2009. Web site. April 23, 2012. http://www.canarie.ca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CUCCIO-CDPIUC. Canadian University Council of Chief Information Offi- cers, October 20, 2011. Web site.April 23, 2012. &lt;http://www.cuccio-cdpiuc.ca/ en/index.php</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Home. Compute/Calcul Canada, 2011. Web site. April 23. 2012. &lt;https://com- putecanada.ca/index.php/en</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Canadian National Collaborative Data Infrastructure Project Preliminary Business Plan - Draft 3. Canadian Association of Research Libraries, September 16, 2011. PDF Web document. April 23, 2012. &lt;http://carlabrc. ca/uploads/pdfs/CNCDI_preliminary_BusinessPlan-draft_3.pdf</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Shearer, Kathleen. Canadian National Collaborative Data Infrastructure Proj- ect: Report of Research Data Symposium: March 10 &amp; 11, 2011. Canadian Association of Research Libraries, April 15, 2011. PDF Web document. April 23, 2012. &lt;http://carl-abrc.ca/uploads/pdfs/researcher_data_con- sultation march 11- final.pdf</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Copeland, Lynn and Martha Whitehead. Canadian National Collaborative Data Infrastructure Project: Final Report (see above)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Board of Directors. CARL Research Data Management Initiatives: Next Steps. Canadian Association of Research Libraries, January 2012. PDF Web document. April 23, 2012. &lt;http:// carlabrc. ca/uploads/pdfs/cncdi_next_steps.pdf</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Data Strategy Working Group. The 2011 Canadian Research Sum- mit. Canada Institute for Scientific and Technical Information, January 30, 2012. Web site. April 23. 2012. &lt;http://rds-sdr.cisti-icist.nrccnrc. gc.ca/eng/events/data_summit_2011/index.html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Data Strategy Working Group. Successful Canadian Research Data Summit held September 14-15. Canada Institute for Scientific and Technical Information, September 20, 2011. Web site. April 23, 2012. http://rds-sdr.cisti-icist.nrc-cnrc.gc.ca/eng/news/data_summit.html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Data Strategy Working Group. 2011 Canadian Research Data Sum- mit Final Report Released. Canada Institute for Scientific and Technical Information, January 30, 2012. Web site. April 23, 2012. http://rds-sdr.cisti-icist.nrc-cnrc.gc.ca/eng/news/data_summit_report.html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Industry Canada. Government of Canada Launches National Consultations on a Digital Economy Strategy. Government of Canada, September 1, 2010. Web site. April 23, 2012. http://www.ic.gc.ca/eic/site/ic1.nsf/eng/05531.html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CANARIE et al. "Canada's Digital Environment for Research, Innovation and Education," July 8, 2010. The Digital Economy in Canada. Government of Canada, March 30, 2012. Web doc- ument. April 23, 2012. http://www.digitaleconomy.gc.ca/eic/site/028.nsf/eng/00437.html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Unpublished correspondence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Groundbreaking research collaboration creates a new economic cornerstone for Canada," April 10, 2012. News. IBM (Canada), n. d. Web document. April 23, 2012. http://www.ibm.com/news/ca/en/2012/04/10/t770509v27527r12.html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Bendzsa, Carrie. "BACKGROUNDER IBM Canada Research and Develop- ment Centre." Ideas from IBM, n. d. Microsoft Word document on Web. April 23, 2012. &lt;http://www.ibm.com/ibm/ideasfromibm/ca/en/files/en_ca_research_net- work_backgrounder.doc</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Unpublished CARL Data Management Subcommittee minutes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Treasury Board of Canada Secretariat. "Minister Day Launches Open Data Portal," March 17, 2011. Media. Government of Canada, March 17, 2011. Web site. April 23, 2012. &lt;http://www. tbs-sct.gc.ca/media/nrcp/ 2011/0317a-eng.asp&gt;.11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Treasury Board of Canada Secretariat. "Minister Clement Releases Open Gov- ernment Action Plan," April 12, 2012. Media. Government of Canada, April 12, 2012. Web site. April 23, 2012. &lt;http://www.tbssct.gc.ca/media/nr-cp/2012/0412- eng.asp</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Clement won't back down on census," July 22, 2010. CBC, 2012. Web site. April 23, 2012. &lt;http://www.cbc.ca/news/politics/story/2010/07/22/statscan-cen- sus-tories-.html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Unpublished correspondence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Chapter 3.1: Supporting Entrepreneurs, Innovators and World-Class Re- search." Budget 2012. Government of Canada, March 29, 2012. Web site. April 23, 2012. &lt;http://www.budget.gc. ca/2012/plan/chap3-1-eng.html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CANARIE's Response: Kathryn Anthonisen," April 9, 2012. Home. Canadi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 Science Policy Centre, n. d</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 site. April 23, 2012. &lt;http://sciencepolicy.ca/news/canarie%E2%80%99s-re- sponse-kathryn-anthonisen</w:t>
      </w:r>
      <w:r>
        <w:rPr>
          <w:rFonts w:eastAsia="Times New Roman" w:cs="Times New Roman" w:ascii="Times New Roman" w:hAnsi="Times New Roman"/>
          <w:color w:val="111111"/>
          <w:sz w:val="28"/>
          <w:szCs w:val="28"/>
          <w:rtl w:val="true"/>
          <w:lang w:val="en-US" w:bidi="en-US"/>
        </w:rPr>
        <w:t xml:space="preserve">&gt;. </w:t>
      </w:r>
      <w:bookmarkStart w:id="74" w:name="pg9653_81702"/>
    </w:p>
    <w:p>
      <w:pPr>
        <w:pStyle w:val="Heading2"/>
        <w:numPr>
          <w:ilvl w:val="1"/>
          <w:numId w:val="1"/>
        </w:numPr>
        <w:rPr/>
      </w:pPr>
      <w:bookmarkStart w:id="75" w:name="__RefHeading___Toc7766306_2870459653"/>
      <w:bookmarkStart w:id="76" w:name="_Toc28"/>
      <w:bookmarkEnd w:id="74"/>
      <w:bookmarkEnd w:id="75"/>
      <w:r>
        <w:rPr>
          <w:rtl w:val="true"/>
        </w:rPr>
        <w:t>چکیده</w:t>
      </w:r>
      <w:bookmarkEnd w:id="76"/>
    </w:p>
    <w:p>
      <w:pPr>
        <w:pStyle w:val="BookText"/>
        <w:rPr/>
      </w:pPr>
      <w:r>
        <w:rPr>
          <w:rFonts w:ascii="IRNazanin" w:hAnsi="IRNazanin" w:eastAsia="IRNazanin"/>
          <w:color w:val="111111"/>
          <w:sz w:val="28"/>
          <w:sz w:val="28"/>
          <w:szCs w:val="28"/>
          <w:rtl w:val="true"/>
          <w:lang w:bidi="fa-IR"/>
        </w:rPr>
        <w:t xml:space="preserve">نمایه اس بی ان، یک نمایه چند رسانه ای است که فهرست واحد مجموعه هایی با بیش از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ایتالیا با عملکرد گوناگون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فهرست بیشتر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توصیف کتابشناختی و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نویسنده برای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موقعیت موجود را شامل می شود در این نمایه انواع گوناگون مواد ذخیره شده اند انتشارات جدید و قدیمی سایر مواد مانند موسیقی گرافیک نقشه کشی </w:t>
      </w:r>
      <w:r>
        <w:rPr>
          <w:rStyle w:val="FootnoteAnchor"/>
          <w:rtl w:val="true"/>
        </w:rPr>
        <w:footnoteReference w:id="73"/>
      </w:r>
      <w:r>
        <w:rPr>
          <w:rFonts w:ascii="IRNazanin" w:hAnsi="IRNazanin" w:eastAsia="IRNazanin"/>
          <w:color w:val="111111"/>
          <w:sz w:val="28"/>
          <w:sz w:val="28"/>
          <w:szCs w:val="28"/>
          <w:rtl w:val="true"/>
          <w:lang w:bidi="fa-IR"/>
        </w:rPr>
        <w:t xml:space="preserve">مدارک و همچنین تمام مواد غیر کتابی که توسط کتابخانه های ایتالیایی امانت داده می شوند مانند ویدیو، کتاب های الکترونیکی، ریزنگاشت ها آثار سه بعدی هنری و گروه آثار عتیقه و غیره نمایه اس بی ان یک قدم به سمت شبکه خدمات گسترده تر برای کتابخانه ها و استفاده کنندگان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ابر</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فهرست نویسی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اس بی ان، چند رسانه ای، مواد غیر کتابی، کتابخانه های ایتالیایی، ابر </w:t>
      </w:r>
      <w:bookmarkStart w:id="77" w:name="pg9653_81703"/>
    </w:p>
    <w:p>
      <w:pPr>
        <w:pStyle w:val="Heading2"/>
        <w:numPr>
          <w:ilvl w:val="1"/>
          <w:numId w:val="1"/>
        </w:numPr>
        <w:rPr/>
      </w:pPr>
      <w:bookmarkStart w:id="78" w:name="__RefHeading___Toc7766308_2870459653"/>
      <w:bookmarkStart w:id="79" w:name="_Toc29"/>
      <w:bookmarkEnd w:id="77"/>
      <w:bookmarkEnd w:id="78"/>
      <w:r>
        <w:rPr>
          <w:rtl w:val="true"/>
        </w:rPr>
        <w:t xml:space="preserve">خدمات کتابخانه ملی </w:t>
      </w:r>
      <w:r>
        <w:rPr>
          <w:rtl w:val="true"/>
        </w:rPr>
        <w:t>(</w:t>
      </w:r>
      <w:r>
        <w:rPr>
          <w:rtl w:val="true"/>
        </w:rPr>
        <w:t>اِس بی اِن</w:t>
      </w:r>
      <w:r>
        <w:rPr>
          <w:rtl w:val="true"/>
        </w:rPr>
        <w:t xml:space="preserve">) </w:t>
      </w:r>
      <w:r>
        <w:rPr>
          <w:rtl w:val="true"/>
        </w:rPr>
        <w:t>و مدیریت مجموعه های خاص در نمایه چند رسانه ای</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مجموعه های خاص در نمایه چند رسانه ای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collections in the multimedia Index</w:t>
      </w:r>
    </w:p>
    <w:p>
      <w:pPr>
        <w:pStyle w:val="BookText"/>
        <w:rPr/>
      </w:pPr>
      <w:r>
        <w:rPr>
          <w:rFonts w:ascii="IRNazanin" w:hAnsi="IRNazanin" w:eastAsia="IRNazanin"/>
          <w:color w:val="111111"/>
          <w:sz w:val="28"/>
          <w:sz w:val="28"/>
          <w:szCs w:val="28"/>
          <w:rtl w:val="true"/>
          <w:lang w:bidi="fa-IR"/>
        </w:rPr>
        <w:t xml:space="preserve">نوشته پاتریسیا مارتینی </w:t>
      </w:r>
      <w:r>
        <w:rPr>
          <w:rStyle w:val="FootnoteAnchor"/>
          <w:rtl w:val="true"/>
        </w:rPr>
        <w:footnoteReference w:id="76"/>
      </w:r>
      <w:r>
        <w:rPr>
          <w:rFonts w:ascii="IRNazanin" w:hAnsi="IRNazanin" w:eastAsia="IRNazanin"/>
          <w:color w:val="111111"/>
          <w:sz w:val="28"/>
          <w:sz w:val="28"/>
          <w:szCs w:val="28"/>
          <w:rtl w:val="true"/>
          <w:lang w:bidi="fa-IR"/>
        </w:rPr>
        <w:t xml:space="preserve">و گابریلا گونتاردی </w:t>
      </w:r>
      <w:r>
        <w:rPr>
          <w:rStyle w:val="FootnoteAnchor"/>
          <w:rtl w:val="true"/>
        </w:rPr>
        <w:footnoteReference w:id="77"/>
      </w:r>
      <w:r>
        <w:rPr>
          <w:rFonts w:ascii="IRNazanin" w:hAnsi="IRNazanin" w:eastAsia="IRNazanin"/>
          <w:color w:val="111111"/>
          <w:sz w:val="28"/>
          <w:sz w:val="28"/>
          <w:szCs w:val="28"/>
          <w:rtl w:val="true"/>
          <w:lang w:bidi="fa-IR"/>
        </w:rPr>
        <w:t xml:space="preserve">ترجمه اطهره احمدی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موسسه مرکزی برای فهرست نویسی واحد در کتابخانه های ایتالیایی و اطلاعات کتابشناختی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اصلی فهرست نویسی میراث ملی اطلاعات کتابشناختی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بر اساس راهبرد همکاری قابل توجه میان کتابخانه های ایتالیایی حتی نهادهای متفاوت مانند ایالت، ناحیه، دولت، دانشگاه و بخش خصوصی دنبال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توسعه بخشیدن به مجموعه علم کتابشناختی و همچنین ساده کردن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سی سی یو</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به عنوان هماهنگ کننده پایگاه های اطلاعات کتابشناختی و خدمات ملی خدمات کتابخانه ملی اس بی ان، امانت بین کتابخانه ای و تحویل مدرک، پایگاه های اطلاعاتی که در چاپ ایتالیایی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ملاحظه قرار داده اند آگاهی ملی در مورد نسخه ها و راهنمایی برای کتابخانه های ایتالیا عمل می کند برای حمایت فعالیت های فهرست نویسی در کتابخانه های ایتالیایی، این موسسه مسئولیت راهنمایی ایجاد و تطابق و انتشار قواعد استاندارد و تعریف مقررات و دستورالعمل هایی برای فهرست نویسی تمام گونه های مواد شامل نسخه های خطی تا اسناد چندرسانه ای را برعهده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 های اخیر فعالیت اصلی این موسسه به سمت زمینه رقومی سازی محتوای فرهنگی و تعریف استانداردهایی برای تجمیع و دستیابی به منابع میراث فرهنگی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وزارت میراث فرهنگی و فعالیت های آی سی سی یو طرح های عمده رقومی میراث فرهنگی را در مقیاس ملی هماهنگ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درگاه فرهنگ اینترنتی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دسترسی یکپارچه به منابع رقومی کتابخانه های ایتالیایی، آرشیوها، کتابخانه ها و سایر موسسات فرهنگی را توسعه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درگاه یک موقعیت مجازی است برای جستجوی اطلاعات کتابشناختی و مجموعه های رقومی که از طریق مشارکت کتابخانه های رقومی در دسترس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درگاه فرهنگ اینترنتی، استفاده کنندگان می توانند در مجموعه های رقومی کاتولوگ ها و پایگاه های اطلاعاتی تخصصی مانند خدمات کتابخانه ملی آمار نسخه های خطی موجود در کتابخانه های ایتالیایی و آمار ملی کتاب های ایتالیایی قرن شانزدهم را مرور و جست و جو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سی سی یو همچنین مسئول فرهنگ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ملی است که یوروپیانا را با محتوای ایتالیایی تامین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موسسه در اروپا و در سطح بین المللی مسئول هماهنگ کردن طرح های زیادی در زمینه رقومی سازی محتوای فرهنگی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مینروا، </w:t>
      </w:r>
      <w:r>
        <w:rPr>
          <w:rStyle w:val="FootnoteAnchor"/>
          <w:rtl w:val="true"/>
        </w:rPr>
        <w:footnoteReference w:id="81"/>
      </w:r>
      <w:r>
        <w:rPr>
          <w:rFonts w:ascii="IRNazanin" w:hAnsi="IRNazanin" w:eastAsia="IRNazanin"/>
          <w:color w:val="111111"/>
          <w:sz w:val="28"/>
          <w:sz w:val="28"/>
          <w:szCs w:val="28"/>
          <w:rtl w:val="true"/>
          <w:lang w:bidi="fa-IR"/>
        </w:rPr>
        <w:t xml:space="preserve">میشایل، </w:t>
      </w:r>
      <w:r>
        <w:rPr>
          <w:rStyle w:val="FootnoteAnchor"/>
          <w:rtl w:val="true"/>
        </w:rPr>
        <w:footnoteReference w:id="82"/>
      </w:r>
      <w:r>
        <w:rPr>
          <w:rFonts w:ascii="IRNazanin" w:hAnsi="IRNazanin" w:eastAsia="IRNazanin"/>
          <w:color w:val="111111"/>
          <w:sz w:val="28"/>
          <w:sz w:val="28"/>
          <w:szCs w:val="28"/>
          <w:rtl w:val="true"/>
          <w:lang w:bidi="fa-IR"/>
        </w:rPr>
        <w:t xml:space="preserve">آتنا </w:t>
      </w:r>
      <w:r>
        <w:rPr>
          <w:rStyle w:val="FootnoteAnchor"/>
          <w:rtl w:val="true"/>
        </w:rPr>
        <w:footnoteReference w:id="83"/>
      </w:r>
      <w:r>
        <w:rPr>
          <w:rFonts w:ascii="IRNazanin" w:hAnsi="IRNazanin" w:eastAsia="IRNazanin"/>
          <w:color w:val="111111"/>
          <w:sz w:val="28"/>
          <w:sz w:val="28"/>
          <w:szCs w:val="28"/>
          <w:rtl w:val="true"/>
          <w:lang w:bidi="fa-IR"/>
        </w:rPr>
        <w:t xml:space="preserve">دی سی نت، </w:t>
      </w:r>
      <w:r>
        <w:rPr>
          <w:rStyle w:val="FootnoteAnchor"/>
          <w:rtl w:val="true"/>
        </w:rPr>
        <w:footnoteReference w:id="84"/>
      </w:r>
      <w:r>
        <w:rPr>
          <w:rFonts w:ascii="IRNazanin" w:hAnsi="IRNazanin" w:eastAsia="IRNazanin"/>
          <w:color w:val="111111"/>
          <w:sz w:val="28"/>
          <w:sz w:val="28"/>
          <w:szCs w:val="28"/>
          <w:rtl w:val="true"/>
          <w:lang w:bidi="fa-IR"/>
        </w:rPr>
        <w:t xml:space="preserve">یوروپیانا، ایندیکیت، </w:t>
      </w:r>
      <w:r>
        <w:rPr>
          <w:rStyle w:val="FootnoteAnchor"/>
          <w:rtl w:val="true"/>
        </w:rPr>
        <w:footnoteReference w:id="85"/>
      </w:r>
      <w:r>
        <w:rPr>
          <w:rFonts w:ascii="IRNazanin" w:hAnsi="IRNazanin" w:eastAsia="IRNazanin"/>
          <w:color w:val="111111"/>
          <w:sz w:val="28"/>
          <w:sz w:val="28"/>
          <w:szCs w:val="28"/>
          <w:rtl w:val="true"/>
          <w:lang w:bidi="fa-IR"/>
        </w:rPr>
        <w:t xml:space="preserve">میراث مرتبط، </w:t>
      </w:r>
      <w:r>
        <w:rPr>
          <w:rStyle w:val="FootnoteAnchor"/>
          <w:rtl w:val="true"/>
        </w:rPr>
        <w:footnoteReference w:id="86"/>
      </w:r>
      <w:r>
        <w:rPr>
          <w:rFonts w:ascii="IRNazanin" w:hAnsi="IRNazanin" w:eastAsia="IRNazanin"/>
          <w:color w:val="111111"/>
          <w:sz w:val="28"/>
          <w:sz w:val="28"/>
          <w:szCs w:val="28"/>
          <w:rtl w:val="true"/>
          <w:lang w:bidi="fa-IR"/>
        </w:rPr>
        <w:t xml:space="preserve">کتابخانه رقومی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 دی ال</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کتابخانه ملی اس بی ان، یک شبکه ملی کتابخانه های ایتالیایی هدفمند به سمت تاسیس فهرست واحد ایتالیایی و کنترل کتابشناختی بر اساس مقررات بین المللی کنترل کتابشناختی جهانی و دسترس جهانی به انتشارات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شبکه برخط شامل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مرتبط شده توسط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محلی به سرور مرکزی است که فهرست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یک پایگاه اطلاع رسانی بالغ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توصیف کتابشناختی عناوین و بالغ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نویسنده برای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اطلاعات موجودی را میزبانی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اهداف اصلی توسعه نمایه اس بی ان ایجاد یک پایگاه منحصر چندرسانه ای از اجتماع پایگاه های اطلاع رسانی موجود کتاب های ،مدرن کتاب های قدیمی و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اس بی ان شامل یک پایگاه اطلاع رسانی از انتشارات جدید و قدیمی پیشینه های همه انواع مواد شامل ،کتاب ها ویدیوها پیایندها، مقالات، کتاب های ضبط شده و موسیقی ها، کتاب های الکترونیکی، صفحات موسیقی، عکس ها، پوسترها، نقاشی ها، طراحی ها، نقشه ها و غیره و درصورت دسترس پذیری پیوندی به تصاویر رقومی فایل های مستند نام نویسندگان و همچنین سرعنوان های معناشناختی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و 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های نشر استاندارد شده و تجهیزات چاپ است که در این نمایه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مرکزی خدماتی را برای کتابخانه ها به منظور اشتراک فهرست ها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فهرست نویسی، کتابخانه ها، کتابشناختی توصیفی انتشارات در فهرست مشترک را جست و جو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اگر پیشینه یافت شد، کتابخانه این پیشینه را برداشته و اطلاعات موجودی را اضافه می کند هر پیشینه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عنوان، نویسنده، موضوع،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جست و جو و برداشت شود تا دوباره برای فهرست نویس جدید مورد استفاده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کسی این پیشینه را تغییر دهد، نظام مرکزی می تواند نسخه به روز شده آن را از کتابخانه هایی که این پیشینه را به امانت گرفته اند، در پایگاه اطلاعاتی خویش زمانی که به آن نیازمندند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نمایه اس بیان شامل یک هسته اطلاعات و عملکردهای مشترک در تمام موارد گونه ها خطوط فهرست نویسی مختلف است که فهرست نویسی اصلی را با داده های خاصی با در نظر گرفتن انواع مختلف غنی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برچسب حوزه ای با عنوان نوع ماده خط فهرست نویسی را برای این مواد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مواد مدرن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تک نگاشت ها، ادواری هایی که تاریخ انتشار دارند، روز نشر بعد از </w:t>
      </w:r>
      <w:r>
        <w:rPr>
          <w:rFonts w:eastAsia="IRNazanin" w:cs="IRNazanin"/>
          <w:color w:val="111111"/>
          <w:sz w:val="28"/>
          <w:szCs w:val="28"/>
          <w:lang w:bidi="fa-IR"/>
        </w:rPr>
        <w:t>1830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ایی مواد قدیمی</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تک نگاشت هایی از تاریخ روز نشر تا </w:t>
      </w:r>
      <w:r>
        <w:rPr>
          <w:rFonts w:eastAsia="IRNazanin" w:cs="IRNazanin"/>
          <w:color w:val="111111"/>
          <w:sz w:val="28"/>
          <w:szCs w:val="28"/>
          <w:lang w:bidi="fa-IR"/>
        </w:rPr>
        <w:t>1830</w:t>
      </w:r>
    </w:p>
    <w:p>
      <w:pPr>
        <w:pStyle w:val="BookText"/>
        <w:rPr/>
      </w:pPr>
      <w:r>
        <w:rPr>
          <w:rFonts w:ascii="IRNazanin" w:hAnsi="IRNazanin" w:eastAsia="IRNazanin"/>
          <w:color w:val="111111"/>
          <w:sz w:val="28"/>
          <w:sz w:val="28"/>
          <w:szCs w:val="28"/>
          <w:rtl w:val="true"/>
          <w:lang w:bidi="fa-IR"/>
        </w:rPr>
        <w:t>یو نسخه های موسیقی</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اسناد چاپی شامل موسیقی آزاد و منابعی که تاریخ بندی شده اند از قرن شانزدهم تا کنون که قرار گرفته اند در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عمومی و خصوصی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مواد گرافیکی</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نقاشی ها، طراحی ها، پوسترها و عکس ها و تصاویر و غیره که تاریخ زده شده اند، از قرن شانزدهم تا کنون </w:t>
      </w:r>
    </w:p>
    <w:p>
      <w:pPr>
        <w:pStyle w:val="BookText"/>
        <w:rPr/>
      </w:pPr>
      <w:r>
        <w:rPr>
          <w:rFonts w:ascii="IRNazanin" w:hAnsi="IRNazanin" w:eastAsia="IRNazanin"/>
          <w:color w:val="111111"/>
          <w:sz w:val="28"/>
          <w:sz w:val="28"/>
          <w:szCs w:val="28"/>
          <w:rtl w:val="true"/>
          <w:lang w:bidi="fa-IR"/>
        </w:rPr>
        <w:t>سی مواد نقشه کشی</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نسخه های مواد نقشه کشی و اسناد چاپی که از قرن شانزدهم تاکنون تاریخ زده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نوع ماده که اطلاعاتی را در مورد مجموعه داده های مخصوص فراهم شده می دهد زمینه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از پیشینه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 مارک</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است که محتوای منابع را مشخص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موادی مانند آثار ضبط شده صوتی، مواد صامت، مواد پروژکتوری ویدیویی، منابع الکترونیکی یا چند رسانه ای ها آثار سه بعدی هنری و آثار عتیقه در حال حاضر زمینه های خط فهرست نویسی مشخصی ندارند و به عنوان مواد مدرن توصیف می شوند، اما با حق تعیین نوع پیشینه برای مثال موسیقی انتشار یافته، گرافیک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ها می توانند توصیف انواع مختلف اسناد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اطلاعات را انتخاب کنند حتی اگر به آن ها پیشنهاد شود که آن را با تمام خصوصیاتشان برای ایجاد یک رکورد کتابشناختی با کیفیت بالا فهرست نویسی کنند این انتخاب می تواند به موقعیت های مختلفی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دارای موارد اندکی از مواد باشد و شاید کتابدار نمی تواند همه آن اطلاعات خاص مورد درخواست را فراهم سازد نظامی که در مدیریت کتابخانه استفاده می شود اجازه فهرست نویسی کامل انواع مواد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نمایه اس بی ان برای هر نظام مدیریت کتابخانه که تفاهم نامه کاربردی اس بی ان مارک را استفاده می کند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قالب جدیدی از مارک نیست، بلکه تفاهم نامه ای است که برای به اشتراک گذاشتن عملکرد فهرست در خدمات نظام مدیریت بین کتاب خانه ای ملی و نمایه هایی که از پیام های ایکس ام ال </w:t>
      </w:r>
      <w:r>
        <w:rPr>
          <w:rStyle w:val="FootnoteAnchor"/>
          <w:rtl w:val="true"/>
        </w:rPr>
        <w:footnoteReference w:id="95"/>
      </w:r>
      <w:r>
        <w:rPr>
          <w:rFonts w:ascii="IRNazanin" w:hAnsi="IRNazanin" w:eastAsia="IRNazanin"/>
          <w:color w:val="111111"/>
          <w:sz w:val="28"/>
          <w:sz w:val="28"/>
          <w:szCs w:val="28"/>
          <w:rtl w:val="true"/>
          <w:lang w:bidi="fa-IR"/>
        </w:rPr>
        <w:t>و یک طرح بر اساس مفاهیم و نشان های مارک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محلی وارد فعالیت می شوند تا خدماتی را تقاضا کنند که فهرست مشترک فراهم شده را قابل ملاحظه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برخط فراهم شده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مدخل های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بومی کردن با دو معنی متفاوت کتابخانه مالک سند و یا پیشینه های کتابشناختی است که در پایگاه اطلاع رسانی محلی در دسترس است دومین نوع بو می کردن برای کتابخانه هایی که می خواهند رکوردهای تغییر یافته توسط کتابخانه های دیگر دریافت کنند مناسب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مدخل های مرجع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مدخل های مرجع، پشنهادها و طرح های اصلاحی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الزامات داده هایی که مشخص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رکوردهای تغییر یافته توسط دیگر کتابخانه ها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مرکزی می توانست پیام ها را تنها توسط برنامه های نرم افزاری تبادل کند که براساس تفاهم نامه اس بیان ،بودند بعد از آن برای این که تعداد کتابخانه هایی را که در اس بی آن شرکت می کنند افزایش دهد، نظام مرکزی تفاهم نامه جدید اس بیان مارک را برای تسهیل توسعه واحد فهرست مشترک توسط پشتیبان نرم افزار پذیرفت</w:t>
      </w:r>
    </w:p>
    <w:p>
      <w:pPr>
        <w:pStyle w:val="BookText"/>
        <w:rPr/>
      </w:pPr>
      <w:r>
        <w:rPr>
          <w:rFonts w:ascii="IRNazanin" w:hAnsi="IRNazanin" w:eastAsia="IRNazanin"/>
          <w:color w:val="111111"/>
          <w:sz w:val="28"/>
          <w:sz w:val="28"/>
          <w:szCs w:val="28"/>
          <w:rtl w:val="true"/>
          <w:lang w:bidi="fa-IR"/>
        </w:rPr>
        <w:t>امروزه نظام مرکزی بسیار منعطف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مختلفی از همکاری را به وجود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بومی سازی و دریافت کتابشناختی بدون فهرست نویسی پیشینه های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کتابشناختی بومی سازی و فهرست نویسی پیشینه های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کامل کتابخانه هایی که قادر به فهرست نویسی و به روز رسانی پیشینه ها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طوری که پیشینه های تغییر داده شده توسط کتابخانه های دیگر را پذیرفته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دهد که کتابخانه سطوح توصیفی را انتخاب کنند مشخص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نوعی از موادی را که آن ها فهرست می کنند تمام داده های خاص را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فایل های مستندی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موضوع، مکان نشر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توانند مدیریت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پیشینه های جدید، تصحیح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 که فقط دریافت یا برداشت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انعطاف پذیری همکاری بین کتابخانه ها به نرم افزار اجازه می دهد که تکامل محصولات جدید را کم و بیش توسعه بدهد واحدهای فهرست نویسی مشترک برای ال ام اس </w:t>
      </w:r>
      <w:r>
        <w:rPr>
          <w:rStyle w:val="FootnoteAnchor"/>
          <w:rtl w:val="true"/>
        </w:rPr>
        <w:footnoteReference w:id="96"/>
      </w:r>
      <w:r>
        <w:rPr>
          <w:rFonts w:ascii="IRNazanin" w:hAnsi="IRNazanin" w:eastAsia="IRNazanin"/>
          <w:color w:val="111111"/>
          <w:sz w:val="28"/>
          <w:sz w:val="28"/>
          <w:szCs w:val="28"/>
          <w:rtl w:val="true"/>
          <w:lang w:bidi="fa-IR"/>
        </w:rPr>
        <w:t>ها به منظور تبادل پیام های بین کتابخانه ها و نمایه توسعه یافته است که باید در گواهی موسسه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هم برای سطح همکاری و انتخاب ویژگی های خاص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تأکید شود که مدیریت شبکه برای کیفیت اطلاعات به خاطر تعداد فزاینده کتابخانه ها و مؤسسات در حال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عواملی همانند نظارت ابزارهای فهرست نویسی و ثبت مشخصات کتابخانه ها به صورت متفاوت بر طبق مشارکت واقعی آن ها در ایجاد فهرست واحد سرو کار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نگاهی به پیشرفت آینده مدیریت مجموعه سازی در اس بی 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قوی </w:t>
      </w:r>
    </w:p>
    <w:p>
      <w:pPr>
        <w:pStyle w:val="BookText"/>
        <w:rPr/>
      </w:pPr>
      <w:r>
        <w:rPr>
          <w:rFonts w:ascii="IRNazanin" w:hAnsi="IRNazanin" w:eastAsia="IRNazanin"/>
          <w:color w:val="111111"/>
          <w:sz w:val="28"/>
          <w:sz w:val="28"/>
          <w:szCs w:val="28"/>
          <w:rtl w:val="true"/>
          <w:lang w:bidi="fa-IR"/>
        </w:rPr>
        <w:t>دنیای کتابخانه در فرآیند داده های پیوندی و وب معنایی که به سمت نگرش جدیدی برای ساختار فهرست های مجموعه ای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آى سی سی یو در حقیقت تلاش های خودش را به سمت بعضی از فعالیت ها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سازی ناحیه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اس بی دی</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جدید در نظام اس بی آن که محتوای سند و نوع محمل مورد استفاده را بیان کند برای این که محتوای آن را منتقل کند این مسئله مهمی برای فراهم آوردن اطلاعات جامعی در بابت نوع و پیچیدگی منابعی که در حال افزایش هستند و به علاوه تسهیل دسترسی به اطلاعات از هر سطحی از استفاده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دیگر به لحاظ توسعه به سمت داده های بین کتابخانه ای یک کارگروه ملی در حال بررسی توسعه استانداردهای کتابخانه ای است که با داده های بین کتابخانه ای برای تعریف و ترسیم عناصر اس بی آن در ثبت فراداده بر پایه اِس کِی 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دی اف </w:t>
      </w:r>
      <w:r>
        <w:rPr>
          <w:rStyle w:val="FootnoteAnchor"/>
          <w:rtl w:val="true"/>
        </w:rPr>
        <w:footnoteReference w:id="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تاثیر عظیم گروه تولید داده های بین کتابخانه ای </w:t>
      </w:r>
      <w:r>
        <w:rPr>
          <w:rStyle w:val="FootnoteAnchor"/>
          <w:rtl w:val="true"/>
        </w:rPr>
        <w:footnoteReference w:id="99"/>
      </w:r>
      <w:r>
        <w:rPr>
          <w:rFonts w:ascii="IRNazanin" w:hAnsi="IRNazanin" w:eastAsia="IRNazanin"/>
          <w:color w:val="111111"/>
          <w:sz w:val="28"/>
          <w:sz w:val="28"/>
          <w:szCs w:val="28"/>
          <w:rtl w:val="true"/>
          <w:lang w:bidi="fa-IR"/>
        </w:rPr>
        <w:t>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پایانی در دنیای کتابخانه که به سمت رویکرد جدیدی راجع به رویههای جاری برای تولید و تحویل اطلاعات کتابخانه ها و گام جدیدی برای رسیدن به فهرست نویسی مبتنی بر ابر است</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9653_81710"/>
      <w:bookmarkStart w:id="81" w:name="pg9653_81710"/>
      <w:bookmarkEnd w:id="81"/>
    </w:p>
    <w:p>
      <w:pPr>
        <w:pStyle w:val="Heading2"/>
        <w:numPr>
          <w:ilvl w:val="1"/>
          <w:numId w:val="1"/>
        </w:numPr>
        <w:rPr/>
      </w:pPr>
      <w:bookmarkStart w:id="82" w:name="pg9653_81710"/>
      <w:bookmarkStart w:id="83" w:name="__RefHeading___Toc7766310_2870459653"/>
      <w:bookmarkStart w:id="84" w:name="_Toc30"/>
      <w:bookmarkEnd w:id="82"/>
      <w:bookmarkEnd w:id="83"/>
      <w:r>
        <w:rPr>
          <w:rtl w:val="true"/>
        </w:rPr>
        <w:t>چکیده</w:t>
      </w:r>
      <w:bookmarkEnd w:id="84"/>
    </w:p>
    <w:p>
      <w:pPr>
        <w:pStyle w:val="BookText"/>
        <w:rPr/>
      </w:pPr>
      <w:r>
        <w:rPr>
          <w:rFonts w:ascii="IRNazanin" w:hAnsi="IRNazanin" w:eastAsia="IRNazanin"/>
          <w:color w:val="111111"/>
          <w:sz w:val="28"/>
          <w:sz w:val="28"/>
          <w:szCs w:val="28"/>
          <w:rtl w:val="true"/>
          <w:lang w:bidi="fa-IR"/>
        </w:rPr>
        <w:t>این مقاله اقدامات مدیریت داده ها در دانشگاه نورث آمپتون و نقش مهم کتابخانه در پیشبرد این کار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سال گذشته دانشگاه چندین ابزار را که توسط مرکز پردازش رقومی بریتانیا فراهم شده پیاده سازی کرده است هم اکنون نیز مستقیما با این مرکز برای پیاده سازی خط مشی جدید داده های پژوهشی همکاری می کند و کتابداران را آموزش می دهد تا مدیریت داده های پژوهشی را پشتیبانی نماید مرکز پردازش رقومی با چندین دانشگاه در این مورد همکاری می کند که دانشگاه نورث امپتون در بافت وسیعتری از بریتانیا نمونه ای از آن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نورث آمیتون، پردازش رقومی، داده های پژوهشی</w:t>
      </w:r>
      <w:r>
        <w:rPr>
          <w:rFonts w:eastAsia="IRNazanin" w:cs="IRNazanin"/>
          <w:color w:val="111111"/>
          <w:sz w:val="28"/>
          <w:szCs w:val="28"/>
          <w:rtl w:val="true"/>
          <w:lang w:bidi="fa-IR"/>
        </w:rPr>
        <w:t xml:space="preserve">. </w:t>
      </w:r>
      <w:bookmarkStart w:id="85" w:name="pg9653_81711"/>
    </w:p>
    <w:p>
      <w:pPr>
        <w:pStyle w:val="Heading2"/>
        <w:numPr>
          <w:ilvl w:val="1"/>
          <w:numId w:val="1"/>
        </w:numPr>
        <w:rPr/>
      </w:pPr>
      <w:bookmarkStart w:id="86" w:name="__RefHeading___Toc7766312_2870459653"/>
      <w:bookmarkStart w:id="87" w:name="_Toc31"/>
      <w:bookmarkEnd w:id="85"/>
      <w:bookmarkEnd w:id="86"/>
      <w:r>
        <w:rPr>
          <w:rtl w:val="true"/>
        </w:rPr>
        <w:t>هدایت از کتابخانه</w:t>
      </w:r>
      <w:r>
        <w:rPr>
          <w:rtl w:val="true"/>
        </w:rPr>
        <w:t xml:space="preserve">: </w:t>
      </w:r>
      <w:r>
        <w:rPr>
          <w:rtl w:val="true"/>
        </w:rPr>
        <w:t>اقدامات مدیریت داده ها در دانشگاه نورث آمپتون</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از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مدیریت داده ها در دانشگاه نورث آمپتون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میگی پیکتون </w:t>
      </w:r>
      <w:r>
        <w:rPr>
          <w:rStyle w:val="FootnoteAnchor"/>
          <w:rtl w:val="true"/>
        </w:rPr>
        <w:footnoteReference w:id="100"/>
      </w:r>
      <w:r>
        <w:rPr>
          <w:rFonts w:ascii="IRNazanin" w:hAnsi="IRNazanin" w:eastAsia="IRNazanin"/>
          <w:color w:val="111111"/>
          <w:sz w:val="28"/>
          <w:sz w:val="28"/>
          <w:szCs w:val="28"/>
          <w:rtl w:val="true"/>
          <w:lang w:bidi="fa-IR"/>
        </w:rPr>
        <w:t xml:space="preserve">، سارا جونز </w:t>
      </w:r>
      <w:r>
        <w:rPr>
          <w:rStyle w:val="FootnoteAnchor"/>
          <w:rtl w:val="true"/>
        </w:rPr>
        <w:footnoteReference w:id="101"/>
      </w:r>
      <w:r>
        <w:rPr>
          <w:rFonts w:ascii="IRNazanin" w:hAnsi="IRNazanin" w:eastAsia="IRNazanin"/>
          <w:color w:val="111111"/>
          <w:sz w:val="28"/>
          <w:sz w:val="28"/>
          <w:szCs w:val="28"/>
          <w:rtl w:val="true"/>
          <w:lang w:bidi="fa-IR"/>
        </w:rPr>
        <w:t xml:space="preserve">، مارکی گای </w:t>
      </w:r>
      <w:r>
        <w:rPr>
          <w:rStyle w:val="FootnoteAnchor"/>
          <w:rtl w:val="true"/>
        </w:rPr>
        <w:footnoteReference w:id="102"/>
      </w:r>
      <w:r>
        <w:rPr>
          <w:rFonts w:ascii="IRNazanin" w:hAnsi="IRNazanin" w:eastAsia="IRNazanin"/>
          <w:color w:val="111111"/>
          <w:sz w:val="28"/>
          <w:sz w:val="28"/>
          <w:szCs w:val="28"/>
          <w:rtl w:val="true"/>
          <w:lang w:bidi="fa-IR"/>
        </w:rPr>
        <w:t xml:space="preserve">ترجمه مریم اسدی </w:t>
      </w:r>
      <w:r>
        <w:rPr>
          <w:rStyle w:val="FootnoteAnchor"/>
          <w:rtl w:val="true"/>
        </w:rPr>
        <w:footnoteReference w:id="103"/>
      </w:r>
    </w:p>
    <w:p>
      <w:pPr>
        <w:pStyle w:val="Heading2"/>
        <w:numPr>
          <w:ilvl w:val="1"/>
          <w:numId w:val="1"/>
        </w:numPr>
        <w:rPr/>
      </w:pPr>
      <w:bookmarkStart w:id="88" w:name="__RefHeading___Toc7766314_2870459653"/>
      <w:bookmarkStart w:id="89" w:name="_Toc32"/>
      <w:bookmarkEnd w:id="88"/>
      <w:r>
        <w:rPr>
          <w:rtl w:val="true"/>
        </w:rPr>
        <w:t>مقدمه</w:t>
      </w:r>
      <w:bookmarkEnd w:id="89"/>
    </w:p>
    <w:p>
      <w:pPr>
        <w:pStyle w:val="Heading3"/>
        <w:numPr>
          <w:ilvl w:val="2"/>
          <w:numId w:val="1"/>
        </w:numPr>
        <w:rPr/>
      </w:pPr>
      <w:bookmarkStart w:id="90" w:name="__RefHeading___Toc7766316_2870459653"/>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عصر رقومی فرصت های جدیدی را فراهم می کند و پژوهشگران را وا می دارد تا داده های خود را برای استفاده و سرمایه گذاری در اختیار قرار دهند پیشرفت در فناوری پرسش های جدیدی را مطرح می سازد که باید به آن 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زیادی هم اکنون تولید، پردازش و به اشتراک گذاشته می شود، به طوری که چالش های جدی برای مدیریت آن ها در مقیاس جهانی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فرصت هایی منوط به مدیریت خوب داده هایی است که به طور مناسب مستند سازی شده تا برای دیگران قابل درک باشد، و برجسته کردن اهمیت عملیات مدیریت خوب داده های پژوهشی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در قوانین و مقررات پژوهشی مدیریت داده های پژوهشی را در برنامه های مؤسسات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تقاضای مهم آزادی اطلاعات برای داده های پژوهشی تاثیر بدی بر مقررات سازمانی داشته و خطرات مدیریت ضعیف داده ها را مورد توجه قرار داده است در همان زمان تغییرات موثر در قوانین پژوهشی، نقش دانشگاه ها را در حمایت از مدیریت موثر و اشتراک داده های پژوهشی روشن </w:t>
      </w:r>
      <w:bookmarkStart w:id="92" w:name="pg9653_81712"/>
    </w:p>
    <w:p>
      <w:pPr>
        <w:pStyle w:val="BookText"/>
        <w:rPr/>
      </w:pPr>
      <w:bookmarkEnd w:id="92"/>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مدیریت داده ها به عنوان یک کالای عمومی، منجر به پیش نیازهایی برای شفافیت بیشتر و توصیف تمامیت پژوهش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چشم انداز، بسیاری از مؤسسات آموزش عالی </w:t>
      </w:r>
      <w:r>
        <w:rPr>
          <w:rStyle w:val="FootnoteAnchor"/>
          <w:rtl w:val="true"/>
        </w:rPr>
        <w:footnoteReference w:id="104"/>
      </w:r>
      <w:r>
        <w:rPr>
          <w:rFonts w:ascii="IRNazanin" w:hAnsi="IRNazanin" w:eastAsia="IRNazanin"/>
          <w:color w:val="111111"/>
          <w:sz w:val="28"/>
          <w:sz w:val="28"/>
          <w:szCs w:val="28"/>
          <w:rtl w:val="true"/>
          <w:lang w:bidi="fa-IR"/>
        </w:rPr>
        <w:t xml:space="preserve">در حال توسعه خط مشی ها و برنامه های اجرایی برای مدیریت داده های پژوهشی هستند چارچوب خط مشی داده های پژوهشی شورای پژوهشی علوم طبیعی و مهندسی </w:t>
      </w:r>
      <w:r>
        <w:rPr>
          <w:rStyle w:val="FootnoteAnchor"/>
          <w:rtl w:val="true"/>
        </w:rPr>
        <w:footnoteReference w:id="105"/>
      </w:r>
      <w:r>
        <w:rPr>
          <w:rFonts w:ascii="IRNazanin" w:hAnsi="IRNazanin" w:eastAsia="IRNazanin"/>
          <w:color w:val="111111"/>
          <w:sz w:val="28"/>
          <w:sz w:val="28"/>
          <w:szCs w:val="28"/>
          <w:rtl w:val="true"/>
          <w:lang w:bidi="fa-IR"/>
        </w:rPr>
        <w:t xml:space="preserve">، که در ماه می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 انگیزه خوبی برای بسیاری از دانشگاه ها در این حوزه به وجود آورد این خط مشی زمان بندی روشنی برای پیاده سازی فراهم می کند یعنی شورای پژوهشی علوم طبیعی و مهندسی از سازمان های پژوهشی انتظار دارد تا برای توسعه نقشه راهی برای مدیریت داده های پژوهشی از اول 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گذاری ،نمایند و تا اول می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این انتظارات را برآورده سازند</w:t>
      </w:r>
      <w:r>
        <w:rPr>
          <w:rFonts w:eastAsia="IRNazanin" w:cs="IRNazanin"/>
          <w:color w:val="111111"/>
          <w:sz w:val="28"/>
          <w:szCs w:val="28"/>
          <w:rtl w:val="true"/>
          <w:lang w:bidi="fa-IR"/>
        </w:rPr>
        <w:t>.</w:t>
      </w:r>
    </w:p>
    <w:p>
      <w:pPr>
        <w:pStyle w:val="Heading3"/>
        <w:numPr>
          <w:ilvl w:val="2"/>
          <w:numId w:val="1"/>
        </w:numPr>
        <w:rPr/>
      </w:pPr>
      <w:bookmarkStart w:id="93" w:name="__RefHeading___Toc7766318_2870459653"/>
      <w:bookmarkStart w:id="94" w:name="_Toc34"/>
      <w:bookmarkEnd w:id="93"/>
      <w:r>
        <w:rPr>
          <w:rtl w:val="true"/>
        </w:rPr>
        <w:t>درباره مرکز پردازش رقومی</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مرکز پردازش رقومی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مرکز پردازش رقومی به عنوان مرکزی ملی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که چالش های موجود در پردازش رقومی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موسسه یا رشته ای به تنهایی نتوانستند از عهده آن برآیند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شد و هم اکنون در سومین مرحله خود با اعضاء گروهی قرار دارد که سه دانشگاه ادینبرگ، بث و گلاسکو </w:t>
      </w:r>
      <w:r>
        <w:rPr>
          <w:rStyle w:val="FootnoteAnchor"/>
          <w:rtl w:val="true"/>
        </w:rPr>
        <w:footnoteReference w:id="107"/>
      </w:r>
      <w:r>
        <w:rPr>
          <w:rFonts w:ascii="IRNazanin" w:hAnsi="IRNazanin" w:eastAsia="IRNazanin"/>
          <w:color w:val="111111"/>
          <w:sz w:val="28"/>
          <w:sz w:val="28"/>
          <w:szCs w:val="28"/>
          <w:rtl w:val="true"/>
          <w:lang w:bidi="fa-IR"/>
        </w:rPr>
        <w:t>پایه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کاری آن در طول سه مرحله ظهور کرده و تغییرات جدیدی از توسعه ابزارهای پردازش تا ظرفیت سازی توانمندسازی و مهارت ها برای مدیریت ،داده در جامعه پژوهشی و آموزش عالی بریتانیا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جدید وابستگی زیادی به سهم شبکه ای متخصصان فراتر از مرکز پردازش رقومی داشته است که در رشد سریع عملیات مدیریت داده های پژوهشی موثر خواهند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دوره </w:t>
      </w:r>
      <w:r>
        <w:rPr>
          <w:rFonts w:eastAsia="IRNazanin" w:cs="IRNazanin"/>
          <w:color w:val="111111"/>
          <w:sz w:val="28"/>
          <w:szCs w:val="28"/>
          <w:lang w:bidi="fa-IR"/>
        </w:rPr>
        <w:t>2013/2011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سرمایه گذاری آموزش عالی انگلستان تحت بودجه نوگرایی دانشگاه ها </w:t>
      </w:r>
      <w:r>
        <w:rPr>
          <w:rStyle w:val="FootnoteAnchor"/>
          <w:rtl w:val="true"/>
        </w:rPr>
        <w:footnoteReference w:id="108"/>
      </w:r>
      <w:r>
        <w:rPr>
          <w:rFonts w:ascii="IRNazanin" w:hAnsi="IRNazanin" w:eastAsia="IRNazanin"/>
          <w:color w:val="111111"/>
          <w:sz w:val="28"/>
          <w:sz w:val="28"/>
          <w:szCs w:val="28"/>
          <w:rtl w:val="true"/>
          <w:lang w:bidi="fa-IR"/>
        </w:rPr>
        <w:t xml:space="preserve">مرکز پردازش رقومی را تاسیس کرد تا به دانشگاه ها در توسعه خدمات و استراتژی های مدیریت داده های پژوهشی کمک کند در حال حاضر این مرکز در حال انجام فعالیت های عمیقی همراه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آموزش عالی با نگاهی به افزایش قابلیت های مدیریت داده ها و توسعه مدلی قابل انتقال برای فعالیت های آینده در سایر دانشگاه های بریتانیایی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مؤسسات در برنامه فعالیت مرکز </w:t>
      </w:r>
      <w:bookmarkStart w:id="95" w:name="pg9653_81713"/>
    </w:p>
    <w:p>
      <w:pPr>
        <w:pStyle w:val="BookText"/>
        <w:rPr/>
      </w:pPr>
      <w:bookmarkEnd w:id="95"/>
      <w:r>
        <w:rPr>
          <w:rFonts w:ascii="IRNazanin" w:hAnsi="IRNazanin" w:eastAsia="IRNazanin"/>
          <w:color w:val="111111"/>
          <w:sz w:val="28"/>
          <w:sz w:val="28"/>
          <w:szCs w:val="28"/>
          <w:rtl w:val="true"/>
          <w:lang w:bidi="fa-IR"/>
        </w:rPr>
        <w:t>پردازش رقومی دانشگاه نورث آمپتون است که در آن فعالیت های مدیریت داده های پژوهشی توسط کتابدار پشتیبان پژوهشی هدایت می شود</w:t>
      </w:r>
      <w:r>
        <w:rPr>
          <w:rFonts w:eastAsia="IRNazanin" w:cs="IRNazanin"/>
          <w:color w:val="111111"/>
          <w:sz w:val="28"/>
          <w:szCs w:val="28"/>
          <w:rtl w:val="true"/>
          <w:lang w:bidi="fa-IR"/>
        </w:rPr>
        <w:t>.</w:t>
      </w:r>
    </w:p>
    <w:p>
      <w:pPr>
        <w:pStyle w:val="Heading3"/>
        <w:numPr>
          <w:ilvl w:val="2"/>
          <w:numId w:val="1"/>
        </w:numPr>
        <w:rPr/>
      </w:pPr>
      <w:bookmarkStart w:id="96" w:name="__RefHeading___Toc7766320_2870459653"/>
      <w:bookmarkStart w:id="97" w:name="_Toc35"/>
      <w:bookmarkEnd w:id="96"/>
      <w:r>
        <w:rPr>
          <w:rtl w:val="true"/>
        </w:rPr>
        <w:t>درباره دانشگاه نورث آمپتون</w:t>
      </w:r>
      <w:bookmarkEnd w:id="97"/>
    </w:p>
    <w:p>
      <w:pPr>
        <w:pStyle w:val="BookText"/>
        <w:rPr/>
      </w:pPr>
      <w:r>
        <w:rPr>
          <w:rFonts w:ascii="IRNazanin" w:hAnsi="IRNazanin" w:eastAsia="IRNazanin"/>
          <w:color w:val="111111"/>
          <w:sz w:val="28"/>
          <w:sz w:val="28"/>
          <w:szCs w:val="28"/>
          <w:rtl w:val="true"/>
          <w:lang w:bidi="fa-IR"/>
        </w:rPr>
        <w:t xml:space="preserve">دانشگاه نورث آمپتون دانشگاه نسبتا جدیدی است که تنها در حال اعطای مدرک دانشگاهی با درجه تحقیقاتی از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برای افزایش اعتبار جاه طلبی دانشگاه آن را به یک مرکز منطقه ای، ملی و بین المللی برای انتقال دانش و پژوهش تبدیل کرد بنابراین دوره ای که دنبال شد تمرکز زیادی بر پژوهش داشت، و از چشم انداز کتابخانه، مجموعه اقداماتی برای پشتیبانی پژوهشگران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ساختاربندی دوباره سازمانی کتابخانه و خدمات فناوری اطلاعات منجر به ایجاد پست هایی برای پشتیبانی از پژوهش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بر اساس دارنده پست به توسعه خدمات برای پژوهشگران در دانشگاه پرداخت در شمار نخستین فعالیت ها ایجاد و اسپارگاه موسسه ای به نام مجموعه پژوهش ها و پایان نامه های نورث آمپتون </w:t>
      </w:r>
      <w:r>
        <w:rPr>
          <w:rStyle w:val="FootnoteAnchor"/>
          <w:rtl w:val="true"/>
        </w:rPr>
        <w:footnoteReference w:id="10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در جذب سرمایه از کمیته مشترک نظام های اطلاعاتی </w:t>
      </w:r>
      <w:r>
        <w:rPr>
          <w:rStyle w:val="FootnoteAnchor"/>
          <w:rtl w:val="true"/>
        </w:rPr>
        <w:footnoteReference w:id="110"/>
      </w:r>
      <w:r>
        <w:rPr>
          <w:rFonts w:ascii="IRNazanin" w:hAnsi="IRNazanin" w:eastAsia="IRNazanin"/>
          <w:color w:val="111111"/>
          <w:sz w:val="28"/>
          <w:sz w:val="28"/>
          <w:szCs w:val="28"/>
          <w:rtl w:val="true"/>
          <w:lang w:bidi="fa-IR"/>
        </w:rPr>
        <w:t xml:space="preserve">برای حمایت از این کار، فرصت خوبی یافت کمیته مشترک نظام های اطلاعاتی همچنین طرح دیگری را به نام طرح کیپ ای تی </w:t>
      </w:r>
      <w:r>
        <w:rPr>
          <w:rStyle w:val="FootnoteAnchor"/>
          <w:rtl w:val="true"/>
        </w:rPr>
        <w:footnoteReference w:id="111"/>
      </w:r>
      <w:r>
        <w:rPr>
          <w:rFonts w:ascii="IRNazanin" w:hAnsi="IRNazanin" w:eastAsia="IRNazanin"/>
          <w:color w:val="111111"/>
          <w:sz w:val="28"/>
          <w:sz w:val="28"/>
          <w:szCs w:val="28"/>
          <w:rtl w:val="true"/>
          <w:lang w:bidi="fa-IR"/>
        </w:rPr>
        <w:t xml:space="preserve">را پشتیبانی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هیچکاک،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که به موضوع هایی از قبیل حفاظت از محتوای و اسپارگاه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دوره آموزشی کیپ ایت، کارکنان کتابخانه نخستین بار با برخی از ابزارهای مدیریت داده های مرکز پردازش رقومی آشنا شدند و نقشی برای کتابداران در استفاده و حمایت از آن ها شناسایی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هیچکاک،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3"/>
        <w:numPr>
          <w:ilvl w:val="2"/>
          <w:numId w:val="1"/>
        </w:numPr>
        <w:rPr/>
      </w:pPr>
      <w:bookmarkStart w:id="98" w:name="__RefHeading___Toc7766322_2870459653"/>
      <w:bookmarkStart w:id="99" w:name="_Toc36"/>
      <w:bookmarkEnd w:id="98"/>
      <w:r>
        <w:rPr>
          <w:rtl w:val="true"/>
        </w:rPr>
        <w:t>نقش کتابداران در حمایت از مدیریت داده های پژوهشی</w:t>
      </w:r>
      <w:bookmarkEnd w:id="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نورث آمپتون در داشتن کتابدارانی که به نوعی فعالیت های مدیریت داده های پژوهشی را هدایت نمایند، تنها نیست بسیاری از فعالیت های مرکز پردازش داده ها با گروه های پشتیبانی پژوهشی و خدمات کتابداری ارتباط دارد نیمی از فعالیت ها از طریق کتابخانه آغاز شده و بسیاری دیگر از طریق دفترهای پژوهشی در کتابخانه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فعالیت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از طریق خدمات </w:t>
      </w:r>
    </w:p>
    <w:p>
      <w:pPr>
        <w:pStyle w:val="BookText"/>
        <w:rPr/>
      </w:pPr>
      <w:r>
        <w:rPr>
          <w:rFonts w:ascii="IRNazanin" w:hAnsi="IRNazanin" w:eastAsia="IRNazanin"/>
          <w:color w:val="111111"/>
          <w:sz w:val="28"/>
          <w:sz w:val="28"/>
          <w:szCs w:val="28"/>
          <w:rtl w:val="true"/>
          <w:lang w:bidi="fa-IR"/>
        </w:rPr>
        <w:t>فناوری اطلاعات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اقدامات مدیریت داده در چندین دانشگاه بریتانیا از کتابخانه منشاء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کتابخانه داده ها در مرکز ملی داده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 آی ان ای</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در دانشگاه ادینبورگ در آغاز فعالیت و تداوم آن موثر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رایس و هیووُد،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در ضمن، کتابخانه بودلیان در دانشگاه آکسفورد نقش مهمی در مدیریت بلندمدت، انتشار و استفاده دوباره از داده های پژوهشی از طریق واسپارگاه دیتا بانک </w:t>
      </w:r>
      <w:r>
        <w:rPr>
          <w:rStyle w:val="FootnoteAnchor"/>
          <w:rtl w:val="true"/>
        </w:rPr>
        <w:footnoteReference w:id="115"/>
      </w:r>
      <w:r>
        <w:rPr>
          <w:rFonts w:ascii="IRNazanin" w:hAnsi="IRNazanin" w:eastAsia="IRNazanin"/>
          <w:color w:val="111111"/>
          <w:sz w:val="28"/>
          <w:sz w:val="28"/>
          <w:szCs w:val="28"/>
          <w:rtl w:val="true"/>
          <w:lang w:bidi="fa-IR"/>
        </w:rPr>
        <w:t>آن ایفا می کند و طرح های مدیریت داده های پژوهشی کمیته مشترک نظام های اطلاعاتی در دانشگاه نورث آمپتون نقش کتابداران موضوعی را در حمایت از مدیریت داده های پژوهشی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جی آی اس سی،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این فعالیت ها در سایر کشورها به طور موازی حرکت می کند که در آن کتابداران به طور طبیعی مسئولیت حمایت از مدیریت داده های پژوهشی را برعهده دارند، برای مثال در آمریکای شمالی که در آن سنت مدارس اطلاعاتی </w:t>
      </w:r>
      <w:r>
        <w:rPr>
          <w:rStyle w:val="FootnoteAnchor"/>
          <w:rtl w:val="true"/>
        </w:rPr>
        <w:footnoteReference w:id="117"/>
      </w:r>
      <w:r>
        <w:rPr>
          <w:rFonts w:ascii="IRNazanin" w:hAnsi="IRNazanin" w:eastAsia="IRNazanin"/>
          <w:color w:val="111111"/>
          <w:sz w:val="28"/>
          <w:sz w:val="28"/>
          <w:szCs w:val="28"/>
          <w:rtl w:val="true"/>
          <w:lang w:bidi="fa-IR"/>
        </w:rPr>
        <w:t>قوی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اچ اس وی وهالت،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بریتانیا، کتابخانه های دانشگاهی نوعا میزبان و اسپارگاه موسسه ای برای دسترسی به انتشارات پژوهشی هستند بدین ترتیب آن ها اغلب دروازه بان هایی هستند که در هنگام مطرح شدن پرسش هایی درباره مدیریت داده ها وارد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وجود مهارت های علم اطلاعات در کتابداران و آرشیویست ها عناصر تشکیل دهنده مهم برای مدیریت داده های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ال یو کی </w:t>
      </w:r>
      <w:r>
        <w:rPr>
          <w:rStyle w:val="FootnoteAnchor"/>
          <w:rtl w:val="true"/>
        </w:rPr>
        <w:footnoteReference w:id="119"/>
      </w:r>
      <w:r>
        <w:rPr>
          <w:rFonts w:ascii="IRNazanin" w:hAnsi="IRNazanin" w:eastAsia="IRNazanin"/>
          <w:color w:val="111111"/>
          <w:sz w:val="28"/>
          <w:sz w:val="28"/>
          <w:szCs w:val="28"/>
          <w:rtl w:val="true"/>
          <w:lang w:bidi="fa-IR"/>
        </w:rPr>
        <w:t xml:space="preserve">درباره مهارت یابی دوباره برای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آکلند،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و مهارت های مورد نیاز کارکنان و کتابداران برای حمایت و پیشبرد موثر نیازهای اطلاعاتی پژوهشگران نگاهی می اندارد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گزارش بیان می کند که پر واضح است که ماهیت پژوهش در مؤسسات مان تغییر می کند بنابراین نقش کتابخانه در حمایت از پژوهش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دیوید پراسر </w:t>
      </w:r>
      <w:r>
        <w:rPr>
          <w:rStyle w:val="FootnoteAnchor"/>
          <w:rtl w:val="true"/>
        </w:rPr>
        <w:footnoteReference w:id="120"/>
      </w:r>
      <w:r>
        <w:rPr>
          <w:rFonts w:ascii="IRNazanin" w:hAnsi="IRNazanin" w:eastAsia="IRNazanin"/>
          <w:color w:val="111111"/>
          <w:sz w:val="28"/>
          <w:sz w:val="28"/>
          <w:szCs w:val="28"/>
          <w:rtl w:val="true"/>
          <w:lang w:bidi="fa-IR"/>
        </w:rPr>
        <w:t xml:space="preserve">در آکلند،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پیشگفتار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ها به عنوان یک خروجی پژوهشی اهمیت دارند و به طور فزایندهای انتظار می رود تا منتشر و به اشتراک گذاشته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بورگمن،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کتابداران اشتراک آزاد نشریات را هدایت کرده اند بنابراین </w:t>
      </w:r>
      <w:bookmarkStart w:id="100" w:name="pg9653_81715"/>
    </w:p>
    <w:p>
      <w:pPr>
        <w:pStyle w:val="BookText"/>
        <w:rPr/>
      </w:pPr>
      <w:bookmarkEnd w:id="100"/>
      <w:r>
        <w:rPr>
          <w:rFonts w:ascii="IRNazanin" w:hAnsi="IRNazanin" w:eastAsia="IRNazanin"/>
          <w:color w:val="111111"/>
          <w:sz w:val="28"/>
          <w:sz w:val="28"/>
          <w:szCs w:val="28"/>
          <w:rtl w:val="true"/>
          <w:lang w:bidi="fa-IR"/>
        </w:rPr>
        <w:t>به خوبی می توانند در جایگاهی قرار گیرند که بتوانند توصیه هایی کنند در مورد این که چگونه می توان از ملزومات داده ای بهتر حمایت کرد وجود تجربه کتابداری در کارگروه های موسسه ای و گروه های رهبری که مصصم به طراحی راهبردهای موسسه ای و زیر ساختی هستند، ضروری است تا نیازهای عملیاتی و قانونی جدید را برآورند</w:t>
      </w:r>
      <w:r>
        <w:rPr>
          <w:rFonts w:eastAsia="IRNazanin" w:cs="IRNazanin"/>
          <w:color w:val="111111"/>
          <w:sz w:val="28"/>
          <w:szCs w:val="28"/>
          <w:rtl w:val="true"/>
          <w:lang w:bidi="fa-IR"/>
        </w:rPr>
        <w:t>.</w:t>
      </w:r>
    </w:p>
    <w:p>
      <w:pPr>
        <w:pStyle w:val="Heading3"/>
        <w:numPr>
          <w:ilvl w:val="2"/>
          <w:numId w:val="1"/>
        </w:numPr>
        <w:rPr/>
      </w:pPr>
      <w:bookmarkStart w:id="101" w:name="__RefHeading___Toc7766324_2870459653"/>
      <w:bookmarkStart w:id="102" w:name="_Toc37"/>
      <w:bookmarkEnd w:id="101"/>
      <w:r>
        <w:rPr>
          <w:rtl w:val="true"/>
        </w:rPr>
        <w:t>توسعه خط مشی داده های پژوهشی در دانشگاه نورث آمپتون</w:t>
      </w:r>
      <w:bookmarkEnd w:id="10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زمانی که کارکنان کتابخانه نخستین بار با ابزارهای مرکز پردازش داده ها آشنا شدند، کمتر درباره ملزومات ذخیره سازی داده های پژوهشگران دانشگاه یا در واقع با جریان کاری پژوهش در ایجاد و مدیریت داده ها آشنا بودند هیچ خط مشی وسیعی از ذخیره داده ها و روش سازماندهی برای مدیریت داده های پژوهشی در دانشگاه نورث آمپتون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حساس شدن برای تغییرات در چشم انداز پژوهشی توصیف شده در بالا، مدیران ارشد پژوهشی، از پیشنهاد کتابخانه برای اجرای طرح چارچوب دارایی داده ای داف استقبال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روش شناسی است که دانشگاه ها را قادر می سازد تا مجموعه داده های پژوهشی و نیز آگاهی رسانی ها خط مشی ها و عملیات ها برای پردازش و حفاظت داده ها را کنترل کنند بنابر این طرح مذکور برای درک فعالیت های مدیریت داده های پژوهشی موجود در نورث آمپتون و فراهم کردن پایگاهی روشن جهت پشتیبانی از اقدامات مدیریت داده ها ایده آل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شناسی داف متشکل از چهار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تعریف هداف و دامنه پیمایش و اجرای پژوهش اولیه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آن چه از دارایی های داده ای که موجود است و طبقه بندی آن ها برای تعیین این که کجاها به تحلیل عمیق تر نیاز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شرایطی که در آن به چرخه زندگی اطلاعات توجه می شود تا جریان های کاری پژوهشگران درک شود و نقاط ضعف در تولید داده ها و فعالیت های پردازش شناسایی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اطلاعات و پیشنهادهایی برای بهبود مدیریت داده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 سی سی،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نورث آمپتون، گروه طرح متشکل از متخصصان حمایت پژوهشی کتابخانه و دو پژوهشگر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کارورزهای فارغ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بورد پژوهشی متشکل از کارکنان با تجربه در و اسپارگاه ها مدیریت پیشینه ها و مجموعه سازی گروه را پیشنهاد کردند طرح در هشت هفته از </w:t>
      </w:r>
    </w:p>
    <w:p>
      <w:pPr>
        <w:pStyle w:val="BookText"/>
        <w:rPr/>
      </w:pPr>
      <w:r>
        <w:rPr>
          <w:rFonts w:ascii="IRNazanin" w:hAnsi="IRNazanin" w:eastAsia="IRNazanin"/>
          <w:color w:val="111111"/>
          <w:sz w:val="28"/>
          <w:sz w:val="28"/>
          <w:szCs w:val="28"/>
          <w:rtl w:val="true"/>
          <w:lang w:bidi="fa-IR"/>
        </w:rPr>
        <w:t xml:space="preserve">می تا جون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طرح سه بعد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انواع داده های ذخیره شده در کل دانشگاه، فعالیت های مدیریت داده های موجود پژوهشگران و خطرات مرتبط با این فعالیت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شواهدی برای آگاهی از خط مشی احتمالی مدیریت داده های جدید و خدمات برای برآوردن نیازهای پژوهشگران و سرمایه گذاران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آگاهی در میان پژوهشگران درباره فعالیت مدیریت خوب داده ها شامل ذخیره سازی و دسترسی کوتاه مدت و طولانی مدت داده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روش شناسی داف نخستین بار گروه طرح سایر کاربردهای روش شناسی داف را بررسی و دامنه کلی و رئوس طرح را تعریف نمود با داشتن این اطلاعات، تصمیم گرفته شد که داده ها به سه شیوه گردآوری شود مصاحبه با مدیران پژوهشی در هر شش مدرسه؛ پیمایش برخط پژوهشگران؛ و مصاحبه های عمیق دنباله دار با پژوهشگرانی که داوطلب تکمیل پیمایش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با مدیران پژوهشی، درک وسیعی از فعالیت های مدیریت داده در رشته های مختلف به گروه طرح داد و فرصتی برای خرید از پژوهشگران اثر گذار در هر مدرسه به دست آمد پیمایش برخط که برای تمام پژوهشگران در موسسه باز بود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را دریافت کرد، موضوعاتی مانند انواع اندازه ها و قالب های داده های پژوهشی نگهداری شده، مالکیت آن، ابزارهای ذخیره شرایط ،امنیتی اشتراک و دسترسی در دوره کوتاه مدت و بلندمدت و شرایط سرمایه گذاران را در بر گرفت مصاحبه نهایی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گروه طرح را قادر ساخت تا یافته های مهمی از پیمایش را دنبال و اطلاعات فنی دیگری درباره اشیای داده های تخصصی را 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 های یافته های طرح در گزارش طرح توصیف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آلکسوژیانوپولوس </w:t>
      </w:r>
      <w:r>
        <w:rPr>
          <w:rStyle w:val="FootnoteAnchor"/>
          <w:rtl w:val="true"/>
        </w:rPr>
        <w:footnoteReference w:id="124"/>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شواهد پدیدار شد بر مبنای نیازها و رفتارهای مختلف و داده های پژوهشی سه نوع پژوهشگر عام از قبیل دانشجوی پژوهشی پژوهشگر مستقل و پژوهشگر گروهی همکار شناسایی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رفتارهای رایج شناسایی شد برای مثال پژوهشگران بسیار از نرم افزار مایکروسافت برای تولید مدارک و صفحه گسترده </w:t>
      </w:r>
      <w:r>
        <w:rPr>
          <w:rStyle w:val="FootnoteAnchor"/>
          <w:rtl w:val="true"/>
        </w:rPr>
        <w:footnoteReference w:id="125"/>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مداوم انواع فایل های داک </w:t>
      </w:r>
      <w:r>
        <w:rPr>
          <w:rStyle w:val="FootnoteAnchor"/>
          <w:rtl w:val="true"/>
        </w:rPr>
        <w:footnoteReference w:id="126"/>
      </w:r>
      <w:r>
        <w:rPr>
          <w:rFonts w:ascii="IRNazanin" w:hAnsi="IRNazanin" w:eastAsia="IRNazanin"/>
          <w:color w:val="111111"/>
          <w:sz w:val="28"/>
          <w:sz w:val="28"/>
          <w:szCs w:val="28"/>
          <w:rtl w:val="true"/>
          <w:lang w:bidi="fa-IR"/>
        </w:rPr>
        <w:t xml:space="preserve">و ایکس </w:t>
      </w:r>
    </w:p>
    <w:p>
      <w:pPr>
        <w:pStyle w:val="BookText"/>
        <w:rPr/>
      </w:pPr>
      <w:r>
        <w:rPr>
          <w:rFonts w:ascii="Amiri" w:hAnsi="Amiri" w:eastAsia="Amiri" w:cs="Amiri"/>
          <w:color w:val="111111"/>
          <w:sz w:val="28"/>
          <w:sz w:val="28"/>
          <w:szCs w:val="28"/>
          <w:rtl w:val="true"/>
          <w:lang w:bidi="ar-SA"/>
        </w:rPr>
        <w:t xml:space="preserve">اِل اس </w:t>
      </w:r>
      <w:r>
        <w:rPr>
          <w:rStyle w:val="FootnoteAnchor"/>
          <w:rtl w:val="true"/>
        </w:rPr>
        <w:footnoteReference w:id="127"/>
      </w:r>
      <w:r>
        <w:rPr>
          <w:rFonts w:ascii="IRNazanin" w:hAnsi="IRNazanin" w:eastAsia="IRNazanin"/>
          <w:color w:val="111111"/>
          <w:sz w:val="28"/>
          <w:sz w:val="28"/>
          <w:szCs w:val="28"/>
          <w:rtl w:val="true"/>
          <w:lang w:bidi="fa-IR"/>
        </w:rPr>
        <w:t xml:space="preserve">تولید می نمایند و به همین صورت جی پگ </w:t>
      </w:r>
      <w:r>
        <w:rPr>
          <w:rStyle w:val="FootnoteAnchor"/>
          <w:rtl w:val="true"/>
        </w:rPr>
        <w:footnoteReference w:id="128"/>
      </w:r>
      <w:r>
        <w:rPr>
          <w:rFonts w:ascii="IRNazanin" w:hAnsi="IRNazanin" w:eastAsia="IRNazanin"/>
          <w:color w:val="111111"/>
          <w:sz w:val="28"/>
          <w:sz w:val="28"/>
          <w:szCs w:val="28"/>
          <w:rtl w:val="true"/>
          <w:lang w:bidi="fa-IR"/>
        </w:rPr>
        <w:t>قالب ترجیحی برای فایل های تصویری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تغییر بسیار مهمتر در انواع فایل ها برای استفاده از فایل های پایگاه اطلاعاتی فایل های صوتی و تصویری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یافته ها کاربردهای مهمی برای پردازش داده ها دارد، رفتارها و نیازهای ذخیره سازی داده ها ظهور کرد که در کل چرخه پژوهش، با ابزارهای متفاوت ذخیره سازی که در مراحل گردآوری داده ها، تحلیل و تکمیل طرح مهم است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داده ها به اشتراک گذاشته شود، امکان دسترسی به سرور اشتراکی ضروری بود اما در شرایطی که این امکان وجود نداشت پست الکترونیکی پر استفاده ترین بود تعدادی از پژوهشگران نورث آمپتون در آن زمان به سرمایه گذاری در مجموعه ای از داده های پژوهشی با دسترسی باز اجباری پاسخ دادند و تنها بیش از نیمی از آن ها در واسپارگاه دانشگاه برای داده علاقمند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دسترسی آزاد یا با دسترسی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طرح داف تعدادی پیشنهاد ارائه کرد که در میان آن ها، ایجاد خط مشی داده های پژوهشی دانشگاه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وصول گزارش، کمیته پژوهشی دانشگاه کارگروه داده های پژوهشی را تشکیل داد کارگروه متشکل از نمایندگانی از جامعه پژوهشی مدیریت پیشینه ها و کتابخانه بود و متخصصان پشتیبانی پژوهشی کتابخانه آن را اداره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کارگروه دامنه بالقوه خط مشی، درباره شرایط آن در چرخه پژوهشی و ارتباطش با سایر خط مشی های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خط مشی های اخلاق پژوهشی و سوء رهبری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کمیته پژوهشی روشن ساخت که خط مشی باید با یک رویه حمایتی مناسب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بررسی انجام شده هر دو خط مشی داده پژوهشی سرمایه گذاران، از سوی شوراهای پژوهشی بریتانیا </w:t>
      </w:r>
      <w:r>
        <w:rPr>
          <w:rStyle w:val="FootnoteAnchor"/>
          <w:rtl w:val="true"/>
        </w:rPr>
        <w:footnoteReference w:id="129"/>
      </w:r>
      <w:r>
        <w:rPr>
          <w:rFonts w:ascii="IRNazanin" w:hAnsi="IRNazanin" w:eastAsia="IRNazanin"/>
          <w:color w:val="111111"/>
          <w:sz w:val="28"/>
          <w:sz w:val="28"/>
          <w:szCs w:val="28"/>
          <w:rtl w:val="true"/>
          <w:lang w:bidi="fa-IR"/>
        </w:rPr>
        <w:t xml:space="preserve">اصول مشترک درباره خط مشی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سی یو کی، بی تا</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 اصول مشترک سایر مؤسسات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دانشگاه ملبورن،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خط مشی را پیشنهاد کرد که در آن پژوهشگران انتظار داشتند تا پیشنهادهای مهم شوراهای پژوهشی بریتانیا برای نگهداری پیشینه ها امنیت داده و دسترسی آزاد دنبال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 سی یو کِی،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تسهیل این مورد، پژوهشگران انتظار داشتند تا برنامه مدیریت داده ها در آغاز هر طرح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دانشگاه درخواست شد تا امکان ذخیره سازی اختصاصی برای هر داده پژوهشی فراهم شود، و </w:t>
      </w:r>
      <w:bookmarkStart w:id="103" w:name="pg9653_81718"/>
    </w:p>
    <w:p>
      <w:pPr>
        <w:pStyle w:val="BookText"/>
        <w:rPr/>
      </w:pPr>
      <w:bookmarkEnd w:id="103"/>
      <w:r>
        <w:rPr>
          <w:rFonts w:ascii="IRNazanin" w:hAnsi="IRNazanin" w:eastAsia="IRNazanin"/>
          <w:color w:val="111111"/>
          <w:sz w:val="28"/>
          <w:sz w:val="28"/>
          <w:szCs w:val="28"/>
          <w:rtl w:val="true"/>
          <w:lang w:bidi="fa-IR"/>
        </w:rPr>
        <w:t>برای کارکنان کتابخانه و مدیریت پیشینه ها آموزش و پشتیبانی مناسب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ابزار و سیاهه کنترل قابل دسترس برای برنامه ریزی مدیریت داده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ابزار دی ام پی، </w:t>
      </w:r>
      <w:r>
        <w:rPr>
          <w:rStyle w:val="FootnoteAnchor"/>
          <w:rtl w:val="true"/>
        </w:rPr>
        <w:footnoteReference w:id="132"/>
      </w:r>
      <w:r>
        <w:rPr>
          <w:rFonts w:ascii="IRNazanin" w:hAnsi="IRNazanin" w:eastAsia="IRNazanin"/>
          <w:color w:val="111111"/>
          <w:sz w:val="28"/>
          <w:sz w:val="28"/>
          <w:szCs w:val="28"/>
          <w:rtl w:val="true"/>
          <w:lang w:bidi="fa-IR"/>
        </w:rPr>
        <w:t xml:space="preserve">دی ام پی برخط </w:t>
      </w:r>
      <w:r>
        <w:rPr>
          <w:rStyle w:val="FootnoteAnchor"/>
          <w:rtl w:val="true"/>
        </w:rPr>
        <w:footnoteReference w:id="133"/>
      </w:r>
      <w:r>
        <w:rPr>
          <w:rFonts w:ascii="IRNazanin" w:hAnsi="IRNazanin" w:eastAsia="IRNazanin"/>
          <w:color w:val="111111"/>
          <w:sz w:val="28"/>
          <w:sz w:val="28"/>
          <w:szCs w:val="28"/>
          <w:rtl w:val="true"/>
          <w:lang w:bidi="fa-IR"/>
        </w:rPr>
        <w:t xml:space="preserve">و سیاهه کنترل برنامه ریزی مدیریت داده خدمات ملی داده استرالیا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دی ام پی برخط را به عنوان ابزار پیشنهادی اش انتخاب کرد مرکز پردازش رقومی دی ام پی برخط را گسترش داد تا به پژوهشگران کمک کند که به ملزومات مدیریت داده های سرمایه گذاران اصلی شوراهای پژوهشی بریتانیا در زمان ارائه پیشنهاد امتیاز، پاسخ دهند به هر حال در نورث آمپتون احساس شد که نیاز بیشتری به ابزار عمومی تر وجود دارد؛ ابزاری که عملکرد خوب حمایتی در مدیریت داده ها داشته باشد صرف نظر از کسانی که آن را سرمایه گذاری کردند یا حتی از این که آیا پژوهش از خارج در کل سرمایه گذاری شود یک بار دیگر کتابداران راه را که ارتباط با کارکنان مرکز پردازش رقومی بود، برای تولید پیش نویس جدیدی در دی ام پی برخط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پیشنهاد برای خط مشی داده های پژوهشی کارگروه در کمیته پژوهشی دانشگاه، در 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اعضای کمیته برخی نگرانی ها را مطرح کردند احساس شد که خط مشی بسیار تجویزی بوده، و مرتبط یا قابل قبول برای تمام رشته ها نبود لذا در برخی موارد تکرار کار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اصلاح شده، نه تنها همان انتظارات را نگاه داشت بلکه تشویق شد به جای این که ایجاد برنامه مدیریت داده ها را متعهد شود و فرایند کنترل کمتر رسمی را پیشنهاد کند از سوی کمیته پژوهشی دانشگاه در جون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نورث آمپتون،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w:t>
      </w:r>
    </w:p>
    <w:p>
      <w:pPr>
        <w:pStyle w:val="Heading3"/>
        <w:numPr>
          <w:ilvl w:val="2"/>
          <w:numId w:val="1"/>
        </w:numPr>
        <w:rPr/>
      </w:pPr>
      <w:bookmarkStart w:id="104" w:name="__RefHeading___Toc7766326_2870459653"/>
      <w:bookmarkStart w:id="105" w:name="_Toc38"/>
      <w:bookmarkEnd w:id="104"/>
      <w:r>
        <w:rPr>
          <w:rtl w:val="true"/>
        </w:rPr>
        <w:t>پیاده سازی خط مشی داده های پژوهشی نورث امپتون</w:t>
      </w:r>
      <w:bookmarkEnd w:id="105"/>
    </w:p>
    <w:p>
      <w:pPr>
        <w:pStyle w:val="BookText"/>
        <w:rPr/>
      </w:pPr>
      <w:r>
        <w:rPr>
          <w:rFonts w:ascii="IRNazanin" w:hAnsi="IRNazanin" w:eastAsia="IRNazanin"/>
          <w:color w:val="111111"/>
          <w:sz w:val="28"/>
          <w:sz w:val="28"/>
          <w:szCs w:val="28"/>
          <w:rtl w:val="true"/>
          <w:lang w:bidi="fa-IR"/>
        </w:rPr>
        <w:t>وجود خط مشی به تنهایی رفتار را اصلاح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مستلزم زیرساخت مناسب، دفاع مشتاقانه و رهبری سازش گرانه اولیه است این چالش ها هم اکنون با پشتیبانی مرکز پردازش رقومی در حال انجام شدن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زیر ساخت ها مربوط به محل است پس گام اولیه برای نورث آمپتون جا دادن مدیریت خوب داده های پژوهشی در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پردازش رقومی و کارکنان کتابخانه با یک گروه آزمایشی از پژوهشگران کار خواهند کرد تا پیاده سازی عملی خط مشی را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تجربیات پژوهشگران مبنای آموزش و منابع پشتیبانی را تشکیل خواهد داد تا خط مشی بیشتری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برای </w:t>
      </w:r>
    </w:p>
    <w:p>
      <w:pPr>
        <w:pStyle w:val="BookText"/>
        <w:rPr/>
      </w:pPr>
      <w:r>
        <w:rPr>
          <w:rFonts w:ascii="IRNazanin" w:hAnsi="IRNazanin" w:eastAsia="IRNazanin"/>
          <w:color w:val="111111"/>
          <w:sz w:val="28"/>
          <w:sz w:val="28"/>
          <w:szCs w:val="28"/>
          <w:rtl w:val="true"/>
          <w:lang w:bidi="fa-IR"/>
        </w:rPr>
        <w:t xml:space="preserve">مسیر آموزشی برنامه جِ آی اس سی ام آر دی </w:t>
      </w:r>
      <w:r>
        <w:rPr>
          <w:rStyle w:val="FootnoteAnchor"/>
          <w:rtl w:val="true"/>
        </w:rPr>
        <w:footnoteReference w:id="135"/>
      </w:r>
      <w:r>
        <w:rPr>
          <w:rFonts w:ascii="IRNazanin" w:hAnsi="IRNazanin" w:eastAsia="IRNazanin"/>
          <w:color w:val="111111"/>
          <w:sz w:val="28"/>
          <w:sz w:val="28"/>
          <w:szCs w:val="28"/>
          <w:rtl w:val="true"/>
          <w:lang w:bidi="fa-IR"/>
        </w:rPr>
        <w:t xml:space="preserve">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آی اس سی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کار را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موفقیت تعدادی گزارش های اضافی شامل تهیه مجموعه ای از مطالعات موردی نمونه ها تولید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است که گروه آزمایشی طیف وسیعی از سناریوهای پژوهشی را، با پوششی از رشته های مختلف و همکاری بین رشته ای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ایده آل، آن طیف، شامل اعضای تمام شش مدرسه دانشگاهی خواهد بود پژوهشگران شرکت کننده باید طیف متنوعی از انواع داده ها و قالب ها را ایجاد کنند تا امکان فرایندهای واسپاری برای پایگاه های داده ای باز و بسته برای آزمون شدن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گروه آزمایشی دو هدف را در نظر دارد پژوهشگران شرکت کننده دیدگاه ها و نیازهای مدیریت داده های پژوهشی رشته های خود را مطرح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کمک می کنند تا خلاءها در تهیه شناسایی شده و منابع آموزشی مرتبط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خروجی های حاصل شده، فواید بالقوه ای از فعالیت مدیریت خوب داده های پژوهشی را نشان می دهد همچنین تشریح می کند که چگونه این کار، می تواند از طریق سایر طرح های پژوهشی تحقق یابد برنامه های مدیریت داده ها از سوی اقتباس کنندگان اولیه ایجاد شد برای مثال به عنوان مدلی برای سایرین عمل خواهد کرد تا دوباره هدف 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عملیاتی بدست آمده از حمایت مدیریت داده های پژوهشی، از طریق گروه آزمایشی محتوایی برای دومین مجموعه منابع آموزشی فراهم خواهد شد که کتابداران دانشگاهی، مدیران و روسای پژوهشی، کارکنان فناوری اطلاعات و مدیران پیشینه ها که مدیریت داده پژوهشی را حمایت می کنند آن را هدف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منابع موجود مانند منابع دوره آموزشی دی سی سی دی سی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سی سی،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کتابداران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هوشمند </w:t>
      </w:r>
      <w:r>
        <w:rPr>
          <w:rStyle w:val="FootnoteAnchor"/>
          <w:rtl w:val="true"/>
        </w:rPr>
        <w:footnoteReference w:id="137"/>
      </w:r>
      <w:r>
        <w:rPr>
          <w:rFonts w:ascii="IRNazanin" w:hAnsi="IRNazanin" w:eastAsia="IRNazanin"/>
          <w:color w:val="111111"/>
          <w:sz w:val="28"/>
          <w:sz w:val="28"/>
          <w:szCs w:val="28"/>
          <w:rtl w:val="true"/>
          <w:lang w:bidi="fa-IR"/>
        </w:rPr>
        <w:t xml:space="preserve">از طریق کنسرسیوم تری تی یو </w:t>
      </w:r>
      <w:r>
        <w:rPr>
          <w:rStyle w:val="FootnoteAnchor"/>
          <w:rtl w:val="true"/>
        </w:rPr>
        <w:footnoteReference w:id="138"/>
      </w:r>
      <w:r>
        <w:rPr>
          <w:rFonts w:ascii="IRNazanin" w:hAnsi="IRNazanin" w:eastAsia="IRNazanin"/>
          <w:color w:val="111111"/>
          <w:sz w:val="28"/>
          <w:sz w:val="28"/>
          <w:szCs w:val="28"/>
          <w:rtl w:val="true"/>
          <w:lang w:bidi="fa-IR"/>
        </w:rPr>
        <w:t xml:space="preserve">در هلند را ترسیم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تی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دیتا سِنتروم </w:t>
      </w:r>
      <w:r>
        <w:rPr>
          <w:rStyle w:val="FootnoteAnchor"/>
          <w:rtl w:val="true"/>
        </w:rPr>
        <w:footnoteReference w:id="139"/>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قالب و طول آموزش نیازهای مخاطبان متنوع را منعکس خواهد کرد اما احتمالا شامل کارگاه های آموزشی عملی، دوره های آموزشی آنلاین و گفت و گوهای کوتاه برای افزایش آگاهی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بازخورد از گروه آزمایشی معایب آن را نشان می دهد تا به اصلاح خدمات موجود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توسعه زیر ساخت وظیفه اصلی باقی مانده در نورث آمپتون، توسعه امکان ذخیره سازی </w:t>
      </w:r>
      <w:bookmarkStart w:id="106" w:name="pg9653_81720"/>
    </w:p>
    <w:p>
      <w:pPr>
        <w:pStyle w:val="BookText"/>
        <w:rPr/>
      </w:pPr>
      <w:bookmarkEnd w:id="106"/>
      <w:r>
        <w:rPr>
          <w:rFonts w:ascii="IRNazanin" w:hAnsi="IRNazanin" w:eastAsia="IRNazanin"/>
          <w:color w:val="111111"/>
          <w:sz w:val="28"/>
          <w:sz w:val="28"/>
          <w:szCs w:val="28"/>
          <w:rtl w:val="true"/>
          <w:lang w:bidi="fa-IR"/>
        </w:rPr>
        <w:t>داده های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این داده ها قرار است تعریف شود، اما از طریق طرح های کاری مانند ديتا فلو </w:t>
      </w:r>
      <w:r>
        <w:rPr>
          <w:rStyle w:val="FootnoteAnchor"/>
          <w:rtl w:val="true"/>
        </w:rPr>
        <w:footnoteReference w:id="140"/>
      </w:r>
      <w:r>
        <w:rPr>
          <w:rFonts w:ascii="IRNazanin" w:hAnsi="IRNazanin" w:eastAsia="IRNazanin"/>
          <w:color w:val="111111"/>
          <w:sz w:val="28"/>
          <w:sz w:val="28"/>
          <w:szCs w:val="28"/>
          <w:rtl w:val="true"/>
          <w:lang w:bidi="fa-IR"/>
        </w:rPr>
        <w:t xml:space="preserve">در دانشگاه آکسفورد و ام ای دی ای ام </w:t>
      </w:r>
      <w:r>
        <w:rPr>
          <w:rStyle w:val="FootnoteAnchor"/>
          <w:rtl w:val="true"/>
        </w:rPr>
        <w:footnoteReference w:id="141"/>
      </w:r>
      <w:r>
        <w:rPr>
          <w:rFonts w:ascii="IRNazanin" w:hAnsi="IRNazanin" w:eastAsia="IRNazanin"/>
          <w:color w:val="111111"/>
          <w:sz w:val="28"/>
          <w:sz w:val="28"/>
          <w:szCs w:val="28"/>
          <w:rtl w:val="true"/>
          <w:lang w:bidi="fa-IR"/>
        </w:rPr>
        <w:t xml:space="preserve">در دانشگاه منچستر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دانشگاه جان رایلندز </w:t>
      </w:r>
      <w:r>
        <w:rPr>
          <w:rStyle w:val="FootnoteAnchor"/>
          <w:rtl w:val="true"/>
        </w:rPr>
        <w:footnoteReference w:id="142"/>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سرعت در حال اجراست و گزینه هایی برای ذخیره سازی محلی شبکه ای و ابری فراهم می کند که نیاز به توجه دارد</w:t>
      </w:r>
    </w:p>
    <w:p>
      <w:pPr>
        <w:pStyle w:val="Heading3"/>
        <w:numPr>
          <w:ilvl w:val="2"/>
          <w:numId w:val="1"/>
        </w:numPr>
        <w:rPr/>
      </w:pPr>
      <w:bookmarkStart w:id="107" w:name="__RefHeading___Toc7766328_2870459653"/>
      <w:bookmarkStart w:id="108" w:name="_Toc39"/>
      <w:bookmarkEnd w:id="107"/>
      <w:r>
        <w:rPr>
          <w:rtl w:val="true"/>
        </w:rPr>
        <w:t>موقعیت دانشگاه نورث آمپتون در بافت بریتانیا</w:t>
      </w:r>
      <w:bookmarkEnd w:id="108"/>
    </w:p>
    <w:p>
      <w:pPr>
        <w:pStyle w:val="BookText"/>
        <w:rPr/>
      </w:pPr>
      <w:r>
        <w:rPr>
          <w:rFonts w:ascii="IRNazanin" w:hAnsi="IRNazanin" w:eastAsia="IRNazanin"/>
          <w:color w:val="111111"/>
          <w:sz w:val="28"/>
          <w:sz w:val="28"/>
          <w:szCs w:val="28"/>
          <w:rtl w:val="true"/>
          <w:lang w:bidi="fa-IR"/>
        </w:rPr>
        <w:t xml:space="preserve">على رغم وجود دانشگاه پس از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نورث آمپتون در رأس منحنی چارچوب مدیریت داده های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بسیاری از مؤسسات تنها در حال آغاز بررسی فعالیت جاری برای تعریف استراتژی مدیریت داده های پژوهشی شان هستند، نورث آمپتون در حال انجام این کار 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واقع پست کتابخانه تخصصی برای حمایت از پژوهش مناسب و بجا از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الگو زمانی مستحکم تر می شود که نورث آمپتون را با دو دانشگاه دیگر بعد از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مرکز پردازش رقومی در حال همکاری هستند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کانون فعالیت تا این تاریخ تعهد ارزیابی چارچوب دارایی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تعریف خط مشی مدیریت داده های پژوهشی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دیگری که به مرکز پردازش رقومی در پیاده سازی خط مشی کمک می کند فقط دانشگاه ادینبورگ </w:t>
      </w:r>
      <w:r>
        <w:rPr>
          <w:rStyle w:val="FootnoteAnchor"/>
          <w:rtl w:val="true"/>
        </w:rPr>
        <w:footnoteReference w:id="1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دانشگاه قدیمی تر دانشگاه گروه متمرکز پژوهشی راسل </w:t>
      </w:r>
      <w:r>
        <w:rPr>
          <w:rStyle w:val="FootnoteAnchor"/>
          <w:rtl w:val="true"/>
        </w:rPr>
        <w:footnoteReference w:id="144"/>
      </w:r>
      <w:r>
        <w:rPr>
          <w:rFonts w:ascii="IRNazanin" w:hAnsi="IRNazanin" w:eastAsia="IRNazanin"/>
          <w:color w:val="111111"/>
          <w:sz w:val="28"/>
          <w:sz w:val="28"/>
          <w:szCs w:val="28"/>
          <w:rtl w:val="true"/>
          <w:lang w:bidi="fa-IR"/>
        </w:rPr>
        <w:t>است که پیشرفت ها در حوزه مدیریت داده های پژوهشی را برای سال های زیادی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یک دانشگاه کوچک تر و کم تر متمرکز پژوهشی نورث آمپتون را به خوبی در جایگاه نوآوری قرار می دهد تصمیم ها می تواند سریعا گرفته شود و پژوهشگران به نظر می رسد برای آزمایش اقدامات جدید راضی تر هستند در مورد برخی از دانشگاه های بزرگ تر، مقاومت برای خدمات مرکزی و ترس از دست دادن استقلال برای حذف موانع پذیرفته نشده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این، میزان کم منابع داخلی قابل دسترس مسئولیت برای حمایت پژوهشی را تقویت می کند تا به طور خلاقانه تری به دنبال حمایت خارجی یعنی سرمایه گذاری طرح، کارورزی یا فعالیت های مؤسسه ای باشیم پس چالش تضمین می کند که انتقال دانش با پیچیدگی و تا حد امکان مهارت بالای </w:t>
      </w:r>
      <w:bookmarkStart w:id="109" w:name="pg9653_81721"/>
    </w:p>
    <w:p>
      <w:pPr>
        <w:pStyle w:val="BookText"/>
        <w:rPr/>
      </w:pPr>
      <w:bookmarkEnd w:id="109"/>
      <w:r>
        <w:rPr>
          <w:rFonts w:ascii="IRNazanin" w:hAnsi="IRNazanin" w:eastAsia="IRNazanin"/>
          <w:color w:val="111111"/>
          <w:sz w:val="28"/>
          <w:sz w:val="28"/>
          <w:szCs w:val="28"/>
          <w:rtl w:val="true"/>
          <w:lang w:bidi="fa-IR"/>
        </w:rPr>
        <w:t>کارکنان دانشگاه دائمی است</w:t>
      </w:r>
      <w:r>
        <w:rPr>
          <w:rFonts w:eastAsia="IRNazanin" w:cs="IRNazanin"/>
          <w:color w:val="111111"/>
          <w:sz w:val="28"/>
          <w:szCs w:val="28"/>
          <w:rtl w:val="true"/>
          <w:lang w:bidi="fa-IR"/>
        </w:rPr>
        <w:t>.</w:t>
      </w:r>
    </w:p>
    <w:p>
      <w:pPr>
        <w:pStyle w:val="Heading3"/>
        <w:numPr>
          <w:ilvl w:val="2"/>
          <w:numId w:val="1"/>
        </w:numPr>
        <w:rPr/>
      </w:pPr>
      <w:bookmarkStart w:id="110" w:name="__RefHeading___Toc7766330_2870459653"/>
      <w:bookmarkStart w:id="111" w:name="_Toc40"/>
      <w:bookmarkEnd w:id="110"/>
      <w:r>
        <w:rPr>
          <w:rtl w:val="true"/>
        </w:rPr>
        <w:t>نتیجه گیری</w:t>
      </w:r>
      <w:bookmarkEnd w:id="111"/>
    </w:p>
    <w:p>
      <w:pPr>
        <w:pStyle w:val="BookText"/>
        <w:rPr/>
      </w:pPr>
      <w:r>
        <w:rPr>
          <w:rFonts w:ascii="IRNazanin" w:hAnsi="IRNazanin" w:eastAsia="IRNazanin"/>
          <w:color w:val="111111"/>
          <w:sz w:val="28"/>
          <w:sz w:val="28"/>
          <w:szCs w:val="28"/>
          <w:rtl w:val="true"/>
          <w:lang w:bidi="fa-IR"/>
        </w:rPr>
        <w:t xml:space="preserve">دانشگاه نورث آمپتون در حال انجام برنامه گسترده خود است تا مرکز منطقه ای ملی و بین المللی در پژوهش و انتقال دانش را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فعالیت های بیان شده در این مقاله، تعهد دانشگاه را در حمایت از پژوهش در طول چندین سال تشریح می کند، نیازهای مدیریت داده های پژوهشی شناسایی و بیان شده و حمایت در جریان کاری پژوهشگران برای بهبود فعالیت 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کتابخانه در این اقدامات، راهنمای روندهای کلی تر است و کاربردهای وسیعتر مدیریت داده های پژوهشی برای این بخش را برجسته می 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عوض ترس هایی وجود دارد که تبدیل رقومی آینده، کتابخانه ها را تهدید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لومباردی،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مدیریت داده های پژوهشی کاربردپذیری مجموعه مهارت های کتابداران را برجسته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داده های پژوهشی نقش جدید برای کتابخانه ها پیشنهاد می کند یعنی حمایت از پژوهشگران برای تولید محتوا اشتراک داده هایشان برای کسب تاثیر علمی و درک و استفاده دوباره از مجموعه داده 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سابقه طولانی در تهیه چنین حمایتی برای رسانه های چاپی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کتابداران می توانند با پژوهشگران در سطح ،بنیادی خصوصا ارتباط علمی و با کتابداران موضوعی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کتابخانه در دانشگاه نورث آمپتون در حال تغییر است و بسیاری از دانشگاه های بریتانیایی با مرکز پردازش رقومی در حال همکاری هستند کتابداران در حال فراهم کردن حمایت مدیریت داده های پژوهشی از طریق رهنمود، آموزش، و برنامه های توسعه ای و گسترش زیرساخت های فنی هستند تا تمام انواع محصولات پژوهشی را مدیریت کنند و به اشتراک گذارند مدیریت مؤثر و اشتراک داده های پژوهشی و نیز ،نشریات کیفیت پژوهش را توصیف نموده و اعتبار موسسه را تأیید و پشتیبانی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فراهم کردن حمایت مدیریت داده های پژوهشی، کتابداران در قلب دستورکار مؤسسات باقی خواهند ماند</w:t>
      </w:r>
      <w:r>
        <w:rPr>
          <w:rFonts w:eastAsia="IRNazanin" w:cs="IRNazanin"/>
          <w:color w:val="111111"/>
          <w:sz w:val="28"/>
          <w:szCs w:val="28"/>
          <w:rtl w:val="true"/>
          <w:lang w:bidi="fa-IR"/>
        </w:rPr>
        <w:t xml:space="preserve">. </w:t>
      </w:r>
      <w:bookmarkStart w:id="112" w:name="pg9653_81722"/>
    </w:p>
    <w:p>
      <w:pPr>
        <w:pStyle w:val="Heading3"/>
        <w:numPr>
          <w:ilvl w:val="2"/>
          <w:numId w:val="1"/>
        </w:numPr>
        <w:rPr/>
      </w:pPr>
      <w:bookmarkStart w:id="113" w:name="__RefHeading___Toc7766332_2870459653"/>
      <w:bookmarkStart w:id="114" w:name="_Toc41"/>
      <w:bookmarkEnd w:id="112"/>
      <w:bookmarkEnd w:id="113"/>
      <w:r>
        <w:rPr>
          <w:rtl w:val="true"/>
        </w:rPr>
        <w:t>منابع</w:t>
      </w:r>
      <w:bookmarkEnd w:id="114"/>
    </w:p>
    <w:p>
      <w:pPr>
        <w:pStyle w:val="BookText"/>
        <w:rPr/>
      </w:pPr>
      <w:r>
        <w:rPr>
          <w:rFonts w:eastAsia="Times New Roman" w:cs="Times New Roman" w:ascii="Times New Roman" w:hAnsi="Times New Roman"/>
          <w:color w:val="111111"/>
          <w:sz w:val="28"/>
          <w:szCs w:val="28"/>
          <w:lang w:val="en-US" w:bidi="en-US"/>
        </w:rPr>
        <w:t>3TU.DataCentrum (n.d.) Data intelligence [online]. Available from http://datain- telligence.3tu.nl/en/home/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Alexogiannopoulos, E., McKenney, S. and Pickton, M. (2010) Research Data Management Project: a DAF investigation of research data management practic- es at</w:t>
      </w:r>
    </w:p>
    <w:p>
      <w:pPr>
        <w:pStyle w:val="BookText"/>
        <w:rPr/>
      </w:pPr>
      <w:r>
        <w:rPr>
          <w:rFonts w:eastAsia="Times New Roman" w:cs="Times New Roman" w:ascii="Times New Roman" w:hAnsi="Times New Roman"/>
          <w:color w:val="111111"/>
          <w:sz w:val="28"/>
          <w:szCs w:val="28"/>
          <w:lang w:val="en-US" w:bidi="en-US"/>
        </w:rPr>
        <w:t>The University of Northampton [online]. Northampton: University of Northampton. Available from: http://nectar.northampton.ac.uk/2736/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Auckland, M. (2012) Re-skilling for research [online]. Available from: http:// www.rluk.ac.uk/files/RLUK%20Re-skilling.pdf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Borgman, C.L. (2011). The conundrum of sharing research data. Journal of the American Society for Information Science and Technology. [online] 1-40 Available from: http://papers.ssrn.com/sol3/papers.cfm?abstract_id=1869155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DCC (2008) DCC Digital curation 101 workshop [online]. Available from: http://www.dcc.ac.uk/events/workshops/dcc-digital-curation-101-workshop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DCC (2009) Data Asset Framework: Implementation guide [online]. Available from http://www.data-audit.eu/docs/DAF_Implementation_Guide.pdf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DCC (n.d.) Institutional engagements [online]. Available from http://www.dcc. ac.uk/community/institutional-engagements [accessed 26.04.12] EPSRC (n.d.) EPSRC policy framework on research data [online]. Available from: http://www.epsrc.ac.uk/about/standards/researchdata/Pages/default.aspx [accessed 26.04.12]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Hitchcock, S. (2010a) KeepIt: Kultur, eCrystals, EdShare (and NECTAR) – pre- serve it! [online]. Available from: http://preservation.eprints.org/keepit/ [accessed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Hitchcock, S. (2010b) KeepIt course: revision, conclusion and evaluation. 30 September 2010. Diary of a repository preservation project [online]. Available from: http://blogs.ecs.soton.ac.uk/keepit/2010/09/30/keepit-course-revision-con- clusionand- evaluation/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Hswe, P. and Holt, A. (2010) Guide for research libraries: the NSF data sharing policy [online]. Available from: http://www.arl.org/rtl/eresearch/escien/nsf/index. shtml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JISC (2012a) DataPool [online]. Available from: http://www.jisc.ac.uk/whatwe- do/programmes/di_researchmanagement/managingres earchdata/infrastructure/ datapool.aspx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JISC (20126) IDMB: Institutional data management blueprint [online]. Avail- able from: http://www.jisc.ac.uk/whatwe do/programmes/mrd/rdmi/idmb.aspx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JISC (2012c) Managing research data programme 2011-13 [online]. Available from: http://www.jisc.ac.uk/whatwedo/programmes/di_researchmanagement/ managingres earchdata.aspx [accessed 26.04.12]. 10</w:t>
      </w:r>
    </w:p>
    <w:p>
      <w:pPr>
        <w:pStyle w:val="BookText"/>
        <w:rPr/>
      </w:pPr>
      <w:r>
        <w:rPr>
          <w:rFonts w:eastAsia="Times New Roman" w:cs="Times New Roman" w:ascii="Times New Roman" w:hAnsi="Times New Roman"/>
          <w:color w:val="111111"/>
          <w:sz w:val="28"/>
          <w:szCs w:val="28"/>
          <w:lang w:val="en-US" w:bidi="en-US"/>
        </w:rPr>
        <w:t>The John Rylands University Library (n.d.) MaDAM [online]. Available from: http://www.library.manchester.ac.uk/aboutus/projects/madam/ [accessed 26.04.12]</w:t>
      </w:r>
    </w:p>
    <w:p>
      <w:pPr>
        <w:pStyle w:val="BookText"/>
        <w:rPr/>
      </w:pPr>
      <w:r>
        <w:rPr>
          <w:rFonts w:eastAsia="Times New Roman" w:cs="Times New Roman" w:ascii="Times New Roman" w:hAnsi="Times New Roman"/>
          <w:color w:val="111111"/>
          <w:sz w:val="28"/>
          <w:szCs w:val="28"/>
          <w:lang w:val="en-US" w:bidi="en-US"/>
        </w:rPr>
        <w:t>Lombardi, J. V., (2000) Academic Libraries in a Digital Age. D-Lib Maga- zine [online]. 6 (10). Available from: http://www.dlib.org/dlib/october00/lom- bardi/10lombardi.html [accessed 26.04.12]</w:t>
      </w:r>
    </w:p>
    <w:p>
      <w:pPr>
        <w:pStyle w:val="BookText"/>
        <w:rPr/>
      </w:pPr>
      <w:r>
        <w:rPr>
          <w:rFonts w:eastAsia="Times New Roman" w:cs="Times New Roman" w:ascii="Times New Roman" w:hAnsi="Times New Roman"/>
          <w:color w:val="111111"/>
          <w:sz w:val="28"/>
          <w:szCs w:val="28"/>
          <w:lang w:val="en-US" w:bidi="en-US"/>
        </w:rPr>
        <w:t>RCUK (n.d.) RCUK Common principles on data policy [online]. Avail- able from: http://www.rcuk.ac.uk/research/Pages/DataPolicy.aspx [accessed 26.04.12]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RCUK (2009) RCUK Policy and code of conduct on the governance of good research conduct [online]. Available from: http://www.rcuk.ac.uk/Publications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researchers/Pages/grc.aspx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Rice, R. and Haywood, J. (2011) Research data management initiatives at University of Edinburgh. The International Journal of Digital Curation [on- line]. 2 (6), 232-244. Available from: http://www.ijdc.net/index.php/ijdc/article/ view/194/259 [accessed 26.04.12]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of Melbourne (2010) Policy on the management of research data and records [online]. Available from http://www.unimelb.edu.au/records/research. html [accessed 26.04.12]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University of Northampton (2012) Research data policy [online]. Available from https://www.northampton.ac.uk/info/20283/academic-research/1606/re- search-datapolicy [accessed 26.04.12]</w:t>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9653_81726"/>
      <w:bookmarkStart w:id="116" w:name="pg9653_81726"/>
      <w:bookmarkEnd w:id="116"/>
    </w:p>
    <w:p>
      <w:pPr>
        <w:pStyle w:val="Heading2"/>
        <w:numPr>
          <w:ilvl w:val="1"/>
          <w:numId w:val="1"/>
        </w:numPr>
        <w:rPr/>
      </w:pPr>
      <w:bookmarkStart w:id="117" w:name="pg9653_81726"/>
      <w:bookmarkStart w:id="118" w:name="__RefHeading___Toc7766334_2870459653"/>
      <w:bookmarkStart w:id="119" w:name="_Toc42"/>
      <w:bookmarkEnd w:id="117"/>
      <w:bookmarkEnd w:id="118"/>
      <w:r>
        <w:rPr>
          <w:rtl w:val="true"/>
        </w:rPr>
        <w:t>چکیده</w:t>
      </w:r>
      <w:bookmarkEnd w:id="119"/>
    </w:p>
    <w:p>
      <w:pPr>
        <w:pStyle w:val="BookText"/>
        <w:rPr/>
      </w:pPr>
      <w:r>
        <w:rPr>
          <w:rFonts w:ascii="IRNazanin" w:hAnsi="IRNazanin" w:eastAsia="IRNazanin"/>
          <w:color w:val="111111"/>
          <w:sz w:val="28"/>
          <w:sz w:val="28"/>
          <w:szCs w:val="28"/>
          <w:rtl w:val="true"/>
          <w:lang w:bidi="fa-IR"/>
        </w:rPr>
        <w:t xml:space="preserve">به رسمیت شناختن نقشی که کتابخانه ها می توانند در جامعه اطلاعاتی، در پرکردن شکاف رقومی و در توانایی منحصر به فرد خود جهت حمایت از اهداف توسعه یک کشور، ایفا کنند، منجربه علائق تازه در استقرار خط مشی های کتابخانه ملی شده است این مقاله یافته های پژوهشی را ارائه می دهد که گروهی از پژوهشگران بین المللی و ملی از قاره های اروپا آمریکا، آسیا و آفریقا طی سال 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رومیزی به تهیه یک مقاله پیش ،زمینه ای توسعه مطالعات موردی جهت به تصویر کشاندن عمل تفکر روبه جلو خلاقانه و توسعه یک چارچوب از پیش نویس خط مشی کتابخانه منجر شد دسترسی به نتایج کامل پژوهش از طریق نشانی زیر فراهم است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رقومی، جامعه اطلاعاتی، کتابخانه های ملی، خط مشی کتابخانه </w:t>
      </w:r>
      <w:bookmarkStart w:id="120" w:name="pg9653_81727"/>
    </w:p>
    <w:p>
      <w:pPr>
        <w:pStyle w:val="Heading2"/>
        <w:numPr>
          <w:ilvl w:val="1"/>
          <w:numId w:val="1"/>
        </w:numPr>
        <w:rPr/>
      </w:pPr>
      <w:bookmarkStart w:id="121" w:name="__RefHeading___Toc7766336_2870459653"/>
      <w:bookmarkStart w:id="122" w:name="_Toc43"/>
      <w:bookmarkEnd w:id="120"/>
      <w:bookmarkEnd w:id="121"/>
      <w:r>
        <w:rPr>
          <w:rtl w:val="true"/>
        </w:rPr>
        <w:t>حمایت از جوامع دانش بنیان</w:t>
      </w:r>
      <w:r>
        <w:rPr>
          <w:rtl w:val="true"/>
        </w:rPr>
        <w:t xml:space="preserve">: </w:t>
      </w:r>
      <w:r>
        <w:rPr>
          <w:rtl w:val="true"/>
        </w:rPr>
        <w:t>توسعه خط مشی ملی برای کتابخانه ها</w:t>
      </w:r>
      <w:bookmarkEnd w:id="122"/>
    </w:p>
    <w:p>
      <w:pPr>
        <w:pStyle w:val="Heading3"/>
        <w:numPr>
          <w:ilvl w:val="2"/>
          <w:numId w:val="1"/>
        </w:numPr>
        <w:rPr/>
      </w:pPr>
      <w:bookmarkStart w:id="123" w:name="__RefHeading___Toc7766338_2870459653"/>
      <w:bookmarkStart w:id="124" w:name="_Toc44"/>
      <w:bookmarkEnd w:id="123"/>
      <w:r>
        <w:rPr>
          <w:rtl w:val="true"/>
        </w:rPr>
        <w:t>اشاره</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جوامع دانش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خط مشی ملی برای کتابخانه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کارول پریستلی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امیررضا اصنافی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مقاله حاضر، به عنوان یک پیش زمینه، جهت ارائه در هلسینکی که تمرکز عمده آن بر پیشرفت ها در زمینه مذکور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مطرح می شود</w:t>
      </w:r>
      <w:r>
        <w:rPr>
          <w:rFonts w:eastAsia="IRNazanin" w:cs="IRNazanin"/>
          <w:color w:val="111111"/>
          <w:sz w:val="28"/>
          <w:szCs w:val="28"/>
          <w:rtl w:val="true"/>
          <w:lang w:bidi="fa-IR"/>
        </w:rPr>
        <w:t>.</w:t>
      </w:r>
    </w:p>
    <w:p>
      <w:pPr>
        <w:pStyle w:val="Heading3"/>
        <w:numPr>
          <w:ilvl w:val="2"/>
          <w:numId w:val="1"/>
        </w:numPr>
        <w:rPr/>
      </w:pPr>
      <w:bookmarkStart w:id="125" w:name="__RefHeading___Toc7766340_2870459653"/>
      <w:bookmarkStart w:id="126" w:name="_Toc45"/>
      <w:bookmarkEnd w:id="125"/>
      <w:r>
        <w:rPr>
          <w:rtl w:val="true"/>
        </w:rPr>
        <w:t>یک خط مشی ملی برای کتابخانه ها چیست؟</w:t>
      </w:r>
      <w:bookmarkEnd w:id="126"/>
    </w:p>
    <w:p>
      <w:pPr>
        <w:pStyle w:val="BookText"/>
        <w:rPr/>
      </w:pPr>
      <w:r>
        <w:rPr>
          <w:rFonts w:ascii="IRNazanin" w:hAnsi="IRNazanin" w:eastAsia="IRNazanin"/>
          <w:color w:val="111111"/>
          <w:sz w:val="28"/>
          <w:sz w:val="28"/>
          <w:szCs w:val="28"/>
          <w:rtl w:val="true"/>
          <w:lang w:bidi="fa-IR"/>
        </w:rPr>
        <w:t>به عبارت ساده، یک خط مشی، برنامه ای از اقدام یا بیانیه ای از اهداف و مقاصد است که چارچوبی را برای عمل فراهم می سازد یک خط مشی با هدف هدایت، تحت تأثیر قراردادن و تعیین تصمیمات اقدامات و مسائل دیگر توسعه می یابد؛ که به معنی یک هدف است پس، یک خط مشی کتابخانه ملی چارچوبی برای توسعه برنامه ریزی شده و هماهنگ کتابخانه های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برنامه اقدام و بیانیه ای از آرمان های پیشنهاد شده یا سازگاریافته توسط یک دولت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خط مشی کتابخانه ملی متفاوت از قوانین و مقررات کتابخانه است که این دومی مسئولیت های قانونی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خط مشی کتابخانه ملی باید با این قانون و قوانین مرتبط جدید مطابقت داشته باشد تغییرات در قانون، معمولاً مستلزم روزآمدی یک خط مشی موجود هستند یک خط مشی کتابخانه ملی با دستنامه رویه ها و دستورالعمل هایی که رهنمودهایی را درباره بهترین و موثرترین </w:t>
      </w:r>
      <w:bookmarkStart w:id="127" w:name="pg9653_81728"/>
    </w:p>
    <w:p>
      <w:pPr>
        <w:pStyle w:val="BookText"/>
        <w:rPr/>
      </w:pPr>
      <w:bookmarkEnd w:id="127"/>
      <w:r>
        <w:rPr>
          <w:rFonts w:ascii="IRNazanin" w:hAnsi="IRNazanin" w:eastAsia="IRNazanin"/>
          <w:color w:val="111111"/>
          <w:sz w:val="28"/>
          <w:sz w:val="28"/>
          <w:szCs w:val="28"/>
          <w:rtl w:val="true"/>
          <w:lang w:bidi="fa-IR"/>
        </w:rPr>
        <w:t>شیوه های اجرای خط مشی فراهم می سازند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آن چه را که باید در جهت حمایت از یک خط مشی انجام شود توصیف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های کتابخانه ملی ممکن است بخشی از سیاست های گسترده تر مانند سیاست های اطلاعات ملی راهبردهای فناوری اطلاعات ملی، سیاست های آموزش ملی و سیاست های کتاب ملی را شکل دهند؛ توسعه و ارتباط درونی آن ها به قبل از پیدایش این راهبردهای گسترده تر نیازی ندارد آن ها همچنین می توانند به صورت همراه یا مستقل برای انواع خاص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کتابخانه های عمومی یا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نظام های کتابخان های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شهرستان خاص یا اختیارات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های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کشورهای بسیاری، مسئولیت انواع کتابخانه های عمومی و سایر انواع کتابخانه ها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 مشی هایی را توسعه دهند که این حوزه ها را پوشش دهد؛ اما في نفسه، خط مشی های کتابخانه ملی نیستند</w:t>
      </w:r>
      <w:r>
        <w:rPr>
          <w:rFonts w:eastAsia="IRNazanin" w:cs="IRNazanin"/>
          <w:color w:val="111111"/>
          <w:sz w:val="28"/>
          <w:szCs w:val="28"/>
          <w:rtl w:val="true"/>
          <w:lang w:bidi="fa-IR"/>
        </w:rPr>
        <w:t>.</w:t>
      </w:r>
    </w:p>
    <w:p>
      <w:pPr>
        <w:pStyle w:val="Heading3"/>
        <w:numPr>
          <w:ilvl w:val="2"/>
          <w:numId w:val="1"/>
        </w:numPr>
        <w:rPr/>
      </w:pPr>
      <w:bookmarkStart w:id="128" w:name="__RefHeading___Toc7766342_2870459653"/>
      <w:bookmarkStart w:id="129" w:name="_Toc46"/>
      <w:bookmarkEnd w:id="128"/>
      <w:r>
        <w:rPr>
          <w:rtl w:val="true"/>
        </w:rPr>
        <w:t xml:space="preserve">روند پس از جنگ جهانی دوم تا سال </w:t>
      </w:r>
      <w:r>
        <w:rPr/>
        <w:t>2000</w:t>
      </w:r>
      <w:bookmarkEnd w:id="12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پس از جنگ جهانی دوم، برنامه ریزی توسعه کتابخانه زیر چتر یک چارچوب خط مشی ملی به صورت یک آرمان مورد علاقه و قابل بحث درآمد مثلاً در بریتانیا، گزارش مک کالوین </w:t>
      </w:r>
      <w:r>
        <w:rPr>
          <w:rStyle w:val="FootnoteAnchor"/>
          <w:rtl w:val="true"/>
        </w:rPr>
        <w:footnoteReference w:id="149"/>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رابرتس </w:t>
      </w:r>
      <w:r>
        <w:rPr>
          <w:rStyle w:val="FootnoteAnchor"/>
          <w:rtl w:val="true"/>
        </w:rPr>
        <w:footnoteReference w:id="150"/>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ضرورت تنظیم یک خدمت کتابخانه ای صادقانه تحت نظارت دولت مرکزی با حداقل استانداردها و بازرسی های دوره ای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افریقایی، برخلاف بریتانیا، اروپا و ایالات متحده، هیچ ساختارِ از قبل موجود مدیریتی کتابخانه ای وجود نداشت، بنابراین راه اندازی نظام های واقعی کتابخان های ملی به عنوان بخشی از توافقات استقلال، امکان پذیر است در واقع نظام های کتابخانه ملی تمایل دارند به شبکه کتابخانه عمومی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يونسکو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طریق برنامه نظام اطلاعات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ناتیس</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ترویج ایده نظام های کتابخان های و اطلاع رسانی یکپارچه آغاز نمود و از طریق یک خط مشی اطلاع رسانی ملی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اطلاعات ملی در دل برنامه اطلاعات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آی پی</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قرار گرفت که هدف آن، رسیدن به یک نظام اطلاع رسانی علمی بین المللی ملل متحد علمی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 سیست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نیز ایجاد نظام های اطلاع رسانی ملی در هر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ایفلا در برنامه یونیسیست، به وسیله ترویج کنترل کتابشناختی </w:t>
      </w:r>
    </w:p>
    <w:p>
      <w:pPr>
        <w:pStyle w:val="BookText"/>
        <w:rPr/>
      </w:pPr>
      <w:r>
        <w:rPr>
          <w:rFonts w:ascii="IRNazanin" w:hAnsi="IRNazanin" w:eastAsia="IRNazanin"/>
          <w:color w:val="111111"/>
          <w:sz w:val="28"/>
          <w:sz w:val="28"/>
          <w:szCs w:val="28"/>
          <w:rtl w:val="true"/>
          <w:lang w:bidi="fa-IR"/>
        </w:rPr>
        <w:t xml:space="preserve">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یوبی سی</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و دسترسی جهانی به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ای پی</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مشارکت کرد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یونسکو کتابی تحت عنوان رهنمودهایی در رابطه با خط مشی اطلاعات ملی دامنه تدوین و پیاده سازی </w:t>
      </w:r>
      <w:r>
        <w:rPr>
          <w:rStyle w:val="FootnoteAnchor"/>
          <w:rtl w:val="true"/>
        </w:rPr>
        <w:footnoteReference w:id="156"/>
      </w:r>
      <w:r>
        <w:rPr>
          <w:rFonts w:ascii="IRNazanin" w:hAnsi="IRNazanin" w:eastAsia="IRNazanin"/>
          <w:color w:val="111111"/>
          <w:sz w:val="28"/>
          <w:sz w:val="28"/>
          <w:szCs w:val="28"/>
          <w:rtl w:val="true"/>
          <w:lang w:bidi="fa-IR"/>
        </w:rPr>
        <w:t>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 یک رویکرد گام به گام را برای خط مشی اطلاعات ملی فراهم ساخت ولیکن در خصوص این که کاربران تصمیم می گیرند که کدام بخش ها از مفهوم، به موقعیت آن ها ارتباط دارد آن ها را راهنمایی نکرده و رهایشان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فناوری های اطلاعاتی، در تسهیل دسترسی به اطلاعات و نیز رشد آگاهی نسبت به اهمیت اطلاعات برای توسعه و مفهوم جامعه اطلاعاتی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نیگراد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تأیید کرد که مقدار زیادی از اطلاعات را تولید و مصرف می کند که فناوری اطلاعاتی، تولید و دسترسی به این اطلاعات را ساده تر نموده است اقدامات تازه از همه انواع کتابخانه ها و نیز متولّیان به شیوه ای درخواست شد که کتابخانه ها را در برنامه ریزی ملی، در 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حاصل، این بود که خط مشی های اطلاعات ملی بیش از پیش مورد نیاز است؛ البته از نوعی که یونسکو در دهه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کرد ولی به راهبردهای فناوری اطلاعات نیز شامل اینفورماتیک تلماتیک </w:t>
      </w:r>
      <w:r>
        <w:rPr>
          <w:rStyle w:val="FootnoteAnchor"/>
          <w:rtl w:val="true"/>
        </w:rPr>
        <w:footnoteReference w:id="158"/>
      </w:r>
      <w:r>
        <w:rPr>
          <w:rFonts w:ascii="IRNazanin" w:hAnsi="IRNazanin" w:eastAsia="IRNazanin"/>
          <w:color w:val="111111"/>
          <w:sz w:val="28"/>
          <w:sz w:val="28"/>
          <w:szCs w:val="28"/>
          <w:rtl w:val="true"/>
          <w:lang w:bidi="fa-IR"/>
        </w:rPr>
        <w:t>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ایفلا در سال </w:t>
      </w:r>
      <w:r>
        <w:rPr>
          <w:rFonts w:eastAsia="IRNazanin" w:cs="IRNazanin"/>
          <w:color w:val="111111"/>
          <w:sz w:val="28"/>
          <w:szCs w:val="28"/>
          <w:lang w:bidi="fa-IR"/>
        </w:rPr>
        <w:t>1997/1996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دریافت گردید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خط مشی های اطلاعاتی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آی پی</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یا راهبردهای فناوری اطلاعات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آی تی اس داشتند،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حال بحث در این زمینه بودند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پاسخ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پاسخ های مثبت نشان داد</w:t>
      </w:r>
    </w:p>
    <w:p>
      <w:pPr>
        <w:pStyle w:val="BookText"/>
        <w:rPr/>
      </w:pPr>
      <w:r>
        <w:rPr>
          <w:rFonts w:ascii="IRNazanin" w:hAnsi="IRNazanin" w:eastAsia="IRNazanin"/>
          <w:color w:val="111111"/>
          <w:sz w:val="28"/>
          <w:sz w:val="28"/>
          <w:szCs w:val="28"/>
          <w:rtl w:val="true"/>
          <w:lang w:bidi="fa-IR"/>
        </w:rPr>
        <w:t>که کتابخانه ها به عنوان ابزارهای مهم به عنوان نقاط دسترسی عمومی به دانش و اطلاعات و به عنوان مراکز اطلاعاتی پیش رونده به سوی توسعه فناوری اطلاعاتی ملی مشاهده می شدند با این حال کشورهای بسیاری نشان دادند که سازگاری با یک خط مشی ساده تر از پیاده سازی آن است پژوهش به این نتیجه رسید که فناوری اطلاعات به اجبار در دستورکار قرار گرفته و هیچ کشوری را دست نخورده رها نکرده بود خط مشی های اطلاعاتی ملی و راهبردهای فناوری اطلاعات ملی قطعاً مثال های قابل توجه برای بخش کتابخانه به شمار می رفت و نشان داد که کتابخانه ها باید نقش فعالی ایفا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سال ها نیاز به بخش کتابخانه جهت مشارکت در سایر سیاست ها، به صورت قضیه ای مورد بحث در افریقا درآمده است برای دستیابی به اطمینان از این که زنجیره کتاب به عنوان یک قضیه </w:t>
      </w:r>
      <w:bookmarkStart w:id="130" w:name="pg9653_81730"/>
    </w:p>
    <w:p>
      <w:pPr>
        <w:pStyle w:val="BookText"/>
        <w:rPr/>
      </w:pPr>
      <w:bookmarkEnd w:id="130"/>
      <w:r>
        <w:rPr>
          <w:rFonts w:ascii="IRNazanin" w:hAnsi="IRNazanin" w:eastAsia="IRNazanin"/>
          <w:color w:val="111111"/>
          <w:sz w:val="28"/>
          <w:sz w:val="28"/>
          <w:szCs w:val="28"/>
          <w:rtl w:val="true"/>
          <w:lang w:bidi="fa-IR"/>
        </w:rPr>
        <w:t>مهم ملی مورد تأیید، حمایت، پرورش و نگهداری قرار می گیرد، فراخوانی برای خط مشی های کتاب ملی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بسیاری از اینداباها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ایندا با یک همایش مهم است که توسط مردان برخی قبایل کشور آفریقای جنوبی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عبارت زبان زولو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Zulu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و معنای تجارت یا امر مهم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مک کارتنی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در نمایشگاه های کتاب زیمباوه برگزار شد، مورد بحث قرار گرفت یونسکو از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 کتاب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رهنمودی برای کاربران در زمینه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عموماً تأیید می کرد که توسعه کتابخانه باید با توسعه خط مشی کتاب، تلفیق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همزمان، برخی اظهار نظر کردند که توسعه یک خط مشی کتاب ملی، نیازمند متعهد بودن طیف گسترده ای از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بسیار اندکی از این ابتکارات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نتیجه بود یا خیر برای توسعه خط مشی های کتابخانه ملی در بستر سیاست های گسترده تر همچون اطلاعات، فناوری، کتاب ها یا تعلیم و تربیت مولد بود یا این که آیا یک خط مشی کتابخانه ملی باید به تنهایی تهیه شود متعاقباً به طور یکپارچه با دیگر سیاست ها تلفیق شود</w:t>
      </w:r>
      <w:r>
        <w:rPr>
          <w:rFonts w:eastAsia="IRNazanin" w:cs="IRNazanin"/>
          <w:color w:val="111111"/>
          <w:sz w:val="28"/>
          <w:szCs w:val="28"/>
          <w:rtl w:val="true"/>
          <w:lang w:bidi="fa-IR"/>
        </w:rPr>
        <w:t>.</w:t>
      </w:r>
    </w:p>
    <w:p>
      <w:pPr>
        <w:pStyle w:val="Heading3"/>
        <w:numPr>
          <w:ilvl w:val="2"/>
          <w:numId w:val="1"/>
        </w:numPr>
        <w:rPr/>
      </w:pPr>
      <w:bookmarkStart w:id="131" w:name="__RefHeading___Toc7766344_2870459653"/>
      <w:bookmarkStart w:id="132" w:name="_Toc47"/>
      <w:bookmarkEnd w:id="131"/>
      <w:r>
        <w:rPr>
          <w:rtl w:val="true"/>
        </w:rPr>
        <w:t xml:space="preserve">روندها سال </w:t>
      </w:r>
      <w:r>
        <w:rPr/>
        <w:t>2000</w:t>
      </w:r>
      <w:r>
        <w:rPr>
          <w:rtl w:val="true"/>
        </w:rPr>
        <w:t xml:space="preserve"> </w:t>
      </w:r>
      <w:r>
        <w:rPr>
          <w:rtl w:val="true"/>
        </w:rPr>
        <w:t>به بعد</w:t>
      </w:r>
      <w:bookmarkEnd w:id="132"/>
    </w:p>
    <w:p>
      <w:pPr>
        <w:pStyle w:val="BookText"/>
        <w:rPr/>
      </w:pPr>
      <w:r>
        <w:rPr>
          <w:rFonts w:ascii="IRNazanin" w:hAnsi="IRNazanin" w:eastAsia="IRNazanin"/>
          <w:color w:val="111111"/>
          <w:sz w:val="28"/>
          <w:sz w:val="28"/>
          <w:szCs w:val="28"/>
          <w:rtl w:val="true"/>
          <w:lang w:bidi="fa-IR"/>
        </w:rPr>
        <w:t xml:space="preserve">سال های اولیه قرن جدید، با تأکید براین قضیه مواجه شد که چگونه پیشرفت های فناوری های اطلاعاتی و ارتباطی تغییراتی را در مدیریت دانش به وجود آورده بود که منجر به توسعه جامعه اطلاعاتی جهانی گردید این امر، به واسطه برگزاری اجلاس جهانی در ارتباط با جامعه اطلاعاتی </w:t>
      </w:r>
      <w:r>
        <w:rPr>
          <w:rStyle w:val="FootnoteAnchor"/>
          <w:rtl w:val="true"/>
        </w:rPr>
        <w:footnoteReference w:id="161"/>
      </w:r>
      <w:r>
        <w:rPr>
          <w:rFonts w:ascii="IRNazanin" w:hAnsi="IRNazanin" w:eastAsia="IRNazanin"/>
          <w:color w:val="111111"/>
          <w:sz w:val="28"/>
          <w:sz w:val="28"/>
          <w:szCs w:val="28"/>
          <w:rtl w:val="true"/>
          <w:lang w:bidi="fa-IR"/>
        </w:rPr>
        <w:t xml:space="preserve">در دو مرحله سال 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هدف آن استقرار پایه هایی یک جامعه اطلاعاتی و به جریان انداختن یک طرح عملی به هم پیوسته بود که هر دو هنوز در حال پیشرفت هستند یک نتیجه، توسعه برنامه های ملی فناوری اطلاعاتی و ارتباطی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رقومی</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آشکار بین کشورهای توسعه یافته و در حال توسعه وجود داشت که مورد دوم، سطوح پایین تری از سرمایه انسانی، ایجاد محتوای بومی زیر ساخت های فناوری های اطلاعاتی و ارتباطی و دسترسی به آن ها را در اختیار دارند کمیسیون اقتصادی ملل متحد برای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ایی سی ای</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این امر را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کردن آن از ابتکار جامعه اطلاعاتی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آی اس آی</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دولت های افریقایی را به آغاز فرایند توسعه اطلاعات ملی و خط مشی ها و طرح های ارتباطات تشویق می کند، به رسمیت شناخته شد اهداف توسعه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دی جی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برنامه های عملی اجلاس جهانی در ارتباط با جامعه اطلاعاتی به دولت های آفریقایی در این مسیر انگیزه بیشتری می دهد آی اس تی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 های فناوری 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ابتکار با ذینفعان متعدد، که بر کاهش شکاف رقومی در کشورهای جنوب صحرای آفریقا تمرکز داشت هم اینک یک سپردنگاه از خط مشی های فناوری های اطلاعاتی و ارتباطی که در افریقا و اکثر کشورهایی که بین سال 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مشی ها را نوشته یا ویرایش نموده اند گرد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مشکل برای بخش کتابخانه این است که اکثر خط مشی های ملی فناوری های ارتباطی و اطلاعاتی کشورهای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همه آن ها برای کتابخانه ها در چارچوب فناوری های ارتباطی و اطلاعاتی نقشی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فناوری بیش از حد تأکید شده و در موضوعات گنجانده شده و مورد بحث اشاره ای به کتابخانه 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مشابهی در سایر بخش های دنیای در حال توسعه وجود دارد نشست شبکه اطلاعاتی آسیا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اظهار نگرانی شد از این که کتابخانه ها از خط مشی های اطلاعاتی ملی کشورهایشان کنار گذاشته شده اند و براین نکته توافق کردند که مؤلفه کتابخانه باید در تمام خط مشی های اطلاعاتی ملی مطرح گردد و توافق شد که مجموعه ای از استانداردها برای آن آی پی ها اعلام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جوآن یی</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امر، فقدان شناخت از نقشی است که کتابداران می توانند و باید در جامعه اطلاعاتی و بر پل زدن بر شکاف رقومیی ایفا کنند که به علاقه احیاء شده در ایجاد خط مشی های کتابخانه ملی منجر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اروپا ابلیدا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اروپایی کتابخانه، اطلاعات و آرشیوهای سندپردازی</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ناپل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متولیان ملی در کتابخانه های عمومی اروپا</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کنفرانس مشترکی را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بحث پیرامون اهمیت یک خط مشی کتابخانه های برای اروپا برگزار کردند این کنفرانس، رهنمودهایی را در خصوص قوانین کتابخانه و خط مشی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ماریتزن</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تعیین کرده است که سنجه های خط مشی ملی باید تأیید کنند که کتابخانه ها پیکره های ضروری در حفظ و توسعه مردم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شماری از کشورهای اروپایی، در فرایند شکل گیری خط مشی های کتابخانه ملی درگیر بوده یا هستند در فنلاند، وزارت </w:t>
      </w:r>
      <w:bookmarkStart w:id="133" w:name="pg9653_81732"/>
    </w:p>
    <w:p>
      <w:pPr>
        <w:pStyle w:val="BookText"/>
        <w:rPr/>
      </w:pPr>
      <w:bookmarkEnd w:id="133"/>
      <w:r>
        <w:rPr>
          <w:rFonts w:ascii="IRNazanin" w:hAnsi="IRNazanin" w:eastAsia="IRNazanin"/>
          <w:color w:val="111111"/>
          <w:sz w:val="28"/>
          <w:sz w:val="28"/>
          <w:szCs w:val="28"/>
          <w:rtl w:val="true"/>
          <w:lang w:bidi="fa-IR"/>
        </w:rPr>
        <w:t xml:space="preserve">آموزش و پرورش، مسئولیت طرح ریزی خط مشی های کتابخانه ملی را بر عهده دارد و یک برنامه مداوم از اظهارات و راهبردهای سیاست، تمرکز بر کتابخانه های ایالتی و عمومی دارد؛ موضوع مقاله باربرو وايجل راینینن </w:t>
      </w:r>
      <w:r>
        <w:rPr>
          <w:rStyle w:val="FootnoteAnchor"/>
          <w:rtl w:val="true"/>
        </w:rPr>
        <w:footnoteReference w:id="171"/>
      </w:r>
      <w:r>
        <w:rPr>
          <w:rFonts w:ascii="IRNazanin" w:hAnsi="IRNazanin" w:eastAsia="IRNazanin"/>
          <w:color w:val="111111"/>
          <w:sz w:val="28"/>
          <w:sz w:val="28"/>
          <w:szCs w:val="28"/>
          <w:rtl w:val="true"/>
          <w:lang w:bidi="fa-IR"/>
        </w:rPr>
        <w:t>که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لتونی و لیتوانی کشورهایی هستند که در حال حاضر در فرایند تدوین خط مشی ها مشارکت دارند لیتوانی قانونی در زمینهٔ کتابخانه ها با بسیاری از قواعد و یک برنامه بلندمدت برای نوسازی کتابخانه های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دولت در روش های برنامه ریزی راهبردی و رهنمودها برای خط مشی فرهنگی 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منجر به این امر گردید که بخش کتابخانه، محتوای اسناد موجود را بررسی نماید و درباره توسعه یک خط مشی کتابخانه ملی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افریقای جنوبی، کشورهای متعددی که در راستای تهیه خط مشی های کتابخانه ملی فعالیت می کنند با تأکید بر کتابخانه های عمومی در حال آغاز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کلمبیا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را از تصویب گذراند که طی آن، شبکه ملی کتابخانه های عمومی سازماندهی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کلمبیا، وزارت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تمام وسائل فنی مالی، و سازمانی و نیز برنامه ریزی ضروری و تناسب حوزه هایی که باید انجام شود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مشی، تنها برای کتابخانه هایی است که به وسیله دولت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کتابخانه های عمومی یا شبکه ها، جامعه، کتابخانه های آموزشگاهی یا دانشگاهی را پوشش نمی دهد اما انواع دیگر کتابخانه ها در یک کمیته فنی که توسط قانون، تصریح شده برای انجام رایزنی و ارائه مشاوره، در آن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 نیز تصویب قانونی مشابهی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افریقا، نامیبیا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سطور پایین تر مقاله هم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خط مشی جامع کتابخانه ملی را ایجاد کرده است و کنیا و اوگاندا در فرایند اتمام تدوین خط مشی های کتابخانه عمومی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کشور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غنا، افریقای جنوبی و تانزانیا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در خصوص توسعه خط مشی ها آغاز کرده اند</w:t>
      </w:r>
      <w:r>
        <w:rPr>
          <w:rFonts w:eastAsia="IRNazanin" w:cs="IRNazanin"/>
          <w:color w:val="111111"/>
          <w:sz w:val="28"/>
          <w:szCs w:val="28"/>
          <w:rtl w:val="true"/>
          <w:lang w:bidi="fa-IR"/>
        </w:rPr>
        <w:t>.</w:t>
      </w:r>
    </w:p>
    <w:p>
      <w:pPr>
        <w:pStyle w:val="Heading3"/>
        <w:numPr>
          <w:ilvl w:val="2"/>
          <w:numId w:val="1"/>
        </w:numPr>
        <w:rPr/>
      </w:pPr>
      <w:bookmarkStart w:id="134" w:name="__RefHeading___Toc7766346_2870459653"/>
      <w:bookmarkStart w:id="135" w:name="_Toc48"/>
      <w:bookmarkEnd w:id="134"/>
      <w:r>
        <w:rPr>
          <w:rtl w:val="true"/>
        </w:rPr>
        <w:t>سه مثال از کشورهایی که خط مشی های ملی را برای کتابخانه ها کامل کرده اند</w:t>
      </w:r>
      <w:bookmarkEnd w:id="135"/>
    </w:p>
    <w:p>
      <w:pPr>
        <w:pStyle w:val="Heading4"/>
        <w:numPr>
          <w:ilvl w:val="3"/>
          <w:numId w:val="1"/>
        </w:numPr>
        <w:rPr/>
      </w:pPr>
      <w:bookmarkStart w:id="136" w:name="__RefHeading___Toc7766348_2870459653"/>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بررسی و ارزیابی بهترین عملکرد جاری تیم تحقیقاتی را به سوی شناسایی سه مطالعه موردی از کشورهای فنلاند، نامیبیا و نیوزلند رهنمون ساخت</w:t>
      </w:r>
      <w:r>
        <w:rPr>
          <w:rFonts w:eastAsia="IRNazanin" w:cs="IRNazanin"/>
          <w:color w:val="111111"/>
          <w:sz w:val="28"/>
          <w:szCs w:val="28"/>
          <w:rtl w:val="true"/>
          <w:lang w:bidi="fa-IR"/>
        </w:rPr>
        <w:t>.</w:t>
      </w:r>
    </w:p>
    <w:p>
      <w:pPr>
        <w:pStyle w:val="Heading4"/>
        <w:numPr>
          <w:ilvl w:val="3"/>
          <w:numId w:val="1"/>
        </w:numPr>
        <w:rPr/>
      </w:pPr>
      <w:bookmarkStart w:id="138" w:name="__RefHeading___Toc7766350_2870459653"/>
      <w:bookmarkStart w:id="139" w:name="_Toc50"/>
      <w:bookmarkEnd w:id="138"/>
      <w:r>
        <w:rPr>
          <w:rtl w:val="true"/>
        </w:rPr>
        <w:t>فنلاند</w:t>
      </w:r>
      <w:bookmarkEnd w:id="1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سطور بالا نیز ذکر شد، باربرو و ایجل راینینن، مشاور امور کتابخانه از وزارت آموزش </w:t>
      </w:r>
      <w:bookmarkStart w:id="140" w:name="pg9653_81733"/>
    </w:p>
    <w:p>
      <w:pPr>
        <w:pStyle w:val="BookText"/>
        <w:rPr/>
      </w:pPr>
      <w:bookmarkEnd w:id="140"/>
      <w:r>
        <w:rPr>
          <w:rFonts w:ascii="IRNazanin" w:hAnsi="IRNazanin" w:eastAsia="IRNazanin"/>
          <w:color w:val="111111"/>
          <w:sz w:val="28"/>
          <w:sz w:val="28"/>
          <w:szCs w:val="28"/>
          <w:rtl w:val="true"/>
          <w:lang w:bidi="fa-IR"/>
        </w:rPr>
        <w:t xml:space="preserve">و فرهنگ فنلاند، در نشست ان لیپ اس آی جی </w:t>
      </w:r>
      <w:r>
        <w:rPr>
          <w:rStyle w:val="FootnoteAnchor"/>
          <w:rtl w:val="true"/>
        </w:rPr>
        <w:footnoteReference w:id="172"/>
      </w:r>
      <w:r>
        <w:rPr>
          <w:rFonts w:ascii="IRNazanin" w:hAnsi="IRNazanin" w:eastAsia="IRNazanin"/>
          <w:color w:val="111111"/>
          <w:sz w:val="28"/>
          <w:sz w:val="28"/>
          <w:szCs w:val="28"/>
          <w:rtl w:val="true"/>
          <w:lang w:bidi="fa-IR"/>
        </w:rPr>
        <w:t>نیز به ارائه کار پرداخته و بهترین مکان را برای ارائه خلاصه کارشان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برای علاقه مندان مطالعه موردی راجع به فنلاند در پژوهش شبکه اطلاعات و دسترسی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نیدا</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توسط باربرو تهیه شده و از طریق نشانی زیر دسترس پذیر است</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141" w:name="__RefHeading___Toc7766352_2870459653"/>
      <w:bookmarkStart w:id="142" w:name="_Toc51"/>
      <w:bookmarkEnd w:id="141"/>
      <w:r>
        <w:rPr>
          <w:rtl w:val="true"/>
        </w:rPr>
        <w:t>ناميبيا</w:t>
      </w:r>
      <w:bookmarkEnd w:id="14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آرشیوها و کتابخانه های ملی نامیبیا </w:t>
      </w:r>
      <w:r>
        <w:rPr>
          <w:rStyle w:val="FootnoteAnchor"/>
          <w:rtl w:val="true"/>
        </w:rPr>
        <w:footnoteReference w:id="175"/>
      </w:r>
      <w:r>
        <w:rPr>
          <w:rFonts w:ascii="IRNazanin" w:hAnsi="IRNazanin" w:eastAsia="IRNazanin"/>
          <w:color w:val="111111"/>
          <w:sz w:val="28"/>
          <w:sz w:val="28"/>
          <w:szCs w:val="28"/>
          <w:rtl w:val="true"/>
          <w:lang w:bidi="fa-IR"/>
        </w:rPr>
        <w:t>پیشنهادهایی را برای یاری در خصوص تجدید خط مشی کتابخانه ملی نامیبیا به عنوان فاز دوم از یک ارزیابی راهبردی و تحلیل اقتصادی بخش کتابداری و اطلاع رسانی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پیشین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ابتدایی نامیبیا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های حائل در تغییرات دور از دسترس که در محیط اطلاعاتی ملی و محلی نه حداقل با ظهور فناوری های ارتباطی و اطلاعاتی اتفاق افتاده بود نگارش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نامیبیا چشم انداز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راهبرد جدید برای توسعه ملی ارائه کرد که در آن نیاز به تحول در اقتصاد، با بخش آموزش و یادگیری شامل آموزش مستمر و کتابخانه ها نقش مهمی را ایفا می کند آرمان های چشم انداز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طرح توسعه ملی و برنامه بهبود بخش آموزش و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تی اس آی پی</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گنجانده شد یک راهبرد ملی جدید برای کتابخانه ها برای نشان دادن راهنمایی و برنامه ریزی سهم بخش کتابخانه در این چشم انداز مورد نیاز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ائتلاف مبتنی بر شرکای ام دی آر لندن، </w:t>
      </w:r>
      <w:r>
        <w:rPr>
          <w:rStyle w:val="FootnoteAnchor"/>
          <w:rtl w:val="true"/>
        </w:rPr>
        <w:footnoteReference w:id="177"/>
      </w:r>
      <w:r>
        <w:rPr>
          <w:rFonts w:ascii="IRNazanin" w:hAnsi="IRNazanin" w:eastAsia="IRNazanin"/>
          <w:color w:val="111111"/>
          <w:sz w:val="28"/>
          <w:sz w:val="28"/>
          <w:szCs w:val="28"/>
          <w:rtl w:val="true"/>
          <w:lang w:bidi="fa-IR"/>
        </w:rPr>
        <w:t xml:space="preserve">و شبکه اطلاعات و دسترسی رقومی، برای کار با خدمات کتابخانه ها و آرشیوهای ملی انتخاب شد یک گروه مشاوره تحقیقات خود را در این زمینه آغاز نمود و گزارش های آن مبنایی برای پیش نویس یک سند خط مشی ملی برای بخش کتابخانه و اطلاع رسانی شد 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خدمات کتابخانه ها و آرشیوهای ملی ارائه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دی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اطلاعات و دسترسی رقومی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مشی ملی ویرایش شده چهار بخش را در بر می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یک خط مشی جدید، اهداف توسعه ملی و اهداف عمده از یک راهبرد برای کتابخانه های ملی نامیبیا </w:t>
      </w:r>
      <w:bookmarkStart w:id="143" w:name="pg9653_81734"/>
    </w:p>
    <w:p>
      <w:pPr>
        <w:pStyle w:val="Heading3"/>
        <w:numPr>
          <w:ilvl w:val="2"/>
          <w:numId w:val="1"/>
        </w:numPr>
        <w:rPr/>
      </w:pPr>
      <w:bookmarkStart w:id="144" w:name="__RefHeading___Toc7766354_2870459653"/>
      <w:bookmarkStart w:id="145" w:name="_Toc52"/>
      <w:bookmarkEnd w:id="143"/>
      <w:bookmarkEnd w:id="144"/>
      <w:r>
        <w:rPr>
          <w:rtl w:val="true"/>
        </w:rPr>
        <w:t>عناصر کلیدی راهبردی</w:t>
      </w:r>
      <w:r>
        <w:rPr>
          <w:rtl w:val="true"/>
        </w:rPr>
        <w:t>:</w:t>
      </w:r>
      <w:bookmarkEnd w:id="145"/>
    </w:p>
    <w:p>
      <w:pPr>
        <w:pStyle w:val="BookText"/>
        <w:rPr/>
      </w:pPr>
      <w:r>
        <w:rPr>
          <w:rFonts w:ascii="IRNazanin" w:hAnsi="IRNazanin" w:eastAsia="IRNazanin"/>
          <w:color w:val="111111"/>
          <w:sz w:val="28"/>
          <w:sz w:val="28"/>
          <w:szCs w:val="28"/>
          <w:rtl w:val="true"/>
          <w:lang w:bidi="fa-IR"/>
        </w:rPr>
        <w:t>هماهنگی، رهبری و بازاریابی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و روابط شورای اطلاع رسانی و کتابخانه نامیبیا، شورا و اعضای حرفه ای انجمن اطلاع کاران نامیبیایی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عملکرد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تغییرات پدید آمده ،پیرامون به وسیله فناوری های ارتباطی و اطلاعاتی و تمرکززدایی در نامیبیا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با نیازهای کاربران واقعی و بالقوه عرضه کافی کارکنان ورزیده و ماهر، از جمله بهبود ساختار نیروی انسانی و فرصت های یادگیری</w:t>
      </w:r>
      <w:r>
        <w:rPr>
          <w:rFonts w:eastAsia="IRNazanin" w:cs="IRNazanin"/>
          <w:color w:val="111111"/>
          <w:sz w:val="28"/>
          <w:szCs w:val="28"/>
          <w:rtl w:val="true"/>
          <w:lang w:bidi="fa-IR"/>
        </w:rPr>
        <w:t>.</w:t>
      </w:r>
    </w:p>
    <w:p>
      <w:pPr>
        <w:pStyle w:val="Heading3"/>
        <w:numPr>
          <w:ilvl w:val="2"/>
          <w:numId w:val="1"/>
        </w:numPr>
        <w:rPr/>
      </w:pPr>
      <w:bookmarkStart w:id="146" w:name="__RefHeading___Toc7766356_2870459653"/>
      <w:bookmarkStart w:id="147" w:name="_Toc53"/>
      <w:bookmarkEnd w:id="146"/>
      <w:r>
        <w:rPr>
          <w:rtl w:val="true"/>
        </w:rPr>
        <w:t>منابع</w:t>
      </w:r>
      <w:r>
        <w:rPr>
          <w:rtl w:val="true"/>
        </w:rPr>
        <w:t>:</w:t>
      </w:r>
      <w:bookmarkEnd w:id="147"/>
    </w:p>
    <w:p>
      <w:pPr>
        <w:pStyle w:val="Heading4"/>
        <w:numPr>
          <w:ilvl w:val="3"/>
          <w:numId w:val="1"/>
        </w:numPr>
        <w:rPr/>
      </w:pPr>
      <w:bookmarkStart w:id="148" w:name="__RefHeading___Toc7766358_2870459653"/>
      <w:bookmarkStart w:id="149" w:name="_Toc54"/>
      <w:bookmarkEnd w:id="148"/>
      <w:r>
        <w:rPr>
          <w:rtl w:val="true"/>
        </w:rPr>
        <w:t>اشاره</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اطلاعاتی برای خدمات کتابخانه و اطلاع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نامیبیایی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برای توسعه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فناوری های ارتباطی و 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 ها برای بخش های کتابخانه و اطلاع رسانی فردی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ملی نامیبیا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ملی نامیبیا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های اختصاصی و پژوهشی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های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های آموزشگاهی مراکز رسانه، بی ای اس و منابع برای معلمان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های آموزش 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کتابخانه ها و آرشیوهای ملی در روند انتشار سند قرار دارد ضمناً نسخه ای از گزارش مشاور، از طریق نشانی زیر قابل دسترسی است</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150" w:name="__RefHeading___Toc7766360_2870459653"/>
      <w:bookmarkStart w:id="151" w:name="_Toc55"/>
      <w:bookmarkEnd w:id="150"/>
      <w:r>
        <w:rPr>
          <w:rtl w:val="true"/>
        </w:rPr>
        <w:t>نیوزلند</w:t>
      </w:r>
      <w:bookmarkEnd w:id="15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پژوهش، کتابخانه ملی نیوزلند با یک مطالعه موردی برمبنای سند خط مشی شان در سال </w:t>
      </w:r>
      <w:bookmarkStart w:id="152" w:name="pg9653_81735"/>
    </w:p>
    <w:p>
      <w:pPr>
        <w:pStyle w:val="BookText"/>
        <w:rPr/>
      </w:pPr>
      <w:bookmarkEnd w:id="152"/>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نیدا را فراهم کرد؛ با این حال، به واسطه شماری از تغییرات قابل توجه در خدمات عمومی در نیوزلند، حداقل کتابخانه و آرشیوهای ملی نیوزلند با بخش امور داخلی در اول فوریه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اصلی اما قدیمی از مطالعه موردی، از طریق وبسایت زیر قابل دسترس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لیکن، مقالات ارائه شده توسط کارکنان کتابخانه ملی نیوزلند، آخرین اندیشه ها را از نیوزلند ارائه خواهد داد</w:t>
      </w:r>
      <w:r>
        <w:rPr>
          <w:rFonts w:eastAsia="IRNazanin" w:cs="IRNazanin"/>
          <w:color w:val="111111"/>
          <w:sz w:val="28"/>
          <w:szCs w:val="28"/>
          <w:rtl w:val="true"/>
          <w:lang w:bidi="fa-IR"/>
        </w:rPr>
        <w:t>.</w:t>
      </w:r>
    </w:p>
    <w:p>
      <w:pPr>
        <w:pStyle w:val="Heading4"/>
        <w:numPr>
          <w:ilvl w:val="3"/>
          <w:numId w:val="1"/>
        </w:numPr>
        <w:rPr/>
      </w:pPr>
      <w:bookmarkStart w:id="153" w:name="__RefHeading___Toc7766362_2870459653"/>
      <w:bookmarkStart w:id="154" w:name="_Toc56"/>
      <w:bookmarkEnd w:id="153"/>
      <w:r>
        <w:rPr>
          <w:rtl w:val="true"/>
        </w:rPr>
        <w:t>کلمبیا</w:t>
      </w:r>
      <w:bookmarkEnd w:id="154"/>
    </w:p>
    <w:p>
      <w:pPr>
        <w:pStyle w:val="BookText"/>
        <w:rPr/>
      </w:pPr>
      <w:r>
        <w:rPr>
          <w:rFonts w:ascii="IRNazanin" w:hAnsi="IRNazanin" w:eastAsia="IRNazanin"/>
          <w:color w:val="111111"/>
          <w:sz w:val="28"/>
          <w:sz w:val="28"/>
          <w:szCs w:val="28"/>
          <w:rtl w:val="true"/>
          <w:lang w:bidi="fa-IR"/>
        </w:rPr>
        <w:t>دو هدف مقدماتی کلمبیا، دقیقاً آن هایی است که مربوط به کتابخانه عمومی آرمانی هستند یک مؤسسه خدمات پایه و مکمل را فراهم می سازد که همه ویژگی های متنوع و ،فرهنگی قومی و اجتماعی همه شهرها و بخش های کلمبیا و کتابخانه ای با تجهیزات و زیرساخت منطبق با حداقل نیازمندی های فنی که در ویژگی حقوقی هر شهر با خدمات رایگان تعریف شده است یک کتابخانه عمومی باید با موضوع بحث روز نیز اوضاع خود برای تغییر خدمات با شبکه ملی کتابخانه های عمومی و با سایر شبکه های کتابخانه ها در کشور و فراتر از آن ارتباط برقرار کند این امر برای کتابخانه عمومی به عنوانی بالاتر از یک وظیفه الزامی است و باید ادارات محلی و ملی آن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کلمبیایی کتابخانه های عمومی </w:t>
      </w:r>
      <w:r>
        <w:rPr>
          <w:rStyle w:val="FootnoteAnchor"/>
          <w:rtl w:val="true"/>
        </w:rPr>
        <w:footnoteReference w:id="180"/>
      </w:r>
      <w:r>
        <w:rPr>
          <w:rFonts w:ascii="IRNazanin" w:hAnsi="IRNazanin" w:eastAsia="IRNazanin"/>
          <w:color w:val="111111"/>
          <w:sz w:val="28"/>
          <w:sz w:val="28"/>
          <w:szCs w:val="28"/>
          <w:rtl w:val="true"/>
          <w:lang w:bidi="fa-IR"/>
        </w:rPr>
        <w:t>تمام ابزارهای فنی، مالی و سازمانی و نیز کلیه برنامه ریزی های لازم و حوزه های هماهنگی را جهت ارائه خدمات تعریف می کند</w:t>
      </w:r>
      <w:r>
        <w:rPr>
          <w:rFonts w:eastAsia="IRNazanin" w:cs="IRNazanin"/>
          <w:color w:val="111111"/>
          <w:sz w:val="28"/>
          <w:szCs w:val="28"/>
          <w:rtl w:val="true"/>
          <w:lang w:bidi="fa-IR"/>
        </w:rPr>
        <w:t>.</w:t>
      </w:r>
    </w:p>
    <w:p>
      <w:pPr>
        <w:pStyle w:val="Heading3"/>
        <w:numPr>
          <w:ilvl w:val="2"/>
          <w:numId w:val="1"/>
        </w:numPr>
        <w:rPr/>
      </w:pPr>
      <w:bookmarkStart w:id="155" w:name="__RefHeading___Toc7766364_2870459653"/>
      <w:bookmarkStart w:id="156" w:name="_Toc57"/>
      <w:bookmarkEnd w:id="155"/>
      <w:r>
        <w:rPr>
          <w:rtl w:val="true"/>
        </w:rPr>
        <w:t>محتوا</w:t>
      </w:r>
      <w:bookmarkEnd w:id="1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کتابخانه های عمومی، خط مشی ملی شبکه ملی کتابخانه های عمومی را مبنا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امر، این قانون رهنمودهای فنی را در چند مورد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تمامی کتابخانه های عمومی دولتی در کشور زیرساخت های آن ها، خدمات پایه ای که باید به صورت رایگان ارائه نمایند و پرونده پرسنل جهت تکمیل آن ها این قانون، ابزارهایی را برای توسعه پایدار کتابخانه های عمومی، با مشوق های مالیاتی برای کسانی که عملکرد منابع عمومی هماهنگی ملی و محلی تعهدات سازمانی، مشارکت شهروندی مدیریت و سنجش عملکرد و غیره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قانون، نباید سایر کتابخانه ها یا شبکه ها را مانند بانک شبکه جمهوری کتابخانه ها، شبکه بودجه منفعت خانواده کتابخانه ها کتابخانه های جامعه و کتابخانه های آموزشگاهی و دانشگاهی پوشش بدهد، حتی اگر </w:t>
      </w:r>
      <w:bookmarkStart w:id="157" w:name="pg9653_81736"/>
    </w:p>
    <w:p>
      <w:pPr>
        <w:pStyle w:val="BookText"/>
        <w:rPr/>
      </w:pPr>
      <w:bookmarkEnd w:id="157"/>
      <w:r>
        <w:rPr>
          <w:rFonts w:ascii="IRNazanin" w:hAnsi="IRNazanin" w:eastAsia="IRNazanin"/>
          <w:color w:val="111111"/>
          <w:sz w:val="28"/>
          <w:sz w:val="28"/>
          <w:szCs w:val="28"/>
          <w:rtl w:val="true"/>
          <w:lang w:bidi="fa-IR"/>
        </w:rPr>
        <w:t>تصور شود همه آن ها در کمیته فنی ملی کتابخانه های عمومی، جایگاهی دارند</w:t>
      </w:r>
      <w:r>
        <w:rPr>
          <w:rFonts w:eastAsia="IRNazanin" w:cs="IRNazanin"/>
          <w:color w:val="111111"/>
          <w:sz w:val="28"/>
          <w:szCs w:val="28"/>
          <w:rtl w:val="true"/>
          <w:lang w:bidi="fa-IR"/>
        </w:rPr>
        <w:t>.</w:t>
      </w:r>
    </w:p>
    <w:p>
      <w:pPr>
        <w:pStyle w:val="Heading3"/>
        <w:numPr>
          <w:ilvl w:val="2"/>
          <w:numId w:val="1"/>
        </w:numPr>
        <w:rPr/>
      </w:pPr>
      <w:bookmarkStart w:id="158" w:name="__RefHeading___Toc7766366_2870459653"/>
      <w:bookmarkStart w:id="159" w:name="_Toc58"/>
      <w:bookmarkEnd w:id="158"/>
      <w:r>
        <w:rPr>
          <w:rtl w:val="true"/>
        </w:rPr>
        <w:t>عناصر راهبردی کلیدی عبارتند از</w:t>
      </w:r>
      <w:r>
        <w:rPr>
          <w:rtl w:val="true"/>
        </w:rPr>
        <w:t>:</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عمومی و علاقه اجتماعی، سرمایه گذاری اجتماعی و خدمات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کتابخانه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کتابشناختی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 به سطح ملی سطح بخشی و سطوح شهری و منطقه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پیاده سازی همچون منابع ضروری برای انجام خدمات مورد 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از این ابزارها وجود دارند؛ مانند مجموعه ای از سازوکارهای مالی مشوق ها برای صنعت نشر</w:t>
      </w:r>
      <w:r>
        <w:rPr>
          <w:rFonts w:eastAsia="IRNazanin" w:cs="IRNazanin"/>
          <w:color w:val="111111"/>
          <w:sz w:val="28"/>
          <w:szCs w:val="28"/>
          <w:rtl w:val="true"/>
          <w:lang w:bidi="fa-IR"/>
        </w:rPr>
        <w:t>.</w:t>
      </w:r>
    </w:p>
    <w:p>
      <w:pPr>
        <w:pStyle w:val="Heading3"/>
        <w:numPr>
          <w:ilvl w:val="2"/>
          <w:numId w:val="1"/>
        </w:numPr>
        <w:rPr/>
      </w:pPr>
      <w:bookmarkStart w:id="160" w:name="__RefHeading___Toc7766368_2870459653"/>
      <w:bookmarkStart w:id="161" w:name="_Toc59"/>
      <w:bookmarkEnd w:id="160"/>
      <w:r>
        <w:rPr>
          <w:rtl w:val="true"/>
        </w:rPr>
        <w:t>مفهوم شبکه</w:t>
      </w:r>
      <w:bookmarkEnd w:id="161"/>
    </w:p>
    <w:p>
      <w:pPr>
        <w:pStyle w:val="BookText"/>
        <w:rPr/>
      </w:pPr>
      <w:r>
        <w:rPr>
          <w:rFonts w:ascii="IRNazanin" w:hAnsi="IRNazanin" w:eastAsia="IRNazanin"/>
          <w:color w:val="111111"/>
          <w:sz w:val="28"/>
          <w:sz w:val="28"/>
          <w:szCs w:val="28"/>
          <w:rtl w:val="true"/>
          <w:lang w:bidi="fa-IR"/>
        </w:rPr>
        <w:t xml:space="preserve">سرتاسر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کتابخانه های عمومی</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شبکه ملی کتابخانه های عمومی </w:t>
      </w:r>
      <w:r>
        <w:rPr>
          <w:rStyle w:val="FootnoteAnchor"/>
          <w:rtl w:val="true"/>
        </w:rPr>
        <w:footnoteReference w:id="182"/>
      </w:r>
      <w:r>
        <w:rPr>
          <w:rFonts w:ascii="IRNazanin" w:hAnsi="IRNazanin" w:eastAsia="IRNazanin"/>
          <w:color w:val="111111"/>
          <w:sz w:val="28"/>
          <w:sz w:val="28"/>
          <w:szCs w:val="28"/>
          <w:rtl w:val="true"/>
          <w:lang w:bidi="fa-IR"/>
        </w:rPr>
        <w:t>به صورت مفصل درباره کتابخانه های عمومی در فضاهای ملی، بخشی، منطقه ای و شهری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و میراث خدمات کتابشناختی، منابع زیرساخت ها و پرسنل آن، مأموریت حمایت از عموم را از طریق کاربران و جوامع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طریق مجموعه ای از استانداردها افراد، فرایندها و منابع هدف برای جلوگیری از تلاش های مضاعف، به صورت مفصل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وحدت معیار و اهداف را از طریق اصول و قواعد برای تفسیر و برنامه های کاربردی هدف در توسعه و انتقال از مفهوم معاصر یک کتابخانه عمومی ترویج می دهد شبکه همچون هر مؤسسه در جستجوی اهداف سازنده است که تعامل را تسهیل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مشی شبکه ملی کتابخانه های عمومی با برنامه های توسعه اقتصادی و اجتماعی در تمامی سطوح، با مفاهیم زیر، تلفیق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شامل بودن در طرح توسعه ملی طرحی مرتبط با ارتقاء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برنامه های بخشی، منطقه ای و شهری با توجه به خط مشی ها و راهبردهای برنامه توسعه ملی؛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های محلی توسعه یافته که با طرح های عملی در ارتباط باشند</w:t>
      </w:r>
      <w:r>
        <w:rPr>
          <w:rFonts w:eastAsia="IRNazanin" w:cs="IRNazanin"/>
          <w:color w:val="111111"/>
          <w:sz w:val="28"/>
          <w:szCs w:val="28"/>
          <w:rtl w:val="true"/>
          <w:lang w:bidi="fa-IR"/>
        </w:rPr>
        <w:t xml:space="preserve">. </w:t>
      </w:r>
      <w:bookmarkStart w:id="162" w:name="pg9653_81737"/>
    </w:p>
    <w:p>
      <w:pPr>
        <w:pStyle w:val="Heading3"/>
        <w:numPr>
          <w:ilvl w:val="2"/>
          <w:numId w:val="1"/>
        </w:numPr>
        <w:rPr/>
      </w:pPr>
      <w:bookmarkStart w:id="163" w:name="__RefHeading___Toc7766370_2870459653"/>
      <w:bookmarkStart w:id="164" w:name="_Toc60"/>
      <w:bookmarkEnd w:id="162"/>
      <w:bookmarkEnd w:id="163"/>
      <w:r>
        <w:rPr>
          <w:rtl w:val="true"/>
        </w:rPr>
        <w:t>چارچوب خط مشی کتابخانه ملی</w:t>
      </w:r>
      <w:bookmarkEnd w:id="164"/>
    </w:p>
    <w:p>
      <w:pPr>
        <w:pStyle w:val="BookText"/>
        <w:rPr/>
      </w:pPr>
      <w:r>
        <w:rPr>
          <w:rFonts w:ascii="IRNazanin" w:hAnsi="IRNazanin" w:eastAsia="IRNazanin"/>
          <w:color w:val="111111"/>
          <w:sz w:val="28"/>
          <w:sz w:val="28"/>
          <w:szCs w:val="28"/>
          <w:rtl w:val="true"/>
          <w:lang w:bidi="fa-IR"/>
        </w:rPr>
        <w:t>پس از مرحله تحقیقاتی که به صورت خلاصه، در سطور بالا ذکر شد دو مدل چارچوب خط مشی گسترش یافت یکی برای بخش گسترده که به طور کامل یکپارچه شده، و دیگری که برای بخش فرعی کتابخانه عمومی به صورت اختصاصی تهیه گردید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یک فرایند مشاوره ای از جلسات و کارگاه های آموزشی در اروپا و در آفریقا توسعه یافت و برای شبکه نیدا و ذینفعان علاقه مند پست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هایی از چارچوب ها از طریق نشانی زیر یافت می شود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مشارکت کنندگان همچنین چند دستورالعمل ساده را برای کمک به کسانی که در ابتدای راه توجه به توسعه یا تجدید یک خط مشی هستند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خط مشی کتابخانه باید در فرایندی مشاهده شود که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عملکرد و زیرساخت کنونی بخش یا بخش فرعی کتابخانه بر اساس ملزومات مطرح شده جهت توسعه کشور و نیازهای شهروندان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ارزیابی کتابخانه ها در بافت سیاست های توسعه دولت پایه ریزی خواهد شد که معمولاً از طریق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های توسعه ملی طرح های استخدامی و غیره به طور مفصل درباره آن ها بحث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تحلیل قابلیت های واقع بینانه و دست یافتنی مالی دولت و منابع تکمیلی به سوی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 فرعی کتابخانه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درک از تأثیر بالقوه ای که کتابخانه ها در آینده می توانند و باید در توسعه کشور مشارکت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سند خط مشی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 طرح های عملی جامع و عملیاتی کوتاه، میانه و بلندمدت برای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طرح های سالانه توسعه یافته در فاصله زمانی سه یا پنج ساله را در بر گیرد طرح های عملی باید شامل برنامه های کاری و نیز برنامه های بودجه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راهبردها و ابزارها برای نظارت ارزیابی و بازخورد مستمر از نتایج به برنامه ریزی و فرایندهای پیاده سازی خط مشی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درخواست تازه ترین اقدام پیگیری توسط نیدا عبارت است از آماده سازی چارچوب های مدل مکمل، هم برای ارزیابی بخش و هم به منظور تحلیل مالی</w:t>
      </w:r>
      <w:r>
        <w:rPr>
          <w:rFonts w:eastAsia="IRNazanin" w:cs="IRNazanin"/>
          <w:color w:val="111111"/>
          <w:sz w:val="28"/>
          <w:szCs w:val="28"/>
          <w:rtl w:val="true"/>
          <w:lang w:bidi="fa-IR"/>
        </w:rPr>
        <w:t xml:space="preserve">. </w:t>
      </w:r>
      <w:bookmarkStart w:id="165" w:name="pg9653_81738"/>
    </w:p>
    <w:p>
      <w:pPr>
        <w:pStyle w:val="Heading3"/>
        <w:numPr>
          <w:ilvl w:val="2"/>
          <w:numId w:val="1"/>
        </w:numPr>
        <w:rPr/>
      </w:pPr>
      <w:bookmarkStart w:id="166" w:name="__RefHeading___Toc7766372_2870459653"/>
      <w:bookmarkStart w:id="167" w:name="_Toc61"/>
      <w:bookmarkEnd w:id="165"/>
      <w:bookmarkEnd w:id="166"/>
      <w:r>
        <w:rPr>
          <w:rtl w:val="true"/>
        </w:rPr>
        <w:t>نتیجه گیری</w:t>
      </w:r>
      <w:bookmarkEnd w:id="167"/>
    </w:p>
    <w:p>
      <w:pPr>
        <w:pStyle w:val="BookText"/>
        <w:rPr/>
      </w:pPr>
      <w:r>
        <w:rPr>
          <w:rFonts w:ascii="IRNazanin" w:hAnsi="IRNazanin" w:eastAsia="IRNazanin"/>
          <w:color w:val="111111"/>
          <w:sz w:val="28"/>
          <w:sz w:val="28"/>
          <w:szCs w:val="28"/>
          <w:rtl w:val="true"/>
          <w:lang w:bidi="fa-IR"/>
        </w:rPr>
        <w:t>از مطالبی که مطرح می شد، می توانیم نتیجه بگیریم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های ملی برای کتابخانه ها بخشی از یک طرح کلی بزرگ تر از اطلاعات مرتبط و هم سایر سیاست های ملی مثل تعلیم و تربیت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دیگر سیاست ها مشارکت کرده و به آن ها مرتبط اند، ولی وابسته نیستند آن ها ممکن است در وهله اول به صورت مجزا و مستقل توسعه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همچنان که اوضاع و سیاست های یک کشور توسعه می یابد و تغییر می کند این سیاست ها نیز روزآمد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ملی برای کتابخانه ها از نیازها و اوضاع سیاسی اقتصادی و اجتماعی بر می آید آن ها زیر ساخت و عملکردهای کتابخانه موجود را ترقی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اولویت های کتابخانه یک کشوررا منعکس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کتابخانه، وجود و مسئولیت های کتابخانه یک کشور را تصویب می کنند یک خط مشی کتابخانه ملی تضمین می کند که کتابخانه ها مطابق با این قانون و در مؤثرترین شیوه ممکن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ملی برای کتابخانه ها که یکبار نوشته شد و آن گاه به صورت رسمی توسط دولت تصویب شد چارچوبی را برای ارائه خدمات کتابخان های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خط مشی توسط دولت در دست نگارش باشد، تضمینی از حمایت مالی و یارانه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فردی در مسئولیت دولتی برای توسعه همه کتابخانه ها در یک کشور قاعده مند ساختن یک خط مشی صادقانه کتابخانه ملی را آسان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خط مشی های کتابخانه ملی به کتابخانه ها اعتبار و دید سیاسی می دهد چیزی که غالباً بخش کتابخانه فاقد آن بوده است نقش مهمی که کتابخانه ها در توسعه و رفاه عمومی جامعه ایفا می کنند به رسمیت شناخته شده و در همه سیاست ها و طرح های دولت تلفیق می شود</w:t>
      </w:r>
      <w:r>
        <w:rPr>
          <w:rFonts w:eastAsia="IRNazanin" w:cs="IRNazanin"/>
          <w:color w:val="111111"/>
          <w:sz w:val="28"/>
          <w:szCs w:val="28"/>
          <w:rtl w:val="true"/>
          <w:lang w:bidi="fa-IR"/>
        </w:rPr>
        <w:t>.</w:t>
      </w:r>
    </w:p>
    <w:p>
      <w:pPr>
        <w:pStyle w:val="Heading3"/>
        <w:numPr>
          <w:ilvl w:val="2"/>
          <w:numId w:val="1"/>
        </w:numPr>
        <w:rPr/>
      </w:pPr>
      <w:bookmarkStart w:id="168" w:name="__RefHeading___Toc7766374_2870459653"/>
      <w:bookmarkStart w:id="169" w:name="_Toc62"/>
      <w:bookmarkEnd w:id="168"/>
      <w:r>
        <w:rPr>
          <w:rtl w:val="true"/>
        </w:rPr>
        <w:t>منابع</w:t>
      </w:r>
      <w:bookmarkEnd w:id="169"/>
    </w:p>
    <w:p>
      <w:pPr>
        <w:pStyle w:val="BookText"/>
        <w:rPr/>
      </w:pPr>
      <w:r>
        <w:rPr>
          <w:rFonts w:eastAsia="Times New Roman" w:cs="Times New Roman" w:ascii="Times New Roman" w:hAnsi="Times New Roman"/>
          <w:color w:val="111111"/>
          <w:sz w:val="28"/>
          <w:szCs w:val="28"/>
          <w:lang w:val="en-US" w:bidi="en-US"/>
        </w:rPr>
        <w:t>Colombia, Ministry of Culture.Law of libraries: an easy to understand guide. Bogota, 2010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Finland. Ministry of Education.Finnish Public Library Policy 2015: national strategic areas of focus. 2009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ICT policies.IST Africa. Retrieved 26 February 2011 from &lt;http://www.istafri- ca. org/home/default.asp?page=ictpolicies</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IFLA/UNESCO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public library service: IFLA/UNESCO guidelines for development. Mu- nich: Saur,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Statement on libraries and sustainable development, submitted to UN World Summit on Sustainable Development,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Multicultural library manifesto. UNESCO General Conference, 2009. (35C/51) MDR/NIDA.Consultancy Team. Supporting peoples' needs in Namibia's</w:t>
      </w:r>
    </w:p>
    <w:p>
      <w:pPr>
        <w:pStyle w:val="BookText"/>
        <w:rPr/>
      </w:pPr>
      <w:r>
        <w:rPr>
          <w:rFonts w:eastAsia="Times New Roman" w:cs="Times New Roman" w:ascii="Times New Roman" w:hAnsi="Times New Roman"/>
          <w:color w:val="111111"/>
          <w:sz w:val="28"/>
          <w:szCs w:val="28"/>
          <w:lang w:val="en-US" w:bidi="en-US"/>
        </w:rPr>
        <w:t>knowledgebased economy: a renewed library and information policy framework for Vision 2030. 2010 Retrieved 24 April 2012 from &lt;www.mdrpartners.com/ projects/namibialibrary strategy</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McCartney, M. ed. National book policies for Africa: the key to longterm de- velopment. Harare: Zimbabwe International Book Fair Trust,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McColvin, Lionel R. The Public Library System of Great Britain: a report on its present condition with proposals for Post war Reorganisation, the Library Association, 1942</w:t>
      </w:r>
    </w:p>
    <w:p>
      <w:pPr>
        <w:pStyle w:val="BookText"/>
        <w:rPr/>
      </w:pPr>
      <w:r>
        <w:rPr>
          <w:rFonts w:eastAsia="Times New Roman" w:cs="Times New Roman" w:ascii="Times New Roman" w:hAnsi="Times New Roman"/>
          <w:color w:val="111111"/>
          <w:sz w:val="28"/>
          <w:szCs w:val="28"/>
          <w:lang w:val="en-US" w:bidi="en-US"/>
        </w:rPr>
        <w:t>Mauritzen, I. Council of Europe / EBLIDA guidelines on library legislation and policy in Europe: commentary on the provisions. Retrieved 24 April 2012 from http://nbs.ac.rs/view_file.php?file_id=1440</w:t>
      </w:r>
    </w:p>
    <w:p>
      <w:pPr>
        <w:pStyle w:val="BookText"/>
        <w:rPr/>
      </w:pPr>
      <w:r>
        <w:rPr>
          <w:rFonts w:eastAsia="Times New Roman" w:cs="Times New Roman" w:ascii="Times New Roman" w:hAnsi="Times New Roman"/>
          <w:color w:val="111111"/>
          <w:sz w:val="28"/>
          <w:szCs w:val="28"/>
          <w:lang w:val="en-US" w:bidi="en-US"/>
        </w:rPr>
        <w:t>Namibia. Ministry of Basic Education and Culture.Legislation Committee. In- formation for selfreliance and development: a policy framework for libraries and allied information agencies for Namibia. 1997</w:t>
      </w:r>
    </w:p>
    <w:p>
      <w:pPr>
        <w:pStyle w:val="BookText"/>
        <w:rPr/>
      </w:pPr>
      <w:r>
        <w:rPr>
          <w:rFonts w:eastAsia="Times New Roman" w:cs="Times New Roman" w:ascii="Times New Roman" w:hAnsi="Times New Roman"/>
          <w:color w:val="111111"/>
          <w:sz w:val="28"/>
          <w:szCs w:val="28"/>
          <w:lang w:val="en-US" w:bidi="en-US"/>
        </w:rPr>
        <w:t>National Library of New Zealand. New generation National Library: strategic directions to 2017. Corporate Publications, 2007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NIDA, Supporting Societies' Needs: a Model Framework for Developing a Policy for Libraries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Understanding Public Libraries in Colombia, 2011 Retrieved from &lt;www.ni- danet. org/activities/policy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NIDA, Supporting Societies' Needs: a Model Framework for Developing a Policy for Libraries, 2011 Retrieved from &lt;www.nidanet.org/activities/policy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Niegaard, H. National information policies/national IT strategies: a survey. 1999. Retrieved 8 February 2011 from &lt;www.ifla.org/VII/s8/proj/nipstrat.htm</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Sin Joan Yee. [Report on] APIN meeting, 2007. Retrieved 24 April 2014 from &lt;http://portal. UNESCO.org/ci/en/files/24690/11807018211APIN07_Report on_APIN.pdf/A PIN07%2BReport%2Bon%2BAPIN.pdf</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UNECA. The value of library services in development, 2003. (E/ECA/DISD/ CODI.3/16)</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UNESCO. Guidelines on National Information Policy and Plan: scope, formu- lation and implementation: scope, formulation and implementation, UNESCO and UNISIST, 1983</w:t>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9653_81742"/>
      <w:bookmarkStart w:id="171" w:name="pg9653_81742"/>
      <w:bookmarkEnd w:id="171"/>
    </w:p>
    <w:p>
      <w:pPr>
        <w:pStyle w:val="Heading2"/>
        <w:numPr>
          <w:ilvl w:val="1"/>
          <w:numId w:val="1"/>
        </w:numPr>
        <w:rPr/>
      </w:pPr>
      <w:bookmarkStart w:id="172" w:name="pg9653_81742"/>
      <w:bookmarkStart w:id="173" w:name="__RefHeading___Toc7766376_2870459653"/>
      <w:bookmarkStart w:id="174" w:name="_Toc63"/>
      <w:bookmarkEnd w:id="172"/>
      <w:bookmarkEnd w:id="173"/>
      <w:r>
        <w:rPr>
          <w:rtl w:val="true"/>
        </w:rPr>
        <w:t>چکیده</w:t>
      </w:r>
      <w:bookmarkEnd w:id="174"/>
    </w:p>
    <w:p>
      <w:pPr>
        <w:pStyle w:val="BookText"/>
        <w:rPr/>
      </w:pPr>
      <w:r>
        <w:rPr>
          <w:rFonts w:ascii="IRNazanin" w:hAnsi="IRNazanin" w:eastAsia="IRNazanin"/>
          <w:color w:val="111111"/>
          <w:sz w:val="28"/>
          <w:sz w:val="28"/>
          <w:szCs w:val="28"/>
          <w:rtl w:val="true"/>
          <w:lang w:bidi="fa-IR"/>
        </w:rPr>
        <w:t>اصول و استانداردهای فراداده ای جاری، منجر به تولید فراداده های مدرک گرا به جای داده گرا و همچنین فراداده های قابل خواندن توسط انسان به جای قابل پردازش با ماشین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کتابخانه ها فراداده های اشتراک پذیر میان کنش پذیر و قابل استفاده مجدد را ایجاد و مهار نمایند، انتقال مفهومی با سازگاری مدل های کتابخانه های جاری مثل توصیف و دسترسی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ملزومات کارکردی پیشینه های کتابشناختی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آر بی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مدل هایی بر پایه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می تواند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قالب های فنی، کتابخانه ها می توانند به سوی قالب های فنی داده ای نظیر چارچوب توصیف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کنار گذاشتن عملیات فراداده ای جاری حرکت نمایند این مقاله شش توصیه کلیدی برای کتابخانه ها و مراکز استاندارد ارائه می دهد این توصیه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چالش ها و استفاده از فرصت های ارائه شده توسط روندهای فناورانه جدید اتخاذ کمیته نیازمندی های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هستی شناسی ها، تصمیم گیری در خصوص آن چه از مدل های کتابخانه ای جاری باید حفظ شود،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 ابر</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شدن و ایجاد رویکردهای فراداده ای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استانداردگرا و اجتماع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 با شناسایی و بحث بر روی پنج مزیت عمده چنین مفهومی سازی مجدد فراداده ای خاتمه می یابد مزایای مذکور شامل اشتراک و دسترس پذیری فراداده ها بازیابی تفالی منابع اطلاعاتی شناسایی فراداده های نوپا و نوآورانه جست و جو بر پایه چهریزه و فراداده های غنی از پیوند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ها، استانداردهای فراداده ای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دی اف، فراداده های اجتماع گرا، رویکردهای فراداده ای ترکیبی</w:t>
      </w:r>
      <w:r>
        <w:rPr>
          <w:rFonts w:eastAsia="IRNazanin" w:cs="IRNazanin"/>
          <w:color w:val="111111"/>
          <w:sz w:val="28"/>
          <w:szCs w:val="28"/>
          <w:rtl w:val="true"/>
          <w:lang w:bidi="fa-IR"/>
        </w:rPr>
        <w:t xml:space="preserve">. </w:t>
      </w:r>
      <w:bookmarkStart w:id="175" w:name="pg9653_81743"/>
    </w:p>
    <w:p>
      <w:pPr>
        <w:pStyle w:val="Heading2"/>
        <w:numPr>
          <w:ilvl w:val="1"/>
          <w:numId w:val="1"/>
        </w:numPr>
        <w:rPr/>
      </w:pPr>
      <w:bookmarkStart w:id="176" w:name="__RefHeading___Toc7766378_2870459653"/>
      <w:bookmarkStart w:id="177" w:name="_Toc64"/>
      <w:bookmarkEnd w:id="175"/>
      <w:bookmarkEnd w:id="176"/>
      <w:r>
        <w:rPr>
          <w:rtl w:val="true"/>
        </w:rPr>
        <w:t>"</w:t>
      </w:r>
      <w:r>
        <w:rPr>
          <w:rtl w:val="true"/>
        </w:rPr>
        <w:t>داده های پیوندی برای</w:t>
      </w:r>
      <w:r>
        <w:rPr>
          <w:rtl w:val="true"/>
        </w:rPr>
        <w:t xml:space="preserve">" </w:t>
      </w:r>
      <w:r>
        <w:rPr>
          <w:rtl w:val="true"/>
        </w:rPr>
        <w:t>کتابخانه ها</w:t>
      </w:r>
      <w:r>
        <w:rPr>
          <w:rtl w:val="true"/>
        </w:rPr>
        <w:t xml:space="preserve">: </w:t>
      </w:r>
      <w:r>
        <w:rPr>
          <w:rtl w:val="true"/>
        </w:rPr>
        <w:t>مزایای انتقال مفهومی از ساختارهای رکوردی کتابخانه ای به مدل های داده ای بر پایه آر</w:t>
      </w:r>
      <w:r>
        <w:rPr>
          <w:rtl w:val="true"/>
        </w:rPr>
        <w:t>.</w:t>
      </w:r>
      <w:r>
        <w:rPr>
          <w:rtl w:val="true"/>
        </w:rPr>
        <w:t>دی</w:t>
      </w:r>
      <w:r>
        <w:rPr>
          <w:rtl w:val="true"/>
        </w:rPr>
        <w:t>.</w:t>
      </w:r>
      <w:r>
        <w:rPr>
          <w:rtl w:val="true"/>
        </w:rPr>
        <w:t>اف</w:t>
      </w:r>
      <w:bookmarkEnd w:id="177"/>
    </w:p>
    <w:p>
      <w:pPr>
        <w:pStyle w:val="Heading3"/>
        <w:numPr>
          <w:ilvl w:val="2"/>
          <w:numId w:val="1"/>
        </w:numPr>
        <w:rPr/>
      </w:pPr>
      <w:bookmarkStart w:id="178" w:name="__RefHeading___Toc7766380_2870459653"/>
      <w:bookmarkStart w:id="179" w:name="_Toc65"/>
      <w:bookmarkEnd w:id="178"/>
      <w:r>
        <w:rPr>
          <w:rtl w:val="true"/>
        </w:rPr>
        <w:t>اشاره</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انتقال مفهومی از ساختارهای رکوردی کتابخانه ای به مدل های داده ای بر پایه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نوشته گِیِنه آلمیو </w:t>
      </w:r>
      <w:r>
        <w:rPr>
          <w:rStyle w:val="FootnoteAnchor"/>
          <w:rtl w:val="true"/>
        </w:rPr>
        <w:footnoteReference w:id="187"/>
      </w:r>
      <w:r>
        <w:rPr>
          <w:rFonts w:ascii="IRNazanin" w:hAnsi="IRNazanin" w:eastAsia="IRNazanin"/>
          <w:color w:val="111111"/>
          <w:sz w:val="28"/>
          <w:sz w:val="28"/>
          <w:szCs w:val="28"/>
          <w:rtl w:val="true"/>
          <w:lang w:bidi="fa-IR"/>
        </w:rPr>
        <w:t xml:space="preserve">، برت استیونز </w:t>
      </w:r>
      <w:r>
        <w:rPr>
          <w:rStyle w:val="FootnoteAnchor"/>
          <w:rtl w:val="true"/>
        </w:rPr>
        <w:footnoteReference w:id="188"/>
      </w:r>
      <w:r>
        <w:rPr>
          <w:rFonts w:ascii="IRNazanin" w:hAnsi="IRNazanin" w:eastAsia="IRNazanin"/>
          <w:color w:val="111111"/>
          <w:sz w:val="28"/>
          <w:sz w:val="28"/>
          <w:szCs w:val="28"/>
          <w:rtl w:val="true"/>
          <w:lang w:bidi="fa-IR"/>
        </w:rPr>
        <w:t xml:space="preserve">، پنی راس </w:t>
      </w:r>
      <w:r>
        <w:rPr>
          <w:rStyle w:val="FootnoteAnchor"/>
          <w:rtl w:val="true"/>
        </w:rPr>
        <w:footnoteReference w:id="189"/>
      </w:r>
      <w:r>
        <w:rPr>
          <w:rFonts w:ascii="IRNazanin" w:hAnsi="IRNazanin" w:eastAsia="IRNazanin"/>
          <w:color w:val="111111"/>
          <w:sz w:val="28"/>
          <w:sz w:val="28"/>
          <w:szCs w:val="28"/>
          <w:rtl w:val="true"/>
          <w:lang w:bidi="fa-IR"/>
        </w:rPr>
        <w:t xml:space="preserve">، جین چندلر </w:t>
      </w:r>
      <w:r>
        <w:rPr>
          <w:rStyle w:val="FootnoteAnchor"/>
          <w:rtl w:val="true"/>
        </w:rPr>
        <w:footnoteReference w:id="190"/>
      </w:r>
      <w:r>
        <w:rPr>
          <w:rFonts w:ascii="IRNazanin" w:hAnsi="IRNazanin" w:eastAsia="IRNazanin"/>
          <w:color w:val="111111"/>
          <w:sz w:val="28"/>
          <w:sz w:val="28"/>
          <w:szCs w:val="28"/>
          <w:rtl w:val="true"/>
          <w:lang w:bidi="fa-IR"/>
        </w:rPr>
        <w:t xml:space="preserve">، ترجمه سعیده اکبری داریان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sakbaridaryan@gmail.com</w:t>
      </w:r>
    </w:p>
    <w:p>
      <w:pPr>
        <w:pStyle w:val="Heading3"/>
        <w:numPr>
          <w:ilvl w:val="2"/>
          <w:numId w:val="1"/>
        </w:numPr>
        <w:rPr/>
      </w:pPr>
      <w:bookmarkStart w:id="180" w:name="__RefHeading___Toc7766382_2870459653"/>
      <w:bookmarkStart w:id="181" w:name="_Toc66"/>
      <w:bookmarkEnd w:id="180"/>
      <w:r>
        <w:rPr>
          <w:rtl w:val="true"/>
        </w:rPr>
        <w:t>مقدمه</w:t>
      </w:r>
      <w:bookmarkEnd w:id="1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استانداردها و پروتکل های جاری مورد استفاده در کتابخانه ها برای پشتیبانی از کارکردهای فراداده ها، تاریخی ماندگار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دِنتون،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 دانسایر،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ایفلا،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لوبتسکی،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رایت،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تاریخچه فهرست نویسی کتابخانه ای دوره چند هزار ساله ای است که قدمت آن به روزهای کتابخانه اسکندریه در قرن سوم میلادی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در آن کتابدار کالیماخوس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کتابشناسی نظام مندی از ادبیات یونانی را تهیه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رایت،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مورویل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می پندارد که تاریخچه فهرست نویسی حتی به زمان امپراطوری آشوریان بر می گردد که پادشاه آشوربانیپال </w:t>
      </w:r>
      <w:r>
        <w:rPr>
          <w:rStyle w:val="FootnoteAnchor"/>
          <w:rtl w:val="true"/>
        </w:rPr>
        <w:footnoteReference w:id="200"/>
      </w:r>
      <w:r>
        <w:rPr>
          <w:rFonts w:ascii="IRNazanin" w:hAnsi="IRNazanin" w:eastAsia="IRNazanin"/>
          <w:color w:val="111111"/>
          <w:sz w:val="28"/>
          <w:sz w:val="28"/>
          <w:szCs w:val="28"/>
          <w:rtl w:val="true"/>
          <w:lang w:bidi="fa-IR"/>
        </w:rPr>
        <w:t xml:space="preserve">کتابخانه ای با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گلین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تلاش ها در خصوص استانداردسازی فهرست نویسی،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کویل </w:t>
      </w:r>
      <w:r>
        <w:rPr>
          <w:rStyle w:val="FootnoteAnchor"/>
          <w:rtl w:val="true"/>
        </w:rPr>
        <w:footnoteReference w:id="201"/>
      </w:r>
      <w:r>
        <w:rPr>
          <w:rFonts w:ascii="IRNazanin" w:hAnsi="IRNazanin" w:eastAsia="IRNazanin"/>
          <w:color w:val="111111"/>
          <w:sz w:val="28"/>
          <w:sz w:val="28"/>
          <w:szCs w:val="28"/>
          <w:rtl w:val="true"/>
          <w:lang w:bidi="fa-IR"/>
        </w:rPr>
        <w:t xml:space="preserve">و هیلمن،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دنتون،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و اینبرگر،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رایت،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اصلی فهرست نویسی نوین سر آنتونی پانیستی </w:t>
      </w:r>
      <w:r>
        <w:rPr>
          <w:rStyle w:val="FootnoteAnchor"/>
          <w:rtl w:val="true"/>
        </w:rPr>
        <w:footnoteReference w:id="204"/>
      </w:r>
      <w:r>
        <w:rPr>
          <w:rFonts w:ascii="IRNazanin" w:hAnsi="IRNazanin" w:eastAsia="IRNazanin"/>
          <w:color w:val="111111"/>
          <w:sz w:val="28"/>
          <w:sz w:val="28"/>
          <w:szCs w:val="28"/>
          <w:rtl w:val="true"/>
          <w:lang w:bidi="fa-IR"/>
        </w:rPr>
        <w:t xml:space="preserve">، چارلز کاتر </w:t>
      </w:r>
      <w:r>
        <w:rPr>
          <w:rStyle w:val="FootnoteAnchor"/>
          <w:rtl w:val="true"/>
        </w:rPr>
        <w:footnoteReference w:id="205"/>
      </w:r>
      <w:r>
        <w:rPr>
          <w:rFonts w:ascii="IRNazanin" w:hAnsi="IRNazanin" w:eastAsia="IRNazanin"/>
          <w:color w:val="111111"/>
          <w:sz w:val="28"/>
          <w:sz w:val="28"/>
          <w:szCs w:val="28"/>
          <w:rtl w:val="true"/>
          <w:lang w:bidi="fa-IR"/>
        </w:rPr>
        <w:t xml:space="preserve">، ملویل دیویی </w:t>
      </w:r>
      <w:r>
        <w:rPr>
          <w:rStyle w:val="FootnoteAnchor"/>
          <w:rtl w:val="true"/>
        </w:rPr>
        <w:footnoteReference w:id="206"/>
      </w:r>
      <w:r>
        <w:rPr>
          <w:rFonts w:ascii="IRNazanin" w:hAnsi="IRNazanin" w:eastAsia="IRNazanin"/>
          <w:color w:val="111111"/>
          <w:sz w:val="28"/>
          <w:sz w:val="28"/>
          <w:szCs w:val="28"/>
          <w:rtl w:val="true"/>
          <w:lang w:bidi="fa-IR"/>
        </w:rPr>
        <w:t xml:space="preserve">، پل اُتله </w:t>
      </w:r>
      <w:r>
        <w:rPr>
          <w:rStyle w:val="FootnoteAnchor"/>
          <w:rtl w:val="true"/>
        </w:rPr>
        <w:footnoteReference w:id="207"/>
      </w:r>
      <w:r>
        <w:rPr>
          <w:rFonts w:ascii="IRNazanin" w:hAnsi="IRNazanin" w:eastAsia="IRNazanin"/>
          <w:color w:val="111111"/>
          <w:sz w:val="28"/>
          <w:sz w:val="28"/>
          <w:szCs w:val="28"/>
          <w:rtl w:val="true"/>
          <w:lang w:bidi="fa-IR"/>
        </w:rPr>
        <w:t>،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رانگاناتان </w:t>
      </w:r>
      <w:r>
        <w:rPr>
          <w:rStyle w:val="FootnoteAnchor"/>
          <w:rtl w:val="true"/>
        </w:rPr>
        <w:footnoteReference w:id="208"/>
      </w:r>
      <w:r>
        <w:rPr>
          <w:rFonts w:ascii="IRNazanin" w:hAnsi="IRNazanin" w:eastAsia="IRNazanin"/>
          <w:color w:val="111111"/>
          <w:sz w:val="28"/>
          <w:sz w:val="28"/>
          <w:szCs w:val="28"/>
          <w:rtl w:val="true"/>
          <w:lang w:bidi="fa-IR"/>
        </w:rPr>
        <w:t xml:space="preserve">و سیمور لوبتسکی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دنتون،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لوبتسکی،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رایت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کنسرسیوم های منطقه ای و بین المللی، آثار پیشگامان مذکور را مطرح نمودند، این کنسرسیوم ها طرح های معطوف شده به قوانین و اصول فهرست نویسی بسیار دقیق و مورد تایید را آغاز کردند که متعاقباً منجر به چنین انتشارات استانداردی به عنوان اصول پاریس،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قواعد فهرست نویسی انگلوامریکن،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فهرستنویسی ماشین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 در اواخر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استاندارد بین المللی توصیف کتابشناختی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اس بی دی</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برای انتشارات تک نگاشت،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ملزومات کارکردی برای پیشینه های کتابشناختی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آر بی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توصیف و دسترسی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دنتون، </w:t>
      </w:r>
      <w:r>
        <w:rPr>
          <w:rFonts w:eastAsia="IRNazanin" w:cs="IRNazanin"/>
          <w:color w:val="111111"/>
          <w:sz w:val="28"/>
          <w:szCs w:val="28"/>
          <w:lang w:bidi="fa-IR"/>
        </w:rPr>
        <w:t>2007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جا که مجموعه ها در کتابخانه های رقومی به رشد خود ادامه می دهد، اصول و استانداردهای فراداده ای جاری تحت بررسی عمیقی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آلمیو، استیونز </w:t>
      </w:r>
      <w:r>
        <w:rPr>
          <w:rStyle w:val="FootnoteAnchor"/>
          <w:rtl w:val="true"/>
        </w:rPr>
        <w:footnoteReference w:id="214"/>
      </w:r>
      <w:r>
        <w:rPr>
          <w:rFonts w:ascii="IRNazanin" w:hAnsi="IRNazanin" w:eastAsia="IRNazanin"/>
          <w:color w:val="111111"/>
          <w:sz w:val="28"/>
          <w:sz w:val="28"/>
          <w:szCs w:val="28"/>
          <w:rtl w:val="true"/>
          <w:lang w:bidi="fa-IR"/>
        </w:rPr>
        <w:t xml:space="preserve">و راس،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كويل،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کویل و هیلمن؛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لاگوز،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متس،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شرکی،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ولتمن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کنسرسیوم وب جهانی،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و اینبرگر،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معتقدند که استانداردهای کتابخانه ای جاری همان محدودیت های اصلی نظام فهرست برگه سنتی را به همراه دارند از این رو این استانداردها در مسیر غلبه بر محدودیت ها و نیز برقراری ارتباط در چشم انداز اطلاعاتی امروزی شکست خورده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کویل،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کویل و هیلمن،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و اینبرگر،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فراداده ای که از طریق استفاده استانداردهای فراداده ای و قالب های فنی جاری تولید می شود با استفاده انسان هماهنگ شده است تا پردازش با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محدودیت های فنی و مفهومی استانداردها و فناوری های مورد استفاده در کتابخانه ها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کویل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کتابخانه ای بافتار انحصاری برای داده های کتابخانه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برقراری ارتباط با تهیه کنندگان اطلاعاتی بیرونی شکست می خورد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های اصول، استانداردها و پروتکل ها، از دو منظر می تواند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زیربنای مفهومی استانداردهای فراداده ای جاری نظیر اف آر بی آر و آر دی ای، منجر به تولید رکوردهای فراداده ای هماهنگ با استفاده انسان به جای پردازش با ماشین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کویل و هیلمن،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زمانی که چنین اصول فراداده ای با استفاده از قالب های فنی مثل مارک پیاده سازی شده اند رکوردهای حاصل مشکلات تکراری بودن فراداده ناهماهنگی فقدان ریزدانگی </w:t>
      </w:r>
      <w:r>
        <w:rPr>
          <w:rStyle w:val="FootnoteAnchor"/>
          <w:rtl w:val="true"/>
        </w:rPr>
        <w:footnoteReference w:id="222"/>
      </w:r>
      <w:r>
        <w:rPr>
          <w:rFonts w:ascii="IRNazanin" w:hAnsi="IRNazanin" w:eastAsia="IRNazanin"/>
          <w:color w:val="111111"/>
          <w:sz w:val="28"/>
          <w:sz w:val="28"/>
          <w:szCs w:val="28"/>
          <w:rtl w:val="true"/>
          <w:lang w:bidi="fa-IR"/>
        </w:rPr>
        <w:t>و پیچیدگی داده ها را به نمایش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کویل،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کویل و هیلمن،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گونتر </w:t>
      </w:r>
      <w:r>
        <w:rPr>
          <w:rStyle w:val="FootnoteAnchor"/>
          <w:rtl w:val="true"/>
        </w:rPr>
        <w:footnoteReference w:id="223"/>
      </w:r>
      <w:r>
        <w:rPr>
          <w:rFonts w:ascii="IRNazanin" w:hAnsi="IRNazanin" w:eastAsia="IRNazanin"/>
          <w:color w:val="111111"/>
          <w:sz w:val="28"/>
          <w:sz w:val="28"/>
          <w:szCs w:val="28"/>
          <w:rtl w:val="true"/>
          <w:lang w:bidi="fa-IR"/>
        </w:rPr>
        <w:t xml:space="preserve">و مکالوم،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تنانت،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اگرچه فراخوان پایان دادن به کاربرد مارک از مدت ها قبل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تنانت،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استاندارد مذکور در ساختار فراداده ای غالب که در کتابخانه ها تا به امروز استفاده می شود وجود دارد این مسأله مستقیماً می تواند از چند دلیل ناشی شود از جمله این حقیقت که مارک عمیقاً منشا کتابخانه ای دارد، بنابراین ایجاد هر تغییری حقیقتا بسیار دشوار و هزینه بر خواهد بود؛ یا این که مارک به قدر کافی مناسب برای کتابخانه هاست و در راستای اهداف کتابخانه ها خدمت می کند؛ دی گر </w:t>
      </w:r>
    </w:p>
    <w:p>
      <w:pPr>
        <w:pStyle w:val="BookText"/>
        <w:rPr/>
      </w:pPr>
      <w:r>
        <w:rPr>
          <w:rFonts w:ascii="IRNazanin" w:hAnsi="IRNazanin" w:eastAsia="IRNazanin"/>
          <w:color w:val="111111"/>
          <w:sz w:val="28"/>
          <w:sz w:val="28"/>
          <w:szCs w:val="28"/>
          <w:rtl w:val="true"/>
          <w:lang w:bidi="fa-IR"/>
        </w:rPr>
        <w:t xml:space="preserve">آن که قالب های جایگزین از جمله زبان نشانه گذاری گسترش پذیر، </w:t>
      </w:r>
      <w:r>
        <w:rPr>
          <w:rStyle w:val="FootnoteAnchor"/>
          <w:rtl w:val="true"/>
        </w:rPr>
        <w:footnoteReference w:id="226"/>
      </w:r>
      <w:r>
        <w:rPr>
          <w:rFonts w:ascii="IRNazanin" w:hAnsi="IRNazanin" w:eastAsia="IRNazanin"/>
          <w:color w:val="111111"/>
          <w:sz w:val="28"/>
          <w:sz w:val="28"/>
          <w:szCs w:val="28"/>
          <w:rtl w:val="true"/>
          <w:lang w:bidi="fa-IR"/>
        </w:rPr>
        <w:t xml:space="preserve">توانایی ارائه عمل پذیری لازم برای تغییرات مورد نیاز را ندارند؛ با این وجود هنوز در مورد کفایت مارک شک های عمده ای وجود دارد این مساله توسط چندین متخصص فراداده ای فاش شده است که اعلام می کنند این استاندارد برای فراداده ی عمل پذیر </w:t>
      </w:r>
      <w:r>
        <w:rPr>
          <w:rStyle w:val="FootnoteAnchor"/>
          <w:rtl w:val="true"/>
        </w:rPr>
        <w:footnoteReference w:id="227"/>
      </w:r>
      <w:r>
        <w:rPr>
          <w:rFonts w:ascii="IRNazanin" w:hAnsi="IRNazanin" w:eastAsia="IRNazanin"/>
          <w:color w:val="111111"/>
          <w:sz w:val="28"/>
          <w:sz w:val="28"/>
          <w:szCs w:val="28"/>
          <w:rtl w:val="true"/>
          <w:lang w:bidi="fa-IR"/>
        </w:rPr>
        <w:t xml:space="preserve">و پردازش پذیر </w:t>
      </w:r>
      <w:r>
        <w:rPr>
          <w:rStyle w:val="FootnoteAnchor"/>
          <w:rtl w:val="true"/>
        </w:rPr>
        <w:footnoteReference w:id="228"/>
      </w:r>
      <w:r>
        <w:rPr>
          <w:rFonts w:ascii="IRNazanin" w:hAnsi="IRNazanin" w:eastAsia="IRNazanin"/>
          <w:color w:val="111111"/>
          <w:sz w:val="28"/>
          <w:sz w:val="28"/>
          <w:szCs w:val="28"/>
          <w:rtl w:val="true"/>
          <w:lang w:bidi="fa-IR"/>
        </w:rPr>
        <w:t>با ماشین مناسب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کویل،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کویل و هیلمن،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واليس،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جایگزین های پیشنهادی،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همان گونه که مبدع آن؛ برنرز لی </w:t>
      </w:r>
      <w:r>
        <w:rPr>
          <w:rStyle w:val="FootnoteAnchor"/>
          <w:rtl w:val="true"/>
        </w:rPr>
        <w:footnoteReference w:id="230"/>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وب اصلی از لحاظ مفهومی مدرک گرا بوده است که در آن پیوندها هیچ بار معنایی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با قالب های فنی مثل زبان نشانه گذاری فرامتنی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 تی ام ال</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پیاده سازی می شوند، صفحات وب حاصل بیشتر هماهنگ با استفاده انسان هستند تا پردازش با ماشین وب برای اشتراک مدارک و ایجاد امکانات همکاری فوق العاده کارآمد بوده است اما وقتی که مدرک در صفحه کامپیوتری کاربر ارائه و نمایش داده می شود به مداخله انسان برای درک معناشناختی اش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ماشین ها نمی توانند معنای چنین مدارکی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کاهش این محدودیت، برنرز لی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برنرز لی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برنرز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 دیگران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ها برای پیاده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آر دی اف، </w:t>
      </w:r>
      <w:r>
        <w:rPr>
          <w:rStyle w:val="FootnoteAnchor"/>
          <w:rtl w:val="true"/>
        </w:rPr>
        <w:footnoteReference w:id="232"/>
      </w:r>
      <w:r>
        <w:rPr>
          <w:rFonts w:ascii="IRNazanin" w:hAnsi="IRNazanin" w:eastAsia="IRNazanin"/>
          <w:color w:val="111111"/>
          <w:sz w:val="28"/>
          <w:sz w:val="28"/>
          <w:szCs w:val="28"/>
          <w:rtl w:val="true"/>
          <w:lang w:bidi="fa-IR"/>
        </w:rPr>
        <w:t xml:space="preserve">آر دی اف اس </w:t>
      </w:r>
      <w:r>
        <w:rPr>
          <w:rStyle w:val="FootnoteAnchor"/>
          <w:rtl w:val="true"/>
        </w:rPr>
        <w:footnoteReference w:id="233"/>
      </w:r>
      <w:r>
        <w:rPr>
          <w:rFonts w:ascii="IRNazanin" w:hAnsi="IRNazanin" w:eastAsia="IRNazanin"/>
          <w:color w:val="111111"/>
          <w:sz w:val="28"/>
          <w:sz w:val="28"/>
          <w:szCs w:val="28"/>
          <w:rtl w:val="true"/>
          <w:lang w:bidi="fa-IR"/>
        </w:rPr>
        <w:t xml:space="preserve">و اسپارکیوال </w:t>
      </w:r>
      <w:r>
        <w:rPr>
          <w:rStyle w:val="FootnoteAnchor"/>
          <w:rtl w:val="true"/>
        </w:rPr>
        <w:footnoteReference w:id="234"/>
      </w:r>
      <w:r>
        <w:rPr>
          <w:rFonts w:ascii="IRNazanin" w:hAnsi="IRNazanin" w:eastAsia="IRNazanin"/>
          <w:color w:val="111111"/>
          <w:sz w:val="28"/>
          <w:sz w:val="28"/>
          <w:szCs w:val="28"/>
          <w:rtl w:val="true"/>
          <w:lang w:bidi="fa-IR"/>
        </w:rPr>
        <w:t xml:space="preserve">و او دبلیو ال </w:t>
      </w:r>
      <w:r>
        <w:rPr>
          <w:rStyle w:val="FootnoteAnchor"/>
          <w:rtl w:val="true"/>
        </w:rPr>
        <w:footnoteReference w:id="235"/>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آلمناگ </w:t>
      </w:r>
      <w:r>
        <w:rPr>
          <w:rStyle w:val="FootnoteAnchor"/>
          <w:rtl w:val="true"/>
        </w:rPr>
        <w:footnoteReference w:id="236"/>
      </w:r>
      <w:r>
        <w:rPr>
          <w:rFonts w:ascii="IRNazanin" w:hAnsi="IRNazanin" w:eastAsia="IRNazanin"/>
          <w:color w:val="111111"/>
          <w:sz w:val="28"/>
          <w:sz w:val="28"/>
          <w:szCs w:val="28"/>
          <w:rtl w:val="true"/>
          <w:lang w:bidi="fa-IR"/>
        </w:rPr>
        <w:t xml:space="preserve">و هندلر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برنرز لی،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دکر </w:t>
      </w:r>
      <w:r>
        <w:rPr>
          <w:rStyle w:val="FootnoteAnchor"/>
          <w:rtl w:val="true"/>
        </w:rPr>
        <w:footnoteReference w:id="237"/>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کنسرسیوم وب جهانی،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آلمناگ و هندلر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از وب توزیع شده ای در سطح داده به جای سطح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ارجاع جهانی که یو آر آی ها </w:t>
      </w:r>
      <w:r>
        <w:rPr>
          <w:rStyle w:val="FootnoteAnchor"/>
          <w:rtl w:val="true"/>
        </w:rPr>
        <w:footnoteReference w:id="238"/>
      </w:r>
      <w:r>
        <w:rPr>
          <w:rFonts w:ascii="IRNazanin" w:hAnsi="IRNazanin" w:eastAsia="IRNazanin"/>
          <w:color w:val="111111"/>
          <w:sz w:val="28"/>
          <w:sz w:val="28"/>
          <w:szCs w:val="28"/>
          <w:rtl w:val="true"/>
          <w:lang w:bidi="fa-IR"/>
        </w:rPr>
        <w:t xml:space="preserve">نامیده می شوند به جای داشتن یک صفحه وبی که به صفحه دیگری اشاره می کند، یک فقره </w:t>
      </w:r>
      <w:r>
        <w:rPr>
          <w:rStyle w:val="FootnoteAnchor"/>
          <w:rtl w:val="true"/>
        </w:rPr>
        <w:footnoteReference w:id="239"/>
      </w:r>
      <w:r>
        <w:rPr>
          <w:rFonts w:ascii="IRNazanin" w:hAnsi="IRNazanin" w:eastAsia="IRNazanin"/>
          <w:color w:val="111111"/>
          <w:sz w:val="28"/>
          <w:sz w:val="28"/>
          <w:szCs w:val="28"/>
          <w:rtl w:val="true"/>
          <w:lang w:bidi="fa-IR"/>
        </w:rPr>
        <w:t>داده می تواند به فقره داده دیگری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w:t>
      </w:r>
    </w:p>
    <w:p>
      <w:pPr>
        <w:pStyle w:val="BookText"/>
        <w:rPr/>
      </w:pPr>
      <w:r>
        <w:rPr>
          <w:rFonts w:ascii="IRNazanin" w:hAnsi="IRNazanin" w:eastAsia="IRNazanin"/>
          <w:color w:val="111111"/>
          <w:sz w:val="28"/>
          <w:sz w:val="28"/>
          <w:szCs w:val="28"/>
          <w:rtl w:val="true"/>
          <w:lang w:bidi="fa-IR"/>
        </w:rPr>
        <w:t xml:space="preserve">توجه فزاینده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مباحثه گسترده و مداومی وجود دارد بر سر این که آیا تغییرات زیادی در اصول مفهومی سنتی کتابخانه محور مثل آردی ای و اف آر بی آر وجود دارد همچنین این موضوع در مورد سوال دیگری نیز صدق می کند این که آیا تغییر در قالب های فنی از مارک به آر دی اف باید تکاملی و به صورت تدریجی باشد، یا آیا دلیل قانع کننده ای برای کنار گذاشتن همه یا تعدادی از قالب های سنتی مذکور و پذیرش این رویکردهای جدید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کویل،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کویل و هیلمن،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مارکم،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استایلز،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استایلز آیرز </w:t>
      </w:r>
      <w:r>
        <w:rPr>
          <w:rStyle w:val="FootnoteAnchor"/>
          <w:rtl w:val="true"/>
        </w:rPr>
        <w:footnoteReference w:id="242"/>
      </w:r>
      <w:r>
        <w:rPr>
          <w:rFonts w:ascii="IRNazanin" w:hAnsi="IRNazanin" w:eastAsia="IRNazanin"/>
          <w:color w:val="111111"/>
          <w:sz w:val="28"/>
          <w:sz w:val="28"/>
          <w:szCs w:val="28"/>
          <w:rtl w:val="true"/>
          <w:lang w:bidi="fa-IR"/>
        </w:rPr>
        <w:t xml:space="preserve">و شبیر،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کنسرسیوم وب جهانی،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واليس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چالش مهم دیگری که مراکز معتبر استانداردها و کتابخانه ها در مورد مفهومی سازی مجدد </w:t>
      </w:r>
      <w:r>
        <w:rPr>
          <w:rStyle w:val="FootnoteAnchor"/>
          <w:rtl w:val="true"/>
        </w:rPr>
        <w:footnoteReference w:id="244"/>
      </w:r>
      <w:r>
        <w:rPr>
          <w:rFonts w:ascii="IRNazanin" w:hAnsi="IRNazanin" w:eastAsia="IRNazanin"/>
          <w:color w:val="111111"/>
          <w:sz w:val="28"/>
          <w:sz w:val="28"/>
          <w:szCs w:val="28"/>
          <w:rtl w:val="true"/>
          <w:lang w:bidi="fa-IR"/>
        </w:rPr>
        <w:t xml:space="preserve">فراداده ای جاری باید در نظر بگیرند، مفهوم رویکردهای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و استفاده از فراداده ها در کتابخانه های رقومی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نقش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کتابخانه ها به صورت گسترده تایید شده است، همان طور که اونز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خاطر نشان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ضمنی آن هنوز کاملاً مشخص نشده است به ویژه برای 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به نظر لاگوزا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ناسازگاری مفهومی بین مدل های کتابخانه سنتی و رویکردهای نوپای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رویکردهای فرادادهای اجتماع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مسطح و یک بعدی بودن و همچنین دردسرهای ناسازگاریش مورد نقد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در حالی که از سوی دیگر رویکردهای فراداده ای استانداردگرا برای سلسله مراتبی سفت و سخت شان، عدم موفقیت در ارائه واژگان کاربران مورد انتقاد واقع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ولتمن،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واینبرگ، </w:t>
      </w:r>
      <w:r>
        <w:rPr>
          <w:rFonts w:eastAsia="IRNazanin" w:cs="IRNazanin"/>
          <w:color w:val="111111"/>
          <w:sz w:val="28"/>
          <w:szCs w:val="28"/>
          <w:lang w:bidi="fa-IR"/>
        </w:rPr>
        <w:t>2007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برعکس، گروبر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مورویل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که فراداده های تولید شده توسط کاربر و مهار شده توسط متخصص به عنوان رویکردهای متضاد نباید در نظر گرفته شود اینان معتقدند که این دو نه تنها بایستی با یکدیگر همزیستی داشته باشند، بلکه متقابلا به یکدیگر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استفاده بهینه از قابلیت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فراداده ای ترکیبی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نه تنها شامل توصیف فیزیکی اشیای اطلاعاتی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نویسنده، عنوان، شابک، موضوع، قالب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عناصر توصیف کننده ی چهریزه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اش را نیز ثبت </w:t>
      </w:r>
      <w:bookmarkStart w:id="182" w:name="pg9653_81748"/>
    </w:p>
    <w:p>
      <w:pPr>
        <w:pStyle w:val="BookText"/>
        <w:rPr/>
      </w:pPr>
      <w:bookmarkEnd w:id="182"/>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 های کاربر یادداشت ها، مرورها، پیوندها، رتبه بندی ها، توصیه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ارائه فضای اجتماعی فراداده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همان قدر مهم در نظر گرفته شود که ثبت عناصر فراداده ای واقع گرا و استاندارد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برای توصیف ویژگی های فیزیکی اشیای اطلاعاتی مورد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به منظور غنی سازی فراداده ای، فراداده های تولید شده توسط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فراداده هایی که کتابدار بر پایه استاندارد تولید می کند مهار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بر روی چالش های اصول و استانداردهای فرادادهای جاری بحث می کند، و مزایا و دلایل ایجاد انتقال مفهومی از رویکردهای فراداده ای مدرک گرا به داده گرا را بیان می دارد دو دسته گسترده اصلی یعنی اصول فراداده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آر دی ای و اف آر بی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قالب های رکوردی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معرفی می شوند، پیشنهاد می شود که این دسته ها باید اصلاح، تعدیل یا حفظ شوند به طوری که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یابند</w:t>
      </w:r>
      <w:r>
        <w:rPr>
          <w:rFonts w:eastAsia="IRNazanin" w:cs="IRNazanin"/>
          <w:color w:val="111111"/>
          <w:sz w:val="28"/>
          <w:szCs w:val="28"/>
          <w:rtl w:val="true"/>
          <w:lang w:bidi="fa-IR"/>
        </w:rPr>
        <w:t>.</w:t>
      </w:r>
    </w:p>
    <w:p>
      <w:pPr>
        <w:pStyle w:val="Heading3"/>
        <w:numPr>
          <w:ilvl w:val="2"/>
          <w:numId w:val="1"/>
        </w:numPr>
        <w:rPr/>
      </w:pPr>
      <w:bookmarkStart w:id="183" w:name="__RefHeading___Toc7766384_2870459653"/>
      <w:bookmarkStart w:id="184" w:name="_Toc67"/>
      <w:bookmarkEnd w:id="183"/>
      <w:r>
        <w:rPr>
          <w:rtl w:val="true"/>
        </w:rPr>
        <w:t>اصول داده های پیوندی</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نام آن بر می آید مدل داده ای است که عناصر فراداده ای ساختار یافته را شناسایی و توصیف می کند و با این عناصر پیوند می گیرد، مشابه با کارکرد نظام های پایگاه داده ای رابطه ای، اگر چه سازنده در مقیاس و بی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قابلیت استفاده مجدد، پیوند متقابل، یکپارچگی و اشتراک داده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شادبولت،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کنسرسیوم وب جهانی،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افزودن یک صفحه، محتوا ارائه می کند؛ اما افزودن یک پیوند، سازماندهی، ساختار و تأیید اطلاعات وبی را ارائه می دهد که محتوا را به مجموعه ای با ارزش زیاد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است که یادآوری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فرامدلی است که در آن چارچوبی برای تعریف، طراحی، ایجاد و نگهداری فرانماها و واژگان از هر نوع و هر اندازه در حوزه معینی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حقیقت به این معنی است که مؤسساتی مثل کتابخانه ها الزاما نیازی به کنار گذاشتن استانداردهای فرادادهای واژگان مهار شده، لیست های مستند و فراداده های قدیمی ندارند با این وجود به منظور ارتباط با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مؤسسات انتظار می رود که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پیوندی را بپذیرند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بنیادی ترین جزء آن یعنی استفاده جهانی از یو آر آی منحصر به </w:t>
      </w:r>
      <w:bookmarkStart w:id="185" w:name="pg9653_81749"/>
    </w:p>
    <w:p>
      <w:pPr>
        <w:pStyle w:val="BookText"/>
        <w:rPr/>
      </w:pPr>
      <w:bookmarkEnd w:id="185"/>
      <w:r>
        <w:rPr>
          <w:rFonts w:ascii="IRNazanin" w:hAnsi="IRNazanin" w:eastAsia="IRNazanin"/>
          <w:color w:val="111111"/>
          <w:sz w:val="28"/>
          <w:sz w:val="28"/>
          <w:szCs w:val="28"/>
          <w:rtl w:val="true"/>
          <w:lang w:bidi="fa-IR"/>
        </w:rPr>
        <w:t xml:space="preserve">فرد در قالب نام ها برای نامیدن چیزهایی مثل اشیای اطلاعاتی، افراد مکان ها و رخدادها 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اساسی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دسترسی به یو آر آی معین با استفاده از پروتکل اچ تی تی پی </w:t>
      </w:r>
      <w:r>
        <w:rPr>
          <w:rStyle w:val="FootnoteAnchor"/>
          <w:rtl w:val="true"/>
        </w:rPr>
        <w:footnoteReference w:id="248"/>
      </w:r>
      <w:r>
        <w:rPr>
          <w:rFonts w:ascii="IRNazanin" w:hAnsi="IRNazanin" w:eastAsia="IRNazanin"/>
          <w:color w:val="111111"/>
          <w:sz w:val="28"/>
          <w:sz w:val="28"/>
          <w:szCs w:val="28"/>
          <w:rtl w:val="true"/>
          <w:lang w:bidi="fa-IR"/>
        </w:rPr>
        <w:t>به منظور بازیابی اطلاعات مرتبط نظیر آن چه به این یو آر آی معین ارجاع می دهد؛ استفاده از قالب های داده ای نظیر آردی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ایکس ام ال، استفاده از زبان های تعریف واژگانی مثل آردی اف اس و او دبلیوال و استفاده از زبان پرس و جو </w:t>
      </w:r>
      <w:r>
        <w:rPr>
          <w:rStyle w:val="FootnoteAnchor"/>
          <w:rtl w:val="true"/>
        </w:rPr>
        <w:footnoteReference w:id="249"/>
      </w:r>
      <w:r>
        <w:rPr>
          <w:rFonts w:ascii="IRNazanin" w:hAnsi="IRNazanin" w:eastAsia="IRNazanin"/>
          <w:color w:val="111111"/>
          <w:sz w:val="28"/>
          <w:sz w:val="28"/>
          <w:szCs w:val="28"/>
          <w:rtl w:val="true"/>
          <w:lang w:bidi="fa-IR"/>
        </w:rPr>
        <w:t>نظیر اسپارکیو ال و نهایتا اتصال درون سو و برون سوی پیوندها در خارج از مجموعه داده ای است بدین طریق داده ها غنی سازی شده بایستگی بافتاری برقرار می شود</w:t>
      </w:r>
      <w:r>
        <w:rPr>
          <w:rFonts w:eastAsia="IRNazanin" w:cs="IRNazanin"/>
          <w:color w:val="111111"/>
          <w:sz w:val="28"/>
          <w:szCs w:val="28"/>
          <w:rtl w:val="true"/>
          <w:lang w:bidi="fa-IR"/>
        </w:rPr>
        <w:t>.</w:t>
      </w:r>
    </w:p>
    <w:p>
      <w:pPr>
        <w:pStyle w:val="Heading3"/>
        <w:numPr>
          <w:ilvl w:val="2"/>
          <w:numId w:val="1"/>
        </w:numPr>
        <w:rPr/>
      </w:pPr>
      <w:bookmarkStart w:id="186" w:name="__RefHeading___Toc7766386_2870459653"/>
      <w:bookmarkStart w:id="187" w:name="_Toc68"/>
      <w:bookmarkEnd w:id="186"/>
      <w:r>
        <w:rPr>
          <w:rtl w:val="true"/>
        </w:rPr>
        <w:t>"</w:t>
      </w:r>
      <w:r>
        <w:rPr>
          <w:rtl w:val="true"/>
        </w:rPr>
        <w:t>داده های پیوندی</w:t>
      </w:r>
      <w:r>
        <w:rPr>
          <w:rtl w:val="true"/>
        </w:rPr>
        <w:t xml:space="preserve">" </w:t>
      </w:r>
      <w:r>
        <w:rPr>
          <w:rtl w:val="true"/>
        </w:rPr>
        <w:t>برای مدل سازی فراداده کتابخانه ای</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فناوری های وابسته اش نقش های مهمی در اشتراک، ارائه، رمزگذاری و مدل سازی فراداده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یو آر آی ها برای اسامی عناصر فراداده ای، برچسب ها و روابط، چالش های نامگذاری و شناسایی در استفاده از عناصر را کاهش می دهد نشان داده شده است که مدل داده ای ساده آردی اف ایجاد پیوندهای معنایی بین عناصر اطلاعاتی را امکان پذیر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کویل و هیلمن،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هلن،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نیلسون،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 روتنبرگ،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استایلز و دیگران،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کنسرسیوم وب جهانی،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واليس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ویلسون،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7766388_2870459653"/>
      <w:bookmarkStart w:id="189" w:name="_Toc69"/>
      <w:bookmarkEnd w:id="188"/>
      <w:r>
        <w:rPr>
          <w:rtl w:val="true"/>
        </w:rPr>
        <w:t>فرضیه نظام های بسته در برابر نظام های باز</w:t>
      </w:r>
      <w:bookmarkEnd w:id="1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تعاملی پویا و باز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استانداردهای کتابخانه ای اغلب در محیط راکد و بسته و جدا از چشم انداز همگانی فضای وب عمل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آلمناگ وهندلر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داده ای توزیع شده ای ارائه می دهد که از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می تواند هر چیزی درباره هر موضوعی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ها و عدم توافق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موجودیت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مؤلفان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دنیای باز دنیایی است که در آن باید فرض کنیم در هر زمانی اطلاعات جدید می تواند پدیدار شود و ما نباید بر مبنای اطلاعات موجود در یک برهه </w:t>
      </w:r>
      <w:bookmarkStart w:id="190" w:name="pg9653_81750"/>
    </w:p>
    <w:p>
      <w:pPr>
        <w:pStyle w:val="BookText"/>
        <w:rPr/>
      </w:pPr>
      <w:bookmarkEnd w:id="190"/>
      <w:r>
        <w:rPr>
          <w:rFonts w:ascii="IRNazanin" w:hAnsi="IRNazanin" w:eastAsia="IRNazanin"/>
          <w:color w:val="111111"/>
          <w:sz w:val="28"/>
          <w:sz w:val="28"/>
          <w:szCs w:val="28"/>
          <w:rtl w:val="true"/>
          <w:lang w:bidi="fa-IR"/>
        </w:rPr>
        <w:t>زمانی نتیجه 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محتوای کتابخانه رقومی، فرض نظام های باز برای آزمون پذیری مشارکت های فراداده ای جدید از نقطه نظرهای متنوع مناسب است و به موجب آن مزایای بسیار از اثرات شبکه ای با به کارگیری یو آر آی 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شناسی ها یعنی ویژگی های واضح مفاهیم در حوزه معین با استفاده از واژگان و روابط بین آن ها می توانند ترکیب تطبیق و یکی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گروبر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Heading3"/>
        <w:numPr>
          <w:ilvl w:val="2"/>
          <w:numId w:val="1"/>
        </w:numPr>
        <w:rPr/>
      </w:pPr>
      <w:bookmarkStart w:id="191" w:name="__RefHeading___Toc7766390_2870459653"/>
      <w:bookmarkStart w:id="192" w:name="_Toc70"/>
      <w:bookmarkEnd w:id="191"/>
      <w:r>
        <w:rPr>
          <w:rtl w:val="true"/>
        </w:rPr>
        <w:t xml:space="preserve">وضعیت موجود استفاده از </w:t>
      </w:r>
      <w:r>
        <w:rPr>
          <w:rtl w:val="true"/>
        </w:rPr>
        <w:t>"</w:t>
      </w:r>
      <w:r>
        <w:rPr>
          <w:rtl w:val="true"/>
        </w:rPr>
        <w:t>داده های پیوندی</w:t>
      </w:r>
      <w:r>
        <w:rPr>
          <w:rtl w:val="true"/>
        </w:rPr>
        <w:t xml:space="preserve">" </w:t>
      </w:r>
      <w:r>
        <w:rPr>
          <w:rtl w:val="true"/>
        </w:rPr>
        <w:t>در کتابخانه ها</w:t>
      </w:r>
      <w:bookmarkEnd w:id="192"/>
    </w:p>
    <w:p>
      <w:pPr>
        <w:pStyle w:val="BookText"/>
        <w:rPr/>
      </w:pPr>
      <w:r>
        <w:rPr>
          <w:rFonts w:ascii="IRNazanin" w:hAnsi="IRNazanin" w:eastAsia="IRNazanin"/>
          <w:color w:val="111111"/>
          <w:sz w:val="28"/>
          <w:sz w:val="28"/>
          <w:szCs w:val="28"/>
          <w:rtl w:val="true"/>
          <w:lang w:bidi="fa-IR"/>
        </w:rPr>
        <w:t xml:space="preserve">به نظر می رسد انگیزشی به ویژه در بین سازمان های بخش عمومی مثل کتابخانه های ملی برای قابل دسترس نمودن داده های کتابشناختیشان رایگان و باز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ویلسون،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کنگره دو گزارش معتبر منتشر کرد که به اهمیت فراداده باز کتابخانه ای در قالب هایی که به آسانی قابل دسترس و استفاده مجدد هستند پرداخته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کتابخانه کنگره،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کنسرسیوم وب جهانی،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هاسلوفر </w:t>
      </w:r>
      <w:r>
        <w:rPr>
          <w:rStyle w:val="FootnoteAnchor"/>
          <w:rtl w:val="true"/>
        </w:rPr>
        <w:footnoteReference w:id="254"/>
      </w:r>
      <w:r>
        <w:rPr>
          <w:rFonts w:ascii="IRNazanin" w:hAnsi="IRNazanin" w:eastAsia="IRNazanin"/>
          <w:color w:val="111111"/>
          <w:sz w:val="28"/>
          <w:sz w:val="28"/>
          <w:szCs w:val="28"/>
          <w:rtl w:val="true"/>
          <w:lang w:bidi="fa-IR"/>
        </w:rPr>
        <w:t xml:space="preserve">و آیزاک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خاطر نشان نمودند یوروپیانا </w:t>
      </w:r>
      <w:r>
        <w:rPr>
          <w:rStyle w:val="FootnoteAnchor"/>
          <w:rtl w:val="true"/>
        </w:rPr>
        <w:footnoteReference w:id="256"/>
      </w:r>
      <w:r>
        <w:rPr>
          <w:rFonts w:ascii="IRNazanin" w:hAnsi="IRNazanin" w:eastAsia="IRNazanin"/>
          <w:color w:val="111111"/>
          <w:sz w:val="28"/>
          <w:sz w:val="28"/>
          <w:szCs w:val="28"/>
          <w:rtl w:val="true"/>
          <w:lang w:bidi="fa-IR"/>
        </w:rPr>
        <w:t xml:space="preserve">و کتابخانه های ملی و منطق های وابسته به آن موافقت کرده اند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بریتانیا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 داده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پیوندی را ایجاد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کتابخانه بریتانیا،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یوروپیانا مدل فرادادهای خود را از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معنایی یوروپیانا</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داده ای یوروپیانا</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بازبینی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اخیر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دیور </w:t>
      </w:r>
      <w:r>
        <w:rPr>
          <w:rStyle w:val="FootnoteAnchor"/>
          <w:rtl w:val="true"/>
        </w:rPr>
        <w:footnoteReference w:id="259"/>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هاسلوفر آیزاک، </w:t>
      </w:r>
      <w:r>
        <w:rPr>
          <w:rFonts w:eastAsia="IRNazanin" w:cs="IRNazanin"/>
          <w:color w:val="111111"/>
          <w:sz w:val="28"/>
          <w:szCs w:val="28"/>
          <w:lang w:bidi="fa-IR"/>
        </w:rPr>
        <w:t>2011</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ویلسون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تصمیم کتابخانه بریتانیا در انتشار رایگان داده های کتابشناختی مطابق با تعهد دولت انگلستان در راستای شفافیت و پاسخگویی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همچنین یادآوری می کند که بخشی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رشد انتظارات کاربران کتابخانه ای نسبت داده شود این انتظارات به منظور مشاهده کتابخانه ای است که با روندهای موفقیت آمیز فناورانه، خود را روزآمد نگه داشته است مدل داده ای کتابخانه بریتانیا چندین هستی شناسی و واژگان موجود مبتنی بر یو آر آی را ادغام کرده و به کار برده است، مثل فایل مستند مجازی بین المللی </w:t>
      </w:r>
      <w:r>
        <w:rPr>
          <w:rStyle w:val="FootnoteAnchor"/>
          <w:rtl w:val="true"/>
        </w:rPr>
        <w:footnoteReference w:id="260"/>
      </w:r>
      <w:r>
        <w:rPr>
          <w:rFonts w:ascii="IRNazanin" w:hAnsi="IRNazanin" w:eastAsia="IRNazanin"/>
          <w:color w:val="111111"/>
          <w:sz w:val="28"/>
          <w:sz w:val="28"/>
          <w:szCs w:val="28"/>
          <w:rtl w:val="true"/>
          <w:lang w:bidi="fa-IR"/>
        </w:rPr>
        <w:t xml:space="preserve">، سر عنوان </w:t>
      </w:r>
      <w:bookmarkStart w:id="193" w:name="pg9653_81751"/>
    </w:p>
    <w:p>
      <w:pPr>
        <w:pStyle w:val="BookText"/>
        <w:rPr/>
      </w:pPr>
      <w:bookmarkEnd w:id="193"/>
      <w:r>
        <w:rPr>
          <w:rFonts w:ascii="IRNazanin" w:hAnsi="IRNazanin" w:eastAsia="IRNazanin"/>
          <w:color w:val="111111"/>
          <w:sz w:val="28"/>
          <w:sz w:val="28"/>
          <w:szCs w:val="28"/>
          <w:rtl w:val="true"/>
          <w:lang w:bidi="fa-IR"/>
        </w:rPr>
        <w:t xml:space="preserve">موضوعی کتابخانه کنگره </w:t>
      </w:r>
      <w:r>
        <w:rPr>
          <w:rStyle w:val="FootnoteAnchor"/>
          <w:rtl w:val="true"/>
        </w:rPr>
        <w:footnoteReference w:id="261"/>
      </w:r>
      <w:r>
        <w:rPr>
          <w:rFonts w:ascii="IRNazanin" w:hAnsi="IRNazanin" w:eastAsia="IRNazanin"/>
          <w:color w:val="111111"/>
          <w:sz w:val="28"/>
          <w:sz w:val="28"/>
          <w:szCs w:val="28"/>
          <w:rtl w:val="true"/>
          <w:lang w:bidi="fa-IR"/>
        </w:rPr>
        <w:t xml:space="preserve">، لکسوو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نویسه ها واژه ها و اصطلاح های مهارشده ارجاعی یو آر أى</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 پایگاه اطلاعاتی، جغرافیایی </w:t>
      </w:r>
      <w:r>
        <w:rPr>
          <w:rStyle w:val="FootnoteAnchor"/>
          <w:rtl w:val="true"/>
        </w:rPr>
        <w:footnoteReference w:id="264"/>
      </w:r>
      <w:r>
        <w:rPr>
          <w:rFonts w:ascii="IRNazanin" w:hAnsi="IRNazanin" w:eastAsia="IRNazanin"/>
          <w:color w:val="111111"/>
          <w:sz w:val="28"/>
          <w:sz w:val="28"/>
          <w:szCs w:val="28"/>
          <w:rtl w:val="true"/>
          <w:lang w:bidi="fa-IR"/>
        </w:rPr>
        <w:t xml:space="preserve">کدهای زبان و کشور در قالب مارک، پایگاه اطلاعاتی دیویی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 سطح بالای پایگاه اطلاعاتی 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کتابی آردی اف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درباره کتاب ها و نویسندگانشان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کتابخانه بریتانیا،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Heading3"/>
        <w:numPr>
          <w:ilvl w:val="2"/>
          <w:numId w:val="1"/>
        </w:numPr>
        <w:rPr/>
      </w:pPr>
      <w:bookmarkStart w:id="194" w:name="__RefHeading___Toc7766392_2870459653"/>
      <w:bookmarkStart w:id="195" w:name="_Toc71"/>
      <w:bookmarkEnd w:id="194"/>
      <w:r>
        <w:rPr>
          <w:rtl w:val="true"/>
        </w:rPr>
        <w:t xml:space="preserve">پذیرش کند </w:t>
      </w:r>
      <w:r>
        <w:rPr>
          <w:rtl w:val="true"/>
        </w:rPr>
        <w:t>"</w:t>
      </w:r>
      <w:r>
        <w:rPr>
          <w:rtl w:val="true"/>
        </w:rPr>
        <w:t>داده های پیوندی</w:t>
      </w:r>
      <w:r>
        <w:rPr>
          <w:rtl w:val="true"/>
        </w:rPr>
        <w:t xml:space="preserve">" </w:t>
      </w:r>
      <w:r>
        <w:rPr>
          <w:rtl w:val="true"/>
        </w:rPr>
        <w:t xml:space="preserve">برای </w:t>
      </w:r>
      <w:r>
        <w:rPr>
          <w:rtl w:val="true"/>
        </w:rPr>
        <w:t>"</w:t>
      </w:r>
      <w:r>
        <w:rPr>
          <w:rtl w:val="true"/>
        </w:rPr>
        <w:t>فراداده کتابخانه ای</w:t>
      </w:r>
      <w:bookmarkEnd w:id="195"/>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تکوین داده های پیوندی کتابخانه ای کنسرسیوم وب جهانی</w:t>
      </w:r>
      <w:r>
        <w:rPr>
          <w:rFonts w:eastAsia="IRNazanin" w:cs="IRNazanin"/>
          <w:color w:val="111111"/>
          <w:sz w:val="28"/>
          <w:szCs w:val="28"/>
          <w:rtl w:val="true"/>
          <w:lang w:bidi="fa-IR"/>
        </w:rPr>
        <w:t>"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حاکی از روند کند کتابخانه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توصیه های جدی به کتابخانه ها برای پذیرش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اهمیت تولید داده های کتابخانه ای کتابشناختی به صورت باز و رایگان قابل دسترس در قالبی کهر اشتراک پذیر گسترش پذیر و به آسانی قابل استفاده مجدد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کنسرسیوم وب جهانی،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یادشده همچنین خاطرنشان می کند که استانداردهای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تنها برای جامعه کتابخانه ای طراحی شده است و برای افراد بیرونی، استفاده مجدد و ترکیب آن با سایر داده ها دشوار است این گزارش کاملا منطبق بر ارزیابی هایی است که کویل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استایلز و دیگران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تولید فراداده های کتابخانه ای امروزی و پذیرش چالش ها تاکید کرده اند و با پذیرش استانداردهای وب پایه با قابلیت استفاده مجدد مطلوب پیوند متقابل و اشتراک فراداده ای، از پرداختن به این چالش ها حمایت می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شادبولت و هال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کردند که جذب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نایل شدن به نقطه ای است که در آن استفاده مجدد تفالی داده های خود و دیگران امکان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متأسف هستند که تلاش کمی در گسترش و ارتقای استفاده گسترده تر از وب معنایی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وضع می تواند ناشی از تأکید بی موردی باشد که بر زبان ها صورت گرایی ها، استانداردها و معناها گذاشته شده است به نظر واینبرگر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 معنایی بنیادی بر ساخت هستی شناسی هایی که بازنمون دانش در دنیا </w:t>
      </w:r>
      <w:bookmarkStart w:id="196" w:name="pg9653_81752"/>
    </w:p>
    <w:p>
      <w:pPr>
        <w:pStyle w:val="BookText"/>
        <w:rPr/>
      </w:pPr>
      <w:bookmarkEnd w:id="196"/>
      <w:r>
        <w:rPr>
          <w:rFonts w:ascii="IRNazanin" w:hAnsi="IRNazanin" w:eastAsia="IRNazanin"/>
          <w:color w:val="111111"/>
          <w:sz w:val="28"/>
          <w:sz w:val="28"/>
          <w:szCs w:val="28"/>
          <w:rtl w:val="true"/>
          <w:lang w:bidi="fa-IR"/>
        </w:rPr>
        <w:t>هستند تأکید می کند اما این مساله نشان می دهد که اگر ما برای گنجاندن داده های پیوندی فراوان ولی ناقص و ایجاد آن به صورت گسترده با قابلیت دسترسی در شکل استاندارد شده درست حرکت کنیم، شبکه به طور چشمگیری به فراساختار ارتقا یافته دانش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تلاش و سرمایه گذاری قابل توجهی که قبلا توسط سازمان هایی مثل ایفلا کتابخانه کنگره، </w:t>
      </w:r>
      <w:r>
        <w:rPr>
          <w:rStyle w:val="FootnoteAnchor"/>
          <w:rtl w:val="true"/>
        </w:rPr>
        <w:footnoteReference w:id="270"/>
      </w:r>
      <w:r>
        <w:rPr>
          <w:rFonts w:ascii="IRNazanin" w:hAnsi="IRNazanin" w:eastAsia="IRNazanin"/>
          <w:color w:val="111111"/>
          <w:sz w:val="28"/>
          <w:sz w:val="28"/>
          <w:szCs w:val="28"/>
          <w:rtl w:val="true"/>
          <w:lang w:bidi="fa-IR"/>
        </w:rPr>
        <w:t xml:space="preserve">او سی ال سی </w:t>
      </w:r>
      <w:r>
        <w:rPr>
          <w:rStyle w:val="FootnoteAnchor"/>
          <w:rtl w:val="true"/>
        </w:rPr>
        <w:footnoteReference w:id="271"/>
      </w:r>
      <w:r>
        <w:rPr>
          <w:rFonts w:ascii="IRNazanin" w:hAnsi="IRNazanin" w:eastAsia="IRNazanin"/>
          <w:color w:val="111111"/>
          <w:sz w:val="28"/>
          <w:sz w:val="28"/>
          <w:szCs w:val="28"/>
          <w:rtl w:val="true"/>
          <w:lang w:bidi="fa-IR"/>
        </w:rPr>
        <w:t xml:space="preserve">و کتابخانه های ملی دیگر در ایجاد و نگهداری قالب رکوردی مارک هزینه شده است، انتقال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کتابخانه ها مقادیر مهمی رکوردهای فراداده ای با ارزش در قالب مارک دارند، حقیقت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کتابخانه بریتانیا رکوردهای کتابشناختی ملی را برای افراد ،بیرونی از طریق دسترسی برپایه حق اشتراک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استفاده از قالب های چاپی و سپس به دنبال آن پیاده سازی اتوماسیون کتابخانه ای را با استفاده از استاندارد مارک ایجاد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بریتانیا،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ویلسون،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والیس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تعدادی کتابخانه های ملی و موسسات میراث فرهنگی منطقه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اجلاس کتابخانه های ملی اروپایی </w:t>
      </w:r>
      <w:r>
        <w:rPr>
          <w:rStyle w:val="FootnoteAnchor"/>
          <w:rtl w:val="true"/>
        </w:rPr>
        <w:footnoteReference w:id="272"/>
      </w:r>
      <w:r>
        <w:rPr>
          <w:rFonts w:ascii="IRNazanin" w:hAnsi="IRNazanin" w:eastAsia="IRNazanin"/>
          <w:color w:val="111111"/>
          <w:sz w:val="28"/>
          <w:sz w:val="28"/>
          <w:szCs w:val="28"/>
          <w:rtl w:val="true"/>
          <w:lang w:bidi="fa-IR"/>
        </w:rPr>
        <w:t>و یوروپیانا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تعهداتشان را برای پیوستن به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اعلام کرده اند چالش های اساسی در استفاده مجدد از داده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او ادعا می کند در حالی که تبدیل رکوردهای کتابخانه ای قدیمی به آردی اف بسیار حیاتی است مجموعه های داده ای حاصل، هنوز در قالب اصطلاحات و زبان های ویژه کتابخانه ای حفظ می شوند که این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کسی غیر از کتابدار که این داده ها را جست و جو کند، غیر قابل فهم است</w:t>
      </w:r>
      <w:r>
        <w:rPr>
          <w:rFonts w:eastAsia="IRNazanin" w:cs="IRNazanin"/>
          <w:color w:val="111111"/>
          <w:sz w:val="28"/>
          <w:szCs w:val="28"/>
          <w:rtl w:val="true"/>
          <w:lang w:bidi="fa-IR"/>
        </w:rPr>
        <w:t>".</w:t>
      </w:r>
    </w:p>
    <w:p>
      <w:pPr>
        <w:pStyle w:val="Heading3"/>
        <w:numPr>
          <w:ilvl w:val="2"/>
          <w:numId w:val="1"/>
        </w:numPr>
        <w:rPr/>
      </w:pPr>
      <w:bookmarkStart w:id="197" w:name="__RefHeading___Toc7766394_2870459653"/>
      <w:bookmarkStart w:id="198" w:name="_Toc72"/>
      <w:bookmarkEnd w:id="197"/>
      <w:r>
        <w:rPr>
          <w:rtl w:val="true"/>
        </w:rPr>
        <w:t xml:space="preserve">چالش های پذیرش </w:t>
      </w:r>
      <w:r>
        <w:rPr>
          <w:rtl w:val="true"/>
        </w:rPr>
        <w:t>"</w:t>
      </w:r>
      <w:r>
        <w:rPr>
          <w:rtl w:val="true"/>
        </w:rPr>
        <w:t>داده های پیوندی</w:t>
      </w:r>
      <w:r>
        <w:rPr>
          <w:rtl w:val="true"/>
        </w:rPr>
        <w:t xml:space="preserve">" </w:t>
      </w:r>
      <w:r>
        <w:rPr>
          <w:rtl w:val="true"/>
        </w:rPr>
        <w:t>در کتابخانه ها</w:t>
      </w:r>
      <w:bookmarkEnd w:id="1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حرکت به سوی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های پیوندی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چالش نخواهد بود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ها بیایند چند چالش اساسی وجود دارد که باید رفع شود نخست، گسترش استفاده از استاندارد مارک به عنوان پایه ی نظام های فعلی مدیریت کتابخانه ای و نیز فراداده های قدیمی که در طی سالیان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مارک با وجود غالب بودن به عنوان ساختار فراداده ای مدرک گرا و رکوردی به جای قالب عمل پذیر داده گرا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کویل،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کویل و هیلمن،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استایلز،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استایلز و دیگران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بیلیون رکورد در قالب های مارک وجود دارد هرگونه تلاشی در ایجاد کوچک ترین حرکت پیامدهای بزرگی در ارتباط با منابع به همراه </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محدودیت های استاندارد مارک آشکار شده است، از سال های نخست دهه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کتابخانه ها به استفاده از آن تاکنون ادامه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تاننت،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حاضر این نیست که کتابخانه ها و موسسات استانداردها از محدودیت های مارک ناآگاه هستند اما حقیقت این است که قالب های جایگزین مثل ایکس ام ال، مناسب تر از مارک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چالش دوم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تکوین داده های پیوندی کتابخانه ای کنسرسیوم وب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عدم توافقی است که بین اصلاح استانداردهای کتابخان های و استانداردهای وب پایه وجود دارد در این زمینه، استایلز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تضادهایی استناد می کند که می تواند از استفاده مدل اف از بی آر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استایلز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درباره آثار بیان و نمودهایی که ساختارهای هسته مدل اف آر بی آر هستند صحبت نمی کند، بنابراین چرا داده های ما را به این طریق توصیف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سیاق، والیس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ساده انگاری را ارائه می دهد که روی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کتابی خاص تمرکز می کند تا انتزاع های آن نظیر اثر بیان 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نویسنده موافقند که چنین انتزاع هایی مورد استفاده روزانه توسط ناشران فهرست نویسان و کاربران کتابخانه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والیس توصیه می کند که کتابخانه و جامعه ی داده های پیوندی باید در خصوص هماهنگ شدن این تفاوت ها کار کنند تا قابلیت استفاده مجدد و گسترش پذیری داده های کتابخانه ای به وسیله افراد بیرونی حوزه آن تسهیل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واليس استدلال می کند که نوآوری های جدید در ایجاد استانداردهای کتابخانه ای مثل آردی ای و اف آر بی آر باید به سمت سادگی پیش روند و در عین حال از فراداده های غنی که از طریق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خواهد بود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چالش، مواجهه پذیرندگان بالقوه با پیچیدگی فناوری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آردی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ایکس ام ال، آر دی اف اس، او دبلیو ال، و اسپارکیوال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آشکار ابزارها و نرم افزارهای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ها وجود دارد برنرز لی خاطرنشان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آن که نوشتن صفحه وبی و ایجاد پیوند با صفحات دیگر آسان است،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مسأله، قطعا بایستی یادگیری و استفاده از فناوری های مذکور مشابه سادگی ایجاد صفحات اچ تی ام ال در طی روزهای اولیه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این فناوری ها عموما برای افرادی خارج از جامعه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جذب وسیع تر ،مشارکت هر کسی با مهارت های پایه طراحی وبسایت باید بتواند صفحه ای براساس فناوری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اما مهمترین مسأله این که تلاش های فعلی برای پذیرش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w:t>
      </w:r>
      <w:bookmarkStart w:id="199" w:name="pg9653_81754"/>
    </w:p>
    <w:p>
      <w:pPr>
        <w:pStyle w:val="BookText"/>
        <w:rPr/>
      </w:pPr>
      <w:bookmarkEnd w:id="199"/>
      <w:r>
        <w:rPr>
          <w:rFonts w:ascii="IRNazanin" w:hAnsi="IRNazanin" w:eastAsia="IRNazanin"/>
          <w:color w:val="111111"/>
          <w:sz w:val="28"/>
          <w:sz w:val="28"/>
          <w:szCs w:val="28"/>
          <w:rtl w:val="true"/>
          <w:lang w:bidi="fa-IR"/>
        </w:rPr>
        <w:t xml:space="preserve">داده های کتابشناختی بر فراداده های قدیمی استاندارد گرا تمرکز دارد و گرایشی به رویکردهای فراداده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 مدار</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اجتماع گرا وجود ندارد</w:t>
      </w:r>
      <w:r>
        <w:rPr>
          <w:rFonts w:eastAsia="IRNazanin" w:cs="IRNazanin"/>
          <w:color w:val="111111"/>
          <w:sz w:val="28"/>
          <w:szCs w:val="28"/>
          <w:rtl w:val="true"/>
          <w:lang w:bidi="fa-IR"/>
        </w:rPr>
        <w:t>.</w:t>
      </w:r>
    </w:p>
    <w:p>
      <w:pPr>
        <w:pStyle w:val="Heading3"/>
        <w:numPr>
          <w:ilvl w:val="2"/>
          <w:numId w:val="1"/>
        </w:numPr>
        <w:rPr/>
      </w:pPr>
      <w:bookmarkStart w:id="200" w:name="__RefHeading___Toc7766396_2870459653"/>
      <w:bookmarkStart w:id="201" w:name="_Toc73"/>
      <w:bookmarkEnd w:id="200"/>
      <w:r>
        <w:rPr>
          <w:rtl w:val="true"/>
        </w:rPr>
        <w:t>توصیه هایی برای ایجاد انتقال مفهومی</w:t>
      </w:r>
      <w:bookmarkEnd w:id="201"/>
    </w:p>
    <w:p>
      <w:pPr>
        <w:pStyle w:val="BookText"/>
        <w:rPr/>
      </w:pPr>
      <w:r>
        <w:rPr>
          <w:rFonts w:ascii="IRNazanin" w:hAnsi="IRNazanin" w:eastAsia="IRNazanin"/>
          <w:color w:val="111111"/>
          <w:sz w:val="28"/>
          <w:sz w:val="28"/>
          <w:szCs w:val="28"/>
          <w:rtl w:val="true"/>
          <w:lang w:bidi="fa-IR"/>
        </w:rPr>
        <w:t>در ،ادامه برای این که کتابخانه ها و مراکز استاندارد به رفع چالش های اساسی یادشده اقدام کنند، به شش توصیه اصلی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ها بایستی چالش هایی را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رفع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کمینه نیازمندی های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هستی شناسی ها موجودیت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گیری در خصوص آن چه باید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رویکرد فراداده های ترکیبی</w:t>
      </w:r>
    </w:p>
    <w:p>
      <w:pPr>
        <w:pStyle w:val="Heading3"/>
        <w:numPr>
          <w:ilvl w:val="2"/>
          <w:numId w:val="1"/>
        </w:numPr>
        <w:rPr/>
      </w:pPr>
      <w:bookmarkStart w:id="202" w:name="__RefHeading___Toc7766398_2870459653"/>
      <w:bookmarkStart w:id="203" w:name="_Toc74"/>
      <w:bookmarkEnd w:id="202"/>
      <w:r>
        <w:rPr>
          <w:rtl w:val="true"/>
        </w:rPr>
        <w:t xml:space="preserve">کتابخانه ها بایستی چالش هایی را که توسط </w:t>
      </w:r>
      <w:r>
        <w:rPr>
          <w:rtl w:val="true"/>
        </w:rPr>
        <w:t>"</w:t>
      </w:r>
      <w:r>
        <w:rPr>
          <w:rtl w:val="true"/>
        </w:rPr>
        <w:t>داده های پیوندی</w:t>
      </w:r>
      <w:r>
        <w:rPr>
          <w:rtl w:val="true"/>
        </w:rPr>
        <w:t xml:space="preserve">" </w:t>
      </w:r>
      <w:r>
        <w:rPr>
          <w:rtl w:val="true"/>
        </w:rPr>
        <w:t>به وجود می آید، رفع کنند</w:t>
      </w:r>
      <w:r>
        <w:rPr>
          <w:rtl w:val="true"/>
        </w:rPr>
        <w:t>.</w:t>
      </w:r>
      <w:bookmarkEnd w:id="203"/>
    </w:p>
    <w:p>
      <w:pPr>
        <w:pStyle w:val="BookText"/>
        <w:rPr/>
      </w:pPr>
      <w:r>
        <w:rPr>
          <w:rFonts w:ascii="IRNazanin" w:hAnsi="IRNazanin" w:eastAsia="IRNazanin"/>
          <w:color w:val="111111"/>
          <w:sz w:val="28"/>
          <w:sz w:val="28"/>
          <w:szCs w:val="28"/>
          <w:rtl w:val="true"/>
          <w:lang w:bidi="fa-IR"/>
        </w:rPr>
        <w:t xml:space="preserve">در سایه وجود پارادایم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و با هدف بهره برداری از مکانسیم شناسایی منحصر به فرد جهانی، ویژگی های پیوند متقابل و قابلیت استفاده مجدد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کتابخانه ها، مراکز معتبر استاندارد و سازمان هایی مثل ایفلا باید چالش ها را رفع کنند و از فرصت هایی که توسط روندهای فناورانه فعلی ارائه می شود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کویل خاطرنشان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تغییری که ما باید به آن بپردازیم، این است که وب به طور فزاینده ای منبع اطلاعاتی برای پژوهشگران و جستجوگران است و کتابخانه ها نیازمند پیوند به داده های وب 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گروه تکوین داده های پیوندی کتابخانه ای کنسرسیوم و ب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به آن استناد شد، همچنین نیاز به حرکتی از استانداردهای خاص کتابخانه ای و قالب های رکوردی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مارک، زد </w:t>
      </w: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استانداردهای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قالب های داده ای مثل آردی اف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فراداده های کتابخانه ای قدیمی از محتوای ایک آن به محتوای وبی، با چالش های عظیمی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همکاری و تشریک مساعی نزدیک بین ذی نفعان مختلف مثل کتابخانه ها، آرشیوها و </w:t>
      </w:r>
      <w:bookmarkStart w:id="204" w:name="pg9653_81755"/>
    </w:p>
    <w:p>
      <w:pPr>
        <w:pStyle w:val="BookText"/>
        <w:rPr/>
      </w:pPr>
      <w:bookmarkEnd w:id="204"/>
      <w:r>
        <w:rPr>
          <w:rFonts w:ascii="IRNazanin" w:hAnsi="IRNazanin" w:eastAsia="IRNazanin"/>
          <w:color w:val="111111"/>
          <w:sz w:val="28"/>
          <w:sz w:val="28"/>
          <w:szCs w:val="28"/>
          <w:rtl w:val="true"/>
          <w:lang w:bidi="fa-IR"/>
        </w:rPr>
        <w:t>موزه ها، ناشران و سازمان های استاندارد که همبسته می شوند، بسیار حیاتی است</w:t>
      </w:r>
      <w:r>
        <w:rPr>
          <w:rFonts w:eastAsia="IRNazanin" w:cs="IRNazanin"/>
          <w:color w:val="111111"/>
          <w:sz w:val="28"/>
          <w:szCs w:val="28"/>
          <w:rtl w:val="true"/>
          <w:lang w:bidi="fa-IR"/>
        </w:rPr>
        <w:t>.</w:t>
      </w:r>
    </w:p>
    <w:p>
      <w:pPr>
        <w:pStyle w:val="Heading3"/>
        <w:numPr>
          <w:ilvl w:val="2"/>
          <w:numId w:val="1"/>
        </w:numPr>
        <w:rPr/>
      </w:pPr>
      <w:bookmarkStart w:id="205" w:name="__RefHeading___Toc7766400_2870459653"/>
      <w:bookmarkStart w:id="206" w:name="_Toc75"/>
      <w:bookmarkEnd w:id="205"/>
      <w:r>
        <w:rPr>
          <w:rtl w:val="true"/>
        </w:rPr>
        <w:t xml:space="preserve">پذیرش کمینه نیازمندی های اصول </w:t>
      </w:r>
      <w:r>
        <w:rPr>
          <w:rtl w:val="true"/>
        </w:rPr>
        <w:t>"</w:t>
      </w:r>
      <w:r>
        <w:rPr>
          <w:rtl w:val="true"/>
        </w:rPr>
        <w:t>داده های پیوندی</w:t>
      </w:r>
      <w:r>
        <w:rPr>
          <w:rtl w:val="true"/>
        </w:rPr>
        <w:t>"</w:t>
      </w:r>
      <w:bookmarkEnd w:id="206"/>
    </w:p>
    <w:p>
      <w:pPr>
        <w:pStyle w:val="BookText"/>
        <w:rPr/>
      </w:pPr>
      <w:r>
        <w:rPr>
          <w:rFonts w:ascii="IRNazanin" w:hAnsi="IRNazanin" w:eastAsia="IRNazanin"/>
          <w:color w:val="111111"/>
          <w:sz w:val="28"/>
          <w:sz w:val="28"/>
          <w:szCs w:val="28"/>
          <w:rtl w:val="true"/>
          <w:lang w:bidi="fa-IR"/>
        </w:rPr>
        <w:t xml:space="preserve">کتابخانه ها و مراکز معتبر استاندارد بایستی کمینه نیازمندی های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سازگاری فراداده های کتابخانه ای قدیمی به ساختارهای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قالب آر دی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ایکس ام ال اجباری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گروه تکوین داده های پیوندی کتابخانه ای کنسرسیوم وب جهانی</w:t>
      </w:r>
      <w:r>
        <w:rPr>
          <w:rFonts w:eastAsia="IRNazanin" w:cs="IRNazanin"/>
          <w:color w:val="111111"/>
          <w:sz w:val="28"/>
          <w:szCs w:val="28"/>
          <w:rtl w:val="true"/>
          <w:lang w:bidi="fa-IR"/>
        </w:rPr>
        <w:t>"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کتابخانه ها، مراکز استاندارد و ،کارگزاران از ارتباط با نوآوری های استانداردسازی شده داده های پیوندی بهره برداری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کنسرسیوم وب جهانی</w:t>
      </w:r>
      <w:r>
        <w:rPr>
          <w:rFonts w:eastAsia="IRNazanin" w:cs="IRNazanin"/>
          <w:color w:val="111111"/>
          <w:sz w:val="28"/>
          <w:szCs w:val="28"/>
          <w:rtl w:val="true"/>
          <w:lang w:bidi="fa-IR"/>
        </w:rPr>
        <w:t>"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یو آر آی ها و یو آر آی های اچ تی تی پی، آردی اف و پیوند درونی یا بیرونی با مجموعه های داده ای به همنوایی با کمینه نیازمندی های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خواهد شد</w:t>
      </w:r>
      <w:r>
        <w:rPr>
          <w:rFonts w:eastAsia="IRNazanin" w:cs="IRNazanin"/>
          <w:color w:val="111111"/>
          <w:sz w:val="28"/>
          <w:szCs w:val="28"/>
          <w:rtl w:val="true"/>
          <w:lang w:bidi="fa-IR"/>
        </w:rPr>
        <w:t>.</w:t>
      </w:r>
    </w:p>
    <w:p>
      <w:pPr>
        <w:pStyle w:val="Heading3"/>
        <w:numPr>
          <w:ilvl w:val="2"/>
          <w:numId w:val="1"/>
        </w:numPr>
        <w:rPr/>
      </w:pPr>
      <w:bookmarkStart w:id="207" w:name="__RefHeading___Toc7766402_2870459653"/>
      <w:bookmarkStart w:id="208" w:name="_Toc76"/>
      <w:bookmarkEnd w:id="207"/>
      <w:r>
        <w:rPr>
          <w:rtl w:val="true"/>
        </w:rPr>
        <w:t xml:space="preserve">ایجاد هستی شناسی ها، موجودیت ها </w:t>
      </w:r>
      <w:r>
        <w:rPr>
          <w:rtl w:val="true"/>
        </w:rPr>
        <w:t>(</w:t>
      </w:r>
      <w:r>
        <w:rPr>
          <w:rtl w:val="true"/>
        </w:rPr>
        <w:t>رده ها</w:t>
      </w:r>
      <w:r>
        <w:rPr>
          <w:rtl w:val="true"/>
        </w:rPr>
        <w:t xml:space="preserve">) </w:t>
      </w:r>
      <w:r>
        <w:rPr>
          <w:rtl w:val="true"/>
        </w:rPr>
        <w:t xml:space="preserve">عناصر </w:t>
      </w:r>
      <w:r>
        <w:rPr>
          <w:rtl w:val="true"/>
        </w:rPr>
        <w:t>(</w:t>
      </w:r>
      <w:r>
        <w:rPr>
          <w:rtl w:val="true"/>
        </w:rPr>
        <w:t>خواص</w:t>
      </w:r>
      <w:r>
        <w:rPr>
          <w:rtl w:val="true"/>
        </w:rPr>
        <w:t xml:space="preserve">) </w:t>
      </w:r>
      <w:r>
        <w:rPr>
          <w:rtl w:val="true"/>
        </w:rPr>
        <w:t xml:space="preserve">و ارزش ها </w:t>
      </w:r>
      <w:r>
        <w:rPr>
          <w:rtl w:val="true"/>
        </w:rPr>
        <w:t>(</w:t>
      </w:r>
      <w:r>
        <w:rPr>
          <w:rtl w:val="true"/>
        </w:rPr>
        <w:t>نمونه ها</w:t>
      </w:r>
      <w:r>
        <w:rPr>
          <w:rtl w:val="true"/>
        </w:rPr>
        <w:t>)</w:t>
      </w:r>
      <w:bookmarkEnd w:id="208"/>
    </w:p>
    <w:p>
      <w:pPr>
        <w:pStyle w:val="BookText"/>
        <w:rPr/>
      </w:pPr>
      <w:r>
        <w:rPr>
          <w:rFonts w:ascii="IRNazanin" w:hAnsi="IRNazanin" w:eastAsia="IRNazanin"/>
          <w:color w:val="111111"/>
          <w:sz w:val="28"/>
          <w:sz w:val="28"/>
          <w:szCs w:val="28"/>
          <w:rtl w:val="true"/>
          <w:lang w:bidi="fa-IR"/>
        </w:rPr>
        <w:t xml:space="preserve">به علاوه به ایجاد انتقال مفهومی از درک فراداده های کتابخانه ای به عنوان یک مدرک یا رکورد به آن چه كويل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فراداده عمل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یعنی فراداده ای که ماشین خوان، میانکنش پذیر و دارای قابلیت ترکیب مجدد است نیاز داریم برای قابلیت به انجام رسیدن این مسأله بایستی پیشاپیش مدل های فراداده ای هستی شناسی ها تولید شوند در پایان اف آر بی آر و آردی ای باید مرحله مرکزی را برای خدمت کردن در قالب مدل های داده ای کتابخانه ای سطح بالا به عهده گیرند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نظر هوريج </w:t>
      </w:r>
      <w:r>
        <w:rPr>
          <w:rStyle w:val="FootnoteAnchor"/>
          <w:rtl w:val="true"/>
        </w:rPr>
        <w:footnoteReference w:id="274"/>
      </w:r>
      <w:r>
        <w:rPr>
          <w:rFonts w:ascii="IRNazanin" w:hAnsi="IRNazanin" w:eastAsia="IRNazanin"/>
          <w:color w:val="111111"/>
          <w:sz w:val="28"/>
          <w:sz w:val="28"/>
          <w:szCs w:val="28"/>
          <w:rtl w:val="true"/>
          <w:lang w:bidi="fa-IR"/>
        </w:rPr>
        <w:t xml:space="preserve">، ناب لاوج </w:t>
      </w:r>
      <w:r>
        <w:rPr>
          <w:rStyle w:val="FootnoteAnchor"/>
          <w:rtl w:val="true"/>
        </w:rPr>
        <w:footnoteReference w:id="275"/>
      </w:r>
      <w:r>
        <w:rPr>
          <w:rFonts w:ascii="IRNazanin" w:hAnsi="IRNazanin" w:eastAsia="IRNazanin"/>
          <w:color w:val="111111"/>
          <w:sz w:val="28"/>
          <w:sz w:val="28"/>
          <w:szCs w:val="28"/>
          <w:rtl w:val="true"/>
          <w:lang w:bidi="fa-IR"/>
        </w:rPr>
        <w:t xml:space="preserve">، رکتور </w:t>
      </w:r>
      <w:r>
        <w:rPr>
          <w:rStyle w:val="FootnoteAnchor"/>
          <w:rtl w:val="true"/>
        </w:rPr>
        <w:footnoteReference w:id="276"/>
      </w:r>
      <w:r>
        <w:rPr>
          <w:rFonts w:ascii="IRNazanin" w:hAnsi="IRNazanin" w:eastAsia="IRNazanin"/>
          <w:color w:val="111111"/>
          <w:sz w:val="28"/>
          <w:sz w:val="28"/>
          <w:szCs w:val="28"/>
          <w:rtl w:val="true"/>
          <w:lang w:bidi="fa-IR"/>
        </w:rPr>
        <w:t xml:space="preserve">، استیونز </w:t>
      </w:r>
      <w:r>
        <w:rPr>
          <w:rStyle w:val="FootnoteAnchor"/>
          <w:rtl w:val="true"/>
        </w:rPr>
        <w:footnoteReference w:id="277"/>
      </w:r>
      <w:r>
        <w:rPr>
          <w:rFonts w:ascii="IRNazanin" w:hAnsi="IRNazanin" w:eastAsia="IRNazanin"/>
          <w:color w:val="111111"/>
          <w:sz w:val="28"/>
          <w:sz w:val="28"/>
          <w:szCs w:val="28"/>
          <w:rtl w:val="true"/>
          <w:lang w:bidi="fa-IR"/>
        </w:rPr>
        <w:t xml:space="preserve">و رو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هستی شناسی ها به اخذ دانش درباره حوزه معینی با ارائه مفاهیم و روابط بین آن ها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نوی </w:t>
      </w:r>
      <w:r>
        <w:rPr>
          <w:rStyle w:val="FootnoteAnchor"/>
          <w:rtl w:val="true"/>
        </w:rPr>
        <w:footnoteReference w:id="279"/>
      </w:r>
      <w:r>
        <w:rPr>
          <w:rFonts w:ascii="IRNazanin" w:hAnsi="IRNazanin" w:eastAsia="IRNazanin"/>
          <w:color w:val="111111"/>
          <w:sz w:val="28"/>
          <w:sz w:val="28"/>
          <w:szCs w:val="28"/>
          <w:rtl w:val="true"/>
          <w:lang w:bidi="fa-IR"/>
        </w:rPr>
        <w:t xml:space="preserve">و مک گینس </w:t>
      </w:r>
      <w:r>
        <w:rPr>
          <w:rStyle w:val="FootnoteAnchor"/>
          <w:rtl w:val="true"/>
        </w:rPr>
        <w:footnoteReference w:id="280"/>
      </w:r>
      <w:r>
        <w:rPr>
          <w:rFonts w:ascii="IRNazanin" w:hAnsi="IRNazanin" w:eastAsia="IRNazanin"/>
          <w:color w:val="111111"/>
          <w:sz w:val="28"/>
          <w:sz w:val="28"/>
          <w:szCs w:val="28"/>
          <w:rtl w:val="true"/>
          <w:lang w:bidi="fa-IR"/>
        </w:rPr>
        <w:t>شرح می دهند هستی شناسی ها امکان اشتراک درک عمومی از ساختار اطلاعات بین افراد یا عناصر نرم افزار را فراهم می کنند؛ استفاده مجدد از حوزه دانش را با ایجاد فرضیه های آن حوزه تفکیک آن از دانش اجرایی و کمک به تحلیل آن را تسهیل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برنرز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 دیگران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هستی شناسی نظریه ای درباره ماهیت هستی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اصطلاح هستی شناسی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یا فایلی که رسما روابط بین اصطلاح ها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bookmarkStart w:id="209" w:name="pg9653_81756"/>
    </w:p>
    <w:p>
      <w:pPr>
        <w:pStyle w:val="BookText"/>
        <w:rPr/>
      </w:pPr>
      <w:bookmarkEnd w:id="209"/>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 دیگران،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هوریج و دیگران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 ها برای اخذ</w:t>
      </w:r>
    </w:p>
    <w:p>
      <w:pPr>
        <w:pStyle w:val="BookText"/>
        <w:rPr/>
      </w:pPr>
      <w:r>
        <w:rPr>
          <w:rFonts w:ascii="IRNazanin" w:hAnsi="IRNazanin" w:eastAsia="IRNazanin"/>
          <w:color w:val="111111"/>
          <w:sz w:val="28"/>
          <w:sz w:val="28"/>
          <w:szCs w:val="28"/>
          <w:rtl w:val="true"/>
          <w:lang w:bidi="fa-IR"/>
        </w:rPr>
        <w:t xml:space="preserve">دانش در حوزه خاص مورد استفاده قرار می گیرند اگر چه بیشترین تعریف استفاده شده هستی شناسی توسط گروبر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شفاف مفهوم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گروبر،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 نوی و مک گینس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هستی شناسی شامل فرآیند تعریف گروه ها، گروه های ،فرعی خواص و 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توصیه می شود که در ایجاد هستی شناسی های فراداده های کتابخانه ای باید از ساختارهایی مثل ساختارهای فناوری های وب معنایی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گفته می شود که در ایجاد هستی شناسی ها باید متمرکز عمل شود و ترجیحا بر عهده موسساتی بنیادی نظیر ایفلا، کمیته اجرایی گسترش و توسعه </w:t>
      </w:r>
      <w:r>
        <w:rPr>
          <w:rStyle w:val="FootnoteAnchor"/>
          <w:rtl w:val="true"/>
        </w:rPr>
        <w:footnoteReference w:id="281"/>
      </w:r>
      <w:r>
        <w:rPr>
          <w:rFonts w:ascii="IRNazanin" w:hAnsi="IRNazanin" w:eastAsia="IRNazanin"/>
          <w:color w:val="111111"/>
          <w:sz w:val="28"/>
          <w:sz w:val="28"/>
          <w:szCs w:val="28"/>
          <w:rtl w:val="true"/>
          <w:lang w:bidi="fa-IR"/>
        </w:rPr>
        <w:t>آر دی ای، کتابخانه بریتانیا، کتابخانه کنگره و او سیال سی گذاشته شود، اگر چه نمی توان مانع مشارکت های غیر متمرکز و نوآوری های ارائه شده توسط افراد و جوامع شد</w:t>
      </w:r>
      <w:r>
        <w:rPr>
          <w:rFonts w:eastAsia="IRNazanin" w:cs="IRNazanin"/>
          <w:color w:val="111111"/>
          <w:sz w:val="28"/>
          <w:szCs w:val="28"/>
          <w:rtl w:val="true"/>
          <w:lang w:bidi="fa-IR"/>
        </w:rPr>
        <w:t>.</w:t>
      </w:r>
    </w:p>
    <w:p>
      <w:pPr>
        <w:pStyle w:val="Heading3"/>
        <w:numPr>
          <w:ilvl w:val="2"/>
          <w:numId w:val="1"/>
        </w:numPr>
        <w:rPr/>
      </w:pPr>
      <w:bookmarkStart w:id="210" w:name="__RefHeading___Toc7766404_2870459653"/>
      <w:bookmarkStart w:id="211" w:name="_Toc77"/>
      <w:bookmarkEnd w:id="210"/>
      <w:r>
        <w:rPr>
          <w:rtl w:val="true"/>
        </w:rPr>
        <w:t>تصمیم گیری در خصوص آن چه نیاز است حفظ شود</w:t>
      </w:r>
      <w:bookmarkEnd w:id="211"/>
    </w:p>
    <w:p>
      <w:pPr>
        <w:pStyle w:val="BookText"/>
        <w:rPr/>
      </w:pPr>
      <w:r>
        <w:rPr>
          <w:rFonts w:ascii="IRNazanin" w:hAnsi="IRNazanin" w:eastAsia="IRNazanin"/>
          <w:color w:val="111111"/>
          <w:sz w:val="28"/>
          <w:sz w:val="28"/>
          <w:szCs w:val="28"/>
          <w:rtl w:val="true"/>
          <w:lang w:bidi="fa-IR"/>
        </w:rPr>
        <w:t xml:space="preserve">باید بین مدل های کتابخانه ای و قالب های رکوردی تمایز قائل شد چراکه کتابخانه ها با پذیرش اصول زیربنایی فراداده های کتابخانه ای همانند آن چه در مدل های کتابخانه محور موجود مثل آردی ای و اف آر بی آر آشکار شده است منتفع خواهند شد اگر چه کتابخانه ها با کنار گذاشتن قالب ها و پروتکل های جستجو و بازیابی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مارک و زد </w:t>
      </w: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نفع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مسأله نویسندگان بر آن می شوند که فراخوان کنار گذاشتن مدل های فراداده 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آردی ای و اف آر بی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ویژگی وب معنایی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خاطر نشان می شود که سازمان های بین المللی نظیر ایفلا و نیز مراکز معتبر استاندارد منطقه ای و کتابخانه ها باید هدایت و به کارگیری تلاش های هماهنگ را در نوآوری های معطوف به مدل ها و استانداردهای فعلی منطبق 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گیرند برای بهینه نمودن مزیت این فرایند کتابخانه ها باید بیشتر دانش و تخصصشان را در تولید واژگان مهار شده، مثل سرعنوان های موضوعی کتابخانه کنگره </w:t>
      </w:r>
      <w:r>
        <w:rPr>
          <w:rStyle w:val="FootnoteAnchor"/>
          <w:rtl w:val="true"/>
        </w:rPr>
        <w:footnoteReference w:id="282"/>
      </w:r>
      <w:r>
        <w:rPr>
          <w:rFonts w:ascii="IRNazanin" w:hAnsi="IRNazanin" w:eastAsia="IRNazanin"/>
          <w:color w:val="111111"/>
          <w:sz w:val="28"/>
          <w:sz w:val="28"/>
          <w:szCs w:val="28"/>
          <w:rtl w:val="true"/>
          <w:lang w:bidi="fa-IR"/>
        </w:rPr>
        <w:t xml:space="preserve">و سرعنوان های موضوعی پزشکی </w:t>
      </w:r>
      <w:r>
        <w:rPr>
          <w:rStyle w:val="FootnoteAnchor"/>
          <w:rtl w:val="true"/>
        </w:rPr>
        <w:footnoteReference w:id="283"/>
      </w:r>
      <w:r>
        <w:rPr>
          <w:rFonts w:ascii="IRNazanin" w:hAnsi="IRNazanin" w:eastAsia="IRNazanin"/>
          <w:color w:val="111111"/>
          <w:sz w:val="28"/>
          <w:sz w:val="28"/>
          <w:szCs w:val="28"/>
          <w:rtl w:val="true"/>
          <w:lang w:bidi="fa-IR"/>
        </w:rPr>
        <w:t>و فهرست های معتبر به کارگیرند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مطالب بالا، این مقاله دو شرط لازم را معرفی کرده است یعنی مزایای مدل های موجود مفهومی سازی مجدد مثل آردی ای و اف آر بی آر، تا ایجاد آن ها سازگار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کتابخانه ها بایستی رکوردهای فراداده ای سازگار با مارک را به قالب های سریالی </w:t>
      </w:r>
      <w:r>
        <w:rPr>
          <w:rStyle w:val="FootnoteAnchor"/>
          <w:rtl w:val="true"/>
        </w:rPr>
        <w:footnoteReference w:id="284"/>
      </w:r>
      <w:r>
        <w:rPr>
          <w:rFonts w:ascii="IRNazanin" w:hAnsi="IRNazanin" w:eastAsia="IRNazanin"/>
          <w:color w:val="111111"/>
          <w:sz w:val="28"/>
          <w:sz w:val="28"/>
          <w:szCs w:val="28"/>
          <w:rtl w:val="true"/>
          <w:lang w:bidi="fa-IR"/>
        </w:rPr>
        <w:t>آردی اف</w:t>
      </w:r>
      <w:r>
        <w:rPr>
          <w:rFonts w:eastAsia="IRNazanin" w:cs="IRNazanin"/>
          <w:color w:val="111111"/>
          <w:sz w:val="28"/>
          <w:szCs w:val="28"/>
          <w:rtl w:val="true"/>
          <w:lang w:bidi="fa-IR"/>
        </w:rPr>
        <w:t xml:space="preserve">/ </w:t>
      </w:r>
      <w:bookmarkStart w:id="212" w:name="pg9653_81757"/>
    </w:p>
    <w:p>
      <w:pPr>
        <w:pStyle w:val="BookText"/>
        <w:rPr/>
      </w:pPr>
      <w:bookmarkEnd w:id="212"/>
      <w:r>
        <w:rPr>
          <w:rFonts w:ascii="IRNazanin" w:hAnsi="IRNazanin" w:eastAsia="IRNazanin"/>
          <w:color w:val="111111"/>
          <w:sz w:val="28"/>
          <w:sz w:val="28"/>
          <w:szCs w:val="28"/>
          <w:rtl w:val="true"/>
          <w:lang w:bidi="fa-IR"/>
        </w:rPr>
        <w:t>ایکس ام ال تبدیل کنند تا خروج از مارک و مشتقات آن به آرامی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نیاز به ایجاد انتقال مفهومی از قالب های داده ای رکوردگرا به قالب های داده ای آر دی اف گرا وجود دارد</w:t>
      </w:r>
      <w:r>
        <w:rPr>
          <w:rFonts w:eastAsia="IRNazanin" w:cs="IRNazanin"/>
          <w:color w:val="111111"/>
          <w:sz w:val="28"/>
          <w:szCs w:val="28"/>
          <w:rtl w:val="true"/>
          <w:lang w:bidi="fa-IR"/>
        </w:rPr>
        <w:t>.</w:t>
      </w:r>
    </w:p>
    <w:p>
      <w:pPr>
        <w:pStyle w:val="Heading3"/>
        <w:numPr>
          <w:ilvl w:val="2"/>
          <w:numId w:val="1"/>
        </w:numPr>
        <w:rPr/>
      </w:pPr>
      <w:bookmarkStart w:id="213" w:name="__RefHeading___Toc7766406_2870459653"/>
      <w:bookmarkStart w:id="214" w:name="_Toc78"/>
      <w:bookmarkEnd w:id="213"/>
      <w:r>
        <w:rPr>
          <w:rtl w:val="true"/>
        </w:rPr>
        <w:t xml:space="preserve">جزئی از </w:t>
      </w:r>
      <w:r>
        <w:rPr>
          <w:rtl w:val="true"/>
        </w:rPr>
        <w:t>"</w:t>
      </w:r>
      <w:r>
        <w:rPr>
          <w:rtl w:val="true"/>
        </w:rPr>
        <w:t>داده های پیوندی</w:t>
      </w:r>
      <w:r>
        <w:rPr>
          <w:rtl w:val="true"/>
        </w:rPr>
        <w:t xml:space="preserve">" </w:t>
      </w:r>
      <w:r>
        <w:rPr>
          <w:rtl w:val="true"/>
        </w:rPr>
        <w:t>وب شدن</w:t>
      </w:r>
      <w:bookmarkEnd w:id="214"/>
    </w:p>
    <w:p>
      <w:pPr>
        <w:pStyle w:val="BookText"/>
        <w:rPr/>
      </w:pPr>
      <w:r>
        <w:rPr>
          <w:rFonts w:ascii="IRNazanin" w:hAnsi="IRNazanin" w:eastAsia="IRNazanin"/>
          <w:color w:val="111111"/>
          <w:sz w:val="28"/>
          <w:sz w:val="28"/>
          <w:szCs w:val="28"/>
          <w:rtl w:val="true"/>
          <w:lang w:bidi="fa-IR"/>
        </w:rPr>
        <w:t xml:space="preserve">زمانی که مجموعه های داده ای تحت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باز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 شوند این فرایند وب معنایی متصل جهانی را تولید می کند جایی که در آن کاربران و نرم افزارها می توانند به شناسایی انتخاب، پذیرش استفاده و استفاده مجدد داده ها بپردازند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نسبتاً نامتجانس به نظر می رسند به این دلیل که داده های متعلق به دولت ها، بنگاه ها و کتابخانه ها در انباره های بسته و مجزا ذخیره و نگهداری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کنسرسیوم وب جهانی،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گزارش کنسرسیوم وب جهانی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بیشتر محتوای داده های پیوندی ابر امروزی نتیجه انتقال های موقت یکباره مجموعه داده های قابل دسترس عمومی در آردی اف است و نظمی در کنترل های دقیق یا روزآمدی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نشان می دهد که تلاش هماهنگ شده بیشتری برای ایجاد و نگهداری نامگان های </w:t>
      </w:r>
      <w:r>
        <w:rPr>
          <w:rStyle w:val="FootnoteAnchor"/>
          <w:rtl w:val="true"/>
        </w:rPr>
        <w:footnoteReference w:id="285"/>
      </w:r>
      <w:r>
        <w:rPr>
          <w:rFonts w:ascii="IRNazanin" w:hAnsi="IRNazanin" w:eastAsia="IRNazanin"/>
          <w:color w:val="111111"/>
          <w:sz w:val="28"/>
          <w:sz w:val="28"/>
          <w:szCs w:val="28"/>
          <w:rtl w:val="true"/>
          <w:lang w:bidi="fa-IR"/>
        </w:rPr>
        <w:t xml:space="preserve">معتبر و دائمی،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مجموعه های داده ای مورد نیاز خواهد بود با پذیرش مناسب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ها نه تنها بخشی از داده های ابر مذکور خواهند شد بلکه همچنین بازیگران اصلی در قالب سازمان هایی خواهند بود که بخش عظیمی از داده های فهرست مستند و کتابشناختی قدیمی را حفظ می کنند حتی اگر بیشتر این دارایی ها فعلا در انباره ها و قالب های کتابخانه ای محبوس شوند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اطمینان از پایداری و اعتبار داده های ابر، استفاده مجدد از هستی شناسی 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 آر آی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نامگان های موجود شامل آر دی اف اس، او دبليو ال، دابلین کور، فایل مستند مجازی بین المللی </w:t>
      </w:r>
      <w:r>
        <w:rPr>
          <w:rStyle w:val="FootnoteAnchor"/>
          <w:rtl w:val="true"/>
        </w:rPr>
        <w:footnoteReference w:id="286"/>
      </w:r>
      <w:r>
        <w:rPr>
          <w:rFonts w:ascii="IRNazanin" w:hAnsi="IRNazanin" w:eastAsia="IRNazanin"/>
          <w:color w:val="111111"/>
          <w:sz w:val="28"/>
          <w:sz w:val="28"/>
          <w:szCs w:val="28"/>
          <w:rtl w:val="true"/>
          <w:lang w:bidi="fa-IR"/>
        </w:rPr>
        <w:t xml:space="preserve">، طرح فرند آو اِ فرند </w:t>
      </w:r>
      <w:r>
        <w:rPr>
          <w:rStyle w:val="FootnoteAnchor"/>
          <w:rtl w:val="true"/>
        </w:rPr>
        <w:footnoteReference w:id="287"/>
      </w:r>
      <w:r>
        <w:rPr>
          <w:rFonts w:ascii="IRNazanin" w:hAnsi="IRNazanin" w:eastAsia="IRNazanin"/>
          <w:color w:val="111111"/>
          <w:sz w:val="28"/>
          <w:sz w:val="28"/>
          <w:szCs w:val="28"/>
          <w:rtl w:val="true"/>
          <w:lang w:bidi="fa-IR"/>
        </w:rPr>
        <w:t xml:space="preserve">، اسکیما دات اُرگ </w:t>
      </w:r>
      <w:r>
        <w:rPr>
          <w:rStyle w:val="FootnoteAnchor"/>
          <w:rtl w:val="true"/>
        </w:rPr>
        <w:footnoteReference w:id="288"/>
      </w:r>
      <w:r>
        <w:rPr>
          <w:rFonts w:ascii="IRNazanin" w:hAnsi="IRNazanin" w:eastAsia="IRNazanin"/>
          <w:color w:val="111111"/>
          <w:sz w:val="28"/>
          <w:sz w:val="28"/>
          <w:szCs w:val="28"/>
          <w:rtl w:val="true"/>
          <w:lang w:bidi="fa-IR"/>
        </w:rPr>
        <w:t xml:space="preserve">، واژگان کتابخانه بریتانیا </w:t>
      </w:r>
      <w:r>
        <w:rPr>
          <w:rStyle w:val="FootnoteAnchor"/>
          <w:rtl w:val="true"/>
        </w:rPr>
        <w:footnoteReference w:id="289"/>
      </w:r>
      <w:r>
        <w:rPr>
          <w:rFonts w:ascii="IRNazanin" w:hAnsi="IRNazanin" w:eastAsia="IRNazanin"/>
          <w:color w:val="111111"/>
          <w:sz w:val="28"/>
          <w:sz w:val="28"/>
          <w:szCs w:val="28"/>
          <w:rtl w:val="true"/>
          <w:lang w:bidi="fa-IR"/>
        </w:rPr>
        <w:t>، پایگاه اطلاعاتی جغرافیایی، لکسوو، کدهای زبان و کشور در قالب مارک، پایگاه اطلاعاتی رده بندی دیویی و 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w:t>
      </w:r>
      <w:r>
        <w:rPr>
          <w:rStyle w:val="FootnoteAnchor"/>
          <w:rtl w:val="true"/>
        </w:rPr>
        <w:footnoteReference w:id="290"/>
      </w:r>
      <w:r>
        <w:rPr>
          <w:rFonts w:ascii="IRNazanin" w:hAnsi="IRNazanin" w:eastAsia="IRNazanin"/>
          <w:color w:val="111111"/>
          <w:sz w:val="28"/>
          <w:sz w:val="28"/>
          <w:szCs w:val="28"/>
          <w:rtl w:val="true"/>
          <w:lang w:bidi="fa-IR"/>
        </w:rPr>
        <w:t>کتابی آر دی اف هستند</w:t>
      </w:r>
      <w:r>
        <w:rPr>
          <w:rFonts w:eastAsia="IRNazanin" w:cs="IRNazanin"/>
          <w:color w:val="111111"/>
          <w:sz w:val="28"/>
          <w:szCs w:val="28"/>
          <w:rtl w:val="true"/>
          <w:lang w:bidi="fa-IR"/>
        </w:rPr>
        <w:t xml:space="preserve">. </w:t>
      </w:r>
      <w:bookmarkStart w:id="215" w:name="pg9653_81758"/>
    </w:p>
    <w:p>
      <w:pPr>
        <w:pStyle w:val="Heading3"/>
        <w:numPr>
          <w:ilvl w:val="2"/>
          <w:numId w:val="1"/>
        </w:numPr>
        <w:rPr/>
      </w:pPr>
      <w:bookmarkStart w:id="216" w:name="__RefHeading___Toc7766408_2870459653"/>
      <w:bookmarkStart w:id="217" w:name="_Toc79"/>
      <w:bookmarkEnd w:id="215"/>
      <w:bookmarkEnd w:id="216"/>
      <w:r>
        <w:rPr>
          <w:rtl w:val="true"/>
        </w:rPr>
        <w:t>پذیرش رویکرد فراداده های ترکیبی</w:t>
      </w:r>
      <w:bookmarkEnd w:id="217"/>
    </w:p>
    <w:p>
      <w:pPr>
        <w:pStyle w:val="BookText"/>
        <w:rPr/>
      </w:pPr>
      <w:r>
        <w:rPr>
          <w:rFonts w:ascii="IRNazanin" w:hAnsi="IRNazanin" w:eastAsia="IRNazanin"/>
          <w:color w:val="111111"/>
          <w:sz w:val="28"/>
          <w:sz w:val="28"/>
          <w:szCs w:val="28"/>
          <w:rtl w:val="true"/>
          <w:lang w:bidi="fa-IR"/>
        </w:rPr>
        <w:t xml:space="preserve">در تایید این مطلب که هستی شناسی ها </w:t>
      </w:r>
      <w:r>
        <w:rPr>
          <w:rStyle w:val="FootnoteAnchor"/>
          <w:rtl w:val="true"/>
        </w:rPr>
        <w:footnoteReference w:id="291"/>
      </w:r>
      <w:r>
        <w:rPr>
          <w:rFonts w:ascii="IRNazanin" w:hAnsi="IRNazanin" w:eastAsia="IRNazanin"/>
          <w:color w:val="111111"/>
          <w:sz w:val="28"/>
          <w:sz w:val="28"/>
          <w:szCs w:val="28"/>
          <w:rtl w:val="true"/>
          <w:lang w:bidi="fa-IR"/>
        </w:rPr>
        <w:t xml:space="preserve">و رویکردهای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یکدیگر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مورویل،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رایت،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این نکته اهمیت دارد که هر نوع مفهومی سازی مجدد مدل فراداده ای از نقاط قوت مختلف این پارادایم ها بهره مند شوند برای ،نمونه گنجاندن همکاری و مشارکت کاربر در ایک های کتابخانه،ای سرویس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سیاق فناوری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توانند رضایت کاربران را با مهار حجم قابل توجهی از داده ها که در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استفاده از ظرفیت های فناورانه ای که توسط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ارتقا 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گروبر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که رویکردهای فرادادهای اجتماع گرا تک بعدی هستند و از این رو به واسطه ناهمخوانی و فقدان سازماندهی سردرگمی ایجاد می کنند در حالی که رویکردهای فراداده ای استانداردگرا به دلیل عدم سازگاری با زبان طبیعی کاربران مورد انتقاد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با این مساله، مورویل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وب اجتماعی و وب معنایی با یکدیگر وجود خواهند داشت و متقابلا یکدیگر را شکل می دهند در حالی که رده بندی های عامه در فراساختارهای فراداده ای رده بندی پوشش داده می شوند، واژگان متحول و قرار کاربران را لحاظ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نگاه کنید کمبل </w:t>
      </w:r>
      <w:r>
        <w:rPr>
          <w:rStyle w:val="FootnoteAnchor"/>
          <w:rtl w:val="true"/>
        </w:rPr>
        <w:footnoteReference w:id="292"/>
      </w:r>
      <w:r>
        <w:rPr>
          <w:rFonts w:ascii="IRNazanin" w:hAnsi="IRNazanin" w:eastAsia="IRNazanin"/>
          <w:color w:val="111111"/>
          <w:sz w:val="28"/>
          <w:sz w:val="28"/>
          <w:szCs w:val="28"/>
          <w:rtl w:val="true"/>
          <w:lang w:bidi="fa-IR"/>
        </w:rPr>
        <w:t xml:space="preserve">و فاست،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در گذار از یک پارادایم به الگوی دیگر کتابخانه ها و کتابداران باید تصمیم گیرند کدام یک از اصول استانداردها و قالب ها به الگوی بعدی منتقل شوند و کدام ها کنار گذاشته شوند برای نمونه در حرکت از رویکرد فرادادهای مهار شده توسط 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اجتماع گرا این مهم دریافت شد که کتابداران محدودیت ها را برای کاربران جدید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نمودن امکان مشارکت کاربران مشارکت آن ها در تولید ،فراداده که خود به این معنا است که کتابدارن بایستی از رعایت قوانین سفت و سخت کنترل های کیفی دقیق فراداده ای چشم پوشی کنند</w:t>
      </w:r>
      <w:r>
        <w:rPr>
          <w:rFonts w:eastAsia="IRNazanin" w:cs="IRNazanin"/>
          <w:color w:val="111111"/>
          <w:sz w:val="28"/>
          <w:szCs w:val="28"/>
          <w:rtl w:val="true"/>
          <w:lang w:bidi="fa-IR"/>
        </w:rPr>
        <w:t>.</w:t>
      </w:r>
    </w:p>
    <w:p>
      <w:pPr>
        <w:pStyle w:val="Heading3"/>
        <w:numPr>
          <w:ilvl w:val="2"/>
          <w:numId w:val="1"/>
        </w:numPr>
        <w:rPr/>
      </w:pPr>
      <w:bookmarkStart w:id="218" w:name="__RefHeading___Toc7766410_2870459653"/>
      <w:bookmarkStart w:id="219" w:name="_Toc80"/>
      <w:bookmarkEnd w:id="218"/>
      <w:r>
        <w:rPr>
          <w:rtl w:val="true"/>
        </w:rPr>
        <w:t>مزایای فراداده های کتابخانه ای پیوندی برای کتابخانه های رقومی</w:t>
      </w:r>
      <w:bookmarkEnd w:id="2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استانداردهای کتابخانه ای مزایای بسیاری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 روی پنج مزیت کلیدی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مزایا عبارتند از</w:t>
      </w:r>
      <w:r>
        <w:rPr>
          <w:rFonts w:eastAsia="IRNazanin" w:cs="IRNazanin"/>
          <w:color w:val="111111"/>
          <w:sz w:val="28"/>
          <w:szCs w:val="28"/>
          <w:rtl w:val="true"/>
          <w:lang w:bidi="fa-IR"/>
        </w:rPr>
        <w:t xml:space="preserve">: </w:t>
      </w:r>
      <w:bookmarkStart w:id="220" w:name="pg9653_81759"/>
    </w:p>
    <w:p>
      <w:pPr>
        <w:pStyle w:val="BookText"/>
        <w:rPr/>
      </w:pPr>
      <w:bookmarkEnd w:id="2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و دسترس پذیری فراداده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جستجوی تفالی منابع 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فراداده های نوپا و نوآورانه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جستجو بر پایه چهریزه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فراداده های غنی از پیوند</w:t>
      </w:r>
    </w:p>
    <w:p>
      <w:pPr>
        <w:pStyle w:val="Heading3"/>
        <w:numPr>
          <w:ilvl w:val="2"/>
          <w:numId w:val="1"/>
        </w:numPr>
        <w:rPr/>
      </w:pPr>
      <w:bookmarkStart w:id="221" w:name="__RefHeading___Toc7766412_2870459653"/>
      <w:bookmarkStart w:id="222" w:name="_Toc81"/>
      <w:bookmarkEnd w:id="221"/>
      <w:r>
        <w:rPr>
          <w:rtl w:val="true"/>
        </w:rPr>
        <w:t>اشتراک و دسترس پذیری فراداده ها</w:t>
      </w:r>
      <w:bookmarkEnd w:id="222"/>
    </w:p>
    <w:p>
      <w:pPr>
        <w:pStyle w:val="BookText"/>
        <w:rPr/>
      </w:pPr>
      <w:r>
        <w:rPr>
          <w:rFonts w:ascii="IRNazanin" w:hAnsi="IRNazanin" w:eastAsia="IRNazanin"/>
          <w:color w:val="111111"/>
          <w:sz w:val="28"/>
          <w:sz w:val="28"/>
          <w:szCs w:val="28"/>
          <w:rtl w:val="true"/>
          <w:lang w:bidi="fa-IR"/>
        </w:rPr>
        <w:t xml:space="preserve">یکی از قابلیت های اصلی فناوری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آن است که مشارکت را تسهیل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اورایلی،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موانع را برای مشارکت کنندگان به حداقل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این معماری مشارکتی اهمیت پذیرش باز بودن برای اشتراک و همکاری بر پایه اعتماد متقابل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الکساندر،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اندرسون،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شرکی،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تپ اسکات </w:t>
      </w:r>
      <w:r>
        <w:rPr>
          <w:rStyle w:val="FootnoteAnchor"/>
          <w:rtl w:val="true"/>
        </w:rPr>
        <w:footnoteReference w:id="298"/>
      </w:r>
      <w:r>
        <w:rPr>
          <w:rFonts w:ascii="IRNazanin" w:hAnsi="IRNazanin" w:eastAsia="IRNazanin"/>
          <w:color w:val="111111"/>
          <w:sz w:val="28"/>
          <w:sz w:val="28"/>
          <w:szCs w:val="28"/>
          <w:rtl w:val="true"/>
          <w:lang w:bidi="fa-IR"/>
        </w:rPr>
        <w:t xml:space="preserve">و ویلیامز،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ایدِل </w:t>
      </w:r>
      <w:r>
        <w:rPr>
          <w:rStyle w:val="FootnoteAnchor"/>
          <w:rtl w:val="true"/>
        </w:rPr>
        <w:footnoteReference w:id="300"/>
      </w:r>
      <w:r>
        <w:rPr>
          <w:rFonts w:ascii="IRNazanin" w:hAnsi="IRNazanin" w:eastAsia="IRNazanin"/>
          <w:color w:val="111111"/>
          <w:sz w:val="28"/>
          <w:sz w:val="28"/>
          <w:szCs w:val="28"/>
          <w:rtl w:val="true"/>
          <w:lang w:bidi="fa-IR"/>
        </w:rPr>
        <w:t xml:space="preserve">واینبرگر،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 نگرش و فرهنگ سروکار دارد تا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میلر،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جدیدی نیست؛ بلکه مشخصه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همکاری و مشارکتی است که حول فناوری های 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تا کاربران، تولید کنندگان و مصرف کنندگان خود فعال محتوا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 اسکات و ویلیامز در کتاب پرفروش خود و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نومِکس</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بیان داشتند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سبب تغییرات عمیق فناوری، جمعیت شناسی، تجارت و جهان وارد عصر جدیدی شده ایم که در آن افراد در مسایل اقتصادی به نحو بی سابقه ای مشارکت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بودن</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را یکی از مبانی اصلی همکاری گروهی، اشتراک و فعالیت های جهانی معرفی می کنند که هر یک از این ها امکانات بیشتری را در اختیار افراد و استعدادها قرار می دهند همچنین آن ها خاطر نشان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با صداقت، شفافیت، آزادی، انعطاف پذیری، گسترش، اشتغال و دسترس پذیری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آن ها، روندهای جاری اقتصادی، اجتماعی و فناورانه اعلام می کنند که باز بودن الزاما با تعدی به مالکیت معنوی ارتباطی ندارد همچنین آن ها بیان داشتند که فرهنگ باز بودن و شناسایی مداوم مزایای بالقوه آن،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را ردّ می کند که بر اساس آن، </w:t>
      </w:r>
    </w:p>
    <w:p>
      <w:pPr>
        <w:pStyle w:val="BookText"/>
        <w:rPr/>
      </w:pPr>
      <w:r>
        <w:rPr>
          <w:rFonts w:ascii="IRNazanin" w:hAnsi="IRNazanin" w:eastAsia="IRNazanin"/>
          <w:color w:val="111111"/>
          <w:sz w:val="28"/>
          <w:sz w:val="28"/>
          <w:szCs w:val="28"/>
          <w:rtl w:val="true"/>
          <w:lang w:bidi="fa-IR"/>
        </w:rPr>
        <w:t>رقابت شرکت ها بر اساس حفاظت بیشتر منابع مورد نظرشان در صندوقچه های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الكساندر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جریان چند جهتی اطلاعات بین تولید کنندگان و مصرف کنندگان و حوزه های متقابل سرورها و ماشین ها، لزوم باز بودن انباره های اطلاعاتی و پروراندن سرویس های اشتراکی را نشان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خاطر نشان می کند که حتی سایتهای تجاری نظیر آمازون، به کاربرانشان اجازه می 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شابک را از لیست فهرست هایشان هاروست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بودن به عنوان یک ویژگی در این حرکت نوپا باقی می ماند هم از لحاظ ایدئولوژیکی و هم از نظر فناورانه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میلر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در بافتار کتابخانه ها قرار می دهد او می گوید که اصول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اندیشه ی داده های آزاد پیش بینی شده است که در آن، داده ها به راه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ارائه، بازیابی و مدیریت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غیر قابل تصور در خصوص تغییر قالب و استفاده مجدد داده ها به منصه ظهور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الزاماً باز باشند می توانند مورد استفاده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کابدن، </w:t>
      </w:r>
      <w:r>
        <w:rPr>
          <w:rStyle w:val="FootnoteAnchor"/>
          <w:rtl w:val="true"/>
        </w:rPr>
        <w:footnoteReference w:id="303"/>
      </w:r>
      <w:r>
        <w:rPr>
          <w:rFonts w:ascii="IRNazanin" w:hAnsi="IRNazanin" w:eastAsia="IRNazanin"/>
          <w:color w:val="111111"/>
          <w:sz w:val="28"/>
          <w:sz w:val="28"/>
          <w:szCs w:val="28"/>
          <w:rtl w:val="true"/>
          <w:lang w:bidi="fa-IR"/>
        </w:rPr>
        <w:t xml:space="preserve">بلک، </w:t>
      </w:r>
      <w:r>
        <w:rPr>
          <w:rStyle w:val="FootnoteAnchor"/>
          <w:rtl w:val="true"/>
        </w:rPr>
        <w:footnoteReference w:id="304"/>
      </w:r>
      <w:r>
        <w:rPr>
          <w:rFonts w:ascii="IRNazanin" w:hAnsi="IRNazanin" w:eastAsia="IRNazanin"/>
          <w:color w:val="111111"/>
          <w:sz w:val="28"/>
          <w:sz w:val="28"/>
          <w:szCs w:val="28"/>
          <w:rtl w:val="true"/>
          <w:lang w:bidi="fa-IR"/>
        </w:rPr>
        <w:t xml:space="preserve">گیبینز، </w:t>
      </w:r>
      <w:r>
        <w:rPr>
          <w:rStyle w:val="FootnoteAnchor"/>
          <w:rtl w:val="true"/>
        </w:rPr>
        <w:footnoteReference w:id="305"/>
      </w:r>
      <w:r>
        <w:rPr>
          <w:rFonts w:ascii="IRNazanin" w:hAnsi="IRNazanin" w:eastAsia="IRNazanin"/>
          <w:color w:val="111111"/>
          <w:sz w:val="28"/>
          <w:sz w:val="28"/>
          <w:szCs w:val="28"/>
          <w:rtl w:val="true"/>
          <w:lang w:bidi="fa-IR"/>
        </w:rPr>
        <w:t xml:space="preserve">کار </w:t>
      </w:r>
      <w:r>
        <w:rPr>
          <w:rStyle w:val="FootnoteAnchor"/>
          <w:rtl w:val="true"/>
        </w:rPr>
        <w:footnoteReference w:id="306"/>
      </w:r>
      <w:r>
        <w:rPr>
          <w:rFonts w:ascii="IRNazanin" w:hAnsi="IRNazanin" w:eastAsia="IRNazanin"/>
          <w:color w:val="111111"/>
          <w:sz w:val="28"/>
          <w:sz w:val="28"/>
          <w:szCs w:val="28"/>
          <w:rtl w:val="true"/>
          <w:lang w:bidi="fa-IR"/>
        </w:rPr>
        <w:t xml:space="preserve">و شاد بولت،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شادبولت،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کنسرسیوم وب،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 باز بودن داده ها چهار مزیت بزرگ را برای جامعه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برنرز لی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آنلاین خود، مجددا مأموریتش در خصوص پیوند داده ای را با استناد به شماری از نوآوری ها و طرح های بین المللی، منطقه ای و جامعه گرا تکرار می کند که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هستند و بنابراین داده ها با استفاده از فناوری های یو آر آی ها و آر دی اف به طور باز قابل دسترس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نویسنده خاطرنشان می کند داده های باز می تواند به راه های غیرقابل تصوری دوباره مورد استفاده قرار گیرند برای نمونه، داده های باز دولتی این امکان را فراهم می کند که پرداخت کنندگان مالیات کنترل کنند که چگونه، کجا و برای چه اهدافی پولشان توسط نمایندگان منتخب آن ها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برنرز لی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کند که حرکت باز بودن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تازگی آغاز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داده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پیوندی باز، پیامدهای گسترده ای را فراهم می کند برای روشی که فراداده ها در کتابخانه ها، تولید، قابل دسترس، اشتراک گذاری و ترکیب مجدد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های کتابخانه ای </w:t>
      </w:r>
      <w:bookmarkStart w:id="223" w:name="pg9653_81761"/>
    </w:p>
    <w:p>
      <w:pPr>
        <w:pStyle w:val="BookText"/>
        <w:rPr/>
      </w:pPr>
      <w:bookmarkEnd w:id="223"/>
      <w:r>
        <w:rPr>
          <w:rFonts w:ascii="IRNazanin" w:hAnsi="IRNazanin" w:eastAsia="IRNazanin"/>
          <w:color w:val="111111"/>
          <w:sz w:val="28"/>
          <w:sz w:val="28"/>
          <w:szCs w:val="28"/>
          <w:rtl w:val="true"/>
          <w:lang w:bidi="fa-IR"/>
        </w:rPr>
        <w:t xml:space="preserve">پیوندی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رایگان قابل استفاده، قابل استفاده مجدد و قابل توزیع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شناسگرهای منحصربه فرد جهانی باشند، تا آثار، اماکن، افراد، رخدادها، موضوع ها و سایر اشیاء یا مفاهیم مورد نظر طراحی شوند کتابخانه ها این امکان را فراهم می نمایند که منابع در گستره وسیعی از داده ها مورد استناد قرار گیرند و بنابراین توصیف های فرادادهای آن ها به طور غنی تری قابل دسترس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فراداده های کتابخانه ای قابل دسترس برای استفاده مجدد داده های تکراری غیر ضروری را که قبلا در جای دیگری قابل دسترس بوده است از طریق منابع معتبر حذف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مساله سبب می شود چندین کتابخانه بتوانند پیوند متقابلی بین منابع شان ایجاد نمایند، بنابراین همکاری تسهیل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چشم انداز قابلیت مشاهده فراداده های کتابخانه ای را از طریق پیوندها می گشایند در حالی که به طور همزمان امکان برقراری پیوند به منبع اطلاعاتی غیر کتابخانه ای نظیر گوگل ویکی پدیا، لایبرری تینگ، </w:t>
      </w:r>
      <w:r>
        <w:rPr>
          <w:rStyle w:val="FootnoteAnchor"/>
          <w:rtl w:val="true"/>
        </w:rPr>
        <w:footnoteReference w:id="307"/>
      </w:r>
      <w:r>
        <w:rPr>
          <w:rFonts w:ascii="IRNazanin" w:hAnsi="IRNazanin" w:eastAsia="IRNazanin"/>
          <w:color w:val="111111"/>
          <w:sz w:val="28"/>
          <w:sz w:val="28"/>
          <w:szCs w:val="28"/>
          <w:rtl w:val="true"/>
          <w:lang w:bidi="fa-IR"/>
        </w:rPr>
        <w:t xml:space="preserve">سایت یولایک </w:t>
      </w:r>
      <w:r>
        <w:rPr>
          <w:rStyle w:val="FootnoteAnchor"/>
          <w:rtl w:val="true"/>
        </w:rPr>
        <w:footnoteReference w:id="308"/>
      </w:r>
      <w:r>
        <w:rPr>
          <w:rFonts w:ascii="IRNazanin" w:hAnsi="IRNazanin" w:eastAsia="IRNazanin"/>
          <w:color w:val="111111"/>
          <w:sz w:val="28"/>
          <w:sz w:val="28"/>
          <w:szCs w:val="28"/>
          <w:rtl w:val="true"/>
          <w:lang w:bidi="fa-IR"/>
        </w:rPr>
        <w:t>و آمازون فراهم می شود</w:t>
      </w:r>
      <w:r>
        <w:rPr>
          <w:rFonts w:eastAsia="IRNazanin" w:cs="IRNazanin"/>
          <w:color w:val="111111"/>
          <w:sz w:val="28"/>
          <w:szCs w:val="28"/>
          <w:rtl w:val="true"/>
          <w:lang w:bidi="fa-IR"/>
        </w:rPr>
        <w:t>.</w:t>
      </w:r>
    </w:p>
    <w:p>
      <w:pPr>
        <w:pStyle w:val="Heading3"/>
        <w:numPr>
          <w:ilvl w:val="2"/>
          <w:numId w:val="1"/>
        </w:numPr>
        <w:rPr/>
      </w:pPr>
      <w:bookmarkStart w:id="224" w:name="__RefHeading___Toc7766414_2870459653"/>
      <w:bookmarkStart w:id="225" w:name="_Toc82"/>
      <w:bookmarkEnd w:id="224"/>
      <w:r>
        <w:rPr>
          <w:rtl w:val="true"/>
        </w:rPr>
        <w:t>تسهیل بازیابی تغالی منابع اطلاعاتی</w:t>
      </w:r>
      <w:bookmarkEnd w:id="225"/>
    </w:p>
    <w:p>
      <w:pPr>
        <w:pStyle w:val="BookText"/>
        <w:rPr/>
      </w:pPr>
      <w:r>
        <w:rPr>
          <w:rFonts w:ascii="IRNazanin" w:hAnsi="IRNazanin" w:eastAsia="IRNazanin"/>
          <w:color w:val="111111"/>
          <w:sz w:val="28"/>
          <w:sz w:val="28"/>
          <w:szCs w:val="28"/>
          <w:rtl w:val="true"/>
          <w:lang w:bidi="fa-IR"/>
        </w:rPr>
        <w:t xml:space="preserve">طبق گزارش های رسیده، شماری از نوآوری های علمی برجسته ی مهم، نتیجه بازیابی های تفالی توسط دانشمندان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کامپا،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استوسكف،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زوکرمن،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چنین بازیابی های غیر منتظره و پیش بینی نشده ای به صورت مطبوعی دانشمند را متعجب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استوسكف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اغلب چنین کشف هایی بیشتر برای مشاهده گر کنجکاو و دارای ذهن باز اتفاق می افتد تا دانشمندی که چنین سرنخ هایی را به عنوان انحراف از مسیر اصلی تلقی می کند او تأکید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و کنجکاوی، پیش درآمدهای ضروری کشف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شود که جستجوهای تفالی، ارزش مهمی در پیشرفت علم هستند و اغلب جهش های فکری مهمی را ارائه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استوسکف،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تفالی در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مورخ انگلیسی به هوراس والپول </w:t>
      </w:r>
      <w:r>
        <w:rPr>
          <w:rStyle w:val="FootnoteAnchor"/>
          <w:rtl w:val="true"/>
        </w:rPr>
        <w:footnoteReference w:id="312"/>
      </w:r>
      <w:r>
        <w:rPr>
          <w:rFonts w:ascii="IRNazanin" w:hAnsi="IRNazanin" w:eastAsia="IRNazanin"/>
          <w:color w:val="111111"/>
          <w:sz w:val="28"/>
          <w:sz w:val="28"/>
          <w:szCs w:val="28"/>
          <w:rtl w:val="true"/>
          <w:lang w:bidi="fa-IR"/>
        </w:rPr>
        <w:t>وضع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مرتن </w:t>
      </w:r>
      <w:r>
        <w:rPr>
          <w:rStyle w:val="FootnoteAnchor"/>
          <w:rtl w:val="true"/>
        </w:rPr>
        <w:footnoteReference w:id="313"/>
      </w:r>
      <w:r>
        <w:rPr>
          <w:rFonts w:ascii="IRNazanin" w:hAnsi="IRNazanin" w:eastAsia="IRNazanin"/>
          <w:color w:val="111111"/>
          <w:sz w:val="28"/>
          <w:sz w:val="28"/>
          <w:szCs w:val="28"/>
          <w:rtl w:val="true"/>
          <w:lang w:bidi="fa-IR"/>
        </w:rPr>
        <w:t xml:space="preserve">و باربر، </w:t>
      </w:r>
      <w:r>
        <w:rPr>
          <w:rStyle w:val="FootnoteAnchor"/>
          <w:rtl w:val="true"/>
        </w:rPr>
        <w:footnoteReference w:id="314"/>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اش به دوست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سعی می کنم برای تو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اقتباس بهتر از تعریف متوجه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افسانه ی کودکانه 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شاهزاده در سرنتیپ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بلندی ها سفر می کردند و اغلب در حال جستجوی تصادفی و هوشمندانه بودند چیزهایی که آن ها در جستجویش نبودند برای مثال یکی از آن ها دریافت قاطری که نابینایی از چشم راست همان جاده را به تازگی پیموده است، زیرا تنها علف های سمت چپ خورده شده بودند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مرتن و باربر،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جستجوی تفالی اطلاعات به عنوان موضوعی در پژوهش های کتابداری و اطلاع رسانی مطرح است اگر چه پژوهش درباره این موضوع خیلی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فاستر </w:t>
      </w:r>
      <w:r>
        <w:rPr>
          <w:rStyle w:val="FootnoteAnchor"/>
          <w:rtl w:val="true"/>
        </w:rPr>
        <w:footnoteReference w:id="315"/>
      </w:r>
      <w:r>
        <w:rPr>
          <w:rFonts w:ascii="IRNazanin" w:hAnsi="IRNazanin" w:eastAsia="IRNazanin"/>
          <w:color w:val="111111"/>
          <w:sz w:val="28"/>
          <w:sz w:val="28"/>
          <w:szCs w:val="28"/>
          <w:rtl w:val="true"/>
          <w:lang w:bidi="fa-IR"/>
        </w:rPr>
        <w:t xml:space="preserve">و فورد،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فاستر و فورد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کنند که مدل های فعلی رفتار اطلاع یابی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اینگورسن،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ویلسون و والش،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ویلسون،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کولتاو،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ساراسویک،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اسپینک،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توجهی 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 و فورد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دادند که نزدیک ترین ارجاع به این مفهوم، همان است که ویلسون و والش،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ویلسون،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این پدیده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غیر فعال</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جستجوى غیر فعال</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فاستر و فورد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جزئیات بیشتری بررسی کردند، این که دسترسی تقالی به اطلاعات به پژوهشگر کمک می کند تا مرزهای جدیدی را در جست و جو برای بازیابی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فاستر و فورد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آن را برای درک کامل رفتار اطلاع یابی کاربران خاطر نشان نمودند،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ماهیت مساله ساز مطالعه تفالی می تواند به مشکلات کنترل نظام مند و نیز پیش بینی این که چگونه مساله تقالی می تواند تجربه های کاربر را ارتقا دهد نسبت داده می شود از آن جا که خدمات کتابخانه ای به سوی آنلاین شدن است کاربران به جست و جو در پایگاه های اطلاعاتی برای دستیابی به منابع اطلاعاتی از پیش تعیین شده تکیه می کنند کاربران فرصت جستجوی تفالی منبع اطلاعاتی را که می تواند از طریق مرور قفسه فیزیکی کتابخانه ای به دست آید از دست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فاستر و فورد،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میسیس،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323"/>
      </w:r>
      <w:bookmarkStart w:id="226" w:name="pg9653_81763"/>
    </w:p>
    <w:p>
      <w:pPr>
        <w:pStyle w:val="BookText"/>
        <w:rPr/>
      </w:pPr>
      <w:bookmarkEnd w:id="226"/>
      <w:r>
        <w:rPr>
          <w:rFonts w:ascii="IRNazanin" w:hAnsi="IRNazanin" w:eastAsia="IRNazanin"/>
          <w:color w:val="111111"/>
          <w:sz w:val="28"/>
          <w:sz w:val="28"/>
          <w:szCs w:val="28"/>
          <w:rtl w:val="true"/>
          <w:lang w:bidi="fa-IR"/>
        </w:rPr>
        <w:t>خاطر نشان می شود که در پایگاه های اطلاعاتی کتابخانه ای با رابط کاربری جستجوی فقره ای از پیش تعیین شده احتمال نتایج جستجوی مناسب به صورت تقالی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دسترسی آزاد به قفسه های فیزیکی کتابخانه، بازیابی تغالی را به کتاب یا مجله ای امکان پذیر می کند، آن کتابخانه هایی که مخازن کتاب بسته ،دارند چنین بازیابی های تصادفی را در قفسه های کتاب برای مراجعان فراهم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ایک ها برای پاسخگویی به جست و جوهایی است که فقره های از پیش تعیین شده را بازیابی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با استفاده از نام نویسنده یا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ها شبیه دسترسی بسته به کتاب های موجود در قفسه های فیزیکی کتابخانه هستند، چرا که هر دو متکی به تطبیق پاسخ با پرس و جوی های مشخص کاربران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ساده، عنصر بازیابی دل پذیر تفالی که به وسیله قفسه های باز کتابخانه ای تحقق می یابد در صورتی که کتابخانه های رقومی منحصرا روی تطبیق پرس و جوهای کاربر متمرکز هستند این نوع بازیابی دلپذیر می تواند کاملا از بین برود سپس این مسأله یا این سوال را مطرح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بازیابی تفالی می تواند در طراحی کتابخانه های رقومی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دسترسی به اشیای اطلاعاتی در کتابخانه های رقومی به استفاده از فراداده بستگی دارد بخشی از راه حل در انتخاب رویکردهای فراداده ای قرار می گیرد بنابراین این مساله حائز اهمیت است که چگونه رویکردهای فرادادهای اجتماع گرا می تواند در کنار فراداده های کتابخانه ای قدیمی برای ارتقای تجربه های کاربران از طریق بازیابی تفالی استفاده شود و مورد بررسی قرار گیرد؟ به بیان دیگر،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پرورش نیازهای تفالی باید مورد پژوهش قرار گیرد</w:t>
      </w:r>
    </w:p>
    <w:p>
      <w:pPr>
        <w:pStyle w:val="Heading3"/>
        <w:numPr>
          <w:ilvl w:val="2"/>
          <w:numId w:val="1"/>
        </w:numPr>
        <w:rPr/>
      </w:pPr>
      <w:bookmarkStart w:id="227" w:name="__RefHeading___Toc7766416_2870459653"/>
      <w:bookmarkStart w:id="228" w:name="_Toc83"/>
      <w:bookmarkEnd w:id="227"/>
      <w:r>
        <w:rPr>
          <w:rtl w:val="true"/>
        </w:rPr>
        <w:t>فراداده های پیوندی برای شناسایی الگوهای استفاده منبع فراداده های نوآورانه و نوپا</w:t>
      </w:r>
      <w:bookmarkEnd w:id="228"/>
    </w:p>
    <w:p>
      <w:pPr>
        <w:pStyle w:val="BookText"/>
        <w:rPr/>
      </w:pPr>
      <w:r>
        <w:rPr>
          <w:rFonts w:ascii="IRNazanin" w:hAnsi="IRNazanin" w:eastAsia="IRNazanin"/>
          <w:color w:val="111111"/>
          <w:sz w:val="28"/>
          <w:sz w:val="28"/>
          <w:szCs w:val="28"/>
          <w:rtl w:val="true"/>
          <w:lang w:bidi="fa-IR"/>
        </w:rPr>
        <w:t xml:space="preserve">تعداد زیادی نظام های فراداده ای تغییرات و نوآوردهای اصطلاحات اشیا را منعکس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سونامی، جمهوری چک برای چکسلواکی سابق یا روسیه برای اتحاد جماهیر شوروی؛ یا مک برای مکینتاش</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بهتر است این نظام ها قابلیت بازیابی اشیای اطلاعاتی را پشتیبانی کنند به همین دلیل است که واژگان اطلاعات حرفه ای کتابداری در برابر زبان پدیدآورندگان و کاربران محتوا عجیب و غریب به نظر می رسند بایستی ابهام موجود در اطلاعات خاص علوم رده بندی رفع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بربوزا،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هدف اصلی الحاق فراداده ها به اشیای اطلاعاتی، فراهم نمودن قابلیت بازیابی اشیای </w:t>
      </w:r>
    </w:p>
    <w:p>
      <w:pPr>
        <w:pStyle w:val="BookText"/>
        <w:rPr/>
      </w:pPr>
      <w:r>
        <w:rPr>
          <w:rFonts w:ascii="IRNazanin" w:hAnsi="IRNazanin" w:eastAsia="IRNazanin"/>
          <w:color w:val="111111"/>
          <w:sz w:val="28"/>
          <w:sz w:val="28"/>
          <w:szCs w:val="28"/>
          <w:rtl w:val="true"/>
          <w:lang w:bidi="fa-IR"/>
        </w:rPr>
        <w:t>اطلاعاتی است، فراداده ها باید با توجه به میزان ربط آن ها در مواجهه با هدف مذکور به جای طریقی که شیء اطلاعاتی در روش هستی شناسانه و عینی رسم شود مورد قضاوت قرار گیرند از این رو، فراداده های اطلاعاتی باید از تغییرات اصطلاحات در طی زمان آگاه شوند و چنین تغییراتی را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در زمان فهرست چاپی می کوشیدند فهرست برگه هایشان را به بهترین نحو روزآمد و رواج آن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روزآمدی رکوردهای منبع به این معنا بود که حتی اگر لغات و اصطلاحات جدید ارائه و موجب توجه کتابداران شده بود، این روزآمدی الزامی، تأخیر زمانی بسیاری به همراه داشت این مسأله منحصر به کتابداران نبود و در روزآمدی شکل های مختلف داده ای در مدخل دایره المعارفی چاپی نیز صدق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کتابخانه رقومی که با رویکردهای فراداده های ترکیبی پیریزی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فراداده اجتماع گرا و استانداردگرا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قابلیت های فناورانه و معناشناختی داده های پیوندی تکمیل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آر آی آر دی اف، او دبلیو ال، اسپارکیوال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 بهتری برای ارائه توصیف فراداده ای کامل ترو غنی تری برای اشیای اطلاعاتی دارد همچنین دقت بیشتری در انعکاس اصطلاحات و تعابیر مختلف به کار گرفته شده توسط کاربران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تحلیل الگوهای استفاده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تعداد کلیک ها مجموع دانلودها، بسامد برچسب های 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کلادهای برچسبی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میانگین رتبه بندی ها، و منابع توصیه شده مورد تایید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تسهیل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اخیراً لایبرری تینگ دات کام </w:t>
      </w:r>
      <w:r>
        <w:rPr>
          <w:rStyle w:val="FootnoteAnchor"/>
          <w:rtl w:val="true"/>
        </w:rPr>
        <w:footnoteReference w:id="326"/>
      </w:r>
      <w:r>
        <w:rPr>
          <w:rFonts w:ascii="IRNazanin" w:hAnsi="IRNazanin" w:eastAsia="IRNazanin"/>
          <w:color w:val="111111"/>
          <w:sz w:val="28"/>
          <w:sz w:val="28"/>
          <w:szCs w:val="28"/>
          <w:rtl w:val="true"/>
          <w:lang w:bidi="fa-IR"/>
        </w:rPr>
        <w:t xml:space="preserve">خصیصه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گیست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تحلیلی از محبوبترین کتاب ها به وسیله روش میانگین رتبه بندی ابرهای برچسبی و کتاب های پربازدید را ارائه می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مدل داده ای و مجموعه ای از چارچوب های فناورانه توسط خود داده ها پابرجا نمی ماند و بدون داده های پایه هیچ هدفی را زیر پوشش نمی گیرد از این رو ممزوج نمودن فراداده های کتابخان های قدیمی که توسط کتابداران و فراداده اجتماع گرا که توسط کاربر تولید شده است و هر دو به یک میزان اهمیت دارند حیاتی است ترکیب اخیر، به ویژه از منظر نیاز به شناسایی الگوها و نوآوری های استفاده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فناورانه و مدلسازی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به طور قابل ملاحظه ای سبب موفقیت فعالیت های معطوف به شناسایی الگوهای استفاده منبع واژگان جدید و نوآورانه که توسط کاربران به کار گرفته می شود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کتابخانه ها کمک خواهد کرد که از نظر ،راهبردی زمانی که منابع تهیه می شوند تصمیم گیری </w:t>
      </w:r>
      <w:bookmarkStart w:id="229" w:name="pg9653_81765"/>
    </w:p>
    <w:p>
      <w:pPr>
        <w:pStyle w:val="BookText"/>
        <w:rPr/>
      </w:pPr>
      <w:bookmarkEnd w:id="229"/>
      <w:r>
        <w:rPr>
          <w:rFonts w:ascii="IRNazanin" w:hAnsi="IRNazanin" w:eastAsia="IRNazanin"/>
          <w:color w:val="111111"/>
          <w:sz w:val="28"/>
          <w:sz w:val="28"/>
          <w:szCs w:val="28"/>
          <w:rtl w:val="true"/>
          <w:lang w:bidi="fa-IR"/>
        </w:rPr>
        <w:t xml:space="preserve">صحیحی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کتاب ها، اشتراک نشریات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این ها بازگشت سرمایه را توجیه خواهند کرد</w:t>
      </w:r>
      <w:r>
        <w:rPr>
          <w:rFonts w:eastAsia="IRNazanin" w:cs="IRNazanin"/>
          <w:color w:val="111111"/>
          <w:sz w:val="28"/>
          <w:szCs w:val="28"/>
          <w:rtl w:val="true"/>
          <w:lang w:bidi="fa-IR"/>
        </w:rPr>
        <w:t>.</w:t>
      </w:r>
    </w:p>
    <w:p>
      <w:pPr>
        <w:pStyle w:val="Heading3"/>
        <w:numPr>
          <w:ilvl w:val="2"/>
          <w:numId w:val="1"/>
        </w:numPr>
        <w:rPr/>
      </w:pPr>
      <w:bookmarkStart w:id="230" w:name="__RefHeading___Toc7766418_2870459653"/>
      <w:bookmarkStart w:id="231" w:name="_Toc84"/>
      <w:bookmarkEnd w:id="230"/>
      <w:r>
        <w:rPr>
          <w:rtl w:val="true"/>
        </w:rPr>
        <w:t>جستجو بر پایه چهریزه</w:t>
      </w:r>
      <w:bookmarkEnd w:id="231"/>
    </w:p>
    <w:p>
      <w:pPr>
        <w:pStyle w:val="BookText"/>
        <w:rPr/>
      </w:pPr>
      <w:r>
        <w:rPr>
          <w:rFonts w:ascii="IRNazanin" w:hAnsi="IRNazanin" w:eastAsia="IRNazanin"/>
          <w:color w:val="111111"/>
          <w:sz w:val="28"/>
          <w:sz w:val="28"/>
          <w:szCs w:val="28"/>
          <w:rtl w:val="true"/>
          <w:lang w:bidi="fa-IR"/>
        </w:rPr>
        <w:t xml:space="preserve">مرور چهریزه ای به استفاده از ابعاد و ویژگی های مختلف هنگام جست و جو در نظام اطلاعاتی اشاره می کند که هدف آن ارتقای جست و جو پذیری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مورویل،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مورویل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ی استفاده از چهریزه در کتابخانه ها توسط اس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رانگاناتان متداول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استفاده از چهریزه ها با استفاده از رده بندی ها این است که در آن یک فقره تنها در یک مکان منفرد در سلسله مراتب قرار می گیرد که این مسأله، راه های جایگزین جستجو را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اینبرگر با مفهوم چندسویگی </w:t>
      </w:r>
      <w:r>
        <w:rPr>
          <w:rStyle w:val="FootnoteAnchor"/>
          <w:rtl w:val="true"/>
        </w:rPr>
        <w:footnoteReference w:id="328"/>
      </w:r>
      <w:r>
        <w:rPr>
          <w:rFonts w:ascii="IRNazanin" w:hAnsi="IRNazanin" w:eastAsia="IRNazanin"/>
          <w:color w:val="111111"/>
          <w:sz w:val="28"/>
          <w:sz w:val="28"/>
          <w:szCs w:val="28"/>
          <w:rtl w:val="true"/>
          <w:lang w:bidi="fa-IR"/>
        </w:rPr>
        <w:t xml:space="preserve">تد نلسون </w:t>
      </w:r>
      <w:r>
        <w:rPr>
          <w:rStyle w:val="FootnoteAnchor"/>
          <w:rtl w:val="true"/>
        </w:rPr>
        <w:footnoteReference w:id="329"/>
      </w:r>
      <w:r>
        <w:rPr>
          <w:rFonts w:ascii="IRNazanin" w:hAnsi="IRNazanin" w:eastAsia="IRNazanin"/>
          <w:color w:val="111111"/>
          <w:sz w:val="28"/>
          <w:sz w:val="28"/>
          <w:szCs w:val="28"/>
          <w:rtl w:val="true"/>
          <w:lang w:bidi="fa-IR"/>
        </w:rPr>
        <w:t>موافق است و اینبرگر مخالف مفهوم اتخاذ ساختار جست و جوی کامل، از پیش تعیین شده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وانمود می کنند که چیزها را عمیقا سلسله مراتبی دسته بندی شده و ترتیبی نگه داشته اند در حالی که این امر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عمیقا چندسویه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چندسویگی که تد نلسون ابداع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واژه فرامتن به ایشان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ارتباط و همبستگی مفاهیم اشاره دارد بنابراین او معتقد است که هر تلاشی برای مقوله بندی ساختگی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اطلاعات بیشتر از چندسویگی تد نلسون،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واینبرگر،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رایت،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واینبرگر بحث می کند که اشیای اطلاعاتی رقومی می توانند به روش های متعددی مبتنی بر بافتار و نیازهای کاربران ذخیره، مقوله بندی و ارائه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واینبرگر،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واینبرگر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رده سوم این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کامل کتابخانه های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شیء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شاخه های عدیده ای برای افراد متفاوت قرار گیرد و درعین حال همان شیء اطلاعاتی را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با رویکرد متفاوتی به همان موضوع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شاخه دیگری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نیست که دانش ما از دنیا شکل دیگری به جز شکل درختی به خود می گیرد یا به شکل درخت چهار بعدی تصور ناپذیر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 شکل است راه های زیبا، قوی و مفید بسیار زیادی برای درک دنیای ما وجود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اینبرگر در کتاب خود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فهم</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عقیده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 مشکل فزونی اطلاعات، ایجاد فراداده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او به اهمیت پالایش نتایج مرتبط مبتنی بر چهریزه های </w:t>
      </w:r>
      <w:bookmarkStart w:id="232" w:name="pg9653_81766"/>
    </w:p>
    <w:p>
      <w:pPr>
        <w:pStyle w:val="BookText"/>
        <w:rPr/>
      </w:pPr>
      <w:bookmarkEnd w:id="232"/>
      <w:r>
        <w:rPr>
          <w:rFonts w:ascii="IRNazanin" w:hAnsi="IRNazanin" w:eastAsia="IRNazanin"/>
          <w:color w:val="111111"/>
          <w:sz w:val="28"/>
          <w:sz w:val="28"/>
          <w:szCs w:val="28"/>
          <w:rtl w:val="true"/>
          <w:lang w:bidi="fa-IR"/>
        </w:rPr>
        <w:t>متفاوت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مایدا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در کتابش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ساده سازی</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سازی عبارت است از حذف بدیهیات و افزودن نتایج ارزشمند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کتابخانه های رقومی از محدودیت هایی که ناشی از قفسه فیزیکی در کتابخانه های سنتی است، 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کتابخانه های رقومی کاربران را برای پالایش اطلاعات در بسیاری از روش ها با استفاده از کلیدواژه ها و مقوله ها در قالب چهریزه ها در بازیابی اشیای اطلاعاتی توان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قدرت ساختار پیوند در داده های پیوندی و غنای فراداده ای که از طریق استفاده از دو رویکرد فراداده های اجتماع گرا و استاندارد گرا تولید خواهد شد گروهی از چهریزه ها برای پالایش محتوایی که به کاربر ارائه شده است مورد استفاده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غنای فراداده ای می تواند در پروفایل های کاربر مورد استفاده قرار گیرد تا نظام های کتابخانه های رقومی بتوانند نتایج جستجو را شخصی سازی و بافتاری سازی </w:t>
      </w:r>
      <w:r>
        <w:rPr>
          <w:rStyle w:val="FootnoteAnchor"/>
          <w:rtl w:val="true"/>
        </w:rPr>
        <w:footnoteReference w:id="333"/>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لست دات اف ام </w:t>
      </w:r>
      <w:r>
        <w:rPr>
          <w:rStyle w:val="FootnoteAnchor"/>
          <w:rtl w:val="true"/>
        </w:rPr>
        <w:footnoteReference w:id="334"/>
      </w:r>
      <w:r>
        <w:rPr>
          <w:rFonts w:ascii="IRNazanin" w:hAnsi="IRNazanin" w:eastAsia="IRNazanin"/>
          <w:color w:val="111111"/>
          <w:sz w:val="28"/>
          <w:sz w:val="28"/>
          <w:szCs w:val="28"/>
          <w:rtl w:val="true"/>
          <w:lang w:bidi="fa-IR"/>
        </w:rPr>
        <w:t xml:space="preserve">، لایبرری تینگ و آمازون دات کام </w:t>
      </w:r>
      <w:r>
        <w:rPr>
          <w:rStyle w:val="FootnoteAnchor"/>
          <w:rtl w:val="true"/>
        </w:rPr>
        <w:footnoteReference w:id="335"/>
      </w:r>
      <w:r>
        <w:rPr>
          <w:rFonts w:ascii="IRNazanin" w:hAnsi="IRNazanin" w:eastAsia="IRNazanin"/>
          <w:color w:val="111111"/>
          <w:sz w:val="28"/>
          <w:sz w:val="28"/>
          <w:szCs w:val="28"/>
          <w:rtl w:val="true"/>
          <w:lang w:bidi="fa-IR"/>
        </w:rPr>
        <w:t>مصادیقی هستند که در آن ها از جست و جوی چهریزه ای و پالایش فراداده ای استفاده می شود</w:t>
      </w:r>
      <w:r>
        <w:rPr>
          <w:rFonts w:eastAsia="IRNazanin" w:cs="IRNazanin"/>
          <w:color w:val="111111"/>
          <w:sz w:val="28"/>
          <w:szCs w:val="28"/>
          <w:rtl w:val="true"/>
          <w:lang w:bidi="fa-IR"/>
        </w:rPr>
        <w:t>.</w:t>
      </w:r>
    </w:p>
    <w:p>
      <w:pPr>
        <w:pStyle w:val="Heading3"/>
        <w:numPr>
          <w:ilvl w:val="2"/>
          <w:numId w:val="1"/>
        </w:numPr>
        <w:rPr/>
      </w:pPr>
      <w:bookmarkStart w:id="233" w:name="__RefHeading___Toc7766420_2870459653"/>
      <w:bookmarkStart w:id="234" w:name="_Toc85"/>
      <w:bookmarkEnd w:id="233"/>
      <w:r>
        <w:rPr>
          <w:rtl w:val="true"/>
        </w:rPr>
        <w:t>فراداده های غنی از پیوند</w:t>
      </w:r>
      <w:bookmarkEnd w:id="234"/>
    </w:p>
    <w:p>
      <w:pPr>
        <w:pStyle w:val="BookText"/>
        <w:rPr/>
      </w:pPr>
      <w:r>
        <w:rPr>
          <w:rFonts w:ascii="IRNazanin" w:hAnsi="IRNazanin" w:eastAsia="IRNazanin"/>
          <w:color w:val="111111"/>
          <w:sz w:val="28"/>
          <w:sz w:val="28"/>
          <w:szCs w:val="28"/>
          <w:rtl w:val="true"/>
          <w:lang w:bidi="fa-IR"/>
        </w:rPr>
        <w:t xml:space="preserve">در حال حاضر، در نمایش اپکی پیوند به فراداده ها تنها می تواند به نقطه مشخصی حرکت کند و زمانی که فقره داده ای دیگر پیوند داده نمی شود رسش فوری به بن بست اتفاق می افتد برای مثال رابط کاربری های فعلی امکان یافتن کتاب خاصی را به کاربر می دهند تا بر روی نام نویسنده کلیک کند، انتشارات آن نویسنده را ببیند و شاید کتاب های مشابه مرتبط را پیدا کند معمولا ایک ها پیوند مستقیمی به صفحه سرگذشتتنامه ای نویسنده یا از آن جا به ویکی پدیا گوگل بوک، و بازگشت به صفحه فهرست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توصیف شده با فراداده های فراوان در محیط داده های پیوندی می تواند به هر چیزی که مرتبط است پیوند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بستگی به تشخیص کاربر دارد که تصمیم بگیرد جست و جو را وقتی که نیاز اطلاعاتی اش رفع شده است متوقف ،کند یا جست و جو در اطلاعات مفهومی و مرتبط را ادامه 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هر قسمت از فراداده با پیوندی غنی شده است مگر این که فراداده از نوع ساده ای </w:t>
      </w:r>
      <w:bookmarkStart w:id="235" w:name="pg9653_81767"/>
    </w:p>
    <w:p>
      <w:pPr>
        <w:pStyle w:val="BookText"/>
        <w:rPr/>
      </w:pPr>
      <w:bookmarkEnd w:id="235"/>
      <w:r>
        <w:rPr>
          <w:rFonts w:ascii="IRNazanin" w:hAnsi="IRNazanin" w:eastAsia="IRNazanin"/>
          <w:color w:val="111111"/>
          <w:sz w:val="28"/>
          <w:sz w:val="28"/>
          <w:szCs w:val="28"/>
          <w:rtl w:val="true"/>
          <w:lang w:bidi="fa-IR"/>
        </w:rPr>
        <w:t>نظیر سنّ فرد باشد که در این جا نیازی نیست به صفحه دیگری پیوند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فراداده های غنی شده با پیوندهای مفهومی و مرتبط برای کاربران این امکان را فراهم می کنند که به صورت یکپارچه بین پایگاه های اطلاعاتی ناهمخوان و تهیه کنندگان بیرونی اطلاعات نظیر سایر کتابخانه ها و موتورهای کاوش جستجو کنند داده های پیوندی با موجودیت های شناسایی جهانی و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آثار، افراد، اماکن و رخدادها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فراداده ای یا مشخصات نویسنده، عنوان، موضوع، روابط و ارزش های متناظر موارد شماری از راه های غنی کردن اشیای اطلاعاتی با فراداده را که بازیابی اطلاعات را تسهیل و تجربه کاربر را در کتابخانه های رقومی ارتقا خواهد بخشید ارائه می نماید</w:t>
      </w:r>
      <w:r>
        <w:rPr>
          <w:rFonts w:eastAsia="IRNazanin" w:cs="IRNazanin"/>
          <w:color w:val="111111"/>
          <w:sz w:val="28"/>
          <w:szCs w:val="28"/>
          <w:rtl w:val="true"/>
          <w:lang w:bidi="fa-IR"/>
        </w:rPr>
        <w:t>.</w:t>
      </w:r>
    </w:p>
    <w:p>
      <w:pPr>
        <w:pStyle w:val="Heading3"/>
        <w:numPr>
          <w:ilvl w:val="2"/>
          <w:numId w:val="1"/>
        </w:numPr>
        <w:rPr/>
      </w:pPr>
      <w:bookmarkStart w:id="236" w:name="__RefHeading___Toc7766422_2870459653"/>
      <w:bookmarkStart w:id="237" w:name="_Toc86"/>
      <w:bookmarkEnd w:id="236"/>
      <w:r>
        <w:rPr>
          <w:rtl w:val="true"/>
        </w:rPr>
        <w:t>نتایج</w:t>
      </w:r>
      <w:bookmarkEnd w:id="237"/>
    </w:p>
    <w:p>
      <w:pPr>
        <w:pStyle w:val="BookText"/>
        <w:rPr/>
      </w:pPr>
      <w:r>
        <w:rPr>
          <w:rFonts w:ascii="IRNazanin" w:hAnsi="IRNazanin" w:eastAsia="IRNazanin"/>
          <w:color w:val="111111"/>
          <w:sz w:val="28"/>
          <w:sz w:val="28"/>
          <w:szCs w:val="28"/>
          <w:rtl w:val="true"/>
          <w:lang w:bidi="fa-IR"/>
        </w:rPr>
        <w:t>استانداردها و مدل های کتابخانه ای جاری برخی محددیت های ذاتی را که از نظام فهرست برگه سنتی به ارث برده شده منتقل کرده اند فراداده هایی که با استفاده از این مدل ها تولید می شوند اساسا با استفاده انسانی هماهنگ شده اند تا پردازش ماشینی داده های پیوندی به عنوان راهکاری برای امکان ایجاد فراداده های داده گرا و قابل پردازش ماشینی در نظر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پذیرش داده های پیوندی در ایجاد و استفاده واقعی به عنوان فراداده کتابخانه ای هنوز در مرحله نوباوگی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می شود که مدلهای کتابخانه ای ،موجود نظیر آردی ای و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بی آر، از منظر سازگاری آن ها با اصول داده های پیوندی مفهومی سازی دوباره شوند؛ و کتابخانه ها بایستی رکوردهای فرادادهای سازگار با مارک را به قالب های سریالی آردی اف ایکس ام ال تبدیل کنند بدین وسیله خروج آرام از مارک و مشتقات آن اتفاق می افتد با توجه به این مسأله استدلال می شود که فراخوان کنار گذاشتن مدل های فراداده ای موجود نظیر آردی ای و اف آر بی آر در برابر خصیصه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استانداردهای ناهمخوان و واژگان مهار شده می توانند در همان محیط به خوبی همزیستی داشته باشند محیطی که در آن این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یو آر آی جهانی منحصر به فرد و مدل داده ای سطح بالایی به نام آردی اف ارجاع و به 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بایستی در هر طرح نوآورانه پذیرش اصول داده های پیوندی دستورالعمل های بهینه که کتابداران طی قرون گذشته در خصوص نگهداری و حفظ واژگان مهار شده نظیر نام های مستند و سرعنوان های موضوعی آموخته اند در کنار ارزش تجربه ی تعیین نیازهای کاربران به کار گرفته شود گفته می شود پذیرش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فراداده های کتابخانه ای به کتابخانه ها کمک خواهد کرد تا کاربردها و خدمات نوین کتابخانه ای را نظیر مرور چهریزهای مرور تفالی فراداده های نوآورانه و شناسایی روندهای </w:t>
      </w:r>
      <w:bookmarkStart w:id="238" w:name="pg9653_81768"/>
    </w:p>
    <w:p>
      <w:pPr>
        <w:pStyle w:val="BookText"/>
        <w:rPr/>
      </w:pPr>
      <w:bookmarkEnd w:id="238"/>
      <w:r>
        <w:rPr>
          <w:rFonts w:ascii="IRNazanin" w:hAnsi="IRNazanin" w:eastAsia="IRNazanin"/>
          <w:color w:val="111111"/>
          <w:sz w:val="28"/>
          <w:sz w:val="28"/>
          <w:szCs w:val="28"/>
          <w:rtl w:val="true"/>
          <w:lang w:bidi="fa-IR"/>
        </w:rPr>
        <w:t>نوپا و واژگان کاربر ایجاد کنند</w:t>
      </w:r>
      <w:r>
        <w:rPr>
          <w:rFonts w:eastAsia="IRNazanin" w:cs="IRNazanin"/>
          <w:color w:val="111111"/>
          <w:sz w:val="28"/>
          <w:szCs w:val="28"/>
          <w:rtl w:val="true"/>
          <w:lang w:bidi="fa-IR"/>
        </w:rPr>
        <w:t>.</w:t>
      </w:r>
    </w:p>
    <w:p>
      <w:pPr>
        <w:pStyle w:val="Heading3"/>
        <w:numPr>
          <w:ilvl w:val="2"/>
          <w:numId w:val="1"/>
        </w:numPr>
        <w:rPr/>
      </w:pPr>
      <w:bookmarkStart w:id="239" w:name="__RefHeading___Toc7766424_2870459653"/>
      <w:bookmarkStart w:id="240" w:name="_Toc87"/>
      <w:bookmarkEnd w:id="239"/>
      <w:r>
        <w:rPr>
          <w:rtl w:val="true"/>
        </w:rPr>
        <w:t>منابع</w:t>
      </w:r>
      <w:bookmarkEnd w:id="240"/>
    </w:p>
    <w:p>
      <w:pPr>
        <w:pStyle w:val="BookText"/>
        <w:rPr/>
      </w:pPr>
      <w:r>
        <w:rPr>
          <w:rFonts w:eastAsia="Times New Roman" w:cs="Times New Roman" w:ascii="Times New Roman" w:hAnsi="Times New Roman"/>
          <w:color w:val="111111"/>
          <w:sz w:val="28"/>
          <w:szCs w:val="28"/>
          <w:lang w:val="en-US" w:bidi="en-US"/>
        </w:rPr>
        <w:t>Alemu, G., Stevens, B., &amp; Ross, P. (2012). Towards a Conceptual Framework for User-Driven Semantic Metadata Interoperability in Digital Libraries: A Social Constructivist Approach. New Library World, 113(1/2), 38-54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Alexander, B. (2006). Web 2.0: A New Wave of Innovation for Teaching and Learning? EDUCAUSE Review, 42(2), 32-44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Allemnag, D., &amp; Hendler, J. (2008). Semantic Web for the Working Ontologist: Effective Modeling in RDFS and OWL. Amsterdam: Morgan Kaufmann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Anderson, C. (2006). The Long Tail: How Endless Choice is Creating Unlimit- ted Demand. London: Random House Business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Anderson, C. (2010). Free: How Today's Smartest Businesses Profit by Giving Something for Nothing. London: Random House Business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Barbosa, D. (2008). Taxonomy Folksonomy Cookbook. Retrieved from http://solutions.dowjones.com/cookbook/ebook_sla2008/cookbookebook.pdf</w:t>
      </w:r>
    </w:p>
    <w:p>
      <w:pPr>
        <w:pStyle w:val="BookText"/>
        <w:rPr/>
      </w:pPr>
      <w:r>
        <w:rPr>
          <w:rFonts w:eastAsia="Times New Roman" w:cs="Times New Roman" w:ascii="Times New Roman" w:hAnsi="Times New Roman"/>
          <w:color w:val="111111"/>
          <w:sz w:val="28"/>
          <w:szCs w:val="28"/>
          <w:lang w:val="en-US" w:bidi="en-US"/>
        </w:rPr>
        <w:t>Berners-Lee, T. (1997). Metadata Architecture. Retrieved from http://www.w3.org/DesignIssues/Metadata.html</w:t>
      </w:r>
    </w:p>
    <w:p>
      <w:pPr>
        <w:pStyle w:val="BookText"/>
        <w:rPr/>
      </w:pPr>
      <w:r>
        <w:rPr>
          <w:rFonts w:eastAsia="Times New Roman" w:cs="Times New Roman" w:ascii="Times New Roman" w:hAnsi="Times New Roman"/>
          <w:color w:val="111111"/>
          <w:sz w:val="28"/>
          <w:szCs w:val="28"/>
          <w:lang w:val="en-US" w:bidi="en-US"/>
        </w:rPr>
        <w:t>Berners-Lee, T. (1998). What the Semantic Web can Represent. Retrieved from http://www.w3.org/DesignIssues/RDFnot.html</w:t>
      </w:r>
    </w:p>
    <w:p>
      <w:pPr>
        <w:pStyle w:val="BookText"/>
        <w:rPr/>
      </w:pPr>
      <w:r>
        <w:rPr>
          <w:rFonts w:eastAsia="Times New Roman" w:cs="Times New Roman" w:ascii="Times New Roman" w:hAnsi="Times New Roman"/>
          <w:color w:val="111111"/>
          <w:sz w:val="28"/>
          <w:szCs w:val="28"/>
          <w:lang w:val="en-US" w:bidi="en-US"/>
        </w:rPr>
        <w:t>Berners-Lee, T. (2007). Testimony of Sir Timothy Berners-Lee Before the United States House of Representatives Committee on Energy and Commerce</w:t>
      </w:r>
    </w:p>
    <w:p>
      <w:pPr>
        <w:pStyle w:val="BookText"/>
        <w:rPr/>
      </w:pPr>
      <w:r>
        <w:rPr>
          <w:rFonts w:eastAsia="Times New Roman" w:cs="Times New Roman" w:ascii="Times New Roman" w:hAnsi="Times New Roman"/>
          <w:color w:val="111111"/>
          <w:sz w:val="28"/>
          <w:szCs w:val="28"/>
          <w:lang w:val="en-US" w:bidi="en-US"/>
        </w:rPr>
        <w:t>Subcommittee on Telecommunications and the Internet. Retrieved from http://dig. csail.mit.edu/2007/03/01- ushouse-future-of-the-web.html</w:t>
      </w:r>
    </w:p>
    <w:p>
      <w:pPr>
        <w:pStyle w:val="BookText"/>
        <w:rPr/>
      </w:pPr>
      <w:r>
        <w:rPr>
          <w:rFonts w:eastAsia="Times New Roman" w:cs="Times New Roman" w:ascii="Times New Roman" w:hAnsi="Times New Roman"/>
          <w:color w:val="111111"/>
          <w:sz w:val="28"/>
          <w:szCs w:val="28"/>
          <w:lang w:val="en-US" w:bidi="en-US"/>
        </w:rPr>
        <w:t>Berners-Lee, T. (2009). Linked Data. Retrieved from http://www.w3.org/DesignIssues/LinkedData.html</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Berners-Lee, T. (2010). Tim Berners-Lee: The Year Open Data Went World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wide. from http://www.ted.com/talks/tim_berners_lee_the_year_open_data went worldwide.html</w:t>
      </w:r>
    </w:p>
    <w:p>
      <w:pPr>
        <w:pStyle w:val="BookText"/>
        <w:rPr/>
      </w:pPr>
      <w:r>
        <w:rPr>
          <w:rFonts w:eastAsia="Times New Roman" w:cs="Times New Roman" w:ascii="Times New Roman" w:hAnsi="Times New Roman"/>
          <w:color w:val="111111"/>
          <w:sz w:val="28"/>
          <w:szCs w:val="28"/>
          <w:lang w:val="en-US" w:bidi="en-US"/>
        </w:rPr>
        <w:t>Berners-Lee, T., Hendler, J., &amp; Lassila, O. (2001). The Semantic Web: A New form of Web Content that is Meaningful to Computers will Unleash a Revolution of New Possibilities. The Scientific American, 284(5), 34-43</w:t>
      </w:r>
    </w:p>
    <w:p>
      <w:pPr>
        <w:pStyle w:val="BookText"/>
        <w:rPr/>
      </w:pPr>
      <w:r>
        <w:rPr>
          <w:rFonts w:eastAsia="Times New Roman" w:cs="Times New Roman" w:ascii="Times New Roman" w:hAnsi="Times New Roman"/>
          <w:color w:val="111111"/>
          <w:sz w:val="28"/>
          <w:szCs w:val="28"/>
          <w:lang w:val="en-US" w:bidi="en-US"/>
        </w:rPr>
        <w:t>Brand, S. (1994). How Buildings Learn: What Happens after They're Built. London: Viking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Brand, S. (1999). The Clock of the Long Now: Time and Responsibility (1st ed.).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Campa, R. (2008). Making Science by Serendipity. A review of Robert K. Merton and Elinor Barber's the Travels and Adventures of Serendipity. Journal of Evolution and Technology 17(1), 75-83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Campbell, D. G., &amp; Fast, K. V. (2006). From Pace Layering to Resilience Theory: The Complex Implications of Tagging for Information Architecture. Pa- per presented at the The 7th Information Architecture Summit, Vancouver, British Columbia, Canada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Cobden, M., Black, J., Gibbins, N., Carr, L., &amp; Shadbolt, N. (2011). A Re- search Agenda for Linked Closed Data. Paper presented at the Second Internation- al Workshop on Consuming Linked Data. Retrieved from http://eprints.ecs.soton. ac.uk/22711/3/position.pdf</w:t>
      </w:r>
    </w:p>
    <w:p>
      <w:pPr>
        <w:pStyle w:val="BookText"/>
        <w:rPr/>
      </w:pPr>
      <w:r>
        <w:rPr>
          <w:rFonts w:eastAsia="Times New Roman" w:cs="Times New Roman" w:ascii="Times New Roman" w:hAnsi="Times New Roman"/>
          <w:color w:val="111111"/>
          <w:sz w:val="28"/>
          <w:szCs w:val="28"/>
          <w:lang w:val="en-US" w:bidi="en-US"/>
        </w:rPr>
        <w:t>Coyle, K. (2010). Library Data in a Modern Context. Library Technology Re- ports 46(1), 5-13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Coyle, K., &amp; Hillmann, D. (2007). Resource Description and Access (RDA): Cataloging Rules for the 20th Century. D-Lib Magazine, 13(1/2)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Day, M. (2000). Resource Discovery, Interoperability and Digital Preserva- tion: Some Aspects of Current Metadata Research and Development. VINE, 36(117), 35-48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Day, M. (2003a). Integrating Metadata Schema Registries with Digital Pres- ervation Systems to Support Interoperability: A Proposal. Paper presented at the International Conference on Dublin Core and Metadata Applications, Seatle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Day, M. (2003b). Preservation Metadata Initiatives: Practicality, Sustainabil- ity, and Interoperability. Paper presented at the ERPANET Training Seminar on Metadata in Digital</w:t>
      </w:r>
    </w:p>
    <w:p>
      <w:pPr>
        <w:pStyle w:val="BookText"/>
        <w:rPr/>
      </w:pPr>
      <w:r>
        <w:rPr>
          <w:rFonts w:eastAsia="Times New Roman" w:cs="Times New Roman" w:ascii="Times New Roman" w:hAnsi="Times New Roman"/>
          <w:color w:val="111111"/>
          <w:sz w:val="28"/>
          <w:szCs w:val="28"/>
          <w:lang w:val="en-US" w:bidi="en-US"/>
        </w:rPr>
        <w:t>Preservation. Retrieved from http://www.ukoln.ac.uk/preservation/publica- tions/erpanetmarburg/ day-paper.pdf</w:t>
      </w:r>
    </w:p>
    <w:p>
      <w:pPr>
        <w:pStyle w:val="BookText"/>
        <w:rPr/>
      </w:pPr>
      <w:r>
        <w:rPr>
          <w:rFonts w:eastAsia="Times New Roman" w:cs="Times New Roman" w:ascii="Times New Roman" w:hAnsi="Times New Roman"/>
          <w:color w:val="111111"/>
          <w:sz w:val="28"/>
          <w:szCs w:val="28"/>
          <w:lang w:val="en-US" w:bidi="en-US"/>
        </w:rPr>
        <w:t>Decker, S., Melnik, S., Van Harmelen, F., Fensel, D., Klein, M., Broekstra, J., et al. (2000). The Semantic Web: The Roles of XML and RDF. IEEE Internet Computing, 15(3), 63-74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Denton, W. (2007). FRBR and the History of Cataloging. In A. G. Taylor (Ed.), Understanding FRBR: What it is and How it Will affect Our Retrieval (pp. 35-57). Westport, Connecticut: 16 Libraries Unlimited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Doerr, M., Gradmann, S., Hennicke, S., Isaac, A., Meghini, C., &amp; Van de Som- pel, H. (2012). The</w:t>
      </w:r>
    </w:p>
    <w:p>
      <w:pPr>
        <w:pStyle w:val="BookText"/>
        <w:rPr/>
      </w:pPr>
      <w:r>
        <w:rPr>
          <w:rFonts w:eastAsia="Times New Roman" w:cs="Times New Roman" w:ascii="Times New Roman" w:hAnsi="Times New Roman"/>
          <w:color w:val="111111"/>
          <w:sz w:val="28"/>
          <w:szCs w:val="28"/>
          <w:lang w:val="en-US" w:bidi="en-US"/>
        </w:rPr>
        <w:t>Europeana Data Model (EDM). Paper presented at the World Library and In- formation Congress: 76th IFLA General Conference and Assembly, Gothenburg, Sweden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Dunsire, G. (2009). UNIMARC, RDA and the Semantic Web Paper presented at the World Library and Information Congress: 75th IFLA General Conference and Council 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trieved from http://www.ifla.org/files/hq/papers/ifla75/135-dunsire-en.pdf Evans, W. (2009). Building Library 3.0: Issues in Creating A Culture Of Par- ticipation. Oxford: Chandos</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Foster, A., &amp; Ford, N. (2003). Serendipity and Information Seeking: an Empir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ical Study. Journal of Documentation, 59(3), 321-340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Gruber, T. (1993). Toward Principles for the Design of Ontologies Used for Knowledge Sharing. International Journal Human-Computer Studies, 43, 907- 928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Gruber, T. (2007). Ontology of Folsonomy: A Mash-up of Apples and Oranges. International Journal on Semantic Web &amp; Information Systems, 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Gruber, T. (2008). Collective Knowledge Systems: Where the Social Web Meets the Semantic Web. Journal of Web Semantics: Science, Services and Agents on the World Wide Web, 6(1), 4-13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Guenther, R., &amp; McCallum, S. (2003). New metadata standards for digital resources: MODS and METS. Bulletin of the American Society for Information Science and Technology, 29(2). Haslhofer, B., &amp; Isaac, A. (2011). data.europeana.eu - The Europeana Linked Open Data Pilot. Paper presented at the DC-2012 International Conference on Dublin Core and Metadata Applications, The Hague, The Netherlands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Helen, W. (2010). Linked Data and Libraries. Catalogue &amp; Index(160), 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Horridge, M., Knublauch, H., Rector, A., Stevens, R., &amp; Wroe, C. (2004). A Practical Guide to Building OWL Ontologies Using the Prot'eg'e-OWL Plugin and CO-ODE Tools Edition 1.0</w:t>
      </w:r>
    </w:p>
    <w:p>
      <w:pPr>
        <w:pStyle w:val="BookText"/>
        <w:rPr/>
      </w:pPr>
      <w:r>
        <w:rPr>
          <w:rFonts w:eastAsia="Times New Roman" w:cs="Times New Roman" w:ascii="Times New Roman" w:hAnsi="Times New Roman"/>
          <w:color w:val="111111"/>
          <w:sz w:val="28"/>
          <w:szCs w:val="28"/>
          <w:lang w:val="en-US" w:bidi="en-US"/>
        </w:rPr>
        <w:t>Available from http://www.co-ode.org/resources/tutorials/ProtegeOWLTutori- al.pdf IFLA. (2009). Functional Requirements for Bibliographic Records: Final Report: International Federation of Library Associations and Institutions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Lagoze, C. (2010). Lost Identity: the Assimilation of Digital Libraries into the Web. Cornell</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University, School of Information Science. Library of Congress. (2011). A Bibliographic Framework for the Digital 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Washington, D.C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of Congress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Lubetzky, S. (1953). Development of Cataloging Rules Library Trends 2(2), 179-186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Marcum, D. (2011). A Bibliographic Framework for the Digital Age. Washing- ton, D.C.: Library of Congress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Massis, B. E. (2011). "Serendipitous" browsing versus library space. New Li- brary World, 112(3/4), 178-182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Mathes, A. (2004). Folksonomies - Cooperative Classification and Commu- nication Through Shared Metadata Retrieved from http://www.adammathes.com/ academic/computer-mediatedcommunication/ folksonomies.html</w:t>
      </w:r>
    </w:p>
    <w:p>
      <w:pPr>
        <w:pStyle w:val="BookText"/>
        <w:rPr/>
      </w:pPr>
      <w:r>
        <w:rPr>
          <w:rFonts w:eastAsia="Times New Roman" w:cs="Times New Roman" w:ascii="Times New Roman" w:hAnsi="Times New Roman"/>
          <w:color w:val="111111"/>
          <w:sz w:val="28"/>
          <w:szCs w:val="28"/>
          <w:lang w:val="en-US" w:bidi="en-US"/>
        </w:rPr>
        <w:t>Merton, R. K., &amp; Barber, E. (2004). The Travels and Adventures of Serendip- ity: A Study in Sociological Semantics and the Sociology of Science. Princeton: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P. (2005). Web 2.0: Building the New Library Ariadne, 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Morville, P. (2005). Ambient findability. Sebastopol, CA: O'Reilly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Nilsson, M. (2010). From Interoperability to Harmonization in Metadata</w:t>
      </w:r>
    </w:p>
    <w:p>
      <w:pPr>
        <w:pStyle w:val="BookText"/>
        <w:rPr/>
      </w:pPr>
      <w:r>
        <w:rPr>
          <w:rFonts w:eastAsia="Times New Roman" w:cs="Times New Roman" w:ascii="Times New Roman" w:hAnsi="Times New Roman"/>
          <w:color w:val="111111"/>
          <w:sz w:val="28"/>
          <w:szCs w:val="28"/>
          <w:lang w:val="en-US" w:bidi="en-US"/>
        </w:rPr>
        <w:t>Standardization: Designing an Evolvable Framework for Metadata Harmoniza- tion. Unpublished PhD, School of Computer Science and Communication, KTH, Stockholm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Noy, N. F., &amp; McGuinness, D. L. (2000). Ontology Development 101: A Guide to Creating Your First Ontology. Retrieved from http://protege.stanford.edu/publications/ontology_development/ontolo- gy101-noymcguinness</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html O'Reilly, T. (2005). What is Web 2.0: Design Patterns and Business Mod- els for the Next Generation of Software. Retrieved from http://oreilly.com/web2/ archive/what-is-web-20.html Rothenberg, J. (2008). Interoperability as a Semantic Cross-cutting Concern Interoperabiliteit. Eerlijk zullen we alles delen. Den Haag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Shadbolt, N. (2010). data.gov.uk - The Linked Data Revolution. Paper present- ed at the Innovating Through Information Lecture Series. Retrieved from http:// eprints.ecs.soton.ac.uk/18787/17 Shirky, C. (2005). Ontology is Overrated: Cate- gories, Links, and Tags. Clay Shirky's Writings About</w:t>
      </w:r>
    </w:p>
    <w:p>
      <w:pPr>
        <w:pStyle w:val="BookText"/>
        <w:rPr/>
      </w:pPr>
      <w:r>
        <w:rPr>
          <w:rFonts w:eastAsia="Times New Roman" w:cs="Times New Roman" w:ascii="Times New Roman" w:hAnsi="Times New Roman"/>
          <w:color w:val="111111"/>
          <w:sz w:val="28"/>
          <w:szCs w:val="28"/>
          <w:lang w:val="en-US" w:bidi="en-US"/>
        </w:rPr>
        <w:t>the Internet. Retrieved from http://www.shirky.com/writings/ontology_over- rated.html Smith, G. (2008). Tagging People-Powered Metadata for the Social Web. Berkeley, CA: New Riders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Stoskopf, M. K. (2005). Observation and cogitation: how serendipity provides the building blocks of scientific discovery. Institute for Laboratory Animal Re- search, 46(4), 332-337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Styles, R. (2009). Bringing FRBR Down to Earth. http://dynamicorange. com/2009/11/11/bringingfrbr- down-to-earth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Styles, R., Ayers, D., &amp; Shabir, N. (2008). Semantic MARC, MARC21 and the Semantic Web. Paper presented at the Linked Data on the Web (LDOW2008). Retrieved from pdf http://events.linkeddata.org/ldow2008/papers/02-styles-ayers-semantic-marc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Tapscott, D., &amp; Williams, A. D. (2010). Wikinomics: How Mass Collaboration Changes Everything (Expanded ed.). London: Penguin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Tennant, R. (2002). MARC must die. Library Journal. Retrieved from http://www.libraryjournal.com/article/CA250046.html</w:t>
      </w:r>
    </w:p>
    <w:p>
      <w:pPr>
        <w:pStyle w:val="BookText"/>
        <w:rPr/>
      </w:pPr>
      <w:r>
        <w:rPr>
          <w:rFonts w:eastAsia="Times New Roman" w:cs="Times New Roman" w:ascii="Times New Roman" w:hAnsi="Times New Roman"/>
          <w:color w:val="111111"/>
          <w:sz w:val="28"/>
          <w:szCs w:val="28"/>
          <w:lang w:val="en-US" w:bidi="en-US"/>
        </w:rPr>
        <w:t>The British Library. (2011). Free Data Services. Retrieved December 14, 2011, from http://www.bl.uk/bibliographic/datafree.html</w:t>
      </w:r>
    </w:p>
    <w:p>
      <w:pPr>
        <w:pStyle w:val="BookText"/>
        <w:rPr/>
      </w:pPr>
      <w:r>
        <w:rPr>
          <w:rFonts w:eastAsia="Times New Roman" w:cs="Times New Roman" w:ascii="Times New Roman" w:hAnsi="Times New Roman"/>
          <w:color w:val="111111"/>
          <w:sz w:val="28"/>
          <w:szCs w:val="28"/>
          <w:lang w:val="en-US" w:bidi="en-US"/>
        </w:rPr>
        <w:t>Udell, J. (2004). Collaborative Knowledge Gardening with Flickr and del.icio. us, Social Networking</w:t>
      </w:r>
    </w:p>
    <w:p>
      <w:pPr>
        <w:pStyle w:val="BookText"/>
        <w:rPr/>
      </w:pPr>
      <w:r>
        <w:rPr>
          <w:rFonts w:eastAsia="Times New Roman" w:cs="Times New Roman" w:ascii="Times New Roman" w:hAnsi="Times New Roman"/>
          <w:color w:val="111111"/>
          <w:sz w:val="28"/>
          <w:szCs w:val="28"/>
          <w:lang w:val="en-US" w:bidi="en-US"/>
        </w:rPr>
        <w:t>goes Beyond Sharing Contacts and Connections. InfoWorld. Retrieved from http://www.infoworld.com/d/developer-world/collaborative-knowledge-gar- dening-020</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Veltman, K. H. (2001). Syntactic and Semantic Interoperability: New Ap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proaches to Knowledge and the Semantic Web. New Review of Information Net- working, 7(1), 159-183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W3C. (2004a). OWL Web Ontology Language Overview. from 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w3.org/TR/owl-features/ W3C. (2004b). RDF Primer. W3C Recommendation. Re- trieved from http://www.w3.org/TR/2004/REC-rdf-primer-20040210/basicconcepts</w:t>
      </w:r>
    </w:p>
    <w:p>
      <w:pPr>
        <w:pStyle w:val="BookText"/>
        <w:rPr/>
      </w:pPr>
      <w:r>
        <w:rPr>
          <w:rFonts w:eastAsia="Times New Roman" w:cs="Times New Roman" w:ascii="Times New Roman" w:hAnsi="Times New Roman"/>
          <w:color w:val="111111"/>
          <w:sz w:val="28"/>
          <w:szCs w:val="28"/>
          <w:lang w:val="en-US" w:bidi="en-US"/>
        </w:rPr>
        <w:t>W3C. (2011). Library Linked Data Incubator Group Final Report: W3C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Wallis, R. (2011a). Library of Congress to Boldly Voyage to Linked Data Worlds. http://consulting.talis.com/2011/11/library-of-congress-to-boldly-voyage-to- linked-dataworlds/ Wallis, R. (2011b). Will Europe's National Libraries Open Data In An Open Way? Retrieved from http://dataliberate.com/2011/09/will-europes-national-libraries-open-data-in- an-open-way/Weinberger, D. (2005). Tagging and Why it Matters. Retrieved from http://cyber.law.harvard.edu/sites/cyber.law.harvard.edu/files/07-Why Tag- gingMatters.pdf</w:t>
      </w:r>
    </w:p>
    <w:p>
      <w:pPr>
        <w:pStyle w:val="BookText"/>
        <w:rPr/>
      </w:pPr>
      <w:r>
        <w:rPr>
          <w:rFonts w:eastAsia="Times New Roman" w:cs="Times New Roman" w:ascii="Times New Roman" w:hAnsi="Times New Roman"/>
          <w:color w:val="111111"/>
          <w:sz w:val="28"/>
          <w:szCs w:val="28"/>
          <w:lang w:val="en-US" w:bidi="en-US"/>
        </w:rPr>
        <w:t>Weinberger, D. (2007). Everything is Miscellaneous. New York: Times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Weinberger, D. (2012). Too Big to Know: Rethinking Knowledge Now That the Facts Aren't the Facts, Experts Are Everywhere, and the Smartest Person in the Room Is the Room. New</w:t>
      </w:r>
    </w:p>
    <w:p>
      <w:pPr>
        <w:pStyle w:val="BookText"/>
        <w:rPr/>
      </w:pPr>
      <w:r>
        <w:rPr>
          <w:rFonts w:eastAsia="Times New Roman" w:cs="Times New Roman" w:ascii="Times New Roman" w:hAnsi="Times New Roman"/>
          <w:color w:val="111111"/>
          <w:sz w:val="28"/>
          <w:szCs w:val="28"/>
          <w:lang w:val="en-US" w:bidi="en-US"/>
        </w:rPr>
        <w:t>York: Basic Books Wilson, N. (2010). Linked Data Prototyping at the British Library. Paper presented at the Talis Linked Data and Libraries event. Retrieved from http://blogs.talis.com/nodali- ties/neilwilson- lightning-talk-%E2%80%93-linked-data-and-libraries-2010</w:t>
      </w:r>
    </w:p>
    <w:p>
      <w:pPr>
        <w:pStyle w:val="BookText"/>
        <w:rPr/>
      </w:pPr>
      <w:r>
        <w:rPr>
          <w:rFonts w:eastAsia="Times New Roman" w:cs="Times New Roman" w:ascii="Times New Roman" w:hAnsi="Times New Roman"/>
          <w:color w:val="111111"/>
          <w:sz w:val="28"/>
          <w:szCs w:val="28"/>
          <w:lang w:val="en-US" w:bidi="en-US"/>
        </w:rPr>
        <w:t>Wright, A. (2007). Glut: Mastering Information Through the Ages. Ithaca: Corenell University Press</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Zuckerman, E. (2010). Desperately Seeking Serendipity. Retrieved from http://www.chi2011.org/program/plenaries.html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About the authors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Getaneh Alemu is a PhD student in the School of Creative Technologies, and Dr Brett Stevens (Principal Lecturer, School of Creative Technologies), Dr Penny Ross (Senior Lecturer, School of Computing) and Jane Chandler (Principal Lec- turer, Faculty of Creative and Cultural Industries), all at the University of Ports- mouth, Portsmouth, UK. Getaneh Alemu is the corresponding author and can be contacted at: Getaneh. Alemu@port.ac.uk</w:t>
      </w:r>
      <w:r>
        <w:rPr>
          <w:rFonts w:eastAsia="Times New Roman" w:cs="Times New Roman" w:ascii="Times New Roman" w:hAnsi="Times New Roman"/>
          <w:color w:val="111111"/>
          <w:sz w:val="28"/>
          <w:szCs w:val="28"/>
          <w:rtl w:val="true"/>
          <w:lang w:val="en-US" w:bidi="en-US"/>
        </w:rPr>
        <w:t xml:space="preserve"> </w:t>
      </w:r>
      <w:bookmarkStart w:id="241" w:name="pg9653_81776"/>
    </w:p>
    <w:p>
      <w:pPr>
        <w:pStyle w:val="Heading2"/>
        <w:numPr>
          <w:ilvl w:val="1"/>
          <w:numId w:val="1"/>
        </w:numPr>
        <w:rPr/>
      </w:pPr>
      <w:bookmarkStart w:id="242" w:name="__RefHeading___Toc7766426_2870459653"/>
      <w:bookmarkStart w:id="243" w:name="_Toc88"/>
      <w:bookmarkEnd w:id="241"/>
      <w:bookmarkEnd w:id="242"/>
      <w:r>
        <w:rPr>
          <w:rtl w:val="true"/>
        </w:rPr>
        <w:t>چکیده</w:t>
      </w:r>
      <w:bookmarkEnd w:id="243"/>
    </w:p>
    <w:p>
      <w:pPr>
        <w:pStyle w:val="BookText"/>
        <w:rPr/>
      </w:pPr>
      <w:r>
        <w:rPr>
          <w:rFonts w:ascii="IRNazanin" w:hAnsi="IRNazanin" w:eastAsia="IRNazanin"/>
          <w:color w:val="111111"/>
          <w:sz w:val="28"/>
          <w:sz w:val="28"/>
          <w:szCs w:val="28"/>
          <w:rtl w:val="true"/>
          <w:lang w:bidi="fa-IR"/>
        </w:rPr>
        <w:t>این مقاله پیشرفت های جدید در نشریات ادواری را بررسی می کند و نشان می دهد که آن ها برای کتابخانه چه مفهومی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الکترونیکی رایج با تحولات پیشرو و پیچیده و نشریات دسترسی باز، مورد بحث قرار گرفته است نقش ها چالش ها و موضوعات برای انجام وظایف سنتی کتابخانه شامل فراهم آوری آماده سازی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کردن و حفاظت از منابع را افزایش می دهد به علاوه نقش ها مسئولیت ها چالش ها و موضوعات جدید برای کتابخانه ها که با ارتباط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مرتبط هستند ابتکار عمل آن ها را مورد رسیدگی قرار می دهد نویسنده نقش های کتابخانه در نشریات آماده سازی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می کند و حفاظت از افزایش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به سرعت در حال تکامل و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اشاره می کند که برای کتابخانه ها پیشرفت های مهم در نشریات ادواری اهمیت دارد و راه حل هایی برای موضوعاتی که پیش آمده ارائه می کند و همکاری کردن با نگه دارندگان </w:t>
      </w:r>
      <w:r>
        <w:rPr>
          <w:rStyle w:val="FootnoteAnchor"/>
          <w:rtl w:val="true"/>
        </w:rPr>
        <w:footnoteReference w:id="336"/>
      </w:r>
      <w:r>
        <w:rPr>
          <w:rFonts w:ascii="IRNazanin" w:hAnsi="IRNazanin" w:eastAsia="IRNazanin"/>
          <w:color w:val="111111"/>
          <w:sz w:val="28"/>
          <w:sz w:val="28"/>
          <w:szCs w:val="28"/>
          <w:rtl w:val="true"/>
          <w:lang w:bidi="fa-IR"/>
        </w:rPr>
        <w:t>در موقع مناسب و مقتضی را گسترش می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ادواری، نشریات الکترونیکی، دسترسی، حفاظت </w:t>
      </w:r>
      <w:bookmarkStart w:id="244" w:name="pg9653_81777"/>
    </w:p>
    <w:p>
      <w:pPr>
        <w:pStyle w:val="Heading2"/>
        <w:numPr>
          <w:ilvl w:val="1"/>
          <w:numId w:val="1"/>
        </w:numPr>
        <w:rPr/>
      </w:pPr>
      <w:bookmarkStart w:id="245" w:name="__RefHeading___Toc7766428_2870459653"/>
      <w:bookmarkStart w:id="246" w:name="_Toc89"/>
      <w:bookmarkEnd w:id="244"/>
      <w:bookmarkEnd w:id="245"/>
      <w:r>
        <w:rPr>
          <w:rtl w:val="true"/>
        </w:rPr>
        <w:t>پیایندهای جدید نقش های جدید، موضوعات جدید؟</w:t>
      </w:r>
      <w:bookmarkEnd w:id="246"/>
    </w:p>
    <w:p>
      <w:pPr>
        <w:pStyle w:val="Heading3"/>
        <w:numPr>
          <w:ilvl w:val="2"/>
          <w:numId w:val="1"/>
        </w:numPr>
        <w:rPr/>
      </w:pPr>
      <w:bookmarkStart w:id="247" w:name="__RefHeading___Toc7766430_2870459653"/>
      <w:bookmarkStart w:id="248" w:name="_Toc90"/>
      <w:bookmarkEnd w:id="247"/>
      <w:r>
        <w:rPr>
          <w:rtl w:val="true"/>
        </w:rPr>
        <w:t>اشاره</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پیایندهای جدید نقش های جدید، موضوعات جدید؟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نوشته شارون دایاس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کوریا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زینب پاپی </w:t>
      </w:r>
      <w:r>
        <w:rPr>
          <w:rStyle w:val="FootnoteAnchor"/>
          <w:rtl w:val="true"/>
        </w:rPr>
        <w:footnoteReference w:id="339"/>
      </w:r>
    </w:p>
    <w:p>
      <w:pPr>
        <w:pStyle w:val="Heading3"/>
        <w:numPr>
          <w:ilvl w:val="2"/>
          <w:numId w:val="1"/>
        </w:numPr>
        <w:rPr/>
      </w:pPr>
      <w:bookmarkStart w:id="249" w:name="__RefHeading___Toc7766432_2870459653"/>
      <w:bookmarkStart w:id="250" w:name="_Toc91"/>
      <w:bookmarkEnd w:id="249"/>
      <w:r>
        <w:rPr>
          <w:rtl w:val="true"/>
        </w:rPr>
        <w:t>مقدمه</w:t>
      </w:r>
      <w:bookmarkEnd w:id="25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قطع قرن بیست و یکم دوره ای شگفت انگیز است که درگیر پیایندها و دیگر منابع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 به سرعت در حال تغییر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دهه قبل یا ،بیشتر بسیاری از ما درگیر انتقال منابع از چاپی به الکترونیکی شده بودیم به نظر می رسد انتقال از محیط چایی به محیط الکترونیکی مشخص ترین و مهمترین رخدادی است که احتمالا می تواند ترکیب حاملان اطلاعات و دنیای اطلاعات را در کنار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و افرادی که درگیر صنعت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پیایندها هستند و در هر کجا در طول پیوستار در تغییر از محیط چاپی به محیط الکترونیکی می کوشند که مانند تغییر شکل سیاره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جدید در نشریات ادواری بر مجموعه های کتابخانه دسترسی و حفاظت تاثیر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هیچ انتقال و تغییر منابع را از چاپی به الکترونیکی آماده نکرده بودیم کتابخانه ها و کتابداران گذشته را انتقال می دهند و دسترسی به نشریات الکترونیکی ساده و جدید را فراهم کرده و نقش های آن ها به دنبال آن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یک مجله الکترونیکی پایه، نشریه الکترونیکی سنتی برای بسیاری از </w:t>
      </w:r>
      <w:bookmarkStart w:id="251" w:name="pg9653_81778"/>
    </w:p>
    <w:p>
      <w:pPr>
        <w:pStyle w:val="BookText"/>
        <w:rPr/>
      </w:pPr>
      <w:bookmarkEnd w:id="251"/>
      <w:r>
        <w:rPr>
          <w:rFonts w:ascii="IRNazanin" w:hAnsi="IRNazanin" w:eastAsia="IRNazanin"/>
          <w:color w:val="111111"/>
          <w:sz w:val="28"/>
          <w:sz w:val="28"/>
          <w:szCs w:val="28"/>
          <w:rtl w:val="true"/>
          <w:lang w:bidi="fa-IR"/>
        </w:rPr>
        <w:t xml:space="preserve">ما محسوب می شود و مسئولیت های ما را در نشریات، آماده سازی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حفاظت از منابع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سرعت در حال تکامل هستند، توسعه می دهد در حال حاضر محیط محرک ،ما تغییر و چالش را ادامه می دهد این مقاله برخی از موضوعات نقش ها و پیایندهای جدید را برای دست اندرکاران نشریات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بسیاری از موضوعات نشریات و نقش های چندگانه را خلاصه کردیم اما کتابخانه ها و کتابداران با چالش های در خور خود مواجه شده اند</w:t>
      </w:r>
      <w:r>
        <w:rPr>
          <w:rFonts w:eastAsia="IRNazanin" w:cs="IRNazanin"/>
          <w:color w:val="111111"/>
          <w:sz w:val="28"/>
          <w:szCs w:val="28"/>
          <w:rtl w:val="true"/>
          <w:lang w:bidi="fa-IR"/>
        </w:rPr>
        <w:t>.</w:t>
      </w:r>
    </w:p>
    <w:p>
      <w:pPr>
        <w:pStyle w:val="Heading3"/>
        <w:numPr>
          <w:ilvl w:val="2"/>
          <w:numId w:val="1"/>
        </w:numPr>
        <w:rPr/>
      </w:pPr>
      <w:bookmarkStart w:id="252" w:name="__RefHeading___Toc7766434_2870459653"/>
      <w:bookmarkStart w:id="253" w:name="_Toc92"/>
      <w:bookmarkEnd w:id="252"/>
      <w:r>
        <w:rPr>
          <w:rtl w:val="true"/>
        </w:rPr>
        <w:t>پیایندهای جدید</w:t>
      </w:r>
      <w:bookmarkEnd w:id="253"/>
    </w:p>
    <w:p>
      <w:pPr>
        <w:pStyle w:val="BookText"/>
        <w:rPr/>
      </w:pPr>
      <w:r>
        <w:rPr>
          <w:rFonts w:ascii="IRNazanin" w:hAnsi="IRNazanin" w:eastAsia="IRNazanin"/>
          <w:color w:val="111111"/>
          <w:sz w:val="28"/>
          <w:sz w:val="28"/>
          <w:szCs w:val="28"/>
          <w:rtl w:val="true"/>
          <w:lang w:bidi="fa-IR"/>
        </w:rPr>
        <w:t>پیشرفت ها و ایده های جدید در نشریات ادواری، هم در مجلات و مقاله شامل نشریات الکترونیکی با تحولات پیش رو و جدیدتر، پیشرفت هایی را برای پژوهشگران و محققان به ارمغان آورده است ناشران و دیگر افراد در حال تجربه تنوع پیشرفت ها و نوآوری های فناورانه هستند اکنون پیشرفت ها در نشریات دسترسی باز و سنتی در ناشران بزرگ و کوچک موجود است نوآوری ها و تغییرات در محتوا زمینه و بافت نظر خواهی از اهل فن و بازخورد کشف، داده های پیوندی، صفحه آرایی، دسترسی، انتقال، ذخیره و حفاظت مقاله و مجله تاثیر دارد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websites including Elsevier's Article of the Future, Springer Healthcare, JOVE, PLos, Nature, Alex- ander Street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Press and others (Elsevier 2012; Springer 2010; JoVE; PLos</w:t>
      </w:r>
    </w:p>
    <w:p>
      <w:pPr>
        <w:pStyle w:val="Heading3"/>
        <w:numPr>
          <w:ilvl w:val="2"/>
          <w:numId w:val="1"/>
        </w:numPr>
        <w:rPr/>
      </w:pPr>
      <w:bookmarkStart w:id="254" w:name="__RefHeading___Toc7766436_2870459653"/>
      <w:bookmarkStart w:id="255" w:name="_Toc93"/>
      <w:bookmarkEnd w:id="254"/>
      <w:r>
        <w:rPr>
          <w:rtl w:val="true"/>
        </w:rPr>
        <w:t>محتوا</w:t>
      </w:r>
      <w:bookmarkEnd w:id="25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وسیعی از رسانه های متفاوتی وجود دارد که ویژگی های خاصی برای افزایش مجله ها ارائه شده تا محتوای مقالات توسعه یابد برخی از این ویژگی 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ویدئوها کلیپ های صوتی با اندازه های متفاوت برای اهداف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،ویدئوها کلیپ های صوتی چکیده هایی هستند که ،نویسندگان در مورد یافته های پژوهشی خود بحث کرده اند یا نمای کلی از آثارشان را فراهم می کنند برخی ارائه های طولانی تر از تجارب، موسیقی، روش ها، مطالعات موردی یا سایر اطلاعاتی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شنیداری بهتر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اوقات، ویدئوها جاری هستند و به </w:t>
      </w:r>
      <w:bookmarkStart w:id="256" w:name="pg9653_81779"/>
    </w:p>
    <w:p>
      <w:pPr>
        <w:pStyle w:val="BookText"/>
        <w:rPr/>
      </w:pPr>
      <w:bookmarkEnd w:id="256"/>
      <w:r>
        <w:rPr>
          <w:rFonts w:ascii="IRNazanin" w:hAnsi="IRNazanin" w:eastAsia="IRNazanin"/>
          <w:color w:val="111111"/>
          <w:sz w:val="28"/>
          <w:sz w:val="28"/>
          <w:szCs w:val="28"/>
          <w:rtl w:val="true"/>
          <w:lang w:bidi="fa-IR"/>
        </w:rPr>
        <w:t xml:space="preserve">عنوان بدنه اصلی مقاله یا کل مجله در قالب ویدئو ارائه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خیابان الکساندر؛ جُو</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اما اغلب ویدئوها دارای محتوای اضافی نیز هستند هم در مقاله هم انتهای سایر قسمت های محتوا قرار گرفته اند و با کلیک کردن بر روی یک پیوند قابل دسترسی است که یا به عنوان محتوای اضافی جدا از مقاله و یا در یک موقعیت متفاوت در وب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قرار گرفتن انیمیشن ها در مقالات به عنوان تصاویر خلاصه ای هستند که به سرعت توجه کاربران را جلب می کنند یا به صورت دیگری محتوا را افزایش می دهند نقشه های تعاملی ،گوگل ویژگی های سه بعدی نمودارهای گوناگون شکل ها چارت ها فرمول ریاضی جداول لوحه ها و مطالعات موردی از انواع مختلف اغلب به عنوان ویژگی های ماوس بر </w:t>
      </w:r>
      <w:r>
        <w:rPr>
          <w:rStyle w:val="FootnoteAnchor"/>
          <w:rtl w:val="true"/>
        </w:rPr>
        <w:footnoteReference w:id="342"/>
      </w:r>
      <w:r>
        <w:rPr>
          <w:rFonts w:ascii="IRNazanin" w:hAnsi="IRNazanin" w:eastAsia="IRNazanin"/>
          <w:color w:val="111111"/>
          <w:sz w:val="28"/>
          <w:sz w:val="28"/>
          <w:szCs w:val="28"/>
          <w:rtl w:val="true"/>
          <w:lang w:bidi="fa-IR"/>
        </w:rPr>
        <w:t xml:space="preserve">که اکنون در نشریات پیوسته هستند تا محتوا را افزایش داده و منابع را برای کاربران آشکار سازند اسلایدها و خلاصه بخش ها، ارائه به صورت پاورپوینت و آزمون های تعاملی از ویژگی های متداولی هستند که به بسیاری از نشریات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الزویر،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اشپرینگر،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343"/>
      </w:r>
    </w:p>
    <w:p>
      <w:pPr>
        <w:pStyle w:val="Heading3"/>
        <w:numPr>
          <w:ilvl w:val="2"/>
          <w:numId w:val="1"/>
        </w:numPr>
        <w:rPr/>
      </w:pPr>
      <w:bookmarkStart w:id="257" w:name="__RefHeading___Toc7766438_2870459653"/>
      <w:bookmarkStart w:id="258" w:name="_Toc94"/>
      <w:bookmarkEnd w:id="257"/>
      <w:r>
        <w:rPr>
          <w:rtl w:val="true"/>
        </w:rPr>
        <w:t xml:space="preserve">متن و زمینه </w:t>
      </w:r>
      <w:r>
        <w:rPr>
          <w:rtl w:val="true"/>
        </w:rPr>
        <w:t>(</w:t>
      </w:r>
      <w:r>
        <w:rPr>
          <w:rtl w:val="true"/>
        </w:rPr>
        <w:t>بافت</w:t>
      </w:r>
      <w:r>
        <w:rPr>
          <w:rtl w:val="true"/>
        </w:rPr>
        <w:t>)</w:t>
      </w:r>
      <w:bookmarkEnd w:id="25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ویژگی محتوایی غنی، پیایندهای جدید ویژگی های جدیدی دارند یا ویژگی هایی را برای کمک به کاربر افزایش داده اند تا منابعی را که در متن ارائه شده اند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ویژگی های اضافه شده شامل چکیده های بسط داده شده کلیدواژه ها و رئوس مطالب از ویژگی های خاص در مقاله است پیوندهای مستقیم به مراجع در مقاله ها دیده می شود که نسبتا به عنوان پیوندهایی به تعاریف، وبگاه نویسنده وبگاه حمایت کنندگان سازمان ها و اطلاعات اضافه و وابسته دیگری که در مورد منابع ارائه می شود که در مقاله اصلی نیست اطلاعات مفصل در مورد روش های پژوهش مراجع و یافته ها الگوهای سه بعدی از مولکول های شیمیایی و مرکب، الگوهای زمین شناسی و الگوهای دیرین شناسی استریو، ساختارهای فسیلی، تاکسونومی ها، درخت های دانش عکس ها جزییات آزمایش، ارائه ها بیوگرافی نویسنده که در خود مقاله نیست و برخی </w:t>
      </w:r>
      <w:bookmarkStart w:id="259" w:name="pg9653_81780"/>
    </w:p>
    <w:p>
      <w:pPr>
        <w:pStyle w:val="BookText"/>
        <w:rPr/>
      </w:pPr>
      <w:bookmarkEnd w:id="259"/>
      <w:r>
        <w:rPr>
          <w:rFonts w:ascii="IRNazanin" w:hAnsi="IRNazanin" w:eastAsia="IRNazanin"/>
          <w:color w:val="111111"/>
          <w:sz w:val="28"/>
          <w:sz w:val="28"/>
          <w:szCs w:val="28"/>
          <w:rtl w:val="true"/>
          <w:lang w:bidi="fa-IR"/>
        </w:rPr>
        <w:t>از ویژگی ها به عنوان اضافاتی به منابع بیرونی پیوند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تنها به وسیله تصور نویسنده یا ناشر محدود می شود پیوندها به پایگاه اطلاعاتی مخزن داده صفحات گسترده و دیگر مجموعه داده ها که براساس آن منابع ارائه شده در مقاله است و اکنون در بسیاری از نشریات به منظور ارائه متن کامل مقاله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پیوندها به منابع بیرونی، به عنوان فراپیوند به منابع ارائه می شوند اما کدهای سوالات پژوهش به عنوان پیوندهایی به منابع پیوست یا پایگاه های اطلاعاتی نشان داده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الزویر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اشپرینگر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د شوتر،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344"/>
      </w:r>
    </w:p>
    <w:p>
      <w:pPr>
        <w:pStyle w:val="Heading3"/>
        <w:numPr>
          <w:ilvl w:val="2"/>
          <w:numId w:val="1"/>
        </w:numPr>
        <w:rPr/>
      </w:pPr>
      <w:bookmarkStart w:id="260" w:name="__RefHeading___Toc7766440_2870459653"/>
      <w:bookmarkStart w:id="261" w:name="_Toc95"/>
      <w:bookmarkEnd w:id="260"/>
      <w:r>
        <w:rPr>
          <w:rtl w:val="true"/>
        </w:rPr>
        <w:t>بازخورد و نظر خواهی از اهل فن</w:t>
      </w:r>
      <w:bookmarkEnd w:id="261"/>
    </w:p>
    <w:p>
      <w:pPr>
        <w:pStyle w:val="BookText"/>
        <w:rPr/>
      </w:pPr>
      <w:r>
        <w:rPr>
          <w:rFonts w:ascii="IRNazanin" w:hAnsi="IRNazanin" w:eastAsia="IRNazanin"/>
          <w:color w:val="111111"/>
          <w:sz w:val="28"/>
          <w:sz w:val="28"/>
          <w:szCs w:val="28"/>
          <w:rtl w:val="true"/>
          <w:lang w:bidi="fa-IR"/>
        </w:rPr>
        <w:t xml:space="preserve">ویژگی های شبکه اجتماعی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تعامل و بازخورد کاربر، از ویژگی های بیشتر پیایندهای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 بوک، فلیکر، تویتر، یوتیوب، بلاگ ها، ویکی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بازخورد اجتماعی برای بسیاری از پیایندها در سطح مقاله، مجله یا در وب سایت ناشران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قابلیت های شبکه اجتماعی قبل از انتشار فرصت های چندگانه ای برای پژوهشگران در جهت همکاری، بازخورد و اشاعه سریع اطلاعات مرتبط با حوزه کاری آن ها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انتشار نظرخواهی از اهل فن، رتبه و روز آمدسازی مجله و مقاله از ویژگی های مهم برای بسیاری از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برخی از مقالات، تنها روز آمدسازی شده و با استفاده از رسانه اجتماعی بازنگری و منتشر می شوند رسانه اجتماعی اجازه بازخورد سریع را به نویسندگان و ناشران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كَسلا </w:t>
      </w:r>
      <w:r>
        <w:rPr>
          <w:rStyle w:val="FootnoteAnchor"/>
          <w:rtl w:val="true"/>
        </w:rPr>
        <w:footnoteReference w:id="345"/>
      </w:r>
      <w:r>
        <w:rPr>
          <w:rFonts w:ascii="IRNazanin" w:hAnsi="IRNazanin" w:eastAsia="IRNazanin"/>
          <w:color w:val="111111"/>
          <w:sz w:val="28"/>
          <w:sz w:val="28"/>
          <w:szCs w:val="28"/>
          <w:rtl w:val="true"/>
          <w:lang w:bidi="fa-IR"/>
        </w:rPr>
        <w:t xml:space="preserve">وکالوی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 کتابخانه عمومی علوم </w:t>
      </w:r>
      <w:r>
        <w:rPr>
          <w:rStyle w:val="FootnoteAnchor"/>
          <w:rtl w:val="true"/>
        </w:rPr>
        <w:footnoteReference w:id="347"/>
      </w:r>
      <w:r>
        <w:rPr>
          <w:rFonts w:ascii="IRNazanin" w:hAnsi="IRNazanin" w:eastAsia="IRNazanin"/>
          <w:color w:val="111111"/>
          <w:sz w:val="28"/>
          <w:sz w:val="28"/>
          <w:szCs w:val="28"/>
          <w:rtl w:val="true"/>
          <w:lang w:bidi="fa-IR"/>
        </w:rPr>
        <w:t xml:space="preserve">، دی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شاتُن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349"/>
      </w:r>
    </w:p>
    <w:p>
      <w:pPr>
        <w:pStyle w:val="Heading3"/>
        <w:numPr>
          <w:ilvl w:val="2"/>
          <w:numId w:val="1"/>
        </w:numPr>
        <w:rPr/>
      </w:pPr>
      <w:bookmarkStart w:id="262" w:name="__RefHeading___Toc7766442_2870459653"/>
      <w:bookmarkStart w:id="263" w:name="_Toc96"/>
      <w:bookmarkEnd w:id="262"/>
      <w:r>
        <w:rPr>
          <w:rtl w:val="true"/>
        </w:rPr>
        <w:t>کشف</w:t>
      </w:r>
      <w:bookmarkEnd w:id="2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پیایندهای جدید ملزومات فراداده ای جدیدی برای کشف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همه منابع و ویژگی های شبکه اجتماعی به یک پیایند یا مقاله ارتباط پیدا می کند که محتوای اضافی متن یا تعامل را فراهم می کند و باید فراداده ماشین خوان، </w:t>
      </w:r>
      <w:bookmarkStart w:id="264" w:name="pg9653_81781"/>
    </w:p>
    <w:p>
      <w:pPr>
        <w:pStyle w:val="BookText"/>
        <w:rPr/>
      </w:pPr>
      <w:bookmarkEnd w:id="264"/>
      <w:r>
        <w:rPr>
          <w:rFonts w:ascii="IRNazanin" w:hAnsi="IRNazanin" w:eastAsia="IRNazanin"/>
          <w:color w:val="111111"/>
          <w:sz w:val="28"/>
          <w:sz w:val="28"/>
          <w:szCs w:val="28"/>
          <w:rtl w:val="true"/>
          <w:lang w:bidi="fa-IR"/>
        </w:rPr>
        <w:t>به ترتیب برای منابع مرتبط، اسناد یا گفتگوها ارتباط یافته تا یک مقاله در مسیر معناداری قابل دسترس و پیوند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استانداردهای جدید توصیفاتی برای مقاله انواع رسانه و اسناد بوجود آمده و درک و استفاده از پروتکل توصیف آرشیوی باز برای گردآوری فراداده </w:t>
      </w:r>
      <w:r>
        <w:rPr>
          <w:rStyle w:val="FootnoteAnchor"/>
          <w:rtl w:val="true"/>
        </w:rPr>
        <w:footnoteReference w:id="350"/>
      </w:r>
      <w:r>
        <w:rPr>
          <w:rFonts w:ascii="IRNazanin" w:hAnsi="IRNazanin" w:eastAsia="IRNazanin"/>
          <w:color w:val="111111"/>
          <w:sz w:val="28"/>
          <w:sz w:val="28"/>
          <w:szCs w:val="28"/>
          <w:rtl w:val="true"/>
          <w:lang w:bidi="fa-IR"/>
        </w:rPr>
        <w:t xml:space="preserve">، و دابلین کور </w:t>
      </w:r>
      <w:r>
        <w:rPr>
          <w:rStyle w:val="FootnoteAnchor"/>
          <w:rtl w:val="true"/>
        </w:rPr>
        <w:footnoteReference w:id="351"/>
      </w:r>
      <w:r>
        <w:rPr>
          <w:rFonts w:ascii="IRNazanin" w:hAnsi="IRNazanin" w:eastAsia="IRNazanin"/>
          <w:color w:val="111111"/>
          <w:sz w:val="28"/>
          <w:sz w:val="28"/>
          <w:szCs w:val="28"/>
          <w:rtl w:val="true"/>
          <w:lang w:bidi="fa-IR"/>
        </w:rPr>
        <w:t>اهمیت فزاینده 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فراداده استنادی و کتابشناختی بنیادی به قدر کافی طولانی نیست</w:t>
      </w:r>
      <w:r>
        <w:rPr>
          <w:rFonts w:eastAsia="IRNazanin" w:cs="IRNazanin"/>
          <w:color w:val="111111"/>
          <w:sz w:val="28"/>
          <w:szCs w:val="28"/>
          <w:rtl w:val="true"/>
          <w:lang w:bidi="fa-IR"/>
        </w:rPr>
        <w:t>.</w:t>
      </w:r>
    </w:p>
    <w:p>
      <w:pPr>
        <w:pStyle w:val="Heading3"/>
        <w:numPr>
          <w:ilvl w:val="2"/>
          <w:numId w:val="1"/>
        </w:numPr>
        <w:rPr/>
      </w:pPr>
      <w:bookmarkStart w:id="265" w:name="__RefHeading___Toc7766444_2870459653"/>
      <w:bookmarkStart w:id="266" w:name="_Toc97"/>
      <w:bookmarkEnd w:id="265"/>
      <w:r>
        <w:rPr>
          <w:rtl w:val="true"/>
        </w:rPr>
        <w:t>داده های پیوندی</w:t>
      </w:r>
      <w:bookmarkEnd w:id="266"/>
    </w:p>
    <w:p>
      <w:pPr>
        <w:pStyle w:val="BookText"/>
        <w:rPr/>
      </w:pPr>
      <w:r>
        <w:rPr>
          <w:rFonts w:ascii="IRNazanin" w:hAnsi="IRNazanin" w:eastAsia="IRNazanin"/>
          <w:color w:val="111111"/>
          <w:sz w:val="28"/>
          <w:sz w:val="28"/>
          <w:szCs w:val="28"/>
          <w:rtl w:val="true"/>
          <w:lang w:bidi="fa-IR"/>
        </w:rPr>
        <w:t>همچنین ایده وب معنایی و داده های پیوندی اهمیت فزاینده ای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مخازن نگهداری اطلاعات از قبیل فهرست های کتابخانه و پایگاه های داده ای یک وب معنایی جدید به وجود آمده که تمام وب یک پایگاه داده ای و همه داده موقعی که استفاده مناسب از فراداده های ماشین خوان می شود در پیوند و ارتباط با هم است میلر </w:t>
      </w:r>
      <w:r>
        <w:rPr>
          <w:rStyle w:val="FootnoteAnchor"/>
          <w:rtl w:val="true"/>
        </w:rPr>
        <w:footnoteReference w:id="352"/>
      </w:r>
      <w:r>
        <w:rPr>
          <w:rFonts w:ascii="IRNazanin" w:hAnsi="IRNazanin" w:eastAsia="IRNazanin"/>
          <w:color w:val="111111"/>
          <w:sz w:val="28"/>
          <w:sz w:val="28"/>
          <w:szCs w:val="28"/>
          <w:rtl w:val="true"/>
          <w:lang w:bidi="fa-IR"/>
        </w:rPr>
        <w:t xml:space="preserve">و وستفال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نوع داده پیوندی</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داده ماشین خوان و قابل خواندن توسط انسان براساس استانداردهای کنسرسیوم وب جهانی </w:t>
      </w:r>
      <w:r>
        <w:rPr>
          <w:rStyle w:val="FootnoteAnchor"/>
          <w:rtl w:val="true"/>
        </w:rPr>
        <w:footnoteReference w:id="355"/>
      </w:r>
      <w:r>
        <w:rPr>
          <w:rFonts w:ascii="IRNazanin" w:hAnsi="IRNazanin" w:eastAsia="IRNazanin"/>
          <w:color w:val="111111"/>
          <w:sz w:val="28"/>
          <w:sz w:val="28"/>
          <w:szCs w:val="28"/>
          <w:rtl w:val="true"/>
          <w:lang w:bidi="fa-IR"/>
        </w:rPr>
        <w:t xml:space="preserve">مانند چارچوب توصیف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اف</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یا زبان هستی شناسی وب </w:t>
      </w:r>
      <w:r>
        <w:rPr>
          <w:rStyle w:val="FootnoteAnchor"/>
          <w:rtl w:val="true"/>
        </w:rPr>
        <w:footnoteReference w:id="357"/>
      </w:r>
      <w:r>
        <w:rPr>
          <w:rFonts w:ascii="IRNazanin" w:hAnsi="IRNazanin" w:eastAsia="IRNazanin"/>
          <w:color w:val="111111"/>
          <w:sz w:val="28"/>
          <w:sz w:val="28"/>
          <w:szCs w:val="28"/>
          <w:rtl w:val="true"/>
          <w:lang w:bidi="fa-IR"/>
        </w:rPr>
        <w:t xml:space="preserve">که اجازه استفاده از خلاصه واژگان استاندارد شده وابسته به اطلاعات داده، رساله و یافته های ارائه شده در یک مقاله را که بیشتر مطلوب است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شاتُن،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کنسرسیوم شبکه جهانی وب</w:t>
      </w:r>
      <w:r>
        <w:rPr>
          <w:rFonts w:eastAsia="IRNazanin" w:cs="IRNazanin"/>
          <w:color w:val="111111"/>
          <w:sz w:val="28"/>
          <w:szCs w:val="28"/>
          <w:rtl w:val="true"/>
          <w:lang w:bidi="fa-IR"/>
        </w:rPr>
        <w:t>).</w:t>
      </w:r>
    </w:p>
    <w:p>
      <w:pPr>
        <w:pStyle w:val="Heading3"/>
        <w:numPr>
          <w:ilvl w:val="2"/>
          <w:numId w:val="1"/>
        </w:numPr>
        <w:rPr/>
      </w:pPr>
      <w:bookmarkStart w:id="267" w:name="__RefHeading___Toc7766446_2870459653"/>
      <w:bookmarkStart w:id="268" w:name="_Toc98"/>
      <w:bookmarkEnd w:id="267"/>
      <w:r>
        <w:rPr>
          <w:rtl w:val="true"/>
        </w:rPr>
        <w:t>صفحه آرایی</w:t>
      </w:r>
      <w:bookmarkEnd w:id="26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ناشران در حال جستجو برای انتشار مقاله ها به دو صورت فایل های پی دی اف </w:t>
      </w:r>
      <w:r>
        <w:rPr>
          <w:rStyle w:val="FootnoteAnchor"/>
          <w:rtl w:val="true"/>
        </w:rPr>
        <w:footnoteReference w:id="358"/>
      </w:r>
      <w:r>
        <w:rPr>
          <w:rFonts w:ascii="IRNazanin" w:hAnsi="IRNazanin" w:eastAsia="IRNazanin"/>
          <w:color w:val="111111"/>
          <w:sz w:val="28"/>
          <w:sz w:val="28"/>
          <w:szCs w:val="28"/>
          <w:rtl w:val="true"/>
          <w:lang w:bidi="fa-IR"/>
        </w:rPr>
        <w:t xml:space="preserve">یا اچ تی ام ال </w:t>
      </w:r>
      <w:r>
        <w:rPr>
          <w:rStyle w:val="FootnoteAnchor"/>
          <w:rtl w:val="true"/>
        </w:rPr>
        <w:footnoteReference w:id="359"/>
      </w:r>
      <w:r>
        <w:rPr>
          <w:rFonts w:ascii="IRNazanin" w:hAnsi="IRNazanin" w:eastAsia="IRNazanin"/>
          <w:color w:val="111111"/>
          <w:sz w:val="28"/>
          <w:sz w:val="28"/>
          <w:szCs w:val="28"/>
          <w:rtl w:val="true"/>
          <w:lang w:bidi="fa-IR"/>
        </w:rPr>
        <w:t xml:space="preserve">و به دنبال تجربه با صفحه آرایی مختلف مقاله هستند که با </w:t>
      </w:r>
      <w:bookmarkStart w:id="269" w:name="pg9653_81782"/>
    </w:p>
    <w:p>
      <w:pPr>
        <w:pStyle w:val="BookText"/>
        <w:rPr/>
      </w:pPr>
      <w:bookmarkEnd w:id="269"/>
      <w:r>
        <w:rPr>
          <w:rFonts w:ascii="IRNazanin" w:hAnsi="IRNazanin" w:eastAsia="IRNazanin"/>
          <w:color w:val="111111"/>
          <w:sz w:val="28"/>
          <w:sz w:val="28"/>
          <w:szCs w:val="28"/>
          <w:rtl w:val="true"/>
          <w:lang w:bidi="fa-IR"/>
        </w:rPr>
        <w:t xml:space="preserve">محیط پیوسته دارای مطلوبیت و امکان پذیری خواهد بود صفحات تقسیم بندی شده </w:t>
      </w:r>
      <w:r>
        <w:rPr>
          <w:rStyle w:val="FootnoteAnchor"/>
          <w:rtl w:val="true"/>
        </w:rPr>
        <w:footnoteReference w:id="360"/>
      </w:r>
      <w:r>
        <w:rPr>
          <w:rFonts w:ascii="IRNazanin" w:hAnsi="IRNazanin" w:eastAsia="IRNazanin"/>
          <w:color w:val="111111"/>
          <w:sz w:val="28"/>
          <w:sz w:val="28"/>
          <w:szCs w:val="28"/>
          <w:rtl w:val="true"/>
          <w:lang w:bidi="fa-IR"/>
        </w:rPr>
        <w:t xml:space="preserve">جعبه محاوره ای </w:t>
      </w:r>
      <w:r>
        <w:rPr>
          <w:rStyle w:val="FootnoteAnchor"/>
          <w:rtl w:val="true"/>
        </w:rPr>
        <w:footnoteReference w:id="361"/>
      </w:r>
      <w:r>
        <w:rPr>
          <w:rFonts w:ascii="IRNazanin" w:hAnsi="IRNazanin" w:eastAsia="IRNazanin"/>
          <w:color w:val="111111"/>
          <w:sz w:val="28"/>
          <w:sz w:val="28"/>
          <w:szCs w:val="28"/>
          <w:rtl w:val="true"/>
          <w:lang w:bidi="fa-IR"/>
        </w:rPr>
        <w:t xml:space="preserve">برنامه گشودنی، </w:t>
      </w:r>
      <w:r>
        <w:rPr>
          <w:rStyle w:val="FootnoteAnchor"/>
          <w:rtl w:val="true"/>
        </w:rPr>
        <w:footnoteReference w:id="362"/>
      </w:r>
      <w:r>
        <w:rPr>
          <w:rFonts w:ascii="IRNazanin" w:hAnsi="IRNazanin" w:eastAsia="IRNazanin"/>
          <w:color w:val="111111"/>
          <w:sz w:val="28"/>
          <w:sz w:val="28"/>
          <w:szCs w:val="28"/>
          <w:rtl w:val="true"/>
          <w:lang w:bidi="fa-IR"/>
        </w:rPr>
        <w:t xml:space="preserve">بخش های پیمایش </w:t>
      </w:r>
      <w:r>
        <w:rPr>
          <w:rStyle w:val="FootnoteAnchor"/>
          <w:rtl w:val="true"/>
        </w:rPr>
        <w:footnoteReference w:id="363"/>
      </w:r>
      <w:r>
        <w:rPr>
          <w:rFonts w:ascii="IRNazanin" w:hAnsi="IRNazanin" w:eastAsia="IRNazanin"/>
          <w:color w:val="111111"/>
          <w:sz w:val="28"/>
          <w:sz w:val="28"/>
          <w:szCs w:val="28"/>
          <w:rtl w:val="true"/>
          <w:lang w:bidi="fa-IR"/>
        </w:rPr>
        <w:t xml:space="preserve">و درشت نماها </w:t>
      </w:r>
      <w:r>
        <w:rPr>
          <w:rStyle w:val="FootnoteAnchor"/>
          <w:rtl w:val="true"/>
        </w:rPr>
        <w:footnoteReference w:id="364"/>
      </w:r>
      <w:r>
        <w:rPr>
          <w:rFonts w:ascii="IRNazanin" w:hAnsi="IRNazanin" w:eastAsia="IRNazanin"/>
          <w:color w:val="111111"/>
          <w:sz w:val="28"/>
          <w:sz w:val="28"/>
          <w:szCs w:val="28"/>
          <w:rtl w:val="true"/>
          <w:lang w:bidi="fa-IR"/>
        </w:rPr>
        <w:t xml:space="preserve">از ویژگی های قالب جدید هستند که به وجود آمدند پی دی اف، اچ تی ام ال قالب های شناخته شده تری برای ارائه اسناد و منابع الکترونیکی بر روی وب هستند، اما آن ها ضرورتاً برای برخی از ویژگی های مقاله ها و پیایندهای جدید یا در مورد دسترس پذیری پی دی اف مناسب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الزویر،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اشپرینگر،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Heading3"/>
        <w:numPr>
          <w:ilvl w:val="2"/>
          <w:numId w:val="1"/>
        </w:numPr>
        <w:rPr/>
      </w:pPr>
      <w:bookmarkStart w:id="270" w:name="__RefHeading___Toc7766448_2870459653"/>
      <w:bookmarkStart w:id="271" w:name="_Toc99"/>
      <w:bookmarkEnd w:id="270"/>
      <w:r>
        <w:rPr>
          <w:rtl w:val="true"/>
        </w:rPr>
        <w:t>انتقال</w:t>
      </w:r>
      <w:bookmarkEnd w:id="2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پیایندهای سنتی با ابزار سنتی، هم به شکل نشریات چاپی یا الکترونیکی به رایانه ها منتقل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اخیراً بیشتر کتابخانه ها تنها علاقه دارند که خودشان دسترسی به متون در کتابخانه یا به رایانه های رومیزی خانگی یا لپتاپ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 با پیایندهای جدید و پیشرفت ها در محیط پیوسته، کاربران پیایند انتظار دارند که اطلاعات به آن ها در هر جا هر زمانی که آن ها می خواهند بر روی هر کدام از ابزارهای مدرن منتقل شود تا انتخاب نموده و در هر لحظه استفاده کنند آی پدها </w:t>
      </w:r>
      <w:r>
        <w:rPr>
          <w:rStyle w:val="FootnoteAnchor"/>
          <w:rtl w:val="true"/>
        </w:rPr>
        <w:footnoteReference w:id="365"/>
      </w:r>
      <w:r>
        <w:rPr>
          <w:rFonts w:ascii="IRNazanin" w:hAnsi="IRNazanin" w:eastAsia="IRNazanin"/>
          <w:color w:val="111111"/>
          <w:sz w:val="28"/>
          <w:sz w:val="28"/>
          <w:szCs w:val="28"/>
          <w:rtl w:val="true"/>
          <w:lang w:bidi="fa-IR"/>
        </w:rPr>
        <w:t xml:space="preserve">آی پادها، </w:t>
      </w:r>
      <w:r>
        <w:rPr>
          <w:rStyle w:val="FootnoteAnchor"/>
          <w:rtl w:val="true"/>
        </w:rPr>
        <w:footnoteReference w:id="366"/>
      </w:r>
      <w:r>
        <w:rPr>
          <w:rFonts w:ascii="IRNazanin" w:hAnsi="IRNazanin" w:eastAsia="IRNazanin"/>
          <w:color w:val="111111"/>
          <w:sz w:val="28"/>
          <w:sz w:val="28"/>
          <w:szCs w:val="28"/>
          <w:rtl w:val="true"/>
          <w:lang w:bidi="fa-IR"/>
        </w:rPr>
        <w:t xml:space="preserve">آیفون ها، اندرویدها، </w:t>
      </w:r>
      <w:r>
        <w:rPr>
          <w:rStyle w:val="FootnoteAnchor"/>
          <w:rtl w:val="true"/>
        </w:rPr>
        <w:footnoteReference w:id="367"/>
      </w:r>
      <w:r>
        <w:rPr>
          <w:rFonts w:ascii="IRNazanin" w:hAnsi="IRNazanin" w:eastAsia="IRNazanin"/>
          <w:color w:val="111111"/>
          <w:sz w:val="28"/>
          <w:sz w:val="28"/>
          <w:szCs w:val="28"/>
          <w:rtl w:val="true"/>
          <w:lang w:bidi="fa-IR"/>
        </w:rPr>
        <w:t>خواندن الکترونیکی لپ تاپ ها و رومیزی ها تنها اسامی از چند ابزار هستند که برای استفاده همگان است کاربردهای نرم افزار برای دسترسی استفاده و منفعت آن از ویژگی های پیایندهای جدید هستند و باید بوسیله کتابخانه ناشران یا برخی دیگر از فراهم کنندگان قابل استفاده و موجود باشد</w:t>
      </w:r>
      <w:r>
        <w:rPr>
          <w:rFonts w:eastAsia="IRNazanin" w:cs="IRNazanin"/>
          <w:color w:val="111111"/>
          <w:sz w:val="28"/>
          <w:szCs w:val="28"/>
          <w:rtl w:val="true"/>
          <w:lang w:bidi="fa-IR"/>
        </w:rPr>
        <w:t xml:space="preserve">. </w:t>
      </w:r>
      <w:bookmarkStart w:id="272" w:name="pg9653_81783"/>
    </w:p>
    <w:p>
      <w:pPr>
        <w:pStyle w:val="Heading3"/>
        <w:numPr>
          <w:ilvl w:val="2"/>
          <w:numId w:val="1"/>
        </w:numPr>
        <w:rPr/>
      </w:pPr>
      <w:bookmarkStart w:id="273" w:name="__RefHeading___Toc7766450_2870459653"/>
      <w:bookmarkStart w:id="274" w:name="_Toc100"/>
      <w:bookmarkEnd w:id="272"/>
      <w:bookmarkEnd w:id="273"/>
      <w:r>
        <w:rPr>
          <w:rtl w:val="true"/>
        </w:rPr>
        <w:t>ذخیره و حفاظت</w:t>
      </w:r>
      <w:bookmarkEnd w:id="274"/>
    </w:p>
    <w:p>
      <w:pPr>
        <w:pStyle w:val="BookText"/>
        <w:rPr/>
      </w:pPr>
      <w:r>
        <w:rPr>
          <w:rFonts w:ascii="IRNazanin" w:hAnsi="IRNazanin" w:eastAsia="IRNazanin"/>
          <w:color w:val="111111"/>
          <w:sz w:val="28"/>
          <w:sz w:val="28"/>
          <w:szCs w:val="28"/>
          <w:rtl w:val="true"/>
          <w:lang w:bidi="fa-IR"/>
        </w:rPr>
        <w:t>ملزومات جدید برای ذخیره و حفاظت داده های تحقیق روش شناسی ها و تولیدات علمی مرتبط، بوسیله انواع جدید از مقاله های مجلات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یا ضبط منابع </w:t>
      </w:r>
      <w:r>
        <w:rPr>
          <w:rStyle w:val="FootnoteAnchor"/>
          <w:rtl w:val="true"/>
        </w:rPr>
        <w:footnoteReference w:id="368"/>
      </w:r>
      <w:r>
        <w:rPr>
          <w:rFonts w:ascii="IRNazanin" w:hAnsi="IRNazanin" w:eastAsia="IRNazanin"/>
          <w:color w:val="111111"/>
          <w:sz w:val="28"/>
          <w:sz w:val="28"/>
          <w:szCs w:val="28"/>
          <w:rtl w:val="true"/>
          <w:lang w:bidi="fa-IR"/>
        </w:rPr>
        <w:t xml:space="preserve">پیوند دادن و ذخیره منابع و اطلاعات در قالب محتوا و متن جدید و ویژگی های مکالمه 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و اهمیت آن دنبال خواهد شد ملزومات فضای ذخیره برای چندرسانه ای، داده و همه قطعات ارتباطی بزرگ خواهد بود و مقوله ها حفاظت شده و شاید گسترده تر از دنیای پیوسته ذخیره شوند</w:t>
      </w:r>
      <w:r>
        <w:rPr>
          <w:rFonts w:eastAsia="IRNazanin" w:cs="IRNazanin"/>
          <w:color w:val="111111"/>
          <w:sz w:val="28"/>
          <w:szCs w:val="28"/>
          <w:rtl w:val="true"/>
          <w:lang w:bidi="fa-IR"/>
        </w:rPr>
        <w:t>.</w:t>
      </w:r>
    </w:p>
    <w:p>
      <w:pPr>
        <w:pStyle w:val="Heading3"/>
        <w:numPr>
          <w:ilvl w:val="2"/>
          <w:numId w:val="1"/>
        </w:numPr>
        <w:rPr/>
      </w:pPr>
      <w:bookmarkStart w:id="275" w:name="__RefHeading___Toc7766452_2870459653"/>
      <w:bookmarkStart w:id="276" w:name="_Toc101"/>
      <w:bookmarkEnd w:id="275"/>
      <w:r>
        <w:rPr>
          <w:rtl w:val="true"/>
        </w:rPr>
        <w:t>دسترسی</w:t>
      </w:r>
      <w:bookmarkEnd w:id="276"/>
    </w:p>
    <w:p>
      <w:pPr>
        <w:pStyle w:val="BookText"/>
        <w:rPr/>
      </w:pPr>
      <w:r>
        <w:rPr>
          <w:rFonts w:ascii="IRNazanin" w:hAnsi="IRNazanin" w:eastAsia="IRNazanin"/>
          <w:color w:val="111111"/>
          <w:sz w:val="28"/>
          <w:sz w:val="28"/>
          <w:szCs w:val="28"/>
          <w:rtl w:val="true"/>
          <w:lang w:bidi="fa-IR"/>
        </w:rPr>
        <w:t>با مجله های جدید قالب های جدیدتر بسیار برای دسترسی ها و ملزومات بسیاری برای دسترسی و استفاده دوباره بوجود آمده است هزینه حق اشتراک مرسوم دسترسی، اکنون تنها یک شکل از دسترسی متون علمی و سایر ابزارها بیشتر مطلوب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های سنتی غالبا تنها به تولید پرداخت می شود و ضرورتی نیست که همه منابع وابسته بر روی اینترنت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دستور مشتری </w:t>
      </w:r>
      <w:r>
        <w:rPr>
          <w:rStyle w:val="FootnoteAnchor"/>
          <w:rtl w:val="true"/>
        </w:rPr>
        <w:footnoteReference w:id="369"/>
      </w:r>
      <w:r>
        <w:rPr>
          <w:rFonts w:ascii="IRNazanin" w:hAnsi="IRNazanin" w:eastAsia="IRNazanin"/>
          <w:color w:val="111111"/>
          <w:sz w:val="28"/>
          <w:sz w:val="28"/>
          <w:szCs w:val="28"/>
          <w:rtl w:val="true"/>
          <w:lang w:bidi="fa-IR"/>
        </w:rPr>
        <w:t>و تقاضای در دست چاپ مقالات شاید راه حل های متنوعی برای خرید حق اشتراک مجله باشد، اما آن ها همیشه راه حل های مطلوب برای دسترسی طولانی مدت، بودجه بندی، حفاظت یا ایجاد مجموعه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روش های دسترسی طولانی و استفاده دستور مشتری به طور خودکار دسترسی نمی دهد یا اجازه کشف پیشرفت های متن را نمی دهد یا مذاکره ممکن است بوسیله ویژگی های شبکه اجتماعی موجود در نشریات ادواری جدید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دسترسی باز و رایگان و استفاده دوباره ممکن است بوسیله محیط پیوسته به مراتب قالب مطلوب تری برای دسترسی به متون علمی و تعداد نشریات دسترسی باز موجود باشد که به سرعت در حال رشد است راهنمای مجله های دسترسی باز </w:t>
      </w:r>
      <w:r>
        <w:rPr>
          <w:rStyle w:val="FootnoteAnchor"/>
          <w:rtl w:val="true"/>
        </w:rPr>
        <w:footnoteReference w:id="370"/>
      </w:r>
      <w:r>
        <w:rPr>
          <w:rFonts w:ascii="IRNazanin" w:hAnsi="IRNazanin" w:eastAsia="IRNazanin"/>
          <w:color w:val="111111"/>
          <w:sz w:val="28"/>
          <w:sz w:val="28"/>
          <w:szCs w:val="28"/>
          <w:rtl w:val="true"/>
          <w:lang w:bidi="fa-IR"/>
        </w:rPr>
        <w:t xml:space="preserve">که فهرستی از بسیاری نشریات دسترسی باز را دارد و به طور جاری، شامل بیش از </w:t>
      </w:r>
      <w:r>
        <w:rPr>
          <w:rFonts w:eastAsia="IRNazanin" w:cs="IRNazanin"/>
          <w:color w:val="111111"/>
          <w:sz w:val="28"/>
          <w:szCs w:val="28"/>
          <w:lang w:bidi="fa-IR"/>
        </w:rPr>
        <w:t>7662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دوآج، </w:t>
      </w:r>
      <w:r>
        <w:rPr>
          <w:rFonts w:eastAsia="IRNazanin" w:cs="IRNazanin"/>
          <w:color w:val="111111"/>
          <w:sz w:val="28"/>
          <w:szCs w:val="28"/>
          <w:lang w:bidi="fa-IR"/>
        </w:rPr>
        <w:t>2012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نوع و نکته از مجلات دسترسی باز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الگوهای دسترسی باز </w:t>
      </w:r>
      <w:bookmarkStart w:id="277" w:name="pg9653_81784"/>
    </w:p>
    <w:p>
      <w:pPr>
        <w:pStyle w:val="BookText"/>
        <w:rPr/>
      </w:pPr>
      <w:bookmarkEnd w:id="277"/>
      <w:r>
        <w:rPr>
          <w:rFonts w:ascii="IRNazanin" w:hAnsi="IRNazanin" w:eastAsia="IRNazanin"/>
          <w:color w:val="111111"/>
          <w:sz w:val="28"/>
          <w:sz w:val="28"/>
          <w:szCs w:val="28"/>
          <w:rtl w:val="true"/>
          <w:lang w:bidi="fa-IR"/>
        </w:rPr>
        <w:t>طلایی و سبز با استفاده رایگان و در ازای پول و امکان استفاده دوباره از آن هاست به علاوه نشریاتی که یک ترکیبی از هزینه و دسترسی باز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سبز دسترسی باز، خودآرشیوی یا واسپاری تولیدات آثار علمی را دربر می گیرد و برخی اوقات داده بر آن اساس است در سازمان با دیگر مخازن که منابع می تواند به طور رایگان قابل دسترس و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بارگذاری مقاله یک واسپاری است که اغلب نسخه قبل از چاپ یک مقاله است اما برخی اوقات آن نسخه نهایی مقاله بارگذاری شده بعد از یک دوره 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کرافورد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با الگوی طلایی دسترسی باز، مقالات بر روی وب سایت نشریات برای استفاده رایگان قابل دسترس هستند اما اغلب نویسندگان هزینه نشر را می پردازند یک الگوی دسترسی باز نشریات تولیدات پژوهشی و داده، اکنون بودجه در اختیار دولت است و بودجه ها و کمک های مالی پژوهش بارها برای نویسندگان پرداخت و مطالبه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مؤسسات بودجه های مجلات دسترسی باز را ایجاد کرده اند تا پژوهشگران آن ها مطالبات مربوط به نشریات دسترسی باز را پوشش دهند تغییر استفاده سطح مقاله برای استفاده دستور مشتری و مخازن سازمانی تغییر بالقوه ای برای ماهیت یک پیایند به عنوان یک واحد دارد، زیرا آن خرید را به سطح مقاله کاهش می دهد</w:t>
      </w:r>
      <w:r>
        <w:rPr>
          <w:rFonts w:eastAsia="IRNazanin" w:cs="IRNazanin"/>
          <w:color w:val="111111"/>
          <w:sz w:val="28"/>
          <w:szCs w:val="28"/>
          <w:rtl w:val="true"/>
          <w:lang w:bidi="fa-IR"/>
        </w:rPr>
        <w:t>.</w:t>
      </w:r>
    </w:p>
    <w:p>
      <w:pPr>
        <w:pStyle w:val="Heading3"/>
        <w:numPr>
          <w:ilvl w:val="2"/>
          <w:numId w:val="1"/>
        </w:numPr>
        <w:rPr/>
      </w:pPr>
      <w:bookmarkStart w:id="278" w:name="__RefHeading___Toc7766454_2870459653"/>
      <w:bookmarkStart w:id="279" w:name="_Toc102"/>
      <w:bookmarkEnd w:id="278"/>
      <w:r>
        <w:rPr>
          <w:rtl w:val="true"/>
        </w:rPr>
        <w:t>نقش های جدید</w:t>
      </w:r>
      <w:bookmarkEnd w:id="279"/>
    </w:p>
    <w:p>
      <w:pPr>
        <w:pStyle w:val="BookText"/>
        <w:rPr/>
      </w:pPr>
      <w:r>
        <w:rPr>
          <w:rFonts w:ascii="IRNazanin" w:hAnsi="IRNazanin" w:eastAsia="IRNazanin"/>
          <w:color w:val="111111"/>
          <w:sz w:val="28"/>
          <w:sz w:val="28"/>
          <w:szCs w:val="28"/>
          <w:rtl w:val="true"/>
          <w:lang w:bidi="fa-IR"/>
        </w:rPr>
        <w:t xml:space="preserve">نقش های کتابخانه در نشر، فراهم آوری آماده سازی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حفاظت و توسعه و افزایش منابع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دارد و به سرعت درحال تکامل است پیایندهای جدید، محیط پیوسته و تحولات جاری در نظام ارتباط علمی با نقش های سنگین یا جدید، مسئولیت ها و چالش هایی برای کتابخانه ها و کتابداران به عنوان حامیان دسترسی ناشران ،مجله مدیران و حامیان مخازن و حق مؤلّف، چندرسانه ای، وب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تکنولوژی و متخصصان فرداده، پدید آورده است</w:t>
      </w:r>
      <w:r>
        <w:rPr>
          <w:rFonts w:eastAsia="IRNazanin" w:cs="IRNazanin"/>
          <w:color w:val="111111"/>
          <w:sz w:val="28"/>
          <w:szCs w:val="28"/>
          <w:rtl w:val="true"/>
          <w:lang w:bidi="fa-IR"/>
        </w:rPr>
        <w:t>.</w:t>
      </w:r>
    </w:p>
    <w:p>
      <w:pPr>
        <w:pStyle w:val="Heading3"/>
        <w:numPr>
          <w:ilvl w:val="2"/>
          <w:numId w:val="1"/>
        </w:numPr>
        <w:rPr/>
      </w:pPr>
      <w:bookmarkStart w:id="280" w:name="__RefHeading___Toc7766456_2870459653"/>
      <w:bookmarkStart w:id="281" w:name="_Toc103"/>
      <w:bookmarkEnd w:id="280"/>
      <w:r>
        <w:rPr>
          <w:rtl w:val="true"/>
        </w:rPr>
        <w:t>حامیان دسترسی باز</w:t>
      </w:r>
      <w:bookmarkEnd w:id="2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نظام ارتباط علمی اهمیت حیاتی برای دانشگاه و کتابخانه دانشگاهی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bookmarkStart w:id="282" w:name="pg9653_81785"/>
    </w:p>
    <w:p>
      <w:pPr>
        <w:pStyle w:val="BookText"/>
        <w:rPr/>
      </w:pPr>
      <w:bookmarkEnd w:id="282"/>
      <w:r>
        <w:rPr>
          <w:rFonts w:ascii="IRNazanin" w:hAnsi="IRNazanin" w:eastAsia="IRNazanin"/>
          <w:color w:val="111111"/>
          <w:sz w:val="28"/>
          <w:sz w:val="28"/>
          <w:szCs w:val="28"/>
          <w:rtl w:val="true"/>
          <w:lang w:bidi="fa-IR"/>
        </w:rPr>
        <w:t>کتابداران و افراد بسیاری توافق دارند بر این که نظام ارتباط علمی نمی تواند حمایت طولانی از نظام نشریات داشته باشد که تولیدات آثار علمی اغلب خارج از دسترس و قیمت و حق اشتراک آن ها خود مانعی برای دسترسی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موانع در مخازن است که تولید آثار علمی غیر قابل دسترس و موجود برای استفاده و استفاده دوباره بسیاری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کتابداران در آموزش کاربران راجع به اهمیت موضوعات وابسته به ارتباط علمی نقش حیاتی دارند آن ها متخصصانی در موضوعات مفصل پیرامون الگوهای نشریات حق مؤلّف، حقوق نویسنده مجله میزبان، حفاظت، بازاریابی و ازدیاد دیگر موارد مربوط به مرغوبیت دسترسی و نشریات دسترسی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 شکلی از شرکا و همکارانی هستند که با اعضای هیات علمی ویراستاران مجله نویسندگان و دیگر نگهدارندگان ارتباط دارند تا راه حل های جدید و الگوهای نشریات را بیابند و موانع دسترسی را برطرف کنند، که این امر برای کتابخانه ها بسیار جدی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کرافورد،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Heading3"/>
        <w:numPr>
          <w:ilvl w:val="2"/>
          <w:numId w:val="1"/>
        </w:numPr>
        <w:rPr/>
      </w:pPr>
      <w:bookmarkStart w:id="283" w:name="__RefHeading___Toc7766458_2870459653"/>
      <w:bookmarkStart w:id="284" w:name="_Toc104"/>
      <w:bookmarkEnd w:id="283"/>
      <w:r>
        <w:rPr>
          <w:rtl w:val="true"/>
        </w:rPr>
        <w:t>ناشران مجله</w:t>
      </w:r>
      <w:bookmarkEnd w:id="28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کتابخانه های پژوهشی به عنوان ناشران و میزبانان مجلات علمی رشد سریعی داشته و شاخصی برای ارزش کتابخانه های پژوهشی و دیگر مکان ها در دستیابی به روش های جدید برای حمایت از ارتباط علمی است اوایل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انجمن کتابخانه های پژوهشی نشان داد که با پایان گرفتن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دهندگان کتابخانه های انجمن کتابخانه های پژوهشی گزارش کردند که آن ها خدمات نشر را منتقل کردند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در فرایند توسعه برنامه ریزی خدمات نشر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بسیاری از خدمات نشر کتابخانه ای جدید بوجود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کتابخانه ها می کوشند خدماتی بر مبنای الگوهای جدید نشریات دسترسی باز فراهم کنند بلکه در الگوهای دسترسی ،سنتی با موانع آن ها و هزینه های سنگین که با نگهداری برنامه های اشتراک محور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بیشماری از برنامه ها و سطوح خدمات موجود است و نقش های میان کتابخانه تغییر زیادی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کتابخانه ها برنامه خدمات نشر کامل و گسترده ای با دیگر خدمات رقومی مناسب مثل حفاظت رقومی، مخزن رقومی و برنامه های رقومی انسانی را فراهم می کنند خدمات </w:t>
      </w:r>
      <w:bookmarkStart w:id="285" w:name="pg9653_81786"/>
    </w:p>
    <w:p>
      <w:pPr>
        <w:pStyle w:val="BookText"/>
        <w:rPr/>
      </w:pPr>
      <w:bookmarkEnd w:id="285"/>
      <w:r>
        <w:rPr>
          <w:rFonts w:ascii="IRNazanin" w:hAnsi="IRNazanin" w:eastAsia="IRNazanin"/>
          <w:color w:val="111111"/>
          <w:sz w:val="28"/>
          <w:sz w:val="28"/>
          <w:szCs w:val="28"/>
          <w:rtl w:val="true"/>
          <w:lang w:bidi="fa-IR"/>
        </w:rPr>
        <w:t xml:space="preserve">شامل آماده کردن خدمات مشاوره ای برای نشر یا آماده سازی خدمات مخزن سازمانی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جوت كنت،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 مون پری </w:t>
      </w:r>
      <w:r>
        <w:rPr>
          <w:rStyle w:val="FootnoteAnchor"/>
          <w:rtl w:val="true"/>
        </w:rPr>
        <w:footnoteReference w:id="374"/>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برنامه های نشر تلزم مشارکت ملی مانند برنامه همیاری کانادایی </w:t>
      </w:r>
      <w:r>
        <w:rPr>
          <w:rStyle w:val="FootnoteAnchor"/>
          <w:rtl w:val="true"/>
        </w:rPr>
        <w:footnoteReference w:id="37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دوکاس </w:t>
      </w:r>
      <w:r>
        <w:rPr>
          <w:rStyle w:val="FootnoteAnchor"/>
          <w:rtl w:val="true"/>
        </w:rPr>
        <w:footnoteReference w:id="376"/>
      </w:r>
      <w:r>
        <w:rPr>
          <w:rFonts w:ascii="IRNazanin" w:hAnsi="IRNazanin" w:eastAsia="IRNazanin"/>
          <w:color w:val="111111"/>
          <w:sz w:val="28"/>
          <w:sz w:val="28"/>
          <w:szCs w:val="28"/>
          <w:rtl w:val="true"/>
          <w:lang w:bidi="fa-IR"/>
        </w:rPr>
        <w:t xml:space="preserve">و تاکاه،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حمایت مالی و الگوهای شغلی از یک مؤسسه به مؤسسه دیگری متفاوت است کتابخانه از برنامه های نشر و مجله میزبان که پیچیدگی کمتری دارد حمایت می کند و ممکن است در گذشته از نرم افزار منبع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جِی اس</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 نظام نشر رقومی کتابخانه دانشگاه کرنل </w:t>
      </w:r>
      <w:r>
        <w:rPr>
          <w:rStyle w:val="FootnoteAnchor"/>
          <w:rtl w:val="true"/>
        </w:rPr>
        <w:footnoteReference w:id="379"/>
      </w:r>
      <w:r>
        <w:rPr>
          <w:rFonts w:ascii="IRNazanin" w:hAnsi="IRNazanin" w:eastAsia="IRNazanin"/>
          <w:color w:val="111111"/>
          <w:sz w:val="28"/>
          <w:sz w:val="28"/>
          <w:szCs w:val="28"/>
          <w:rtl w:val="true"/>
          <w:lang w:bidi="fa-IR"/>
        </w:rPr>
        <w:t xml:space="preserve">و سایر نرم افزارها از فعالیت های نشر حمایت کند که بر آن اساس دسترس پذیر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دانش عمومی </w:t>
      </w:r>
      <w:r>
        <w:rPr>
          <w:rStyle w:val="FootnoteAnchor"/>
          <w:rtl w:val="true"/>
        </w:rPr>
        <w:footnoteReference w:id="380"/>
      </w:r>
      <w:r>
        <w:rPr>
          <w:rFonts w:ascii="IRNazanin" w:hAnsi="IRNazanin" w:eastAsia="IRNazanin"/>
          <w:color w:val="111111"/>
          <w:sz w:val="28"/>
          <w:sz w:val="28"/>
          <w:szCs w:val="28"/>
          <w:rtl w:val="true"/>
          <w:lang w:bidi="fa-IR"/>
        </w:rPr>
        <w:t xml:space="preserve">کتابخانه دانشگاه کرنل،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381"/>
      </w:r>
    </w:p>
    <w:p>
      <w:pPr>
        <w:pStyle w:val="Heading3"/>
        <w:numPr>
          <w:ilvl w:val="2"/>
          <w:numId w:val="1"/>
        </w:numPr>
        <w:rPr/>
      </w:pPr>
      <w:bookmarkStart w:id="286" w:name="__RefHeading___Toc7766460_2870459653"/>
      <w:bookmarkStart w:id="287" w:name="_Toc105"/>
      <w:bookmarkEnd w:id="286"/>
      <w:r>
        <w:rPr>
          <w:rtl w:val="true"/>
        </w:rPr>
        <w:t>میزبانی و نگهداری مخزن</w:t>
      </w:r>
      <w:bookmarkEnd w:id="287"/>
    </w:p>
    <w:p>
      <w:pPr>
        <w:pStyle w:val="BookText"/>
        <w:rPr/>
      </w:pPr>
      <w:r>
        <w:rPr>
          <w:rFonts w:ascii="IRNazanin" w:hAnsi="IRNazanin" w:eastAsia="IRNazanin"/>
          <w:color w:val="111111"/>
          <w:sz w:val="28"/>
          <w:sz w:val="28"/>
          <w:szCs w:val="28"/>
          <w:rtl w:val="true"/>
          <w:lang w:bidi="fa-IR"/>
        </w:rPr>
        <w:t xml:space="preserve">نگهداری و میزبانی مخازن دسترسی باز، برای بسیاری از کتابخانه های پژوهشی دانشگاهی عادی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مزایای مفصل استفاده موضوعی سازمانی و انواع دیگر مخازن پژوهشگران و اعضای هیأت علمی را تشویق نموده تا آثارشان را به صورت واسپاری به مخزن ارائه دهند آماده سازی و نگهداری نرم افزار مخازن جاری و کمک به هدایت پژوهشگران برای توافق با ناشر و موضوعات حق مؤلف از نقش های مهم کتابخانه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فراداده مناسب قابل استفاده برای کشف مقولات قرار گرفته در مخازن است و نظم و ترتیب آرشیوی از وظایف مهم کتابخانه محسوب می شود شرکت سهامی یا سازمانی این اختیار و اعتبار را داده که نقش های کتابخانه ها را در موارد بسیاری در ارتباط با سازمان و سایر انواع مخازن بالا برده است</w:t>
      </w:r>
      <w:r>
        <w:rPr>
          <w:rFonts w:eastAsia="IRNazanin" w:cs="IRNazanin"/>
          <w:color w:val="111111"/>
          <w:sz w:val="28"/>
          <w:szCs w:val="28"/>
          <w:rtl w:val="true"/>
          <w:lang w:bidi="fa-IR"/>
        </w:rPr>
        <w:t>.</w:t>
      </w:r>
    </w:p>
    <w:p>
      <w:pPr>
        <w:pStyle w:val="Heading3"/>
        <w:numPr>
          <w:ilvl w:val="2"/>
          <w:numId w:val="1"/>
        </w:numPr>
        <w:rPr/>
      </w:pPr>
      <w:bookmarkStart w:id="288" w:name="__RefHeading___Toc7766462_2870459653"/>
      <w:bookmarkStart w:id="289" w:name="_Toc106"/>
      <w:bookmarkEnd w:id="288"/>
      <w:r>
        <w:rPr>
          <w:rtl w:val="true"/>
        </w:rPr>
        <w:t xml:space="preserve">حق مؤلّف، چندرسانه ای، وب </w:t>
      </w:r>
      <w:r>
        <w:rPr/>
        <w:t>2</w:t>
      </w:r>
      <w:r>
        <w:rPr>
          <w:rtl w:val="true"/>
        </w:rPr>
        <w:t>، متخصصان فراداده و فناوری</w:t>
      </w:r>
      <w:bookmarkEnd w:id="28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پیایندهای جدید، پیشرفت های وب و فناورانه برای کتابخانه ها و کتابداران وظایف جدیدی </w:t>
      </w:r>
      <w:bookmarkStart w:id="290" w:name="pg9653_81787"/>
    </w:p>
    <w:p>
      <w:pPr>
        <w:pStyle w:val="BookText"/>
        <w:rPr/>
      </w:pPr>
      <w:bookmarkEnd w:id="290"/>
      <w:r>
        <w:rPr>
          <w:rFonts w:ascii="IRNazanin" w:hAnsi="IRNazanin" w:eastAsia="IRNazanin"/>
          <w:color w:val="111111"/>
          <w:sz w:val="28"/>
          <w:sz w:val="28"/>
          <w:szCs w:val="28"/>
          <w:rtl w:val="true"/>
          <w:lang w:bidi="fa-IR"/>
        </w:rPr>
        <w:t>را در فراهم آوردن متخصصان و خدمات بر مبنای فناوری ها و منابع جدید ضروری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نقش هایی را به عنوان متخصصان حق مؤلف، استفاده از چندرسانه ای ویژگی های وب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دابلین کور، تفاهم نامه های ابتکار آرشیو باز برای گردآوری فراداده و طرح های فراداده ای ایفا می کنند به علاوه نقش هایی در حمایت و روزآمد سازی نرم افزار استفاده شده برای نشر مجله، مدیریت مخزن و سایر وظایف کتابخانه نیز بر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کالهون،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پیشرفت های مستمر ،نشریات نرم افزار آرشیوی و مخزن به علاوه انتقال پایدار داده، که درست به دست آمده است و تولید نشریاتی که با پیشرفت هایی در متن، محتوا، شبکه اجتماعی و سایر ویژگی های پیایندهای جدید خوب حفظ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فراهم کردن ابزارها و حمایت از کشف خدماتی مثل سامن، </w:t>
      </w:r>
      <w:r>
        <w:rPr>
          <w:rStyle w:val="FootnoteAnchor"/>
          <w:rtl w:val="true"/>
        </w:rPr>
        <w:footnoteReference w:id="383"/>
      </w:r>
      <w:r>
        <w:rPr>
          <w:rFonts w:ascii="Amiri" w:hAnsi="Amiri" w:eastAsia="Amiri" w:cs="Amiri"/>
          <w:color w:val="111111"/>
          <w:sz w:val="28"/>
          <w:sz w:val="28"/>
          <w:szCs w:val="28"/>
          <w:rtl w:val="true"/>
          <w:lang w:bidi="ar-SA"/>
        </w:rPr>
        <w:t xml:space="preserve">خدمات كشف ابسكو </w:t>
      </w:r>
      <w:r>
        <w:rPr>
          <w:rStyle w:val="FootnoteAnchor"/>
          <w:rtl w:val="true"/>
        </w:rPr>
        <w:footnoteReference w:id="384"/>
      </w:r>
      <w:r>
        <w:rPr>
          <w:rFonts w:ascii="IRNazanin" w:hAnsi="IRNazanin" w:eastAsia="IRNazanin"/>
          <w:color w:val="111111"/>
          <w:sz w:val="28"/>
          <w:sz w:val="28"/>
          <w:szCs w:val="28"/>
          <w:rtl w:val="true"/>
          <w:lang w:bidi="fa-IR"/>
        </w:rPr>
        <w:t xml:space="preserve">، مرکز پریمو </w:t>
      </w:r>
      <w:r>
        <w:rPr>
          <w:rStyle w:val="FootnoteAnchor"/>
          <w:rtl w:val="true"/>
        </w:rPr>
        <w:footnoteReference w:id="385"/>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وُردکَت لوکال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به علاوه یک میزبان از سایر ابزارها مثل ابزارهای بلاگینگ که از پیایندهای جدید و ارتباط علمی پژوهشی که نقش های کنونی برای کتابداران هستند، حمایت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اندرسن و درِسِلهاوس، </w:t>
      </w:r>
      <w:r>
        <w:rPr>
          <w:rStyle w:val="FootnoteAnchor"/>
        </w:rPr>
        <w:footnoteReference w:id="387"/>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دی شاتُن،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7766464_2870459653"/>
      <w:bookmarkStart w:id="292" w:name="_Toc107"/>
      <w:bookmarkEnd w:id="291"/>
      <w:r>
        <w:rPr>
          <w:rtl w:val="true"/>
        </w:rPr>
        <w:t>موضوعات جدید</w:t>
      </w:r>
      <w:bookmarkEnd w:id="2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کتابخانه ها بررسی پیشرفت های مهم در نشریات ادواری و ارتباط علمی پژوهشی بر یک اساس در حال پیشرفت و مهم است، و راه حل های رو به جلویی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موضوعات که روی داده،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جاری مربوط به دست اندرکاران نشریات، شامل یافته ها و پیشرفت ها از بهترین مجموعه ها از منابع گسترده و موجود تضمین طولانی مدت حفاظت و دسترسی به پیایندها مقالات و داده که از دنیای پیوسته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حفاظت ملی و آرشیوی مناسب و داده ها و تولیدات پژوهشی </w:t>
      </w:r>
      <w:bookmarkStart w:id="293" w:name="pg9653_81788"/>
    </w:p>
    <w:p>
      <w:pPr>
        <w:pStyle w:val="BookText"/>
        <w:rPr/>
      </w:pPr>
      <w:bookmarkEnd w:id="293"/>
      <w:r>
        <w:rPr>
          <w:rFonts w:ascii="IRNazanin" w:hAnsi="IRNazanin" w:eastAsia="IRNazanin"/>
          <w:color w:val="111111"/>
          <w:sz w:val="28"/>
          <w:sz w:val="28"/>
          <w:szCs w:val="28"/>
          <w:rtl w:val="true"/>
          <w:lang w:bidi="fa-IR"/>
        </w:rPr>
        <w:t>دولتی، و آموزش و ارتباط با حامیان و مشوقان حق مؤلّف و سایر موضوعات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تولید پیایندهای جدید که حاصل نرم افزار پیشرفته تر که هم اکنون در بسیاری از عملیات استفاده می شود، نگهداری و پشتیبانی از نرم افزار ملزومات ذخیره سازی بزرگ برای تولید نگهداری و آرشیو انواع جدید از نشریات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ها برای کتابخانه ها و کتابداران اهمیت دارد و مستلزم یافتن روش هایی است که پژوهشگران را تشویق نموده تا الگوهای نشرشان را تغییر دهند، فراهم کردن شواهدی برای ارزش تطبیقی نشریاتی که با الگوهای گوناگون نشریات تولید می شوند و کمک به پژوهشگران تا روش های جدید ارتباط علمی، پژوهشی، الگوهای دسترسی باز و پیشرفت و رشد مخزن را کسب کنند بسیاری البته یک موضوع در حال پیشرفت برای کتابخانه ها ناشران، تولیدکنندگان دانش و کاربران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کتابخانه ها یافتن الگوهای بودجه برای حمایت و پشتیبانی از فعالیت های ارتباط علمی پژوهشی مثل خدمات نشر و نگهداری مخزن، یافتن بودجه برای محتوا دسترسی به اطلاعات از طریق ابزارهای سنتی یافتن بودجه برای خلق فراداده، برای خلق و پیاده سازی استاندارد برای کشف ابزارها، فراهم کردن انتقال ابزارهای چندرسانه ای و توسعه زیرساخت ها مناسب، از موضوعات جاری و درحال پیشرفت هستند یافتن بودجه برای کارکنان که خدمات را فراهم می کند و اجرای همه وظایف برای حمایت از فعالیت های آتی و جاری کتابخانه لازم بوده و یک نگرانی اصلی برای بیشتر کتابخانه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خدمات با مشکلاتی روبرو هستند که به عنوان نتیجه عمومی شدن ،آن ها که در سطوح خدمات نگهداری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کتابخانه ها همچون ناشران همچنین موضوعات شامل نیاز به حمایت از اطلاعات و محتوای نشریات در قالب ها، زبان ها و ویژگی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همکاران جدید افزایش یافته و همکاری ها با اعضای هیات علمی و سایر کاربران کتابخانه ها مراکز پژوهشی موزه ها مدارس دارای رتبه و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آی تی ناشران، انتشارات دانشگاهی به طور فزایندهای اهمیت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کتابخانه ها بررسی پیشرفت های مهم در نشریات ادواری ضروری است و راه حل هایی برای موضوعاتی که در بالا مطرح شد ارائه می کند</w:t>
      </w:r>
      <w:r>
        <w:rPr>
          <w:rFonts w:eastAsia="IRNazanin" w:cs="IRNazanin"/>
          <w:color w:val="111111"/>
          <w:sz w:val="28"/>
          <w:szCs w:val="28"/>
          <w:rtl w:val="true"/>
          <w:lang w:bidi="fa-IR"/>
        </w:rPr>
        <w:t>.</w:t>
      </w:r>
    </w:p>
    <w:p>
      <w:pPr>
        <w:pStyle w:val="Heading3"/>
        <w:numPr>
          <w:ilvl w:val="2"/>
          <w:numId w:val="1"/>
        </w:numPr>
        <w:rPr/>
      </w:pPr>
      <w:bookmarkStart w:id="294" w:name="__RefHeading___Toc7766466_2870459653"/>
      <w:bookmarkStart w:id="295" w:name="_Toc108"/>
      <w:bookmarkEnd w:id="294"/>
      <w:r>
        <w:rPr>
          <w:rtl w:val="true"/>
        </w:rPr>
        <w:t>نتیجه گیری</w:t>
      </w:r>
      <w:bookmarkEnd w:id="29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موضوعات مربوط به پیایندهای جدید و نقش های جدید برای کتابخانه ها </w:t>
      </w:r>
      <w:bookmarkStart w:id="296" w:name="pg9653_81789"/>
    </w:p>
    <w:p>
      <w:pPr>
        <w:pStyle w:val="BookText"/>
        <w:rPr/>
      </w:pPr>
      <w:bookmarkEnd w:id="296"/>
      <w:r>
        <w:rPr>
          <w:rFonts w:ascii="IRNazanin" w:hAnsi="IRNazanin" w:eastAsia="IRNazanin"/>
          <w:color w:val="111111"/>
          <w:sz w:val="28"/>
          <w:sz w:val="28"/>
          <w:szCs w:val="28"/>
          <w:rtl w:val="true"/>
          <w:lang w:bidi="fa-IR"/>
        </w:rPr>
        <w:t xml:space="preserve">و کتابداران وجود دارد دست اندرکاران نشریات دانش و تخصص خود را برای نشان دادن بیشتر در موضوعاتی که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یافته ارتقا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موضوعات پیرامون حفاظت سازماندهی، آموزش، همکاری، ارتباط، کشف، دسترسی، آرشیو، نرم افزار بودجه بندی توسعه ،مجموعه حق مؤلّف و توسعه یا استفاده از طرح های مختلف فراداده است این موضوعات و چالش هایی است که کتابداران و کتابخانه ها را آماده می کند تا تخصص قابل توجهی در مقابله با آن به دست آورند دانش و مهارت های به دست آمده نشان می دهد که موضوعات در مجموعه کتابداران است بنابراین کتابداران نیاز دارند که نقش کاری فعالی را از طریق چالش ها و موضوعاتی که روی ،داده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بسیار آشناست، اما زمینه تکامل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کتابداران و کتابخانه ها خود را برای روبرو شدن با آینده آماده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این رویارویی شامل پیایندها و نقش های جدیدی است اما موضوعات آشناست دست اندرکاران نشریات نیاز دارند در جلو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باشند و به عنوان دنیای جدید پیایندها آشکار شوند</w:t>
      </w:r>
      <w:r>
        <w:rPr>
          <w:rFonts w:eastAsia="IRNazanin" w:cs="IRNazanin"/>
          <w:color w:val="111111"/>
          <w:sz w:val="28"/>
          <w:szCs w:val="28"/>
          <w:rtl w:val="true"/>
          <w:lang w:bidi="fa-IR"/>
        </w:rPr>
        <w:t>.</w:t>
      </w:r>
    </w:p>
    <w:p>
      <w:pPr>
        <w:pStyle w:val="Heading3"/>
        <w:numPr>
          <w:ilvl w:val="2"/>
          <w:numId w:val="1"/>
        </w:numPr>
        <w:rPr/>
      </w:pPr>
      <w:bookmarkStart w:id="297" w:name="__RefHeading___Toc7766468_2870459653"/>
      <w:bookmarkStart w:id="298" w:name="_Toc109"/>
      <w:bookmarkEnd w:id="297"/>
      <w:r>
        <w:rPr>
          <w:rtl w:val="true"/>
        </w:rPr>
        <w:t>منابع</w:t>
      </w:r>
      <w:bookmarkEnd w:id="298"/>
    </w:p>
    <w:p>
      <w:pPr>
        <w:pStyle w:val="BookText"/>
        <w:rPr/>
      </w:pPr>
      <w:r>
        <w:rPr>
          <w:rFonts w:eastAsia="Times New Roman" w:cs="Times New Roman" w:ascii="Times New Roman" w:hAnsi="Times New Roman"/>
          <w:color w:val="111111"/>
          <w:sz w:val="28"/>
          <w:szCs w:val="28"/>
          <w:lang w:val="en-US" w:bidi="en-US"/>
        </w:rPr>
        <w:t>Alexander Street Press. Alexander Street Press. http://alexanderstreet.com/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Anderson, Kent, and Angela Dresselhaus. 2011. Publishing 2.0: How the Inter- net Changes Publications in Society. The Serials Librarian. April 11. doi:10.1080/0361526X.2011.556432. http://www.tandfonline.com/doi/abs/10.1080/0361526X.2011.556432 cessed May 14, 2012). (ac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Calhoun, Karen. 2007. "Being a librarian: metadata and metadata specialists in the twenty-first century." Library Hi Tech 25 (2): 174-187. doi:10.1108/07378830710754947. http://www.emeraldinsight.com/10.1108/07378830710754947 (accessed May 14, 2012)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Cassella, M., and L. Calvi. 2010. "New journal models and publishing perspec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tives in the evolving digital environment." IFLA Journal 36 (1) (April 26): 7-15. doi:10.1177/0340035209359559. http://ifl.sagepub.com/cgi/doi/10.1177/0340035209359559 (accessed May 14, 2012). Cornell University Library. 2008. DPubs: Digital Publishing System. Cornell University Library. http://dpubs.org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Crawford, Walt. 2011. Open Access: What You Need to Know Now. Chicago: American Library Association. DOAJ. DOAJ: Directory of Open Access Journals. http://www.doaj.org/doaj?func-byCountry&amp;uiLanguage=en (accessed May 14, 2012). De Schutter, Erik. 2010. Data publishing and scientific journals: the future of the scientific paper in a world of shared data. Neuroinformatics. Humana Press Inc. http://www.ncbi.nlm.nih.gov/pubmed/20835853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Devakos, Rea, and Karen Turko. 2007. "New Options for University Publish- ing. Synergies Building National Infrastructure for Canadian Scholarly Publish- ing." ARL 252/253: 16-19. http://www.arl.org/bm-doc/arl-br-252-253-synergies. pdf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Dublin Core Metadata Initiative. Dublin Core Metadata Initiative. http://dub- lincore.org/(accessed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Elsevier. 2012. Article of the Future. Elsevier B.V. www.articleofthefuture. com (accessed May 14, 2012)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Hahn, Karla L. 2008. Research Library Publishing Services New Options for niversity Publishing. Library. Association of Research Libraries. http://www.arl.org/bm-doc/research-library-publishing-services.pdf cessed May 14, 2012). (ac- Initiative, Open Archives. Open Archives Initiative Protocol for Metadata Har- vesting. http://www.openarchives.org/pmh/ (accessed May 14, 2012)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JoVE. JOVE. www.Jove.com (accessed May 14, 2012). Jottkandt, Sigi. 2010. Libraries as Publishers: New Roles for Libraries. http:// eprints.rclis.org/18415/ (accessed May 14, 2012). Maughan Perry, Anali, Carol Ann Borchert, Timothy S. Deliyannides, Andrea Kosavic, Rebecca Kennison and Sharon Dyas-Correia. 2011. "Libraries as Jour- nal 11 Publishers." Serials Review 37 (3) (September): 196-204. doi:10.1016/j.serrev.2011.06.006. http://linkinghub.elsevier.com/retrieve/pii/S0098791311001018 May 14, 2012). (accessed</w:t>
      </w:r>
    </w:p>
    <w:p>
      <w:pPr>
        <w:pStyle w:val="BookText"/>
        <w:rPr/>
      </w:pPr>
      <w:r>
        <w:rPr>
          <w:rFonts w:eastAsia="Times New Roman" w:cs="Times New Roman" w:ascii="Times New Roman" w:hAnsi="Times New Roman"/>
          <w:color w:val="111111"/>
          <w:sz w:val="28"/>
          <w:szCs w:val="28"/>
          <w:lang w:val="en-US" w:bidi="en-US"/>
        </w:rPr>
        <w:t>Miller, Eric, and Micheline Westfall. 2011. “Linked Data and Libraries." The Serials Librarian 60 (1-4) (April11):17-22. Doi:10.1080/0361526X.2011.556427. http://www.tandfonline.com/doi/abs/10.1080/0361526X.2011.556427 cessed May 14, 2012). (ac- Nature. Nature Linked Data. www.data.nature.com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Public Knowledge Project. PKP: Public Knowledge Project. http://pkp.sfu.ca (accessed May 14, 2012). Public Library of Science. PLos Public Library of Science. Public Library of Science. www.plos.org (accessed May 14, 2012). Shotton, David. 2009. "Semantic publishing: the coming revolution in scientific journal publishing." Learned Publishing 22 (2) (April 1): 85-94. doi:10.1087/2009202. http://openurl.ingenta.com/content/xref?genre=article&amp;issn=0953- 1513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volume=22&amp;issue=2&amp; page=85 (accessed May 14, 2012). Shotton, David (University of Oxford). 2012. "Five stars of online journal ar- ticles." D-Lib Magazine 18 (1/2): 1-17. Http://www.dlib.org/dlib/january12/shot- ton/01shotton.html (accessed May 14, 2012). Springer. 2010. Springer Healthcare Communications. Springer Healthcare Ltd. www.springerhealtcare.com (accessed May 14, 2012)</w:t>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World Wide Web Consortium. W3C Standards. World Wide Web Consortium. http://www.w3.org/standards/semanticweb/data (accessed May 14, 2012)</w:t>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9653_81794"/>
      <w:bookmarkStart w:id="300" w:name="pg9653_81794"/>
      <w:bookmarkEnd w:id="300"/>
    </w:p>
    <w:p>
      <w:pPr>
        <w:pStyle w:val="Heading2"/>
        <w:numPr>
          <w:ilvl w:val="1"/>
          <w:numId w:val="1"/>
        </w:numPr>
        <w:rPr/>
      </w:pPr>
      <w:bookmarkStart w:id="301" w:name="pg9653_81794"/>
      <w:bookmarkStart w:id="302" w:name="__RefHeading___Toc7766470_2870459653"/>
      <w:bookmarkStart w:id="303" w:name="_Toc110"/>
      <w:bookmarkEnd w:id="301"/>
      <w:bookmarkEnd w:id="302"/>
      <w:r>
        <w:rPr>
          <w:rtl w:val="true"/>
        </w:rPr>
        <w:t>چکیده</w:t>
      </w:r>
      <w:bookmarkEnd w:id="303"/>
    </w:p>
    <w:p>
      <w:pPr>
        <w:pStyle w:val="BookText"/>
        <w:rPr/>
      </w:pPr>
      <w:r>
        <w:rPr>
          <w:rFonts w:ascii="IRNazanin" w:hAnsi="IRNazanin" w:eastAsia="IRNazanin"/>
          <w:color w:val="111111"/>
          <w:sz w:val="28"/>
          <w:sz w:val="28"/>
          <w:szCs w:val="28"/>
          <w:rtl w:val="true"/>
          <w:lang w:bidi="fa-IR"/>
        </w:rPr>
        <w:t>ما به روش های جدیدی برای اندیشیدن به حفاظت مجموعه های هیبرید روزآمد نیاز داریم؛ به رویکردی جامع تا عرصه های به شدت پراکنده حفاظت مادی و رقومی را با یکدیگر ترکیب کنیم منابع اطلاعاتی نیازمند حفاظت را اولویت بندی کنیم، به شکل دهی روندهای کاری جامع کمک کنیم و به اشتراک گذاشتن راهبردی ها بین قالب های رقومی و فیزیکی را ممکن سازیم این مقاله با بهره گیری از افسانه هندی فیل و شش مرد نابینا به رویکردی جامع راه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برخی از راهبردهای پیشگیری و نسخه برداری به عنوان نمونه هایی از رویکردهای کاربست این اصول رایج در قالب های رقومی و فیزیکی، بررسی می شود و با تذکر نکاتی در مورد فواید دیدن تمامی فیل حفاظت پایان می یابد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رقومی؛ نگهداری سنتی؛ مدیریت حفظ و نگهداری؛ مدیریت ریسک </w:t>
      </w:r>
      <w:bookmarkStart w:id="304" w:name="pg9653_81795"/>
    </w:p>
    <w:p>
      <w:pPr>
        <w:pStyle w:val="Heading2"/>
        <w:numPr>
          <w:ilvl w:val="1"/>
          <w:numId w:val="1"/>
        </w:numPr>
        <w:rPr/>
      </w:pPr>
      <w:bookmarkStart w:id="305" w:name="__RefHeading___Toc7766472_2870459653"/>
      <w:bookmarkStart w:id="306" w:name="_Toc111"/>
      <w:bookmarkEnd w:id="304"/>
      <w:bookmarkEnd w:id="305"/>
      <w:r>
        <w:rPr>
          <w:rtl w:val="true"/>
        </w:rPr>
        <w:t>دیدن همهٔ فیل</w:t>
      </w:r>
      <w:r>
        <w:rPr>
          <w:rtl w:val="true"/>
        </w:rPr>
        <w:t xml:space="preserve">: </w:t>
      </w:r>
      <w:r>
        <w:rPr>
          <w:rtl w:val="true"/>
        </w:rPr>
        <w:t>رویکرد جامع به مدیریت حفاظت منابع کتابخانه ای</w:t>
      </w:r>
      <w:bookmarkEnd w:id="306"/>
    </w:p>
    <w:p>
      <w:pPr>
        <w:pStyle w:val="Heading3"/>
        <w:numPr>
          <w:ilvl w:val="2"/>
          <w:numId w:val="1"/>
        </w:numPr>
        <w:rPr/>
      </w:pPr>
      <w:bookmarkStart w:id="307" w:name="__RefHeading___Toc7766474_2870459653"/>
      <w:bookmarkStart w:id="308" w:name="_Toc112"/>
      <w:bookmarkEnd w:id="307"/>
      <w:r>
        <w:rPr>
          <w:rtl w:val="true"/>
        </w:rPr>
        <w:t>اشاره</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همهٔ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جامع به مدیریت حفاظت منابع کتابخانه ای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نوشته هیتر براون، </w:t>
      </w:r>
      <w:r>
        <w:rPr>
          <w:rStyle w:val="FootnoteAnchor"/>
          <w:rtl w:val="true"/>
        </w:rPr>
        <w:footnoteReference w:id="389"/>
      </w:r>
      <w:r>
        <w:rPr>
          <w:rFonts w:ascii="IRNazanin" w:hAnsi="IRNazanin" w:eastAsia="IRNazanin"/>
          <w:color w:val="111111"/>
          <w:sz w:val="28"/>
          <w:sz w:val="28"/>
          <w:szCs w:val="28"/>
          <w:rtl w:val="true"/>
          <w:lang w:bidi="fa-IR"/>
        </w:rPr>
        <w:t xml:space="preserve">راس هاروی </w:t>
      </w:r>
      <w:r>
        <w:rPr>
          <w:rStyle w:val="FootnoteAnchor"/>
          <w:rtl w:val="true"/>
        </w:rPr>
        <w:footnoteReference w:id="390"/>
      </w:r>
      <w:r>
        <w:rPr>
          <w:rFonts w:ascii="IRNazanin" w:hAnsi="IRNazanin" w:eastAsia="IRNazanin"/>
          <w:color w:val="111111"/>
          <w:sz w:val="28"/>
          <w:sz w:val="28"/>
          <w:szCs w:val="28"/>
          <w:rtl w:val="true"/>
          <w:lang w:bidi="fa-IR"/>
        </w:rPr>
        <w:t xml:space="preserve">ترجمه مهسا پورحقانی </w:t>
      </w:r>
      <w:r>
        <w:rPr>
          <w:rStyle w:val="FootnoteAnchor"/>
          <w:rtl w:val="true"/>
        </w:rPr>
        <w:footnoteReference w:id="391"/>
      </w:r>
    </w:p>
    <w:p>
      <w:pPr>
        <w:pStyle w:val="Heading3"/>
        <w:numPr>
          <w:ilvl w:val="2"/>
          <w:numId w:val="1"/>
        </w:numPr>
        <w:rPr/>
      </w:pPr>
      <w:bookmarkStart w:id="309" w:name="__RefHeading___Toc7766476_2870459653"/>
      <w:bookmarkStart w:id="310" w:name="_Toc113"/>
      <w:bookmarkEnd w:id="309"/>
      <w:r>
        <w:rPr>
          <w:rtl w:val="true"/>
        </w:rPr>
        <w:t>راه های جدید اندیشیدن به حفاظت</w:t>
      </w:r>
      <w:bookmarkEnd w:id="3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شکاف بزرگی میان حفاظت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رقومی وجود دارد از یک طرف حفاظت سنتی به مراقبت از مواد فیزیکی می پردازد تا از دسترسی نسل های فعلی و آتی به آن ها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کتابخانه ای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ادکاک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مواد آنالوگ کاغذ بنیانی نظیر کتاب ها، مجلات و روزنامه ها، دستنوشته ها، نقشه ها، عکس ها، میکروفرم ها، مواد سمعی بصری و طیف گسترده ای از سایر مصنوعاتی از این دست است که امکان دارد در مجموعه چنین موسساتی نگهداری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 کاک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طرف دیگر حفاظت رقومی قرار دارد که از مواد رقومی برای اطمینان از دسترسی به آن ها در طول زمان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رقومی این چنین تعریف شده است مجموعه اقدامات مدیریت شده لازم برای کسب اطمینان از این که مواد رقومی تا زمان لازم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کلیه اقدامات لازم برای حفظ دسترسی به رسانه های رقومی، فراتر از محدودیت های رسانه یا تغییر در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وابستگی رقومی،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تعاریف</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این شکاف طی سال ها باعث رشد دانش، تخصص و پیدایش حرفهٔ جداگانه در میان متخصصان حفاظت، کارشناسان </w:t>
      </w:r>
      <w:r>
        <w:rPr>
          <w:rStyle w:val="FootnoteAnchor"/>
          <w:rtl w:val="true"/>
        </w:rPr>
        <w:footnoteReference w:id="394"/>
      </w:r>
      <w:r>
        <w:rPr>
          <w:rFonts w:ascii="IRNazanin" w:hAnsi="IRNazanin" w:eastAsia="IRNazanin"/>
          <w:color w:val="111111"/>
          <w:sz w:val="28"/>
          <w:sz w:val="28"/>
          <w:szCs w:val="28"/>
          <w:rtl w:val="true"/>
          <w:lang w:bidi="fa-IR"/>
        </w:rPr>
        <w:t>آی تی سایر متخصصین حفظ مواد سنتی و رقومی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کارشناسی حاصل شده بسیار ارزشمند و پیشرفت آن قابل درک است؛ اما به موازات آن که راه های بیشتری برای فکر کردن به حفاظت رقومی و مدیریت آن یافته ایم، چنین تفکیکی پایدار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های هیبریدی به روش های جدید برای اندیشیدن به حفاظت نیاز دارند امروزه حفاظت نیز مانند مسائل دیگر کتابخانه به تدریج دچار تغییرات اساسی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رقومی هم آن هایی که از ابتدا رقومی بوده اند و هم آنان که رقومی شده اند به جمع کثیر مواد فیزیکی اضافه شده اند که به حفاظت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 کانوی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به پاره ای از این تغییرات اشاره می کند که در پاسخ متخصصان حفاظت به مسئله مجموعه های هیبرید امروزی، اهمیت بسیار دارد؛ وی به ویژه به تغییر در برخی مفاهیم بنیادین حفظ و نگهداری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یکپارچگی </w:t>
      </w:r>
      <w:r>
        <w:rPr>
          <w:rStyle w:val="FootnoteAnchor"/>
          <w:rtl w:val="true"/>
        </w:rPr>
        <w:footnoteReference w:id="396"/>
      </w:r>
      <w:r>
        <w:rPr>
          <w:rFonts w:ascii="IRNazanin" w:hAnsi="IRNazanin" w:eastAsia="IRNazanin"/>
          <w:color w:val="111111"/>
          <w:sz w:val="28"/>
          <w:sz w:val="28"/>
          <w:szCs w:val="28"/>
          <w:rtl w:val="true"/>
          <w:lang w:bidi="fa-IR"/>
        </w:rPr>
        <w:t>یکی از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اندر کاران حفاظت در شیوۀ عمل سنتی، یکپارچگی مادی شیئ را با پرهیز از تغییر آن حفظ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یکپارچگی معنایی را نیز با مستند کردن زنجیره تصدی و اقداماتی که برای حفاظت شیء صورت گرفته است حفظ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برای مواد رقومی بکار نمی آید اساسا به این دلیل که در فرایندهای حفاظت مواد رقومی باید فایل های رقومی تغییر داده شوند حفظ یکپارچگی فیزیکی مواد رقومی تقریبا غیر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بسیار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می توان به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لازم و زنجیره مالکیت را مستند کرد همان طور که کانوی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نهایتا دنیای رقومی اصول حفاظت سنتی را از ضمانت یکپارچگی فیزیکی شیء به مشخص کردن ایجاد شیء تبدیل می کند که یکپارچگی معنایی مشخصۀ اولیه آن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رویکردی جامع برای ترکیب عرصه های پراکنده حفاظت رقومی و فیزیکی نیاز داریم در حال حاضر تقریبا مجموعه های همۀ کتابخانه ها هم رسانه های آنالوگ دارند و هم رقومی پس شناخت شیوه مدیریت حفاظت مواد رقومی و آنالوگ ضرورتی برای حرفه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آل این است که برای مدیریت حفاظت و نگهداری رویکردی جامع اتخاذ شود رویکردی که هر دو روش را گرد هم آورد و عقلانی سازد با این حال اکنون نمی دانیم که چنین رویکرد جامعی چگونه است باید سیاست ها </w:t>
      </w:r>
      <w:bookmarkStart w:id="311" w:name="pg9653_81797"/>
    </w:p>
    <w:p>
      <w:pPr>
        <w:pStyle w:val="BookText"/>
        <w:rPr/>
      </w:pPr>
      <w:bookmarkEnd w:id="311"/>
      <w:r>
        <w:rPr>
          <w:rFonts w:ascii="IRNazanin" w:hAnsi="IRNazanin" w:eastAsia="IRNazanin"/>
          <w:color w:val="111111"/>
          <w:sz w:val="28"/>
          <w:sz w:val="28"/>
          <w:szCs w:val="28"/>
          <w:rtl w:val="true"/>
          <w:lang w:bidi="fa-IR"/>
        </w:rPr>
        <w:t>و اقدامات جدیدی در پیش گیریم و از روش های جدیدی برای اندیشیدن به حفاظت استفاده کنیم که بتواند همه مواد را در بر گیرد برای آگاهی از اولویت بندی منابع اطلاعاتی نیاز به حفظ و نگهداری یاری رساندن به شکل دهی روند کاری جامع و امکان به اشتراک گذاشتن راهبردها بین قالب های رقومی و فیزیکی، چنین رویکرد جامعی لازم است</w:t>
      </w:r>
      <w:r>
        <w:rPr>
          <w:rFonts w:eastAsia="IRNazanin" w:cs="IRNazanin"/>
          <w:color w:val="111111"/>
          <w:sz w:val="28"/>
          <w:szCs w:val="28"/>
          <w:rtl w:val="true"/>
          <w:lang w:bidi="fa-IR"/>
        </w:rPr>
        <w:t>.</w:t>
      </w:r>
    </w:p>
    <w:p>
      <w:pPr>
        <w:pStyle w:val="Heading3"/>
        <w:numPr>
          <w:ilvl w:val="2"/>
          <w:numId w:val="1"/>
        </w:numPr>
        <w:rPr/>
      </w:pPr>
      <w:bookmarkStart w:id="312" w:name="__RefHeading___Toc7766478_2870459653"/>
      <w:bookmarkStart w:id="313" w:name="_Toc114"/>
      <w:bookmarkEnd w:id="312"/>
      <w:r>
        <w:rPr>
          <w:rtl w:val="true"/>
        </w:rPr>
        <w:t>نگریستن به تمامی فیل</w:t>
      </w:r>
      <w:bookmarkEnd w:id="313"/>
    </w:p>
    <w:p>
      <w:pPr>
        <w:pStyle w:val="Heading4"/>
        <w:numPr>
          <w:ilvl w:val="3"/>
          <w:numId w:val="1"/>
        </w:numPr>
        <w:rPr/>
      </w:pPr>
      <w:bookmarkStart w:id="314" w:name="__RefHeading___Toc7766480_2870459653"/>
      <w:bookmarkStart w:id="315" w:name="_Toc11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این مقاله با بهره گیری از افسانه هندی فیل و شش مرد نابینا به رویکردی جامع راه جسته است، نمادی که یادآور خرد و فرزانگی در میان بسیاری از فرهنگ هاست روایت های مختلفی از این داستان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مرد نابینا فیلی را لمس می کنند تا بفهمند چه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جائی از بدن فیل را لمس می کند تنه، خرطوم، گوش، دم و عاج مردان نابینا اطلاعاتشان را با هم قیاس می کنند و میانشان اختلاف به وجود می آید؛ چرا که هر یک تنها بخشی از فیل را شناخته بود در نهایت فهمیدند که هیچ یک از آن ها کل فیل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جان گادفری سکس </w:t>
      </w:r>
      <w:r>
        <w:rPr>
          <w:rStyle w:val="FootnoteAnchor"/>
          <w:rtl w:val="true"/>
        </w:rPr>
        <w:footnoteReference w:id="397"/>
      </w:r>
      <w:r>
        <w:rPr>
          <w:rFonts w:ascii="IRNazanin" w:hAnsi="IRNazanin" w:eastAsia="IRNazanin"/>
          <w:color w:val="111111"/>
          <w:sz w:val="28"/>
          <w:sz w:val="28"/>
          <w:szCs w:val="28"/>
          <w:rtl w:val="true"/>
          <w:lang w:bidi="fa-IR"/>
        </w:rPr>
        <w:t>در شعرش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شد که مردان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فتادند در خشم و در داستان</w:t>
      </w:r>
    </w:p>
    <w:p>
      <w:pPr>
        <w:pStyle w:val="BookText"/>
        <w:rPr/>
      </w:pPr>
      <w:r>
        <w:rPr>
          <w:rFonts w:ascii="IRNazanin" w:hAnsi="IRNazanin" w:eastAsia="IRNazanin"/>
          <w:color w:val="111111"/>
          <w:sz w:val="28"/>
          <w:sz w:val="28"/>
          <w:szCs w:val="28"/>
          <w:rtl w:val="true"/>
          <w:lang w:bidi="fa-IR"/>
        </w:rPr>
        <w:t xml:space="preserve">و هریک شده غرقه در ذهن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نیک تر گویم از دیگران</w:t>
      </w:r>
    </w:p>
    <w:p>
      <w:pPr>
        <w:pStyle w:val="BookText"/>
        <w:rPr/>
      </w:pPr>
      <w:r>
        <w:rPr>
          <w:rFonts w:ascii="IRNazanin" w:hAnsi="IRNazanin" w:eastAsia="IRNazanin"/>
          <w:color w:val="111111"/>
          <w:sz w:val="28"/>
          <w:sz w:val="28"/>
          <w:szCs w:val="28"/>
          <w:rtl w:val="true"/>
          <w:lang w:bidi="fa-IR"/>
        </w:rPr>
        <w:t xml:space="preserve">دریغا که هر یک به بیراهه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جزئی فرو مانده از بیکران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ساکس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تشبیه مناسبی است که نیاز به راه های جدید اندیشیدن به حفاظت مجموعه های پیچیده و هیبرید امروزی را نشان می دهد با نگریستن و درک ماهیت جامع حفاظت و این که چطور همه بخش های مجموعه های هیبرید با هم ارتباطی درونی دارند می توانیم دیدگاه همه جانبه جدیدی به دست آوریم که ما را در مدیریت موثرتر حفاظت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 چنین دیدگاهی را مایکل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کلونان </w:t>
      </w:r>
      <w:r>
        <w:rPr>
          <w:rFonts w:eastAsia="IRNazanin" w:cs="IRNazanin"/>
          <w:color w:val="111111"/>
          <w:sz w:val="28"/>
          <w:szCs w:val="28"/>
          <w:rtl w:val="true"/>
          <w:lang w:bidi="fa-IR"/>
        </w:rPr>
        <w:t>(</w:t>
      </w:r>
      <w:r>
        <w:rPr>
          <w:rFonts w:eastAsia="IRNazanin" w:cs="IRNazanin"/>
          <w:color w:val="111111"/>
          <w:sz w:val="28"/>
          <w:szCs w:val="28"/>
          <w:lang w:bidi="fa-IR"/>
        </w:rPr>
        <w:t>20020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نگریستن</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توصیف کرده است دیدگاه ویدر نقطه مقابل دیدگاهی است که حفاظت را صرفا مجموعه ای از اقدامات مجزا در نظر می گیرد </w:t>
      </w:r>
      <w:bookmarkStart w:id="316" w:name="pg9653_81798"/>
    </w:p>
    <w:p>
      <w:pPr>
        <w:pStyle w:val="BookText"/>
        <w:rPr/>
      </w:pPr>
      <w:bookmarkEnd w:id="316"/>
      <w:r>
        <w:rPr>
          <w:rFonts w:ascii="IRNazanin" w:hAnsi="IRNazanin" w:eastAsia="IRNazanin"/>
          <w:color w:val="111111"/>
          <w:sz w:val="28"/>
          <w:sz w:val="28"/>
          <w:szCs w:val="28"/>
          <w:rtl w:val="true"/>
          <w:lang w:bidi="fa-IR"/>
        </w:rPr>
        <w:t>دو بخش زیر به درک و مدیریت کلیت حفاظت می پردازد مرحله نخست می گوید چگونه می توان با تکیه بر اصول رایج ،فعلی دیدگاه جامع و یکپارچه ایجاد کرد؛ و در گام بعد بررسی می شود که چگونه این اصول می توانند عملا در شکل دهی به راهبردهای مدیریت حفاظت مجموعه های فیزیکی و رقومی در کتابخانه های قرن بیست و یکم بکار گرفته شوند</w:t>
      </w:r>
      <w:r>
        <w:rPr>
          <w:rFonts w:eastAsia="IRNazanin" w:cs="IRNazanin"/>
          <w:color w:val="111111"/>
          <w:sz w:val="28"/>
          <w:szCs w:val="28"/>
          <w:rtl w:val="true"/>
          <w:lang w:bidi="fa-IR"/>
        </w:rPr>
        <w:t>.</w:t>
      </w:r>
    </w:p>
    <w:p>
      <w:pPr>
        <w:pStyle w:val="Heading4"/>
        <w:numPr>
          <w:ilvl w:val="3"/>
          <w:numId w:val="1"/>
        </w:numPr>
        <w:rPr/>
      </w:pPr>
      <w:bookmarkStart w:id="317" w:name="__RefHeading___Toc7766482_2870459653"/>
      <w:bookmarkStart w:id="318" w:name="_Toc116"/>
      <w:bookmarkEnd w:id="317"/>
      <w:r>
        <w:rPr>
          <w:rtl w:val="true"/>
        </w:rPr>
        <w:t>گام نخست</w:t>
      </w:r>
      <w:r>
        <w:rPr>
          <w:rtl w:val="true"/>
        </w:rPr>
        <w:t xml:space="preserve">: </w:t>
      </w:r>
      <w:r>
        <w:rPr>
          <w:rtl w:val="true"/>
        </w:rPr>
        <w:t>شکل گرفتن دیدگاهی جامع</w:t>
      </w:r>
      <w:bookmarkEnd w:id="318"/>
    </w:p>
    <w:p>
      <w:pPr>
        <w:pStyle w:val="Heading5"/>
        <w:numPr>
          <w:ilvl w:val="4"/>
          <w:numId w:val="1"/>
        </w:numPr>
        <w:rPr/>
      </w:pPr>
      <w:bookmarkStart w:id="319" w:name="__RefHeading___Toc7766484_2870459653"/>
      <w:bookmarkStart w:id="320" w:name="_Toc117"/>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یکی از راه های شکل گیری دیدگاهی جامع تعیین اصول و راهبردهای کلیدی است که به مدیریت حفاظت مواد فیزیکی و رقومی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واژه اصول </w:t>
      </w:r>
      <w:r>
        <w:rPr>
          <w:rStyle w:val="FootnoteAnchor"/>
          <w:rtl w:val="true"/>
        </w:rPr>
        <w:footnoteReference w:id="400"/>
      </w:r>
      <w:r>
        <w:rPr>
          <w:rFonts w:ascii="IRNazanin" w:hAnsi="IRNazanin" w:eastAsia="IRNazanin"/>
          <w:color w:val="111111"/>
          <w:sz w:val="28"/>
          <w:sz w:val="28"/>
          <w:szCs w:val="28"/>
          <w:rtl w:val="true"/>
          <w:lang w:bidi="fa-IR"/>
        </w:rPr>
        <w:t xml:space="preserve">به هنجارهای بنیادین بالادستی اشاره دارد نظیر تضمین کیفیت و جامعیت که زیربنای راهبردها و اقدامات است؛ راهبرد </w:t>
      </w:r>
      <w:r>
        <w:rPr>
          <w:rStyle w:val="FootnoteAnchor"/>
          <w:rtl w:val="true"/>
        </w:rPr>
        <w:footnoteReference w:id="401"/>
      </w:r>
      <w:r>
        <w:rPr>
          <w:rFonts w:ascii="IRNazanin" w:hAnsi="IRNazanin" w:eastAsia="IRNazanin"/>
          <w:color w:val="111111"/>
          <w:sz w:val="28"/>
          <w:sz w:val="28"/>
          <w:szCs w:val="28"/>
          <w:rtl w:val="true"/>
          <w:lang w:bidi="fa-IR"/>
        </w:rPr>
        <w:t>به جهت های اصلی و مجموعه اقداماتی اشاره دارد نظیر نسخه برداری فراداده های حفاظت و آمادگی و واکنش به بلایای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w:t>
      </w:r>
      <w:r>
        <w:rPr>
          <w:rStyle w:val="FootnoteAnchor"/>
          <w:rtl w:val="true"/>
        </w:rPr>
        <w:footnoteReference w:id="402"/>
      </w:r>
      <w:r>
        <w:rPr>
          <w:rFonts w:ascii="IRNazanin" w:hAnsi="IRNazanin" w:eastAsia="IRNazanin"/>
          <w:color w:val="111111"/>
          <w:sz w:val="28"/>
          <w:sz w:val="28"/>
          <w:szCs w:val="28"/>
          <w:rtl w:val="true"/>
          <w:lang w:bidi="fa-IR"/>
        </w:rPr>
        <w:t xml:space="preserve">نیز به انجام فعالیت های ویژه ای اشاره دارد که بخشی از راهبردها هستند نظیر آماده سازی فهرست اولویت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این ها بخشی از راهبرد آمادگی در برابر بلایای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وجه تمایز حفاظت رقومی و فیزیکی هستند</w:t>
      </w:r>
      <w:r>
        <w:rPr>
          <w:rFonts w:eastAsia="IRNazanin" w:cs="IRNazanin"/>
          <w:color w:val="111111"/>
          <w:sz w:val="28"/>
          <w:szCs w:val="28"/>
          <w:rtl w:val="true"/>
          <w:lang w:bidi="fa-IR"/>
        </w:rPr>
        <w:t>.</w:t>
      </w:r>
    </w:p>
    <w:p>
      <w:pPr>
        <w:pStyle w:val="Heading5"/>
        <w:numPr>
          <w:ilvl w:val="4"/>
          <w:numId w:val="1"/>
        </w:numPr>
        <w:rPr/>
      </w:pPr>
      <w:bookmarkStart w:id="321" w:name="__RefHeading___Toc7766486_2870459653"/>
      <w:bookmarkStart w:id="322" w:name="_Toc118"/>
      <w:bookmarkEnd w:id="321"/>
      <w:r>
        <w:rPr>
          <w:rtl w:val="true"/>
        </w:rPr>
        <w:t>اصول رایج</w:t>
      </w:r>
      <w:bookmarkEnd w:id="32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 ها به اصولی اشاره می شود که در مدیریت جامع حفاظت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وب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رایجی نام می برد که در هر دو قالب رقومی و فیزیکی کاربرد دارند نظیر مداخلات حداقلی کیفیت بالا حفظ دیدگاه بلند مدت و اهمیت ثبت و ضبط مستندات حفاظت وی به اصل نظارت نیز اشاره می کند که مدت ها در حفاظت مواد فیزیکی سنتی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از این اصول می توان در حفاظت فناوری های رقومی جدید نیز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باستین، </w:t>
      </w:r>
      <w:r>
        <w:rPr>
          <w:rStyle w:val="FootnoteAnchor"/>
          <w:rtl w:val="true"/>
        </w:rPr>
        <w:footnoteReference w:id="403"/>
      </w:r>
      <w:r>
        <w:rPr>
          <w:rFonts w:ascii="IRNazanin" w:hAnsi="IRNazanin" w:eastAsia="IRNazanin"/>
          <w:color w:val="111111"/>
          <w:sz w:val="28"/>
          <w:sz w:val="28"/>
          <w:szCs w:val="28"/>
          <w:rtl w:val="true"/>
          <w:lang w:bidi="fa-IR"/>
        </w:rPr>
        <w:t xml:space="preserve">کلونان و هاروی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11610</w:t>
      </w:r>
      <w:r>
        <w:rPr>
          <w:rFonts w:ascii="IRNazanin" w:hAnsi="IRNazanin" w:eastAsia="IRNazanin"/>
          <w:color w:val="111111"/>
          <w:sz w:val="28"/>
          <w:sz w:val="28"/>
          <w:szCs w:val="28"/>
          <w:rtl w:val="true"/>
          <w:lang w:bidi="fa-IR"/>
        </w:rPr>
        <w:t xml:space="preserve">؛ هاروی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کانوی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دیگر کانوی، شامل طول عمر، انتخاب کیفیت، یکپارچگی و دسترسی به مفاهیم بالا بسیار مرتبط است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دیگری از اصول در عرصه هایی از توانایی پاسخ گفتن به حجم زیاد گرفته تا ساختار مواد رقومی وجود دارد که هاروی و مَهارد </w:t>
      </w:r>
      <w:r>
        <w:rPr>
          <w:rStyle w:val="FootnoteAnchor"/>
          <w:rtl w:val="true"/>
        </w:rPr>
        <w:footnoteReference w:id="404"/>
      </w:r>
      <w:r>
        <w:rPr>
          <w:rFonts w:ascii="IRNazanin" w:hAnsi="IRNazanin" w:eastAsia="IRNazanin"/>
          <w:color w:val="111111"/>
          <w:sz w:val="28"/>
          <w:sz w:val="28"/>
          <w:szCs w:val="28"/>
          <w:rtl w:val="true"/>
          <w:lang w:bidi="fa-IR"/>
        </w:rPr>
        <w:t xml:space="preserve">پیشنهاد کرده اند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اصل که مدیریت حفاظت سنتی و رقومی را به هم مرتبط می کند مدیریت ریسک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ریسک به ابزاری جا افتاده ای در کاهش سیستماتیک خطر و شکل دهی به اولویت ها و جهت های برنامه حفاظت فیزیکی سنتی برای کاهش خسارات در حال حاضر و آینده تبدیل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اشلی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ایک رام </w:t>
      </w:r>
      <w:r>
        <w:rPr>
          <w:rStyle w:val="FootnoteAnchor"/>
          <w:rtl w:val="true"/>
        </w:rPr>
        <w:footnoteReference w:id="407"/>
      </w:r>
      <w:r>
        <w:rPr>
          <w:rFonts w:ascii="IRNazanin" w:hAnsi="IRNazanin" w:eastAsia="IRNazanin"/>
          <w:color w:val="111111"/>
          <w:sz w:val="28"/>
          <w:sz w:val="28"/>
          <w:szCs w:val="28"/>
          <w:rtl w:val="true"/>
          <w:lang w:bidi="fa-IR"/>
        </w:rPr>
        <w:t xml:space="preserve">و سی سی آی،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چارچوب ریسک نیز در حفاظت رقومی، به ویژه در بستر برنامه های حفاظت، به خوبی برقرار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 </w:t>
      </w:r>
      <w:r>
        <w:rPr>
          <w:rStyle w:val="FootnoteAnchor"/>
          <w:rtl w:val="true"/>
        </w:rPr>
        <w:footnoteReference w:id="409"/>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هاروی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ب،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چارچوب های مدیریت حفاظت کلیدی نظیر مدل مرجع سیستم اطلاعات آرشیوی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 آی اس</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سی اِس دی اس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و الگوی چرخه زندگی مرکز گزینش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سی سی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سیستم های بازرسی کلیدی نظیر سازمان جهانی استانداردسازی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بازرسی و صدور گواهی تایید برای مخازن نگهداری منابع رقومی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اولیه ای از اصول رایج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رایج حفاظت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اصول، وجوه مشترک مدیریت حفاظت را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دهند و می توانند درست مانند ساختار استخوان بندی فیل، همه اجزای حفاظت را اعم از قالب های رقومی و غیر رقومی به هم ارتباط دهند یا قطع کنند درک این ارتباطات داخلی اصول رایج خطر راه اندازی برنامه نگهداری را </w:t>
      </w:r>
      <w:bookmarkStart w:id="323" w:name="pg9653_81801"/>
    </w:p>
    <w:p>
      <w:pPr>
        <w:pStyle w:val="BookText"/>
        <w:rPr/>
      </w:pPr>
      <w:bookmarkEnd w:id="323"/>
      <w:r>
        <w:rPr>
          <w:rFonts w:ascii="IRNazanin" w:hAnsi="IRNazanin" w:eastAsia="IRNazanin"/>
          <w:color w:val="111111"/>
          <w:sz w:val="28"/>
          <w:sz w:val="28"/>
          <w:szCs w:val="28"/>
          <w:rtl w:val="true"/>
          <w:lang w:bidi="fa-IR"/>
        </w:rPr>
        <w:t>کاهش می دهد که صرفا به بخشی از حقیقت می پردازد مثل نگریستن صرف به خرطوم فیل و از سایر مواد و قالب ها غافل می ماند</w:t>
      </w:r>
      <w:r>
        <w:rPr>
          <w:rFonts w:eastAsia="IRNazanin" w:cs="IRNazanin"/>
          <w:color w:val="111111"/>
          <w:sz w:val="28"/>
          <w:szCs w:val="28"/>
          <w:rtl w:val="true"/>
          <w:lang w:bidi="fa-IR"/>
        </w:rPr>
        <w:t>.</w:t>
      </w:r>
    </w:p>
    <w:p>
      <w:pPr>
        <w:pStyle w:val="Heading4"/>
        <w:numPr>
          <w:ilvl w:val="3"/>
          <w:numId w:val="1"/>
        </w:numPr>
        <w:rPr/>
      </w:pPr>
      <w:bookmarkStart w:id="324" w:name="__RefHeading___Toc7766488_2870459653"/>
      <w:bookmarkStart w:id="325" w:name="_Toc119"/>
      <w:bookmarkEnd w:id="324"/>
      <w:r>
        <w:rPr>
          <w:rtl w:val="true"/>
        </w:rPr>
        <w:t>گام دوم</w:t>
      </w:r>
      <w:r>
        <w:rPr>
          <w:rtl w:val="true"/>
        </w:rPr>
        <w:t xml:space="preserve">: </w:t>
      </w:r>
      <w:r>
        <w:rPr>
          <w:rtl w:val="true"/>
        </w:rPr>
        <w:t>بکارگیری اصول رایج به عنوان راهبردی</w:t>
      </w:r>
      <w:bookmarkEnd w:id="325"/>
    </w:p>
    <w:p>
      <w:pPr>
        <w:pStyle w:val="Heading5"/>
        <w:numPr>
          <w:ilvl w:val="4"/>
          <w:numId w:val="1"/>
        </w:numPr>
        <w:rPr/>
      </w:pPr>
      <w:bookmarkStart w:id="326" w:name="__RefHeading___Toc7766490_2870459653"/>
      <w:bookmarkStart w:id="327" w:name="_Toc120"/>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گام بعدی در رویکرد جامع به مدیریت حفاظت و نگهداری زمانی برداشته می شود که اصول ذکر شده در میان قالب های رقومی و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در سطح راهبردی بکار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پتانسیل ارتباطات درونی در سطح راهبردی را می توان در بطن این دو قلمرو گسترده یافت نگهداری پیشگیرانه و نسخه برداری</w:t>
      </w:r>
    </w:p>
    <w:p>
      <w:pPr>
        <w:pStyle w:val="Heading5"/>
        <w:numPr>
          <w:ilvl w:val="4"/>
          <w:numId w:val="1"/>
        </w:numPr>
        <w:rPr/>
      </w:pPr>
      <w:bookmarkStart w:id="328" w:name="__RefHeading___Toc7766492_2870459653"/>
      <w:bookmarkStart w:id="329" w:name="_Toc121"/>
      <w:bookmarkEnd w:id="328"/>
      <w:r>
        <w:rPr>
          <w:rtl w:val="true"/>
        </w:rPr>
        <w:t>راهبردهای پیشگیری</w:t>
      </w:r>
      <w:bookmarkEnd w:id="329"/>
    </w:p>
    <w:p>
      <w:pPr>
        <w:pStyle w:val="Heading6"/>
        <w:numPr>
          <w:ilvl w:val="5"/>
          <w:numId w:val="1"/>
        </w:numPr>
        <w:rPr/>
      </w:pPr>
      <w:bookmarkStart w:id="330" w:name="__RefHeading___Toc7766494_2870459653"/>
      <w:bookmarkStart w:id="331" w:name="_Toc122"/>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راهبردهای مربوط به حفاظت پیشگیرانه به دستورالعمل ها و یا مجموعه اقداماتی اطلاق می شود که به جلوگیری از آسیب دیدگی یا تاخیر در آسیب دیدگی مواد رقومی و فیزیکی هر دو به کار می آید در بخش بعدی دربارۀ چهار راهبرد پیشگیری سخن می گوییم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و آماده سازی برای بلایای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و پایش محیطی،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الزامات حفاظت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در برابر تهدیدها و آسیب ها چگونه می توان این راهبردها را در مورد قالب های رقومی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تا بدین طریق فرصتی برای هماهنگی نزدیک تر مدیریت حفاظت فراهم شود</w:t>
      </w:r>
      <w:r>
        <w:rPr>
          <w:rFonts w:eastAsia="IRNazanin" w:cs="IRNazanin"/>
          <w:color w:val="111111"/>
          <w:sz w:val="28"/>
          <w:szCs w:val="28"/>
          <w:rtl w:val="true"/>
          <w:lang w:bidi="fa-IR"/>
        </w:rPr>
        <w:t>.</w:t>
      </w:r>
    </w:p>
    <w:p>
      <w:pPr>
        <w:pStyle w:val="Heading6"/>
        <w:numPr>
          <w:ilvl w:val="5"/>
          <w:numId w:val="1"/>
        </w:numPr>
        <w:rPr/>
      </w:pPr>
      <w:bookmarkStart w:id="332" w:name="__RefHeading___Toc7766496_2870459653"/>
      <w:bookmarkStart w:id="333" w:name="_Toc123"/>
      <w:bookmarkEnd w:id="332"/>
      <w:r>
        <w:rPr>
          <w:rtl w:val="true"/>
        </w:rPr>
        <w:t>آماده سازی برای بلایای طبیعی و واکنش به آن</w:t>
      </w:r>
      <w:bookmarkEnd w:id="333"/>
    </w:p>
    <w:p>
      <w:pPr>
        <w:pStyle w:val="BookText"/>
        <w:rPr/>
      </w:pPr>
      <w:r>
        <w:rPr>
          <w:rFonts w:ascii="IRNazanin" w:hAnsi="IRNazanin" w:eastAsia="IRNazanin"/>
          <w:color w:val="111111"/>
          <w:sz w:val="28"/>
          <w:sz w:val="28"/>
          <w:szCs w:val="28"/>
          <w:rtl w:val="true"/>
          <w:lang w:bidi="fa-IR"/>
        </w:rPr>
        <w:t>راهبرد آماده سازی برای بلایای طبیعی و واکنش به آن، یکی از راهبردهای پیشگیرانه اصلی است که بر کاهش ریسک آسیب به مواد در هنگام وقوع بلایای طبیعی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واکنش و آماده سازی برای بلایای طبیعی، هم در مورد مواد فیزیکی و هم رقومی در چارچوب مدیریت ریسک پشتیبانی می 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اجزای تشکیل دهنده راهبرد بلایای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مواد فیزیکی باشد و چه برای مواد رقومی مشخصا بازدارندگی، </w:t>
      </w:r>
      <w:r>
        <w:rPr>
          <w:rStyle w:val="FootnoteAnchor"/>
          <w:rtl w:val="true"/>
        </w:rPr>
        <w:footnoteReference w:id="414"/>
      </w:r>
      <w:r>
        <w:rPr>
          <w:rFonts w:ascii="IRNazanin" w:hAnsi="IRNazanin" w:eastAsia="IRNazanin"/>
          <w:color w:val="111111"/>
          <w:sz w:val="28"/>
          <w:sz w:val="28"/>
          <w:szCs w:val="28"/>
          <w:rtl w:val="true"/>
          <w:lang w:bidi="fa-IR"/>
        </w:rPr>
        <w:t xml:space="preserve">آماده سازی </w:t>
      </w:r>
      <w:r>
        <w:rPr>
          <w:rStyle w:val="FootnoteAnchor"/>
          <w:rtl w:val="true"/>
        </w:rPr>
        <w:footnoteReference w:id="415"/>
      </w:r>
      <w:r>
        <w:rPr>
          <w:rFonts w:ascii="IRNazanin" w:hAnsi="IRNazanin" w:eastAsia="IRNazanin"/>
          <w:color w:val="111111"/>
          <w:sz w:val="28"/>
          <w:sz w:val="28"/>
          <w:szCs w:val="28"/>
          <w:rtl w:val="true"/>
          <w:lang w:bidi="fa-IR"/>
        </w:rPr>
        <w:t xml:space="preserve">واکنش </w:t>
      </w:r>
      <w:r>
        <w:rPr>
          <w:rStyle w:val="FootnoteAnchor"/>
          <w:rtl w:val="true"/>
        </w:rPr>
        <w:footnoteReference w:id="416"/>
      </w:r>
      <w:r>
        <w:rPr>
          <w:rFonts w:ascii="IRNazanin" w:hAnsi="IRNazanin" w:eastAsia="IRNazanin"/>
          <w:color w:val="111111"/>
          <w:sz w:val="28"/>
          <w:sz w:val="28"/>
          <w:szCs w:val="28"/>
          <w:rtl w:val="true"/>
          <w:lang w:bidi="fa-IR"/>
        </w:rPr>
        <w:t xml:space="preserve">و بازیابی </w:t>
      </w:r>
      <w:r>
        <w:rPr>
          <w:rStyle w:val="FootnoteAnchor"/>
          <w:rtl w:val="true"/>
        </w:rPr>
        <w:footnoteReference w:id="417"/>
      </w:r>
      <w:r>
        <w:rPr>
          <w:rFonts w:ascii="IRNazanin" w:hAnsi="IRNazanin" w:eastAsia="IRNazanin"/>
          <w:color w:val="111111"/>
          <w:sz w:val="28"/>
          <w:sz w:val="28"/>
          <w:szCs w:val="28"/>
          <w:rtl w:val="true"/>
          <w:lang w:bidi="fa-IR"/>
        </w:rPr>
        <w:t xml:space="preserve">خواهد بود به عنوان مثال در سند ایزو دی آی اس </w:t>
      </w:r>
      <w:r>
        <w:rPr>
          <w:rFonts w:eastAsia="IRNazanin" w:cs="IRNazanin"/>
          <w:color w:val="111111"/>
          <w:sz w:val="28"/>
          <w:szCs w:val="28"/>
          <w:lang w:bidi="fa-IR"/>
        </w:rPr>
        <w:t>16363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خواسته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مستندسازی این که چه چیزهایی نسخه پشتیبان دارند و </w:t>
      </w:r>
      <w:bookmarkStart w:id="334" w:name="pg9653_81802"/>
    </w:p>
    <w:p>
      <w:pPr>
        <w:pStyle w:val="BookText"/>
        <w:rPr/>
      </w:pPr>
      <w:bookmarkEnd w:id="334"/>
      <w:r>
        <w:rPr>
          <w:rFonts w:ascii="IRNazanin" w:hAnsi="IRNazanin" w:eastAsia="IRNazanin"/>
          <w:color w:val="111111"/>
          <w:sz w:val="28"/>
          <w:sz w:val="28"/>
          <w:szCs w:val="28"/>
          <w:rtl w:val="true"/>
          <w:lang w:bidi="fa-IR"/>
        </w:rPr>
        <w:t>به چه تعداد؛ 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نسخه های پشتیبان؛ سنجش اعتبار نسخه های پشتیبان تکمیل شده؛ برنامه ها، سیاست ها و مستندسازی بازیابی در شرایط بلایای طبیعی؛ تمرین فرار از آتش؛ بررسی نسخه های پشتیبان؛ قراردادهای پشتیبانی برای نرم افزار و سخت افزارهای مربوط به مکانیزم تهیه نسخه پشتیبان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راهبردی بلایای طبیعی که صرفا بر مواد فیزیکی یا رقومی تمرکز کند مانند این است که تنها به گوش یا دم فیل نگریسته شده است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 سیاست ها و مستندسازی بازیابی در شرایط بلایای طبیعی تمرین فرار از آتش و بررسی نسخه های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سند ایزو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آی اس </w:t>
      </w:r>
      <w:r>
        <w:rPr>
          <w:rFonts w:eastAsia="IRNazanin" w:cs="IRNazanin"/>
          <w:color w:val="111111"/>
          <w:sz w:val="28"/>
          <w:szCs w:val="28"/>
          <w:lang w:bidi="fa-IR"/>
        </w:rPr>
        <w:t>16363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می توان برای مواد فیزیکی نیز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راهبردی که مدیریت ریسک یکپارچه و هماهنگی برای مواد فیزیکی و نیز رقومی اعمال کند، برای مدیران حفاظت این امکان را فراهم می کند که تصمیمات آگاهانه تر و متناسب تر بگیرند و اقداماتشان را اولویت بندی کنند یک مثال خاص از تصمیم هایی که در پاسخ به بلایا در خصوص مجموعه های رقومی می توان گرفت، مورد مجموعه هایی است که نسخه پشتیبان آن ها در خارج از محل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تصمیمات را می توان با تصمیم هایی در مورد مجموعه های آنالوگ همسو کرد که نسخه ای از آن ها در خارج از محل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اصول و راهبردها در سطح اقدامات ویژه بکار گرفته می شوند تمایز آشکاری میان رقومی و فیزیکی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چالش در دیدن همۀ فیل و تشخیص ارتباط میان اجزای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برای مواجهه با بلایا در مورد مواد کاغذی یا فیلم ها اقدامات زیادی باید انجام شود، اقدامات فنی متفاوتی نیز لازم است تا داده های موجود در اشیاء رقومی ثبت و نگهداری شوند چنین اقدامات حفاظت تخصصی و مشخص کاملا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مدیریت حفاظت موثر از مجموعه های هیبرید قرن بیست و یکمی به فهم اصول کلی حفاظت و نیز توانایی بیشینه سازی امکانات هماهنگ سازی و به کارگیری راهبردهای بلایای رایج نیاز دارد</w:t>
      </w:r>
      <w:r>
        <w:rPr>
          <w:rFonts w:eastAsia="IRNazanin" w:cs="IRNazanin"/>
          <w:color w:val="111111"/>
          <w:sz w:val="28"/>
          <w:szCs w:val="28"/>
          <w:rtl w:val="true"/>
          <w:lang w:bidi="fa-IR"/>
        </w:rPr>
        <w:t>.</w:t>
      </w:r>
    </w:p>
    <w:p>
      <w:pPr>
        <w:pStyle w:val="Heading6"/>
        <w:numPr>
          <w:ilvl w:val="5"/>
          <w:numId w:val="1"/>
        </w:numPr>
        <w:rPr/>
      </w:pPr>
      <w:bookmarkStart w:id="335" w:name="__RefHeading___Toc7766498_2870459653"/>
      <w:bookmarkStart w:id="336" w:name="_Toc124"/>
      <w:bookmarkEnd w:id="335"/>
      <w:r>
        <w:rPr>
          <w:rtl w:val="true"/>
        </w:rPr>
        <w:t>کنترل و پایش محیطی</w:t>
      </w:r>
      <w:bookmarkEnd w:id="33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موادّ فیزیکی مجموعه ها راهبرد کنترل و پایش محیطی اطمینان ایجاد می کند که شرایط محیط نگهداری آن ها بازرسی و در سطحی حفظ شود که سرعت فرسایش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نوسانات شدید و سریع دما و رطوبت می تواند مشکلاتی در مجموعه های فیزیکی پدید آورد مانند تاب برداشتن، ترک خوردن، قارچ زدگی افزایش سرعت فرسایش شیمیایی همچنین نور و اشعه فرابنفش زیاد موجب محوشدگی غیرقابل بازگشت در مواد حساس به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 و آلاینده ها </w:t>
      </w:r>
      <w:bookmarkStart w:id="337" w:name="pg9653_81803"/>
    </w:p>
    <w:p>
      <w:pPr>
        <w:pStyle w:val="BookText"/>
        <w:rPr/>
      </w:pPr>
      <w:bookmarkEnd w:id="337"/>
      <w:r>
        <w:rPr>
          <w:rFonts w:ascii="IRNazanin" w:hAnsi="IRNazanin" w:eastAsia="IRNazanin"/>
          <w:color w:val="111111"/>
          <w:sz w:val="28"/>
          <w:sz w:val="28"/>
          <w:szCs w:val="28"/>
          <w:rtl w:val="true"/>
          <w:lang w:bidi="fa-IR"/>
        </w:rPr>
        <w:t>می توانند تخریب فیزیکی و شیمیایی را سرعت بخشند کنترل و پایش محیط مجموعه های فیزیکی به مدیران حفاظت کمک می کند تا شرایط را کنترل کنند و در نتیجه بتوانند بر ماهیت و سرعت فرسایش مقدر در مجموعه اثر گذارند به موازات آن، کنترل و پایش محیط و راهبرد حفاظت برای مناطقی که رسانه های ذخیره اطلاعات رقومی در آن نگهداری می شوند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پارامترهای مهم محیطی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فیزیکی</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 مراکز به شدت حفاظت شده ذخیره سازی کامپیوتری برای ذخایر رقومی اهمیت حیاتی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 ال سی </w:t>
      </w:r>
      <w:r>
        <w:rPr>
          <w:rStyle w:val="FootnoteAnchor"/>
          <w:rtl w:val="true"/>
        </w:rPr>
        <w:footnoteReference w:id="419"/>
      </w:r>
      <w:r>
        <w:rPr>
          <w:rFonts w:ascii="IRNazanin" w:hAnsi="IRNazanin" w:eastAsia="IRNazanin"/>
          <w:color w:val="111111"/>
          <w:sz w:val="28"/>
          <w:sz w:val="28"/>
          <w:szCs w:val="28"/>
          <w:rtl w:val="true"/>
          <w:lang w:bidi="fa-IR"/>
        </w:rPr>
        <w:t xml:space="preserve">و آر ال جی </w:t>
      </w:r>
      <w:r>
        <w:rPr>
          <w:rStyle w:val="FootnoteAnchor"/>
          <w:rtl w:val="true"/>
        </w:rPr>
        <w:footnoteReference w:id="420"/>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مشابهت های آشکاری بین راهبردهای کنترل و پایش محیطی مواد فیزیکی و رقومی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چارچوب های کاری سنجش و پایش، به ویژه سنجش و پایش دما، رطوبت نسبی و کیفیت هوا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نقاط اصلی تفاوت در سطوح مشخصی از ابزارها یافت می شود به عنوان مثال درجۀ بهینه دما، رطوبت نسبی نور و اشعه فرابنفش و کیفیت هوا در مورد انواع مختلف مواد مجموعه فیزیکی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اس آی،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استاندارهای ملی نیروی کار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آی پی آی،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به همین ترتیب در مجموعه های رقومی شرایط پیشنهادی ویژه ای برای اتاق کامپیوتر از نظر دما رطوبت نسبی جریان و کیفیت هوا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 اچ آر ای ایی،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خصوصیات، تا زمانی مهم هستند که وجوه مشترک راهبردی کلی را نپوشانند پتانسیل برای سازگاری بیشتر کنترل و پایش محیطی مجموعه های کتابخانه های رقومی و فیزیکی؛ و بنابراین ایجاد ارتباطات درونی مدیریت حفاظت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p>
    <w:p>
      <w:pPr>
        <w:pStyle w:val="Heading6"/>
        <w:numPr>
          <w:ilvl w:val="5"/>
          <w:numId w:val="1"/>
        </w:numPr>
        <w:rPr/>
      </w:pPr>
      <w:bookmarkStart w:id="338" w:name="__RefHeading___Toc7766500_2870459653"/>
      <w:bookmarkStart w:id="339" w:name="_Toc125"/>
      <w:bookmarkEnd w:id="338"/>
      <w:r>
        <w:rPr>
          <w:rtl w:val="true"/>
        </w:rPr>
        <w:t>ارزیابی الزامات حفاظت</w:t>
      </w:r>
      <w:bookmarkEnd w:id="3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الزامات یا ممیزی های حفظ و نگهداری، راهبردی است که در شناسایی سیستماتیک و اولویت بندی تعدادی از فاکتورهای مهم از جمله مناطق ریسکی و آسیب پذیر و تخریب های موجود در مجموعه های سنتی به خوبی بنا نهاده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آی سی سی 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نویسندگان پیمایش انجام شده مرکز مشاوره حفاظت کتابخانه بریتانیا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مجموعا نتایج ممیزی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w:t>
      </w:r>
      <w:bookmarkStart w:id="340" w:name="pg9653_81804"/>
    </w:p>
    <w:p>
      <w:pPr>
        <w:pStyle w:val="BookText"/>
        <w:rPr/>
      </w:pPr>
      <w:bookmarkEnd w:id="340"/>
      <w:r>
        <w:rPr>
          <w:rFonts w:ascii="IRNazanin" w:hAnsi="IRNazanin" w:eastAsia="IRNazanin"/>
          <w:color w:val="111111"/>
          <w:sz w:val="28"/>
          <w:sz w:val="28"/>
          <w:szCs w:val="28"/>
          <w:rtl w:val="true"/>
          <w:lang w:bidi="fa-IR"/>
        </w:rPr>
        <w:t>محکمی از اقدامات ارزیابی فراهم می سازد و برای تغییر پیشنهادهایی ارائه می کند که برای ارتقای استانداردهای مراقبت ضرورت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پیچ </w:t>
      </w:r>
      <w:r>
        <w:rPr>
          <w:rStyle w:val="FootnoteAnchor"/>
          <w:rtl w:val="true"/>
        </w:rPr>
        <w:footnoteReference w:id="426"/>
      </w:r>
      <w:r>
        <w:rPr>
          <w:rFonts w:ascii="IRNazanin" w:hAnsi="IRNazanin" w:eastAsia="IRNazanin"/>
          <w:color w:val="111111"/>
          <w:sz w:val="28"/>
          <w:sz w:val="28"/>
          <w:szCs w:val="28"/>
          <w:rtl w:val="true"/>
          <w:lang w:bidi="fa-IR"/>
        </w:rPr>
        <w:t xml:space="preserve">و فاستر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این ممیزی سیستماتیک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نبض</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در مجموعه های سنتی، در محیط رقومی با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حفظ و نگهداری</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در چارچوب کاری اُ ای آی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سی اس دی اس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ما به ازایی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اصول مدیریت ریسک جا افتاده است که شامل پایش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سازی گزارش های دوره ای تحلیل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هر مورد در سطح جزئی اعمال مشخص و تخصصی هستند، لیکن راهبرد کلی پایش و ممیزی می تواند در کل فیل بکار گرفته شود</w:t>
      </w:r>
      <w:r>
        <w:rPr>
          <w:rFonts w:eastAsia="IRNazanin" w:cs="IRNazanin"/>
          <w:color w:val="111111"/>
          <w:sz w:val="28"/>
          <w:szCs w:val="28"/>
          <w:rtl w:val="true"/>
          <w:lang w:bidi="fa-IR"/>
        </w:rPr>
        <w:t>.</w:t>
      </w:r>
    </w:p>
    <w:p>
      <w:pPr>
        <w:pStyle w:val="Heading6"/>
        <w:numPr>
          <w:ilvl w:val="5"/>
          <w:numId w:val="1"/>
        </w:numPr>
        <w:rPr/>
      </w:pPr>
      <w:bookmarkStart w:id="341" w:name="__RefHeading___Toc7766502_2870459653"/>
      <w:bookmarkStart w:id="342" w:name="_Toc126"/>
      <w:bookmarkEnd w:id="341"/>
      <w:r>
        <w:rPr>
          <w:rtl w:val="true"/>
        </w:rPr>
        <w:t>حفاظت در برابر تهدیدها و آسیب ها</w:t>
      </w:r>
      <w:bookmarkEnd w:id="342"/>
    </w:p>
    <w:p>
      <w:pPr>
        <w:pStyle w:val="BookText"/>
        <w:rPr/>
      </w:pPr>
      <w:r>
        <w:rPr>
          <w:rFonts w:ascii="IRNazanin" w:hAnsi="IRNazanin" w:eastAsia="IRNazanin"/>
          <w:color w:val="111111"/>
          <w:sz w:val="28"/>
          <w:sz w:val="28"/>
          <w:szCs w:val="28"/>
          <w:rtl w:val="true"/>
          <w:lang w:bidi="fa-IR"/>
        </w:rPr>
        <w:t xml:space="preserve">در مجموعه های سنتی، جدا از آماده سازی برای بلایای طبیعی و کنترل و پایش محیطی، راهبرد کلیدی مدیریت جامع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پی ام</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پیام روش سازگاری است که بر ایجاد محیط هایی برای مجموعه های فیزیکی تمرکز دارد که برای حشرات و سایر آفات جذاب نباشند؛ این روش را با محدودیت های ،فیزیکی انبارش مناسب و تشخیص سریع انجام می دهد؛ و مبتنی بر دانش پیرامون چرخۀ زندگی و زیست شناسی آفات و نیز مدیریت و انسداد منابع ازدیاد آفات و پایش محیط مجموعه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ادکاک،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هم عرض در محدوده رقومی عبارت است از حفاظت سیستماتیک ذخایر رقومی از تهدیدهایی نظیر دسترسی های غیر مجاز ویروس ها و تغییر یا تخریب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سی اس دی اس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اقدامات ویژه متفاوت هستند تشخیص فیزیکی و انسداد در یک طرف و مجوز قومی، قابلیت های امنیتی، بررسی ویروس ها و خدمات یکپارچه داده ها در طرف دیگر با این حال در سطح بالاتر راهبردی، اهداف و رویکردها همچنان مشابه هستند</w:t>
      </w:r>
      <w:r>
        <w:rPr>
          <w:rFonts w:eastAsia="IRNazanin" w:cs="IRNazanin"/>
          <w:color w:val="111111"/>
          <w:sz w:val="28"/>
          <w:szCs w:val="28"/>
          <w:rtl w:val="true"/>
          <w:lang w:bidi="fa-IR"/>
        </w:rPr>
        <w:t>.</w:t>
      </w:r>
    </w:p>
    <w:p>
      <w:pPr>
        <w:pStyle w:val="Heading5"/>
        <w:numPr>
          <w:ilvl w:val="4"/>
          <w:numId w:val="1"/>
        </w:numPr>
        <w:rPr/>
      </w:pPr>
      <w:bookmarkStart w:id="343" w:name="__RefHeading___Toc7766504_2870459653"/>
      <w:bookmarkStart w:id="344" w:name="_Toc127"/>
      <w:bookmarkEnd w:id="343"/>
      <w:r>
        <w:rPr>
          <w:rtl w:val="true"/>
        </w:rPr>
        <w:t>نسخه برداری</w:t>
      </w:r>
      <w:bookmarkEnd w:id="34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برداری یا راهبردهای قالب سازی مجدد به ایجاد نسخه های متعدد از محتویات منابع اطلاعاتی در قالب ها یا رسانه های پایدارتر منجر می شود در حفاظت مواد ،سنتی نسخه برداری عبارت است از</w:t>
      </w:r>
      <w:r>
        <w:rPr>
          <w:rFonts w:eastAsia="IRNazanin" w:cs="IRNazanin"/>
          <w:color w:val="111111"/>
          <w:sz w:val="28"/>
          <w:szCs w:val="28"/>
          <w:rtl w:val="true"/>
          <w:lang w:bidi="fa-IR"/>
        </w:rPr>
        <w:t xml:space="preserve">: </w:t>
      </w:r>
      <w:bookmarkStart w:id="345" w:name="pg9653_81805"/>
    </w:p>
    <w:p>
      <w:pPr>
        <w:pStyle w:val="BookText"/>
        <w:rPr/>
      </w:pPr>
      <w:bookmarkEnd w:id="345"/>
      <w:r>
        <w:rPr>
          <w:rFonts w:ascii="IRNazanin" w:hAnsi="IRNazanin" w:eastAsia="IRNazanin"/>
          <w:color w:val="111111"/>
          <w:sz w:val="28"/>
          <w:sz w:val="28"/>
          <w:szCs w:val="28"/>
          <w:rtl w:val="true"/>
          <w:lang w:bidi="fa-IR"/>
        </w:rPr>
        <w:t xml:space="preserve">روش های رقومی کردن یا در برخی موارد ایجاد میکروفیلم به منظور حفظ محتویات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حفظ نسخه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رقومی شده از یک نسخه اصلی آنالوگ، با اشیایی که در اصل رقومی تولید شده اند در دنیای رقومی به هم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بعد در این مورد بحث می شود که چگونه دو راهبرد نسخه برداری را که به هم مرتبط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کیفیت و مدیریت ارتباط بین نسخه بدل و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شیوه های یکسانی برای قالب های رقومی و سنتی بکار گرفت این دو راهبرد را نیز، اصول مدیریت ریسک و یکپارچگی حمایت می کنند</w:t>
      </w:r>
      <w:r>
        <w:rPr>
          <w:rFonts w:eastAsia="IRNazanin" w:cs="IRNazanin"/>
          <w:color w:val="111111"/>
          <w:sz w:val="28"/>
          <w:szCs w:val="28"/>
          <w:rtl w:val="true"/>
          <w:lang w:bidi="fa-IR"/>
        </w:rPr>
        <w:t>.</w:t>
      </w:r>
    </w:p>
    <w:p>
      <w:pPr>
        <w:pStyle w:val="Heading5"/>
        <w:numPr>
          <w:ilvl w:val="4"/>
          <w:numId w:val="1"/>
        </w:numPr>
        <w:rPr/>
      </w:pPr>
      <w:bookmarkStart w:id="346" w:name="__RefHeading___Toc7766506_2870459653"/>
      <w:bookmarkStart w:id="347" w:name="_Toc128"/>
      <w:bookmarkEnd w:id="346"/>
      <w:r>
        <w:rPr>
          <w:rtl w:val="true"/>
        </w:rPr>
        <w:t>تضمین کیفیت</w:t>
      </w:r>
      <w:bookmarkEnd w:id="347"/>
    </w:p>
    <w:p>
      <w:pPr>
        <w:pStyle w:val="BookText"/>
        <w:rPr/>
      </w:pPr>
      <w:r>
        <w:rPr>
          <w:rFonts w:ascii="IRNazanin" w:hAnsi="IRNazanin" w:eastAsia="IRNazanin"/>
          <w:color w:val="111111"/>
          <w:sz w:val="28"/>
          <w:sz w:val="28"/>
          <w:szCs w:val="28"/>
          <w:rtl w:val="true"/>
          <w:lang w:bidi="fa-IR"/>
        </w:rPr>
        <w:t>اصل کیفیتی کانوی، از طریق راهبرد تضمین کیفیت بکار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میکروفیلم یا رقومی کردن مواد آنالوگ، تضمین کیفیت از طریق پیروی از استانداردها و راهنماها در تمام مراحل نسخه برداری اعم از آماده سازی نسخه اصلی تصویر برداری نوع قالب میزان وضوح و بازبینی به اجرا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راهنمای یادگیری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فادجی </w:t>
      </w:r>
      <w:r>
        <w:rPr>
          <w:rStyle w:val="FootnoteAnchor"/>
          <w:rtl w:val="true"/>
        </w:rPr>
        <w:footnoteReference w:id="433"/>
      </w:r>
      <w:r>
        <w:rPr>
          <w:rFonts w:ascii="IRNazanin" w:hAnsi="IRNazanin" w:eastAsia="IRNazanin"/>
          <w:color w:val="111111"/>
          <w:sz w:val="28"/>
          <w:sz w:val="28"/>
          <w:szCs w:val="28"/>
          <w:rtl w:val="true"/>
          <w:lang w:bidi="fa-IR"/>
        </w:rPr>
        <w:t xml:space="preserve">تصویر کارگروه،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به همین ترتیب، در یک مخزن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رقومی، نسخه برداری به عنوان راهبرد در مراحلی از مدیریت مواد رقومی بکار گرفته می شود؛ که شامل این مراحل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کردن نسخه ای با کیفیت عالی، به طوری که کلیه نرم افزارها و سخت افزارها مانند گذشته به کار خود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همتاسازی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تفاوتی بین نسخه بدل و اصلی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محتویات به رسانه ای متفاوت و یا محیط نرم افزاری یا سخت افزاری متفاوت منتقل می شود تا دسترس پذیری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مکانیسم های فناوری و تاییدیه های مختلفی برای اطمینان از کیفیت و یکپارچگی داده های نسخه های بدل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،بازرسی بازرسی و گواهی ذخایر رقومی مورد اعتماد نیاز کنترل کیفی را روشن تر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سی اس دی اس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در همه موارد اقدامات تخصصی انجام شده اند، هدف کلی تضمین کیفیت، اطمینان از </w:t>
      </w:r>
      <w:bookmarkStart w:id="348" w:name="pg9653_81806"/>
    </w:p>
    <w:p>
      <w:pPr>
        <w:pStyle w:val="BookText"/>
        <w:rPr/>
      </w:pPr>
      <w:bookmarkEnd w:id="348"/>
      <w:r>
        <w:rPr>
          <w:rFonts w:ascii="IRNazanin" w:hAnsi="IRNazanin" w:eastAsia="IRNazanin"/>
          <w:color w:val="111111"/>
          <w:sz w:val="28"/>
          <w:sz w:val="28"/>
          <w:szCs w:val="28"/>
          <w:rtl w:val="true"/>
          <w:lang w:bidi="fa-IR"/>
        </w:rPr>
        <w:t>یکپارچگی و وثوق نسخه های بدل است و این راهبرد باید بکار گرفته شود، صرف نظر از این که در کجای کلیت حفاظت قرار گرفته باشد</w:t>
      </w:r>
      <w:r>
        <w:rPr>
          <w:rFonts w:eastAsia="IRNazanin" w:cs="IRNazanin"/>
          <w:color w:val="111111"/>
          <w:sz w:val="28"/>
          <w:szCs w:val="28"/>
          <w:rtl w:val="true"/>
          <w:lang w:bidi="fa-IR"/>
        </w:rPr>
        <w:t>.</w:t>
      </w:r>
    </w:p>
    <w:p>
      <w:pPr>
        <w:pStyle w:val="Heading5"/>
        <w:numPr>
          <w:ilvl w:val="4"/>
          <w:numId w:val="1"/>
        </w:numPr>
        <w:rPr/>
      </w:pPr>
      <w:bookmarkStart w:id="349" w:name="__RefHeading___Toc7766508_2870459653"/>
      <w:bookmarkStart w:id="350" w:name="_Toc129"/>
      <w:bookmarkEnd w:id="349"/>
      <w:r>
        <w:rPr>
          <w:rtl w:val="true"/>
        </w:rPr>
        <w:t>مدیریت ارتباط بین نسخه های بدل و اصلی</w:t>
      </w:r>
      <w:bookmarkEnd w:id="350"/>
    </w:p>
    <w:p>
      <w:pPr>
        <w:pStyle w:val="BookText"/>
        <w:rPr/>
      </w:pPr>
      <w:r>
        <w:rPr>
          <w:rFonts w:ascii="IRNazanin" w:hAnsi="IRNazanin" w:eastAsia="IRNazanin"/>
          <w:color w:val="111111"/>
          <w:sz w:val="28"/>
          <w:sz w:val="28"/>
          <w:szCs w:val="28"/>
          <w:rtl w:val="true"/>
          <w:lang w:bidi="fa-IR"/>
        </w:rPr>
        <w:t>مدیریت رابطه میان مادۀ اصلی و کپی ،آن بخش مهمی از مدیریت حفاظت سنتی و رقومی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حفاظت سنتی حفاظت هر قسمت از نسخهٔ اصلی به اندازه ایجاد نسخه بدل اهمیت دارد حفاظت نسخه اصلی در روش حفاظت رقومی، عبارت است از همه آن چه که برای روبراه نگه داشتن نسخه اصلی نیاز است و به عنوان بخش جدایی ناپذیر از برنامه حفاظت رقومی مدیریت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حفاظت سنتی مدیریت موثر ارتباط بین نسخه های بدل و اصلی است که شامل شناسایی ارتباط متقابل و کاربست راهبردهای مرتبط در روند کاری کارآمد است به طوری که اجزای مختلف کلیت حفاظت را به هم مرتبط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این معنا را می تواند داشته باشد که درمان های حفاظتی نسخه های اصل پیش از نسخه برداری ترتیب بندی می شوند پس از آن محفظه های ذخیره سازی حفاظت اضافه می شود و نسخه اصل به شرایط محیطی مناسب برگردانده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معنی ذخیره سازی بلند مدت نسخهٔ مادر میکروفیلمی است که نسخه های رقومی از آن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اغلب در روش نگهداری سنتی زمانی که نسخه رقومی تهیه می شود حفاظت آن خود به خود، در برنامه حفاظت به عنوان راهبردی یکپارچه در نظر گرفته نمی شود؛ مانند این است که تنها به عاج فیل نگریسته شود در حفاظت ،رقومی مدیریت مداوم نسخه های رقومی بخش جامعی از کل چارچوب کاری را تشکیل می دهد</w:t>
      </w:r>
    </w:p>
    <w:p>
      <w:pPr>
        <w:pStyle w:val="BookText"/>
        <w:rPr/>
      </w:pPr>
      <w:r>
        <w:rPr>
          <w:rFonts w:ascii="IRNazanin" w:hAnsi="IRNazanin" w:eastAsia="IRNazanin"/>
          <w:color w:val="111111"/>
          <w:sz w:val="28"/>
          <w:sz w:val="28"/>
          <w:szCs w:val="28"/>
          <w:rtl w:val="true"/>
          <w:lang w:bidi="fa-IR"/>
        </w:rPr>
        <w:t>این نمونهٔ دیگری از مزایای بالقوه هم آموزی میان حفاظت سنتی و رقومی است؛ و چارچوبی یکپارچه که هم حفظ مواد اصلی سنتی را در برگیرد و هم نگهداری بلند مدت نسخه های رقومی را</w:t>
      </w:r>
    </w:p>
    <w:p>
      <w:pPr>
        <w:pStyle w:val="Heading5"/>
        <w:numPr>
          <w:ilvl w:val="4"/>
          <w:numId w:val="1"/>
        </w:numPr>
        <w:rPr/>
      </w:pPr>
      <w:bookmarkStart w:id="351" w:name="__RefHeading___Toc7766510_2870459653"/>
      <w:bookmarkStart w:id="352" w:name="_Toc130"/>
      <w:bookmarkEnd w:id="351"/>
      <w:r>
        <w:rPr>
          <w:rtl w:val="true"/>
        </w:rPr>
        <w:t>چارچوب به هم پیوسته</w:t>
      </w:r>
      <w:bookmarkEnd w:id="35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اکنون زمان تدوین چارچوبی حقیقتا به هم پیوسته برای حفاظت مجموعه های هیبرید امروزی است؛ چارچوبی جامع، مبتنی بر درک رایج از اصول مشترکی نظیر طول عمر انتخاب و یکپارچگی و لیست مفصل تری از اصولی که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فرصتی برای مدیریت هوشمندانه حفاظت مجموعه های هیبرید فراهم می سازد؛ و با فراهم سازی ساختاری برای استفاده و هماهنگ سازی راهبردهای رایج میان مجموعه های رقومی و فیزیکی به اجرا در می آید چنین چارچوبی </w:t>
      </w:r>
      <w:bookmarkStart w:id="353" w:name="pg9653_81807"/>
    </w:p>
    <w:p>
      <w:pPr>
        <w:pStyle w:val="BookText"/>
        <w:rPr/>
      </w:pPr>
      <w:bookmarkEnd w:id="353"/>
      <w:r>
        <w:rPr>
          <w:rFonts w:ascii="IRNazanin" w:hAnsi="IRNazanin" w:eastAsia="IRNazanin"/>
          <w:color w:val="111111"/>
          <w:sz w:val="28"/>
          <w:sz w:val="28"/>
          <w:szCs w:val="28"/>
          <w:rtl w:val="true"/>
          <w:lang w:bidi="fa-IR"/>
        </w:rPr>
        <w:t>فرصتی فراهم می کند برای افزایش مزایای بالقوه ای نظیر تصمیم گیری آگاهانه تر اولویت بندی منابع برای رسیدگی به ریسک ها و به اشتراک گذاشتن راهبردهای رایج مورد استفاده در میان مواد رقومی و فیزیکی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تنها در صورتی ممکن می شود که از دیدن دم و خرطوم فیل فراتر برویم و به كل فیل حفاظت بنگریم</w:t>
      </w:r>
      <w:r>
        <w:rPr>
          <w:rFonts w:eastAsia="IRNazanin" w:cs="IRNazanin"/>
          <w:color w:val="111111"/>
          <w:sz w:val="28"/>
          <w:szCs w:val="28"/>
          <w:rtl w:val="true"/>
          <w:lang w:bidi="fa-IR"/>
        </w:rPr>
        <w:t>.</w:t>
      </w:r>
    </w:p>
    <w:p>
      <w:pPr>
        <w:pStyle w:val="Heading3"/>
        <w:numPr>
          <w:ilvl w:val="2"/>
          <w:numId w:val="1"/>
        </w:numPr>
        <w:rPr/>
      </w:pPr>
      <w:bookmarkStart w:id="354" w:name="__RefHeading___Toc7766512_2870459653"/>
      <w:bookmarkStart w:id="355" w:name="_Toc131"/>
      <w:bookmarkEnd w:id="354"/>
      <w:r>
        <w:rPr>
          <w:rtl w:val="true"/>
        </w:rPr>
        <w:t>منابع</w:t>
      </w:r>
      <w:bookmarkEnd w:id="355"/>
    </w:p>
    <w:p>
      <w:pPr>
        <w:pStyle w:val="BookText"/>
        <w:rPr/>
      </w:pPr>
      <w:r>
        <w:rPr>
          <w:rFonts w:eastAsia="Times New Roman" w:cs="Times New Roman" w:ascii="Times New Roman" w:hAnsi="Times New Roman"/>
          <w:color w:val="111111"/>
          <w:sz w:val="28"/>
          <w:szCs w:val="28"/>
          <w:lang w:val="en-US" w:bidi="en-US"/>
        </w:rPr>
        <w:t>Adcock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1998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Principles for the care and handling of library material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IF- LA-PAC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Paris viewed 29 April 2013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&lt;</w:t>
      </w:r>
      <w:r>
        <w:rPr>
          <w:rFonts w:eastAsia="Times New Roman" w:cs="Times New Roman" w:ascii="Times New Roman" w:hAnsi="Times New Roman"/>
          <w:color w:val="111111"/>
          <w:sz w:val="28"/>
          <w:szCs w:val="28"/>
          <w:lang w:val="en-US" w:bidi="en-US"/>
        </w:rPr>
        <w:t>http://archive.ifla.org/VI/4/news/pchlm. pdf</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American Society of Heating Refrigeration and Air-conditioning Engineers (ASHRAE) 2008 2008 ASHRAE environmental guidelines for datacom equip- ment: Expanding the recommended environmental envelope Atlanta viewed 17 May 2013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&lt;</w:t>
      </w:r>
      <w:r>
        <w:rPr>
          <w:rFonts w:eastAsia="Times New Roman" w:cs="Times New Roman" w:ascii="Times New Roman" w:hAnsi="Times New Roman"/>
          <w:color w:val="111111"/>
          <w:sz w:val="28"/>
          <w:szCs w:val="28"/>
          <w:lang w:val="en-US" w:bidi="en-US"/>
        </w:rPr>
        <w:t>http://tc99.ashraetcs.org/documents/ASHRAE_Extended_Environ- mental_Envelope_Final_Aug _1_2008.pdf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Ashley-Smith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J2001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Practical uses of risk analysis' The Paper Conserva- 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59- 63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Ashley-Smith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 1999 Risk assessment for object conservation. Butter- worth-Heinemann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Australian Institute for the Conservation of Cultural Material (AICCM) 2008</w:t>
      </w:r>
      <w:r>
        <w:rPr>
          <w:rFonts w:ascii="IRNazanin" w:hAnsi="IRNazanin" w:eastAsia="IRNazanin"/>
          <w:color w:val="111111"/>
          <w:sz w:val="28"/>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Preservation Needs Assessment Report Template Canberras viewed 31 May 2013. &lt;http://www.aiccm.org.au/docs/AICCMBusinessDocs/PresNeedsTemplate. pdf</w:t>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eastAsia="Times New Roman" w:cs="Times New Roman" w:ascii="Times New Roman" w:hAnsi="Times New Roman"/>
          <w:color w:val="111111"/>
          <w:sz w:val="28"/>
          <w:szCs w:val="28"/>
          <w:lang w:val="en-US" w:bidi="en-US"/>
        </w:rPr>
        <w:t>Bastian. J. Cloonan M &amp; Harvey R 2011. From teacher to learner to user: developing digital stewardship pedagogy'. Library Trends: vol. 59, no. 4 pp. 607- 622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British Standards Institution (BSI) 2012 PAS 198:2012: Specification for managing</w:t>
      </w:r>
    </w:p>
    <w:p>
      <w:pPr>
        <w:pStyle w:val="BookText"/>
        <w:rPr/>
      </w:pPr>
      <w:r>
        <w:rPr>
          <w:rFonts w:eastAsia="Times New Roman" w:cs="Times New Roman" w:ascii="Times New Roman" w:hAnsi="Times New Roman"/>
          <w:color w:val="111111"/>
          <w:sz w:val="28"/>
          <w:szCs w:val="28"/>
          <w:lang w:val="en-US" w:bidi="en-US"/>
        </w:rPr>
        <w:t>environmental conditions for cultural collections London viewed 13 May 2013. http://shop.bsigroup.com/en/ProductDetail/?pid=000000000030219669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H 2011. 'Painted lines: preservation connections' IFLA Journal vol. 37 no. 3 pp. 189-194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H 2003. Training in Preservation Microfilming National Library of Australia Canberra 13 volumes: &lt;http://www.nla.gov.au/preserve/trainmat. 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Cloonan M 2001 W(h)ither preservation? Library Quarterly, vol. 71 no. 2. pp. 231-242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Consultative Committee for Space Data Systems (CCSDS) 2012 Reference model for an Open Archival Information System: recommended practice viewed 27 April 2013. http://public.ccsds.org/publications/archive/650x0m2.pdf</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Conway. P 2007: The Relevance of Preservation in a Digital World Northeast Document Conservation Center Andover MA accessed 6 June 2013: &lt;http:// www.nedcc.org/freeresources/ preservation-leaflets/6.-reformatting/6.4-the-rele- vance-of-preservation-in-a-digitalworld&gt;. Conway: P 2010. 'Preservation in the age of Google: digitization digital preservation and dilemmas' Library Quar- terly, vol. 80 no. 1 pp. 61-79. 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Digital Curation Centre (DCC) 2008 DCC curation lifecycle model DCC Edinburgh viewed 25 April 2013 http://www.dcc.ac.uk/lifecycle-model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Digital Preservation Coalition (DPC) 2008 Preservation management of dig- ital materials: the handbook N Beagrie &amp; M Jones (eds). York viewed 14 May 2013 http://www.dpconline.org/advice/preservationhandbook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Federal Agencies Digitisation n Initiative (FADGI) Still Image Working Group 2009 Technical Guidelines for Digitising Cultural Heritage Materials: Creation of Raster Image Master Files: FADGI Washington DC viewed 31 May 2013. &lt;http://www.ationguidelines.gov/guidelines/FADGI_Still_Image-Tech Guidelines 2010-08-24.pdf</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Harvey R 2010a Curation in the curriculum: equipping the profession to en- sure the preservation of information' in iConference 2010 University of Illinois Urbana-Champaign viewed 25 April 2013 http://hdl.handle.net/2142/14959</w:t>
      </w:r>
    </w:p>
    <w:p>
      <w:pPr>
        <w:pStyle w:val="BookText"/>
        <w:rPr/>
      </w:pPr>
      <w:r>
        <w:rPr>
          <w:rFonts w:eastAsia="Times New Roman" w:cs="Times New Roman" w:ascii="Times New Roman" w:hAnsi="Times New Roman"/>
          <w:color w:val="111111"/>
          <w:sz w:val="28"/>
          <w:szCs w:val="28"/>
          <w:lang w:val="en-US" w:bidi="en-US"/>
        </w:rPr>
        <w:t>Harvey R 2010b. Digital Curation: a how-to-do-it manual. Neal-Schuman New York. Harvey. R 2012 Preserving digital materials 2nd ed. Berlin De Gruyter Saur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Harvey. R &amp; Mahard M 2013. 'Mapping the preservation landscape of the twenty first century' Preservation. Digital Technology and Culture, vol. 42 no. 1. pp. 5-16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Image Permanence Institute (IPI) 2013 Overview statement. Rochester NY. viewed 13 May 2013 https://www.imagepermanenceinstitute.org/environmental/ overview</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Centre for the Study for the Preservation and Conservation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Cultural Property (ICCROM) and Canadian Conservation Institute (CCI) 2012. Reducing Risks to Heritage: International Meeting 28-30 November Amersfoort The Netherlands viewed 27 April 2013. &lt;http://www.significanceinternational. com/Portals/0/Documents/RiskConfAmsterdam Nov 2012.p</w:t>
      </w:r>
    </w:p>
    <w:p>
      <w:pPr>
        <w:pStyle w:val="BookText"/>
        <w:rPr/>
      </w:pPr>
      <w:r>
        <w:rPr>
          <w:rFonts w:eastAsia="Times New Roman" w:cs="Times New Roman" w:ascii="Times New Roman" w:hAnsi="Times New Roman"/>
          <w:color w:val="111111"/>
          <w:sz w:val="28"/>
          <w:szCs w:val="28"/>
          <w:lang w:val="en-US" w:bidi="en-US"/>
        </w:rPr>
        <w:t>df&gt; International Organization for Standardization (ISO) 2011 ISO/DIS 16363 Space data and information transfer systems - Audit and certification of trust- worthy digital repositories: Geneva viewed 27 April 2013. &lt;http://www.iso.org/iso/iso_catalogue/catalogue_tc/catalogue_detail.ht- m?csnumber=56510</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International Organization for Standardization (ISO) 1999. ISO 14644-1:1999: Cleanrooms and associated controlled environments Part 1: Classification of air cleanliness Geneva viewed 29 May 2013. &lt;http://www.iso.org/iso/home/ store/catalogue_tc/catalogue_detail.htm?csnumber=25052</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Kenney. AR. McGovern N. Botticelli P. Entlich R. Lagozes C &amp; Payette S 2002. 'Preservation risk management for web resources' D-Lib Magazine. vol. 8 no. 1 viewed 27 April 2013 &lt;http://www.dlib.org/dlib/january02/kenney/01ken- ney.html&gt;. 14</w:t>
      </w:r>
    </w:p>
    <w:p>
      <w:pPr>
        <w:pStyle w:val="BookText"/>
        <w:rPr/>
      </w:pPr>
      <w:r>
        <w:rPr>
          <w:rFonts w:eastAsia="Times New Roman" w:cs="Times New Roman" w:ascii="Times New Roman" w:hAnsi="Times New Roman"/>
          <w:color w:val="111111"/>
          <w:sz w:val="28"/>
          <w:szCs w:val="28"/>
          <w:lang w:val="en-US" w:bidi="en-US"/>
        </w:rPr>
        <w:t>National Standards Taskforce 2011 National Standards for Australian Muse- ums and Galleries version 1.2 viewed 27 April 2013 &lt;http://www.collection- saustralia.net/sector info item/107</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Online Computer Library Center (OCLC) and Research Libraries Group (RLG) 2002 Trusted Digital repositories: Attributes and Responsibilities. RLG. Mountain View, CA viewed 27 April 2013 &lt;http://www.oclc.org/content/dam/ research/activities/trustedrep/repositories.pdf</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Peach C &amp; Foster J 2013 Knowing the Need: Optimising preservation for library and archive collections British Library Preservation Advisory Centre London viewed 31 May 2013. http://www.bl.uk/blpac/pdf/ktn.pdf</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Saxe. JG 1964. The blind men and the elephant World's Work Kingswood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UK</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Webb. C 2004. The malleability of fire: preserving digital information' in J Feather (ed). Managing preservation for libraries and archives: current practice and future developments</w:t>
      </w:r>
      <w:r>
        <w:rPr>
          <w:rFonts w:eastAsia="Times New Roman" w:cs="Times New Roman" w:ascii="Times New Roman" w:hAnsi="Times New Roman"/>
          <w:color w:val="111111"/>
          <w:sz w:val="28"/>
          <w:szCs w:val="28"/>
          <w:rtl w:val="true"/>
          <w:lang w:val="en-US" w:bidi="en-US"/>
        </w:rPr>
        <w:t xml:space="preserve"> </w:t>
      </w:r>
      <w:bookmarkStart w:id="356" w:name="pg9653_81812"/>
    </w:p>
    <w:p>
      <w:pPr>
        <w:pStyle w:val="Heading2"/>
        <w:numPr>
          <w:ilvl w:val="1"/>
          <w:numId w:val="1"/>
        </w:numPr>
        <w:rPr/>
      </w:pPr>
      <w:bookmarkStart w:id="357" w:name="__RefHeading___Toc7766514_2870459653"/>
      <w:bookmarkStart w:id="358" w:name="_Toc132"/>
      <w:bookmarkEnd w:id="356"/>
      <w:bookmarkEnd w:id="357"/>
      <w:r>
        <w:rPr>
          <w:rtl w:val="true"/>
        </w:rPr>
        <w:t>چکیده</w:t>
      </w:r>
      <w:bookmarkEnd w:id="358"/>
    </w:p>
    <w:p>
      <w:pPr>
        <w:pStyle w:val="BookText"/>
        <w:rPr/>
      </w:pPr>
      <w:r>
        <w:rPr>
          <w:rFonts w:ascii="IRNazanin" w:hAnsi="IRNazanin" w:eastAsia="IRNazanin"/>
          <w:color w:val="111111"/>
          <w:sz w:val="28"/>
          <w:sz w:val="28"/>
          <w:szCs w:val="28"/>
          <w:rtl w:val="true"/>
          <w:lang w:bidi="fa-IR"/>
        </w:rPr>
        <w:t>این مقاله توسعه کتابداری بین المللی را در توسعه تاریخی سازمان های غیرانتفاعی بین المللی و ظهور جهانی شدن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کتابداری بین المللی و تأثیر ابتکارهای توسعه در کتابداری به این شیوه، ابزاری فراهم می کند تا کتابداری را به عنوان عامل جهانی نگری فرهنگی و سهیم در توسعه شرایط جهانی شدن مدرن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با پایه ریزی کتابداری بین المللی به عنوان عاملی در این پیشرفت های وسیع اجتماعی تأکید دارد که نظریه های جهانی شدن، جهت پژوهش درباره تأثیر طرح های توسعه کتابداری بین المللی در گذشته و حال چشم اندازهای مفیدی فراهم می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کتابداری بین المللی، سازمان های غیر انتفاعی بین المللی، نظریه جهانی شدن </w:t>
      </w:r>
      <w:bookmarkStart w:id="359" w:name="pg9653_81813"/>
    </w:p>
    <w:p>
      <w:pPr>
        <w:pStyle w:val="Heading2"/>
        <w:numPr>
          <w:ilvl w:val="1"/>
          <w:numId w:val="1"/>
        </w:numPr>
        <w:rPr/>
      </w:pPr>
      <w:bookmarkStart w:id="360" w:name="__RefHeading___Toc7766516_2870459653"/>
      <w:bookmarkStart w:id="361" w:name="_Toc133"/>
      <w:bookmarkEnd w:id="359"/>
      <w:bookmarkEnd w:id="360"/>
      <w:r>
        <w:rPr>
          <w:rtl w:val="true"/>
        </w:rPr>
        <w:t>عوامل تغییر</w:t>
      </w:r>
      <w:r>
        <w:rPr>
          <w:rtl w:val="true"/>
        </w:rPr>
        <w:t xml:space="preserve">: </w:t>
      </w:r>
      <w:r>
        <w:rPr>
          <w:rtl w:val="true"/>
        </w:rPr>
        <w:t>کتابداری بین المللی، توسعه، و نظریه جهانی شدن</w:t>
      </w:r>
      <w:bookmarkEnd w:id="361"/>
    </w:p>
    <w:p>
      <w:pPr>
        <w:pStyle w:val="Heading3"/>
        <w:numPr>
          <w:ilvl w:val="2"/>
          <w:numId w:val="1"/>
        </w:numPr>
        <w:rPr/>
      </w:pPr>
      <w:bookmarkStart w:id="362" w:name="__RefHeading___Toc7766518_2870459653"/>
      <w:bookmarkStart w:id="363" w:name="_Toc134"/>
      <w:bookmarkEnd w:id="362"/>
      <w:r>
        <w:rPr>
          <w:rtl w:val="true"/>
        </w:rPr>
        <w:t>اشاره</w:t>
      </w:r>
      <w:bookmarkEnd w:id="3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کتابداری بین المللی، توسعه، و نظریه جهانی شدن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استیو ویت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زهرا تهوری </w:t>
      </w:r>
      <w:r>
        <w:rPr>
          <w:rStyle w:val="FootnoteAnchor"/>
          <w:rtl w:val="true"/>
        </w:rPr>
        <w:footnoteReference w:id="438"/>
      </w:r>
    </w:p>
    <w:p>
      <w:pPr>
        <w:pStyle w:val="Heading3"/>
        <w:numPr>
          <w:ilvl w:val="2"/>
          <w:numId w:val="1"/>
        </w:numPr>
        <w:rPr/>
      </w:pPr>
      <w:bookmarkStart w:id="364" w:name="__RefHeading___Toc7766520_2870459653"/>
      <w:bookmarkStart w:id="365" w:name="_Toc135"/>
      <w:bookmarkEnd w:id="364"/>
      <w:r>
        <w:rPr>
          <w:rtl w:val="true"/>
        </w:rPr>
        <w:t>مقدمه</w:t>
      </w:r>
      <w:bookmarkEnd w:id="365"/>
    </w:p>
    <w:p>
      <w:pPr>
        <w:pStyle w:val="BookText"/>
        <w:rPr/>
      </w:pPr>
      <w:r>
        <w:rPr>
          <w:rFonts w:ascii="IRNazanin" w:hAnsi="IRNazanin" w:eastAsia="IRNazanin"/>
          <w:color w:val="111111"/>
          <w:sz w:val="28"/>
          <w:sz w:val="28"/>
          <w:szCs w:val="28"/>
          <w:rtl w:val="true"/>
          <w:lang w:bidi="fa-IR"/>
        </w:rPr>
        <w:t>فعالیت های کتابداری بین المللی به هیچ وجه پدیده جدیدی نیست به نظر می رسد که از زمانی که مجموعه سازی و سازماندهی کتاب آغاز شد محور توزیع دانش بوده است بنابراین چرا ما نیاز داریم به روش های جدیدی برای تحلیل منتقدانه توسعه، خط سیر و تأثیرات کتابداری بین المللی و فعالیت های توسعه توجه کنیم؟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 و اصل این مقاله با نوشته های به نسبت پیچیدۀ پل پریه </w:t>
      </w:r>
      <w:r>
        <w:rPr>
          <w:rStyle w:val="FootnoteAnchor"/>
          <w:rtl w:val="true"/>
        </w:rPr>
        <w:footnoteReference w:id="439"/>
      </w:r>
      <w:r>
        <w:rPr>
          <w:rFonts w:ascii="IRNazanin" w:hAnsi="IRNazanin" w:eastAsia="IRNazanin"/>
          <w:color w:val="111111"/>
          <w:sz w:val="28"/>
          <w:sz w:val="28"/>
          <w:szCs w:val="28"/>
          <w:rtl w:val="true"/>
          <w:lang w:bidi="fa-IR"/>
        </w:rPr>
        <w:t xml:space="preserve">آغاز می شود که به عنوان یک آرشیویست و متخصص کهن خط شناسی </w:t>
      </w:r>
      <w:r>
        <w:rPr>
          <w:rStyle w:val="FootnoteAnchor"/>
          <w:rtl w:val="true"/>
        </w:rPr>
        <w:footnoteReference w:id="440"/>
      </w:r>
      <w:r>
        <w:rPr>
          <w:rFonts w:ascii="IRNazanin" w:hAnsi="IRNazanin" w:eastAsia="IRNazanin"/>
          <w:color w:val="111111"/>
          <w:sz w:val="28"/>
          <w:sz w:val="28"/>
          <w:szCs w:val="28"/>
          <w:rtl w:val="true"/>
          <w:lang w:bidi="fa-IR"/>
        </w:rPr>
        <w:t xml:space="preserve">در مدرسه شارت آموزش دید و زندگی حرفه ای اش را در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پریه تاریخ تمدن بشری را با عنوان وحدت انسانی </w:t>
      </w:r>
      <w:r>
        <w:rPr>
          <w:rStyle w:val="FootnoteAnchor"/>
          <w:rtl w:val="true"/>
        </w:rPr>
        <w:footnoteReference w:id="442"/>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همکارش سوزان بریه </w:t>
      </w:r>
      <w:r>
        <w:rPr>
          <w:rStyle w:val="FootnoteAnchor"/>
          <w:rtl w:val="true"/>
        </w:rPr>
        <w:footnoteReference w:id="443"/>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نافذش درباره جنبش </w:t>
      </w:r>
    </w:p>
    <w:p>
      <w:pPr>
        <w:pStyle w:val="BookText"/>
        <w:rPr/>
      </w:pPr>
      <w:r>
        <w:rPr>
          <w:rFonts w:ascii="IRNazanin" w:hAnsi="IRNazanin" w:eastAsia="IRNazanin"/>
          <w:color w:val="111111"/>
          <w:sz w:val="28"/>
          <w:sz w:val="28"/>
          <w:szCs w:val="28"/>
          <w:rtl w:val="true"/>
          <w:lang w:bidi="fa-IR"/>
        </w:rPr>
        <w:t xml:space="preserve">دبیز شکاران، </w:t>
      </w:r>
      <w:r>
        <w:rPr>
          <w:rStyle w:val="FootnoteAnchor"/>
          <w:rtl w:val="true"/>
        </w:rPr>
        <w:footnoteReference w:id="44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دبیزش چیست؟</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از آن نقل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 از اثر پریه در چند مورد استفاده می کند تا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انسانی</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خود حمایت کند که از طریق کار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دبیز 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متخصصان اطلاع رسانی پشتیبانی و ایجاد می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می رسد مفهوم بشریت جهانی </w:t>
      </w:r>
      <w:r>
        <w:rPr>
          <w:rStyle w:val="FootnoteAnchor"/>
          <w:rtl w:val="true"/>
        </w:rPr>
        <w:footnoteReference w:id="447"/>
      </w:r>
      <w:r>
        <w:rPr>
          <w:rFonts w:ascii="IRNazanin" w:hAnsi="IRNazanin" w:eastAsia="IRNazanin"/>
          <w:color w:val="111111"/>
          <w:sz w:val="28"/>
          <w:sz w:val="28"/>
          <w:szCs w:val="28"/>
          <w:rtl w:val="true"/>
          <w:lang w:bidi="fa-IR"/>
        </w:rPr>
        <w:t xml:space="preserve">به شبکه اطلاعاتی جهان گستر پیوند داشته و تحت تأثیر آن قرار گرفته و تغییر کرده است و درباره مفاهیم اخیر جهانی شدن و اطلاعات یا جامعه شبکه ای </w:t>
      </w:r>
      <w:r>
        <w:rPr>
          <w:rStyle w:val="FootnoteAnchor"/>
          <w:rtl w:val="true"/>
        </w:rPr>
        <w:footnoteReference w:id="448"/>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کتابداری بین المللی وقایع و شخصیت های مهمی هم عصر نوشته پریه بودند این زمان بود که ایفلا از مجموعه ای از گردهمایی ها که در پراگ فیلادلفیا و ادینبرگ در اواخر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تأسیس گردید درست پس از چند سال انجمن کتابداری امریکا راه اندازی کتابخانه آمریکایی </w:t>
      </w:r>
      <w:r>
        <w:rPr>
          <w:rStyle w:val="FootnoteAnchor"/>
          <w:rtl w:val="true"/>
        </w:rPr>
        <w:footnoteReference w:id="449"/>
      </w:r>
      <w:r>
        <w:rPr>
          <w:rFonts w:ascii="IRNazanin" w:hAnsi="IRNazanin" w:eastAsia="IRNazanin"/>
          <w:color w:val="111111"/>
          <w:sz w:val="28"/>
          <w:sz w:val="28"/>
          <w:szCs w:val="28"/>
          <w:rtl w:val="true"/>
          <w:lang w:bidi="fa-IR"/>
        </w:rPr>
        <w:t>را در پاریس و مدرسه موقتی کتابداری پاریس را که به طور غیر مستقیم در تأسیس ایفلا نقش داشت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پل اوتله </w:t>
      </w:r>
      <w:r>
        <w:rPr>
          <w:rStyle w:val="FootnoteAnchor"/>
          <w:rtl w:val="true"/>
        </w:rPr>
        <w:footnoteReference w:id="450"/>
      </w:r>
      <w:r>
        <w:rPr>
          <w:rFonts w:ascii="IRNazanin" w:hAnsi="IRNazanin" w:eastAsia="IRNazanin"/>
          <w:color w:val="111111"/>
          <w:sz w:val="28"/>
          <w:sz w:val="28"/>
          <w:szCs w:val="28"/>
          <w:rtl w:val="true"/>
          <w:lang w:bidi="fa-IR"/>
        </w:rPr>
        <w:t xml:space="preserve">نیز همکار بنیانگذار اتحادیه بین المللی مراکز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و اتحادیه انجمن های بین المللی، </w:t>
      </w:r>
      <w:r>
        <w:rPr>
          <w:rStyle w:val="FootnoteAnchor"/>
          <w:rtl w:val="true"/>
        </w:rPr>
        <w:footnoteReference w:id="452"/>
      </w:r>
      <w:r>
        <w:rPr>
          <w:rFonts w:ascii="IRNazanin" w:hAnsi="IRNazanin" w:eastAsia="IRNazanin"/>
          <w:color w:val="111111"/>
          <w:sz w:val="28"/>
          <w:sz w:val="28"/>
          <w:szCs w:val="28"/>
          <w:rtl w:val="true"/>
          <w:lang w:bidi="fa-IR"/>
        </w:rPr>
        <w:t xml:space="preserve">طراح طرح رده بندی ده دهی جهانی </w:t>
      </w:r>
      <w:r>
        <w:rPr>
          <w:rStyle w:val="FootnoteAnchor"/>
          <w:rtl w:val="true"/>
        </w:rPr>
        <w:footnoteReference w:id="453"/>
      </w:r>
      <w:r>
        <w:rPr>
          <w:rFonts w:ascii="IRNazanin" w:hAnsi="IRNazanin" w:eastAsia="IRNazanin"/>
          <w:color w:val="111111"/>
          <w:sz w:val="28"/>
          <w:sz w:val="28"/>
          <w:szCs w:val="28"/>
          <w:rtl w:val="true"/>
          <w:lang w:bidi="fa-IR"/>
        </w:rPr>
        <w:t>پیشگام جنبش دبیز شکاران و فعال صلح در نزدیکی شمال بروکسل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جدید کتابداری بین المللی به حرفه کتابداری جهان گستر و تأسیس شبکه ای انجامید که تا حمایت توسعه کتابداری در سراسر جهان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رخدادها در میانه دو جنگ هولناک جهانی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تمام این فعالیت های بین المللی در چنین ناآرامی اجتماعی و اقتصادی رخ می دادند و چطور ادامه می یافتند؟</w:t>
      </w:r>
    </w:p>
    <w:p>
      <w:pPr>
        <w:pStyle w:val="BookText"/>
        <w:rPr/>
      </w:pPr>
      <w:r>
        <w:rPr>
          <w:rFonts w:ascii="IRNazanin" w:hAnsi="IRNazanin" w:eastAsia="IRNazanin"/>
          <w:color w:val="111111"/>
          <w:sz w:val="28"/>
          <w:sz w:val="28"/>
          <w:szCs w:val="28"/>
          <w:rtl w:val="true"/>
          <w:lang w:bidi="fa-IR"/>
        </w:rPr>
        <w:t xml:space="preserve">قبل از رسیدن به پاسخ های این پرسش ها نیاز داریم نخست بافت وسیع تر اجتماعی و نظری توسعه شبکه ها و سازمان های بین المللی را در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دهیم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 کارنووسکی </w:t>
      </w:r>
      <w:r>
        <w:rPr>
          <w:rStyle w:val="FootnoteAnchor"/>
          <w:rtl w:val="true"/>
        </w:rPr>
        <w:footnoteReference w:id="454"/>
      </w:r>
      <w:r>
        <w:rPr>
          <w:rFonts w:ascii="IRNazanin" w:hAnsi="IRNazanin" w:eastAsia="IRNazanin"/>
          <w:color w:val="111111"/>
          <w:sz w:val="28"/>
          <w:sz w:val="28"/>
          <w:szCs w:val="28"/>
          <w:rtl w:val="true"/>
          <w:lang w:bidi="fa-IR"/>
        </w:rPr>
        <w:t xml:space="preserve">از دانشگاه شیکاگو، کنفرانسی برپا کرد که بر بعضی از این موضوعات متمرکز بود وی کوشید مشکلات تسهیم ،اطلاعات تأثیر فرهنگ و جامعه را در توسعه کتابخانه در مناطق مختلف جهان بشناسد و نقش سازمان های بین المللی بزرگ همچون یونسکو و </w:t>
      </w:r>
      <w:bookmarkStart w:id="366" w:name="pg9653_81815"/>
    </w:p>
    <w:p>
      <w:pPr>
        <w:pStyle w:val="BookText"/>
        <w:rPr/>
      </w:pPr>
      <w:bookmarkEnd w:id="366"/>
      <w:r>
        <w:rPr>
          <w:rFonts w:ascii="IRNazanin" w:hAnsi="IRNazanin" w:eastAsia="IRNazanin"/>
          <w:color w:val="111111"/>
          <w:sz w:val="28"/>
          <w:sz w:val="28"/>
          <w:szCs w:val="28"/>
          <w:rtl w:val="true"/>
          <w:lang w:bidi="fa-IR"/>
        </w:rPr>
        <w:t>سازمان های ملی همچون انجمن کتابداری امریکا را در توسعه بیشتر کتابخانه ها و دسترسی به دانش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در نظر داشت راه های جدیدی را گسترش دهد که گرایش های بین المللی در کتابداری را مد نظر قرار می داد و چشم اندازهای جدیدی را در مورد چگونگی توسعه و سازماندهی برنامه های آتی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ویشر </w:t>
      </w:r>
      <w:r>
        <w:rPr>
          <w:rStyle w:val="FootnoteAnchor"/>
          <w:rtl w:val="true"/>
        </w:rPr>
        <w:footnoteReference w:id="455"/>
      </w:r>
      <w:r>
        <w:rPr>
          <w:rFonts w:ascii="IRNazanin" w:hAnsi="IRNazanin" w:eastAsia="IRNazanin"/>
          <w:color w:val="111111"/>
          <w:sz w:val="28"/>
          <w:sz w:val="28"/>
          <w:szCs w:val="28"/>
          <w:rtl w:val="true"/>
          <w:lang w:bidi="fa-IR"/>
        </w:rPr>
        <w:t>در طول کنفرانس، بر رشد انفجاری دانش و اهمیت فزاینده زبان های غیر اروپایی در انتشارات، پژوهش و کشف به عنوان چند عامل تمرکز کرد که کتابداران را متحیر می کرد و بر آن ها اثر می گذاشت با این وصف ويشر تأکید داشت مشکل ترین مسأله این حقیقت بود که ما در یک دنیای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فعال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زندگی می کنیم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ویشر نگران راه هایی بود که قدرت دولت را بر مبادله بین المللی اطلاعات و همکاری کتابخانه ای کاهش دهد مسائلی که ویشر توصیف می کند امروز نیز با ما همراه هستند و به نظر می رسد که غلبه بر آن ها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کنفرانس کارنووسکی و تلاش های دیگر که تأثیر فعالیت های بین المللی کتابداری را توصیف و ارزیابی می کند، وجوه جدید تحلیل تاریخی و اجتماعی پدیدار شده است که برظهور جهانی نگری </w:t>
      </w:r>
      <w:r>
        <w:rPr>
          <w:rStyle w:val="FootnoteAnchor"/>
          <w:rtl w:val="true"/>
        </w:rPr>
        <w:footnoteReference w:id="457"/>
      </w:r>
      <w:r>
        <w:rPr>
          <w:rFonts w:ascii="IRNazanin" w:hAnsi="IRNazanin" w:eastAsia="IRNazanin"/>
          <w:color w:val="111111"/>
          <w:sz w:val="28"/>
          <w:sz w:val="28"/>
          <w:szCs w:val="28"/>
          <w:rtl w:val="true"/>
          <w:lang w:bidi="fa-IR"/>
        </w:rPr>
        <w:t>فرهنگی و تأثیرات جهانی شدن بر توزیع دانش و تغییرات فرهنگی تمرکز دارد در تلاشی جهت قرار دادن این پرسش ها در بافتی جدید، این مقاله موقعیت کتابداری بین المللی را در پیدایش تاریخی جهانی نگری فرهنگی و پیوندهای بعدی به دیگر نظریه های جهانی شدن ترسیم می کند که بر نقش شبکه ها و جریان اطلاعات در اشاعه دانش و توسعه قالب های جدید فرهنگی و سازمانی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کتابداری بین المللی را در بافت پیشرفت های وسیع تر اجتماعی و فناورانه جای می دهد که در پدیده ترسیمی اقتصادی و فرهنگی به عنوان جهانی شدن مشارکت داشته اند و پایه نظری جدیدی برای بررسی تأثیر و جریان توسعه کتابداری بین المللی و شبکه های کتابداری بین المللی فراهم می کنند</w:t>
      </w:r>
      <w:r>
        <w:rPr>
          <w:rFonts w:eastAsia="IRNazanin" w:cs="IRNazanin"/>
          <w:color w:val="111111"/>
          <w:sz w:val="28"/>
          <w:szCs w:val="28"/>
          <w:rtl w:val="true"/>
          <w:lang w:bidi="fa-IR"/>
        </w:rPr>
        <w:t>.</w:t>
      </w:r>
    </w:p>
    <w:p>
      <w:pPr>
        <w:pStyle w:val="Heading3"/>
        <w:numPr>
          <w:ilvl w:val="2"/>
          <w:numId w:val="1"/>
        </w:numPr>
        <w:rPr/>
      </w:pPr>
      <w:bookmarkStart w:id="367" w:name="__RefHeading___Toc7766522_2870459653"/>
      <w:bookmarkStart w:id="368" w:name="_Toc136"/>
      <w:bookmarkEnd w:id="367"/>
      <w:r>
        <w:rPr>
          <w:rtl w:val="true"/>
        </w:rPr>
        <w:t>نظریه جهانی شدن و کتابداری بین المللی</w:t>
      </w:r>
      <w:bookmarkEnd w:id="36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فراسوی مفاهیم سنتی نظریه کتابداری و پژوهش، چندین حوزه بررسی پیش می آید که در صدد است در مورد پدیده هایی توضیح دهد که در آن کتابداران و سازمان های بین المللی کتابداری به طور فعال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ها ظهور سازمان های غیر انتفاعی بین المللی هستند در آن چه جهانی نگری فرهنگی نامیده می شود و پیدایی جهانی شدن به عنوان واژه ای که شرایط در هم تنیده ای را توضیح می دهد که انسانیت خودش را در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یابد نگاهی به کتابداری بین المللی و تأثیر ابتکارهای توسعه </w:t>
      </w:r>
    </w:p>
    <w:p>
      <w:pPr>
        <w:pStyle w:val="BookText"/>
        <w:rPr/>
      </w:pPr>
      <w:r>
        <w:rPr>
          <w:rFonts w:ascii="IRNazanin" w:hAnsi="IRNazanin" w:eastAsia="IRNazanin"/>
          <w:color w:val="111111"/>
          <w:sz w:val="28"/>
          <w:sz w:val="28"/>
          <w:szCs w:val="28"/>
          <w:rtl w:val="true"/>
          <w:lang w:bidi="fa-IR"/>
        </w:rPr>
        <w:t xml:space="preserve">کتابداری از دید این نظریه های جهانی شدن، ابزاری فراهم می آورد که کتابداری را به عنوان یک شریک یا نماینده تاریخی نگاه می کند در آن 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جهانی شدن</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استقرار کتابداری بین المللی به عنوان بازیگر پیشرفت های وسیع تر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اکنون آن را جهانی شدن می 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توان می دهد که این نظریه ها را استفاده کنیم این کار برای نظریه پردازی و پژوهش در مورد روشی است که از آن طریق کتابداری بین المللی و طرح های توسعه بین المللی را پیش برد؛ طرح هایی که کتابخانه ها زیرساخت اطلاعاتی و دسترسی به اطلاعات را گسترش داد، واسطه جریان قدرت قرار داد قالب های سازمانی جدید را ارتقا داد و بر فرهنگ هایی که در آن فعالیت ها و نظریه های جدید وارد می شوند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با تمرکز بر پیشرفت های کتابداری بین المللی در دوره بین دو جنگ جهانی راه هایی پیشنهاد می دهد در این راه ها سه نظریه برجسته جهانی شدن به کار می آید تا خبر از پژوهش در مورد کتابداری بین المللی دهد بعلاوه دید جدیدی به وجود آورد که در مورد مسأله جریان های بین المللی اطلاعات و رشد حرفه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جدید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زمزمه واژه جهانی شدن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از آن زمان، پندار بسیاری از مردم سراسر جهان را به خود جلب کرده است جهانی شدن این مفهوم بسیار بحث برانگیز دیدگاه های استواری جذب می کند که مخالف وابستگی به ادراکات و ارزش های فرد است 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چه بد، چه جدید، یا چیزی که سراسر تاریخ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عادی مانع نمایش وابستگی فزاینده متقابل مردم، فرهنگ ها و جوامع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تشدید روابط اجتماعی میان زمان جهان و فضا جهان از طریق تسهیم فزاینده اطلاعات، ارتباطات و قدرت تحرک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همان گونه که گیدنز </w:t>
      </w:r>
      <w:r>
        <w:rPr>
          <w:rStyle w:val="FootnoteAnchor"/>
          <w:rtl w:val="true"/>
        </w:rPr>
        <w:footnoteReference w:id="459"/>
      </w:r>
      <w:r>
        <w:rPr>
          <w:rFonts w:ascii="IRNazanin" w:hAnsi="IRNazanin" w:eastAsia="IRNazanin"/>
          <w:color w:val="111111"/>
          <w:sz w:val="28"/>
          <w:sz w:val="28"/>
          <w:szCs w:val="28"/>
          <w:rtl w:val="true"/>
          <w:lang w:bidi="fa-IR"/>
        </w:rPr>
        <w:t xml:space="preserve">توصیف می کند می تواند به عنوان تشدید روابط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گستری وصف شود که نواحی دور دست را پیوند می دهد به طریقی که اتفاقات محلی با حوادثی شکل می گیرند که به فاصله ای بسیار دور است و برعکس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این پدیده ها تعدادی نظریه های اجتماعی را پدید آورده است که با توسعه کتابداری بین المللی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ها بر جهانی نگری فرهنگی تمرکز دارند که از سازمان های غیر انتفاعی بین المللی پروزش یافته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ارتقای آن چه جامعه شبکه ای نامیده می 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توسعه آن چه به اقتصاد فرهنگی جهانی اشاره دارد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تحول کتابداری به عنوان شبکه جهانی حرفه از نگاه این نظریه ها، واضح است که کتابداران به طور فعال در فرایند جهانی شدن مشارکت داشته اند به علاوه، دیدگاه جدیدی فراهم می آید که از طریق آن می توان موفقیت و شکست طرح های توسعه کتابداری بین المللی را دید</w:t>
      </w:r>
      <w:r>
        <w:rPr>
          <w:rFonts w:eastAsia="IRNazanin" w:cs="IRNazanin"/>
          <w:color w:val="111111"/>
          <w:sz w:val="28"/>
          <w:szCs w:val="28"/>
          <w:rtl w:val="true"/>
          <w:lang w:bidi="fa-IR"/>
        </w:rPr>
        <w:t xml:space="preserve">. </w:t>
      </w:r>
      <w:bookmarkStart w:id="369" w:name="pg9653_81817"/>
    </w:p>
    <w:p>
      <w:pPr>
        <w:pStyle w:val="Heading3"/>
        <w:numPr>
          <w:ilvl w:val="2"/>
          <w:numId w:val="1"/>
        </w:numPr>
        <w:rPr/>
      </w:pPr>
      <w:bookmarkStart w:id="370" w:name="__RefHeading___Toc7766524_2870459653"/>
      <w:bookmarkStart w:id="371" w:name="_Toc137"/>
      <w:bookmarkEnd w:id="369"/>
      <w:bookmarkEnd w:id="370"/>
      <w:r>
        <w:rPr>
          <w:rtl w:val="true"/>
        </w:rPr>
        <w:t>تاریخ جهانی، جهانی نگری فرهنگی، و ظهور سازمان های غیر انتفاعی بین المللی</w:t>
      </w:r>
      <w:bookmarkEnd w:id="371"/>
    </w:p>
    <w:p>
      <w:pPr>
        <w:pStyle w:val="BookText"/>
        <w:rPr/>
      </w:pPr>
      <w:r>
        <w:rPr>
          <w:rFonts w:ascii="IRNazanin" w:hAnsi="IRNazanin" w:eastAsia="IRNazanin"/>
          <w:color w:val="111111"/>
          <w:sz w:val="28"/>
          <w:sz w:val="28"/>
          <w:szCs w:val="28"/>
          <w:rtl w:val="true"/>
          <w:lang w:bidi="fa-IR"/>
        </w:rPr>
        <w:t xml:space="preserve">اوایل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مورخان به ارتقای فعالیت های اینترناسیونالیستی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جانشینی برای تمرکز بر ظهور دولت ملی مدرن و ناسیونالیسمی که به دو جنگ جهانی دامن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 شدند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کار بر پیشرفت هایی همچون جنبش های بین المللی صلح سازمان های بین المللی زنان، و تلاش هایی جهت همکاری در پزشکی و بهداشت متمرکز است این فعالیت ها به عنوان نخستین ریشه های سازمان های غیر انتفاعی بین المللی </w:t>
      </w:r>
      <w:r>
        <w:rPr>
          <w:rStyle w:val="FootnoteAnchor"/>
          <w:rtl w:val="true"/>
        </w:rPr>
        <w:footnoteReference w:id="460"/>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سازمان های غیر انتفاعی شناخت جنبه ای از پدیده جهانی شدن و فرایندهای تاریخی ای را فراهم می کند که قدرت های چند ملیتی و جهانی ای را ایجاد کرده است که جهان امروز را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آکیرا ایریه </w:t>
      </w:r>
      <w:r>
        <w:rPr>
          <w:rStyle w:val="FootnoteAnchor"/>
          <w:rtl w:val="true"/>
        </w:rPr>
        <w:footnoteReference w:id="461"/>
      </w:r>
      <w:r>
        <w:rPr>
          <w:rFonts w:ascii="IRNazanin" w:hAnsi="IRNazanin" w:eastAsia="IRNazanin"/>
          <w:color w:val="111111"/>
          <w:sz w:val="28"/>
          <w:sz w:val="28"/>
          <w:szCs w:val="28"/>
          <w:rtl w:val="true"/>
          <w:lang w:bidi="fa-IR"/>
        </w:rPr>
        <w:t xml:space="preserve">اصول آن چه را که جهانی نگری فرهنگی توصیف می کند در دوره بین دو جنگ جهانی اول و دوم جای می دهد این تنوع جدید جهانی نگری بر تنوع فعالیت هایی متمرکز است تا کشورها و مردم را از طریق مبادله ایده ها و افراد همکاری علمی یا تلاش های تسهیل آگاهی میان ملی پیوند دهد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متمایز از جهانی نگری سیاسی و اقتصادی است که به شکل جامعه ملل و توافقات تجاری بین المللی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ایده جهانی نگری فرهنگی، این مفهوم نهفته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یک صلح پایدار شناخت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مفاهیم بر احساس رو به رشد جامعه جهانی ای متمرکز است که در آن تمامی ملت ها و مردم، علائق و تعهدات مسلّم را تقسیم کرده 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مقاله اشاره خواهد شد این احساس جامعه جهانی 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کتابداران اروپا در پاریس و آمریکای شمالی وجود داشته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مفاهیم از طریق سازمان های غیر انتفاعی انگیزه گرایش رو به رشد همکاری بین المللی را فراهم کرد این سازمان ها برنامه های دولتی سازمان ها و ملت های میان دولتی را کنار گذاشتند با این فرض که مسائل فرهنگی و اجتماعی مرزهای ملی را نشناختند و به چارچوبی بین المللی برای پاسخ نیاز داشتند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بین دو جنگ جهانی تعدادی سازمان های غیر انتفاعی تشکیل شدند تا مبادله دانش و ایده را ارتقا دهند این سازمان ها به سرعت افزایش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 جامعه ملل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سازمان های بین المللی </w:t>
      </w:r>
      <w:r>
        <w:rPr>
          <w:rStyle w:val="FootnoteAnchor"/>
          <w:rtl w:val="true"/>
        </w:rPr>
        <w:footnoteReference w:id="46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فهرست شده سازمان های غیرانتفاعی خصوصی بودند این سازمان ها کنفدراسیون بین المللی دانشجویان </w:t>
      </w:r>
      <w:r>
        <w:rPr>
          <w:rStyle w:val="FootnoteAnchor"/>
          <w:rtl w:val="true"/>
        </w:rPr>
        <w:footnoteReference w:id="463"/>
      </w:r>
      <w:r>
        <w:rPr>
          <w:rFonts w:ascii="IRNazanin" w:hAnsi="IRNazanin" w:eastAsia="IRNazanin"/>
          <w:color w:val="111111"/>
          <w:sz w:val="28"/>
          <w:sz w:val="28"/>
          <w:szCs w:val="28"/>
          <w:rtl w:val="true"/>
          <w:lang w:bidi="fa-IR"/>
        </w:rPr>
        <w:t xml:space="preserve">، فدراسیون بین المللی </w:t>
      </w:r>
    </w:p>
    <w:p>
      <w:pPr>
        <w:pStyle w:val="BookText"/>
        <w:rPr/>
      </w:pPr>
      <w:r>
        <w:rPr>
          <w:rFonts w:ascii="IRNazanin" w:hAnsi="IRNazanin" w:eastAsia="IRNazanin"/>
          <w:color w:val="111111"/>
          <w:sz w:val="28"/>
          <w:sz w:val="28"/>
          <w:szCs w:val="28"/>
          <w:rtl w:val="true"/>
          <w:lang w:bidi="fa-IR"/>
        </w:rPr>
        <w:t xml:space="preserve">زنان دانشگاهی </w:t>
      </w:r>
      <w:r>
        <w:rPr>
          <w:rStyle w:val="FootnoteAnchor"/>
          <w:rtl w:val="true"/>
        </w:rPr>
        <w:footnoteReference w:id="464"/>
      </w:r>
      <w:r>
        <w:rPr>
          <w:rFonts w:ascii="IRNazanin" w:hAnsi="IRNazanin" w:eastAsia="IRNazanin"/>
          <w:color w:val="111111"/>
          <w:sz w:val="28"/>
          <w:sz w:val="28"/>
          <w:szCs w:val="28"/>
          <w:rtl w:val="true"/>
          <w:lang w:bidi="fa-IR"/>
        </w:rPr>
        <w:t xml:space="preserve">، انجمن جهانی آموزش بزرگسالان </w:t>
      </w:r>
      <w:r>
        <w:rPr>
          <w:rStyle w:val="FootnoteAnchor"/>
          <w:rtl w:val="true"/>
        </w:rPr>
        <w:footnoteReference w:id="465"/>
      </w:r>
      <w:r>
        <w:rPr>
          <w:rFonts w:ascii="IRNazanin" w:hAnsi="IRNazanin" w:eastAsia="IRNazanin"/>
          <w:color w:val="111111"/>
          <w:sz w:val="28"/>
          <w:sz w:val="28"/>
          <w:szCs w:val="28"/>
          <w:rtl w:val="true"/>
          <w:lang w:bidi="fa-IR"/>
        </w:rPr>
        <w:t xml:space="preserve">شورای بین المللی پژوهش </w:t>
      </w:r>
      <w:r>
        <w:rPr>
          <w:rStyle w:val="FootnoteAnchor"/>
          <w:rtl w:val="true"/>
        </w:rPr>
        <w:footnoteReference w:id="466"/>
      </w:r>
      <w:r>
        <w:rPr>
          <w:rFonts w:ascii="IRNazanin" w:hAnsi="IRNazanin" w:eastAsia="IRNazanin"/>
          <w:color w:val="111111"/>
          <w:sz w:val="28"/>
          <w:sz w:val="28"/>
          <w:szCs w:val="28"/>
          <w:rtl w:val="true"/>
          <w:lang w:bidi="fa-IR"/>
        </w:rPr>
        <w:t xml:space="preserve">و شورای بین المللی اتحادیه های علمی </w:t>
      </w:r>
      <w:r>
        <w:rPr>
          <w:rStyle w:val="FootnoteAnchor"/>
          <w:rtl w:val="true"/>
        </w:rPr>
        <w:footnoteReference w:id="467"/>
      </w:r>
      <w:r>
        <w:rPr>
          <w:rFonts w:ascii="IRNazanin" w:hAnsi="IRNazanin" w:eastAsia="IRNazanin"/>
          <w:color w:val="111111"/>
          <w:sz w:val="28"/>
          <w:sz w:val="28"/>
          <w:szCs w:val="28"/>
          <w:rtl w:val="true"/>
          <w:lang w:bidi="fa-IR"/>
        </w:rPr>
        <w:t xml:space="preserve">را شامل می شد ایفلا پیشتر تأسیس شده بود و شامل این فهرست می شد به علاوه، سازمان های خدمات سنجش پذیر، از جمله شورای بین المللی زنان، </w:t>
      </w:r>
      <w:r>
        <w:rPr>
          <w:rStyle w:val="FootnoteAnchor"/>
          <w:rtl w:val="true"/>
        </w:rPr>
        <w:footnoteReference w:id="468"/>
      </w:r>
      <w:r>
        <w:rPr>
          <w:rFonts w:ascii="IRNazanin" w:hAnsi="IRNazanin" w:eastAsia="IRNazanin"/>
          <w:color w:val="111111"/>
          <w:sz w:val="28"/>
          <w:sz w:val="28"/>
          <w:szCs w:val="28"/>
          <w:rtl w:val="true"/>
          <w:lang w:bidi="fa-IR"/>
        </w:rPr>
        <w:t xml:space="preserve">اتحادیه بین المللی نجات کودکان، </w:t>
      </w:r>
      <w:r>
        <w:rPr>
          <w:rStyle w:val="FootnoteAnchor"/>
          <w:rtl w:val="true"/>
        </w:rPr>
        <w:footnoteReference w:id="469"/>
      </w:r>
      <w:r>
        <w:rPr>
          <w:rFonts w:ascii="IRNazanin" w:hAnsi="IRNazanin" w:eastAsia="IRNazanin"/>
          <w:color w:val="111111"/>
          <w:sz w:val="28"/>
          <w:sz w:val="28"/>
          <w:szCs w:val="28"/>
          <w:rtl w:val="true"/>
          <w:lang w:bidi="fa-IR"/>
        </w:rPr>
        <w:t xml:space="preserve">و خدمات بین المللی شهری </w:t>
      </w:r>
      <w:r>
        <w:rPr>
          <w:rStyle w:val="FootnoteAnchor"/>
          <w:rtl w:val="true"/>
        </w:rPr>
        <w:footnoteReference w:id="470"/>
      </w:r>
      <w:r>
        <w:rPr>
          <w:rFonts w:ascii="IRNazanin" w:hAnsi="IRNazanin" w:eastAsia="IRNazanin"/>
          <w:color w:val="111111"/>
          <w:sz w:val="28"/>
          <w:sz w:val="28"/>
          <w:szCs w:val="28"/>
          <w:rtl w:val="true"/>
          <w:lang w:bidi="fa-IR"/>
        </w:rPr>
        <w:t>ریشه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ملی گرایی دوباره اوج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های غیر انتفاعی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جهان</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را نمایش دادند و ابزار هسته ای برای شبکه کردن افراد و ایده ها شدند که اساس برخی نظریه های جهانی شدن گردید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کاستلز و جامعه شبکه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کاستلز و جامعه شبکه ای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کاستلز ساختار اجتماعی شبکه ای شده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بین انقلاب در فناوری اطلاعات فرایند جهانی شدن و پیدایش شبکه به عنوان قالب اجتماعی حاکم بر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تصور کاستلز از جامعه جهانی زندگی فرهنگی، خط مشی سازی استانداردهای فنی و مبادله اقتصادی به طور فزاینده ای در ساختار شبکه، سازمان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کاستلز بیان می کند جامعه در درون این شبکه گرداگرد جریان ها بیان فرایندهای حاکم بر اقتصاد زندگی سیاسی و نمادین ما ساخته می شود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ها با فناوری؛ گره های اصلی جغرافیایی شبیه دانشگاه ها، شهرهای جهانی و مراکز یا دانشگاه های مالی؛ و گروه های اجتماعی متحرک بسط می یابند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شبکه ای کاستلز شامل شبکه ای باز است که می تواند به مدت نامحدودی گسترش یابد همان گونه که شبکه رشد می کند اهمیت تعلق به شبکه افزایش می یابد همزمان مجازات بیرون بودن از شبکه بزرگ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اطراف تولید دانش که کاستلز توصیف می کند به ویژه با توسعه کتابداری بین المللی مرتبط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کاستلز تأکید می کند که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دانشگاه ها و نظام پژوهشی عمومی جای می گیرد ثانیا این نظام جهانی است ثالثا به ارتباط مداوم به شکل انتشارات کنفرانس ها، نشریات، سمینارها، انجمن های آموزشی و نیز ارتباط اینترنتی بستگی دارد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جهانی بودن ،دانش کاستلز اذعان می دارد تولید آن به سمت اولویت های کشورهای پیشرفته گرایش </w:t>
      </w:r>
      <w:bookmarkStart w:id="372" w:name="pg9653_81819"/>
    </w:p>
    <w:p>
      <w:pPr>
        <w:pStyle w:val="BookText"/>
        <w:rPr/>
      </w:pPr>
      <w:bookmarkEnd w:id="372"/>
      <w:r>
        <w:rPr>
          <w:rFonts w:ascii="IRNazanin" w:hAnsi="IRNazanin" w:eastAsia="IRNazanin"/>
          <w:color w:val="111111"/>
          <w:sz w:val="28"/>
          <w:sz w:val="28"/>
          <w:szCs w:val="28"/>
          <w:rtl w:val="true"/>
          <w:lang w:bidi="fa-IR"/>
        </w:rPr>
        <w:t xml:space="preserve">می یابد و مسائلی همچون درمان مالاریا یا معالجه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Style w:val="FootnoteAnchor"/>
          <w:rtl w:val="true"/>
        </w:rPr>
        <w:footnoteReference w:id="473"/>
      </w:r>
      <w:r>
        <w:rPr>
          <w:rFonts w:ascii="IRNazanin" w:hAnsi="IRNazanin" w:eastAsia="IRNazanin"/>
          <w:color w:val="111111"/>
          <w:sz w:val="28"/>
          <w:sz w:val="28"/>
          <w:szCs w:val="28"/>
          <w:rtl w:val="true"/>
          <w:lang w:bidi="fa-IR"/>
        </w:rPr>
        <w:t>بیشتر اوقات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خاطرنشان می کند جریان قدرت در این شبکه تولید دانش نامتقارن است هر چند به دلیل مشترک ارتباطات و گسترش عضویت شبکه ای قدرت هنوز در هر دو جهت جریان دارد به عبارت دیگر جریان ایده ها، قالب های فرهنگی، و فناوری هرگز در یک جهت نیست؛ این مذاکرات بر تمامی اعضای شبکه تا درجات متغیر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این مبادله است که آمیختگی فرهنگی فراملیتی آپادورای </w:t>
      </w:r>
      <w:r>
        <w:rPr>
          <w:rStyle w:val="FootnoteAnchor"/>
          <w:rtl w:val="true"/>
        </w:rPr>
        <w:footnoteReference w:id="474"/>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Heading3"/>
        <w:numPr>
          <w:ilvl w:val="2"/>
          <w:numId w:val="1"/>
        </w:numPr>
        <w:rPr/>
      </w:pPr>
      <w:bookmarkStart w:id="373" w:name="__RefHeading___Toc7766526_2870459653"/>
      <w:bookmarkStart w:id="374" w:name="_Toc138"/>
      <w:bookmarkEnd w:id="373"/>
      <w:r>
        <w:rPr>
          <w:rtl w:val="true"/>
        </w:rPr>
        <w:t>آپادورای و اقتصاد فرهنگی</w:t>
      </w:r>
      <w:bookmarkEnd w:id="374"/>
    </w:p>
    <w:p>
      <w:pPr>
        <w:pStyle w:val="BookText"/>
        <w:rPr/>
      </w:pPr>
      <w:r>
        <w:rPr>
          <w:rFonts w:ascii="IRNazanin" w:hAnsi="IRNazanin" w:eastAsia="IRNazanin"/>
          <w:color w:val="111111"/>
          <w:sz w:val="28"/>
          <w:sz w:val="28"/>
          <w:szCs w:val="28"/>
          <w:rtl w:val="true"/>
          <w:lang w:bidi="fa-IR"/>
        </w:rPr>
        <w:t xml:space="preserve">آرجون آپادورای نیز در مدرنیته مشروح </w:t>
      </w:r>
      <w:r>
        <w:rPr>
          <w:rStyle w:val="FootnoteAnchor"/>
          <w:rtl w:val="true"/>
        </w:rPr>
        <w:footnoteReference w:id="475"/>
      </w:r>
      <w:r>
        <w:rPr>
          <w:rFonts w:ascii="IRNazanin" w:hAnsi="IRNazanin" w:eastAsia="IRNazanin"/>
          <w:color w:val="111111"/>
          <w:sz w:val="28"/>
          <w:sz w:val="28"/>
          <w:szCs w:val="28"/>
          <w:rtl w:val="true"/>
          <w:lang w:bidi="fa-IR"/>
        </w:rPr>
        <w:t xml:space="preserve">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تماس بودن با شبکه وسیع تر و جریان قدرت به علت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آپادورای 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شدن</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یا همگن شدن فرهنگی قالب های متنوع هدایت می شود علیه مفهوم جهانی شدن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عوض استدلال می کند که این قدرت های همگن سازی جهانی شدن مجذوب اقتصادهای سیاسی محلی و فرهنگی می شوند فقط برای این که چشم اندازهای غیر منتظره جدید ایجاد کنند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آپادورای ساختارهای جریان های جهانی ای را توصیف می کند که فناوری در حال تغییر سریع جابجایی مردم، تجارت مترقی، توانایی تولید و انتشار اطلاعات قومی، و حرکت ایده ها را شامل می شود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های جهانی شدن برای وی فرایندی بی نظیر و همگن ساز محسوب نمی شود بلکه به عنوان فرصت هایی برای تنوع ایده ها ،مردم و فناوری ها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آپادورای اصرار می ورزد که همگن شدن ضعیف می شود و حتی دولت در کنترل تأثیرات جریان آزاد مردم ماشین آلات پول، تصاویر، و ایده ها ناتوان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آپادورای به وضوح سرچشمه های جهانی شدن را پویاتر و پیچیده تر از تحلیل مورد تأکید نظریه های نفوذ اقتصادی و فرهنگی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وی به جهانی شدن نیز زمان تحلیل توسعه مبادله بین المللی فرهنگ ها و ایده ها جهت توسعه قالب های جدید فرهنگی و نمایندگی فرهنگ های بومی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آپادورای هم زمان، آزمایش اجتماعی ای را تصدیق می کند که ما زمان تسهیم ایده ها و تضمین دیگر فرهنگ ها برای ایجاد مناظر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گرفتار هستیم</w:t>
      </w:r>
      <w:r>
        <w:rPr>
          <w:rFonts w:eastAsia="IRNazanin" w:cs="IRNazanin"/>
          <w:color w:val="111111"/>
          <w:sz w:val="28"/>
          <w:szCs w:val="28"/>
          <w:rtl w:val="true"/>
          <w:lang w:bidi="fa-IR"/>
        </w:rPr>
        <w:t xml:space="preserve">. </w:t>
      </w:r>
      <w:bookmarkStart w:id="375" w:name="pg9653_81820"/>
    </w:p>
    <w:p>
      <w:pPr>
        <w:pStyle w:val="Heading3"/>
        <w:numPr>
          <w:ilvl w:val="2"/>
          <w:numId w:val="1"/>
        </w:numPr>
        <w:rPr/>
      </w:pPr>
      <w:bookmarkStart w:id="376" w:name="__RefHeading___Toc7766528_2870459653"/>
      <w:bookmarkStart w:id="377" w:name="_Toc139"/>
      <w:bookmarkEnd w:id="375"/>
      <w:bookmarkEnd w:id="376"/>
      <w:r>
        <w:rPr>
          <w:rtl w:val="true"/>
        </w:rPr>
        <w:t>دوره بین دو جنگ جهانی و ظهور حرفه جهانی</w:t>
      </w:r>
      <w:bookmarkEnd w:id="377"/>
    </w:p>
    <w:p>
      <w:pPr>
        <w:pStyle w:val="BookText"/>
        <w:rPr/>
      </w:pPr>
      <w:r>
        <w:rPr>
          <w:rFonts w:ascii="IRNazanin" w:hAnsi="IRNazanin" w:eastAsia="IRNazanin"/>
          <w:color w:val="111111"/>
          <w:sz w:val="28"/>
          <w:sz w:val="28"/>
          <w:szCs w:val="28"/>
          <w:rtl w:val="true"/>
          <w:lang w:bidi="fa-IR"/>
        </w:rPr>
        <w:t xml:space="preserve">از آغاز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ظهور مراکز کتابداری بین المللی با تأسیس سازمان هایی همچون قصر جهانی </w:t>
      </w:r>
      <w:r>
        <w:rPr>
          <w:rStyle w:val="FootnoteAnchor"/>
          <w:rtl w:val="true"/>
        </w:rPr>
        <w:footnoteReference w:id="477"/>
      </w:r>
      <w:r>
        <w:rPr>
          <w:rFonts w:ascii="IRNazanin" w:hAnsi="IRNazanin" w:eastAsia="IRNazanin"/>
          <w:color w:val="111111"/>
          <w:sz w:val="28"/>
          <w:sz w:val="28"/>
          <w:szCs w:val="28"/>
          <w:rtl w:val="true"/>
          <w:lang w:bidi="fa-IR"/>
        </w:rPr>
        <w:t xml:space="preserve">فدراسیون بین المللی انجمن های کتابداری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ایفلا</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 کمیته جامعه ملل در همکاری فکری </w:t>
      </w:r>
      <w:r>
        <w:rPr>
          <w:rStyle w:val="FootnoteAnchor"/>
          <w:rtl w:val="true"/>
        </w:rPr>
        <w:footnoteReference w:id="479"/>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ها مرکز سازمانی کتابداری بین المللی را برقرار کردند که تلاش هایی جهت مساعدت توسعه بین المللی علوم کتابداری و اطلاع رسانی از آن نشأت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ها بیشتر با تمرکز بر حرفه ای ترسیم می شوند که با توسعه بین المللی کتابداری و اطلاع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 هر چیزی از نمایندگان استعمار اروپا و آمریکاست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بیرون پاسخ می دهند تا به سادگی از ناآرامی اجتماعی استفاده کنند و رشته کتابداری را گسترش دهند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فعالیت های توسعه بین المللی کمتر گرداگرد نیروهای اصلی همچون دولت ملی و بیشتر اطراف عوامل غیر دولتی و عقاید جهانی نگری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این تاریخ در محتوای مفاهیم جامعه شبکه ای توسعه اقتصاد فرهنگی جهانی و حرکت به ساختارهای قدرت غیر متمرکز، آشکار می شود که سازمان ها و فعالیت ها در مرکز برنامه های توسعه بین المللی کتابداری و اطلاع رسانی شرکت کنندگانی فعال هستند در شکل دهی و ایجاد آن چه می تواند مورد توجه حرفه جهانی کتابداری واقع شود و رویداد مهم عصر کنونی جهانی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مساعدت توسعه بین المللی به یاری علوم کتابداری و اطلاع رسانی </w:t>
      </w:r>
      <w:r>
        <w:rPr>
          <w:rStyle w:val="FootnoteAnchor"/>
          <w:rtl w:val="true"/>
        </w:rPr>
        <w:footnoteReference w:id="480"/>
      </w:r>
      <w:r>
        <w:rPr>
          <w:rFonts w:ascii="IRNazanin" w:hAnsi="IRNazanin" w:eastAsia="IRNazanin"/>
          <w:color w:val="111111"/>
          <w:sz w:val="28"/>
          <w:sz w:val="28"/>
          <w:szCs w:val="28"/>
          <w:rtl w:val="true"/>
          <w:lang w:bidi="fa-IR"/>
        </w:rPr>
        <w:t xml:space="preserve">توان ادامه این را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تحلیلگر تغییر پایدار اجتماعی که سریع ترین قطعه در حال رشد جهان توسعه بین المللی را نمایش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قالب های جدید توسعه را فراهم آورد و تأثیرش را بر تکثیر جامعه سازمان های غیر انتفاعی گسترش دهد</w:t>
      </w:r>
      <w:r>
        <w:rPr>
          <w:rFonts w:eastAsia="IRNazanin" w:cs="IRNazanin"/>
          <w:color w:val="111111"/>
          <w:sz w:val="28"/>
          <w:szCs w:val="28"/>
          <w:rtl w:val="true"/>
          <w:lang w:bidi="fa-IR"/>
        </w:rPr>
        <w:t>.</w:t>
      </w:r>
    </w:p>
    <w:p>
      <w:pPr>
        <w:pStyle w:val="Heading3"/>
        <w:numPr>
          <w:ilvl w:val="2"/>
          <w:numId w:val="1"/>
        </w:numPr>
        <w:rPr/>
      </w:pPr>
      <w:bookmarkStart w:id="378" w:name="__RefHeading___Toc7766530_2870459653"/>
      <w:bookmarkStart w:id="379" w:name="_Toc140"/>
      <w:bookmarkEnd w:id="378"/>
      <w:r>
        <w:rPr>
          <w:rtl w:val="true"/>
        </w:rPr>
        <w:t>مدرسه کتابداری پاریس</w:t>
      </w:r>
      <w:bookmarkEnd w:id="3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توسعه کتابداری به عنوان یک حرفه بین المللی و جهانی مدرسه کتابداری پاریس </w:t>
      </w:r>
      <w:r>
        <w:rPr>
          <w:rStyle w:val="FootnoteAnchor"/>
          <w:rtl w:val="true"/>
        </w:rPr>
        <w:footnoteReference w:id="481"/>
      </w:r>
      <w:r>
        <w:rPr>
          <w:rFonts w:ascii="IRNazanin" w:hAnsi="IRNazanin" w:eastAsia="IRNazanin"/>
          <w:color w:val="111111"/>
          <w:sz w:val="28"/>
          <w:sz w:val="28"/>
          <w:szCs w:val="28"/>
          <w:rtl w:val="true"/>
          <w:lang w:bidi="fa-IR"/>
        </w:rPr>
        <w:t xml:space="preserve">است که سال های </w:t>
      </w:r>
      <w:r>
        <w:rPr>
          <w:rFonts w:eastAsia="IRNazanin" w:cs="IRNazanin"/>
          <w:color w:val="111111"/>
          <w:sz w:val="28"/>
          <w:szCs w:val="28"/>
          <w:lang w:bidi="fa-IR"/>
        </w:rPr>
        <w:t>1922</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جسی کارسون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آمریکایی که کمیته آمریکایی برنامه های متمرکز بر کتابداری فرانسه ویران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 دی اف</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توسعه دوره تابستان های بود که بتواند مردان و زنان فرانسوی را آموزش دهد تا کتابخانه ها </w:t>
      </w:r>
    </w:p>
    <w:p>
      <w:pPr>
        <w:pStyle w:val="BookText"/>
        <w:rPr/>
      </w:pPr>
      <w:r>
        <w:rPr>
          <w:rFonts w:ascii="IRNazanin" w:hAnsi="IRNazanin" w:eastAsia="IRNazanin"/>
          <w:color w:val="111111"/>
          <w:sz w:val="28"/>
          <w:sz w:val="28"/>
          <w:szCs w:val="28"/>
          <w:rtl w:val="true"/>
          <w:lang w:bidi="fa-IR"/>
        </w:rPr>
        <w:t>را زمانی که تحت سلطه بخش های فرانسوی قرار گرفتند اداره کنند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کارسون برای کمک در اداره این آموزش، به انجمن کتابداری آمریکا و کتابخانه آمریکایی در پاریس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کارسون پایان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حمایت انجمن کتابداری آمریکا را جلب کند تا هزینه های جنگ را برای تأسیس مدرسه کتابداری پاریس تخصیص دهد برنامه آموزش تابستانی با این هدف آغاز شد که تعداد محدودی زنان فرانسوی را مجهز به مهارت هایی کند که برای مدیریت کتابخانه های عمومی ساخته شده به شیوه آمریکایی توسط کمیته آمریکایی در فرانسه مورد نیاز بود؛ برنامه موفقیتی سریع به دنبال داشت در نخستین تابستان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کتابداری نوین</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اولیه برنامه کارسون و رهبران انجمن کتابداری آمریکا </w:t>
      </w:r>
      <w:r>
        <w:rPr>
          <w:rStyle w:val="FootnoteAnchor"/>
          <w:rtl w:val="true"/>
        </w:rPr>
        <w:footnoteReference w:id="485"/>
      </w:r>
      <w:r>
        <w:rPr>
          <w:rFonts w:ascii="IRNazanin" w:hAnsi="IRNazanin" w:eastAsia="IRNazanin"/>
          <w:color w:val="111111"/>
          <w:sz w:val="28"/>
          <w:sz w:val="28"/>
          <w:szCs w:val="28"/>
          <w:rtl w:val="true"/>
          <w:lang w:bidi="fa-IR"/>
        </w:rPr>
        <w:t>که کوشیده بودند از جنگ در فرانسه حمایت کنند، با پیگیری یک مدرسه کتابداری آمریکایی دائمی در پاریس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ایجاد چنین مدرسه ای را به عنوان فرصتی برای ارتقای ایده آل های آمریکایی در کتابداری که نگرش فنی حرفه ای عالی را نسبت به کتابخانه های عمومی فراهم می آورد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کمیته اجرایی انجمن طرح را تصویب کرد، در محتوای پیشرفت های وسیع تر کتابخانه در منطقه و نیاز به معرفی کتابداری آمریکایی جای گرفت چارلز میلام، </w:t>
      </w:r>
      <w:r>
        <w:rPr>
          <w:rStyle w:val="FootnoteAnchor"/>
          <w:rtl w:val="true"/>
        </w:rPr>
        <w:footnoteReference w:id="486"/>
      </w:r>
      <w:r>
        <w:rPr>
          <w:rFonts w:ascii="IRNazanin" w:hAnsi="IRNazanin" w:eastAsia="IRNazanin"/>
          <w:color w:val="111111"/>
          <w:sz w:val="28"/>
          <w:sz w:val="28"/>
          <w:szCs w:val="28"/>
          <w:rtl w:val="true"/>
          <w:lang w:bidi="fa-IR"/>
        </w:rPr>
        <w:t xml:space="preserve">رئیس انجمن کتابداری آمریکا اشاره کرد که مدرسه مصادف گردید با تأسیس کتابخانه آمریکایی در پاریس شش کتابخانه کمیته ای سی دی اف کتابخانه تازه تأسیس جامعه ملل در ژنو </w:t>
      </w:r>
      <w:r>
        <w:rPr>
          <w:rStyle w:val="FootnoteAnchor"/>
          <w:rtl w:val="true"/>
        </w:rPr>
        <w:footnoteReference w:id="487"/>
      </w:r>
      <w:r>
        <w:rPr>
          <w:rFonts w:ascii="IRNazanin" w:hAnsi="IRNazanin" w:eastAsia="IRNazanin"/>
          <w:color w:val="111111"/>
          <w:sz w:val="28"/>
          <w:sz w:val="28"/>
          <w:szCs w:val="28"/>
          <w:rtl w:val="true"/>
          <w:lang w:bidi="fa-IR"/>
        </w:rPr>
        <w:t xml:space="preserve">و دیگر کتابخانه های بلژیک و فرانسه که با حمایت بنیاد کارنگی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آمریکایی</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ساخته می شد همچنین وی خاطر نشان کرد انجمن کتابداری آمریکا که ذاتاً علاقه مند است آموزش کتابداری ای بسازد که آمریکا را بشناساند باید بهترین اقدامات کتابداری آمریکا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میلام ثابت می کند رابطه پیشنهادی با مدرسه کتابداری به ارتباطات شخصی ای منجر می شود که چه بسا به کتابداران آمریکایی کمک کند تا از تجربیات دیگر همکاران اروپایی شان سود ببرند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کتابداری آمریکا از این طریق انگیزه روشنی پدید آورد که انجمن را زمان توسعه مفهوم یادگیری متقابل و مبادله کار با همکاران خارج، در مرکز ارتقای الگوی آمریکایی کتابداری جهان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در هسته مدرسه باقی ماند تا زمانی که خود را به عنوان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فن کتابداری در اروپا</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بسط داد و بیان کرد و همکاری بین المللی در حرفه را با هدف ایجاد صلح و آگاهی توسعه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امر، توسعه را در دامنه جهانی نگری فرهنگی جای می دهد که ایریه </w:t>
      </w:r>
      <w:r>
        <w:rPr>
          <w:rStyle w:val="FootnoteAnchor"/>
          <w:rtl w:val="true"/>
        </w:rPr>
        <w:footnoteReference w:id="490"/>
      </w:r>
      <w:r>
        <w:rPr>
          <w:rFonts w:ascii="IRNazanin" w:hAnsi="IRNazanin" w:eastAsia="IRNazanin"/>
          <w:color w:val="111111"/>
          <w:sz w:val="28"/>
          <w:sz w:val="28"/>
          <w:szCs w:val="28"/>
          <w:rtl w:val="true"/>
          <w:lang w:bidi="fa-IR"/>
        </w:rPr>
        <w:t>وصف کرده و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اظهار می دارد که شبکه جهانی در حال رشد کتابداران توسعه می یافت و نیاز دسترسی به فواید عضویت را به وجود می آورد و انجمن کتابداری آمریکا فراموش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خرده گیران فرانسوی برچسب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شارتیست غرب دور</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را به مدرسه کتابداری پاریس زدند اما مدرسه گروهی از همکاران فرانسوی را گرد هم آورد که برای پرکردن نیاز کارکنان آموزش دیده کتابداری در کتابخانه های سراسر کشور اشتیاق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کتابدارانی همچون اوژن مورل </w:t>
      </w:r>
      <w:r>
        <w:rPr>
          <w:rStyle w:val="FootnoteAnchor"/>
          <w:rtl w:val="true"/>
        </w:rPr>
        <w:footnoteReference w:id="492"/>
      </w:r>
      <w:r>
        <w:rPr>
          <w:rFonts w:ascii="IRNazanin" w:hAnsi="IRNazanin" w:eastAsia="IRNazanin"/>
          <w:color w:val="111111"/>
          <w:sz w:val="28"/>
          <w:sz w:val="28"/>
          <w:szCs w:val="28"/>
          <w:rtl w:val="true"/>
          <w:lang w:bidi="fa-IR"/>
        </w:rPr>
        <w:t xml:space="preserve">از کتابخانه ملی فرانسه </w:t>
      </w:r>
      <w:r>
        <w:rPr>
          <w:rStyle w:val="FootnoteAnchor"/>
          <w:rtl w:val="true"/>
        </w:rPr>
        <w:footnoteReference w:id="493"/>
      </w:r>
      <w:r>
        <w:rPr>
          <w:rFonts w:ascii="IRNazanin" w:hAnsi="IRNazanin" w:eastAsia="IRNazanin"/>
          <w:color w:val="111111"/>
          <w:sz w:val="28"/>
          <w:sz w:val="28"/>
          <w:szCs w:val="28"/>
          <w:rtl w:val="true"/>
          <w:lang w:bidi="fa-IR"/>
        </w:rPr>
        <w:t xml:space="preserve">و رئیس سابق انجمن کتابداران فرانسه </w:t>
      </w:r>
      <w:r>
        <w:rPr>
          <w:rStyle w:val="FootnoteAnchor"/>
          <w:rtl w:val="true"/>
        </w:rPr>
        <w:footnoteReference w:id="494"/>
      </w:r>
      <w:r>
        <w:rPr>
          <w:rFonts w:ascii="IRNazanin" w:hAnsi="IRNazanin" w:eastAsia="IRNazanin"/>
          <w:color w:val="111111"/>
          <w:sz w:val="28"/>
          <w:sz w:val="28"/>
          <w:szCs w:val="28"/>
          <w:rtl w:val="true"/>
          <w:lang w:bidi="fa-IR"/>
        </w:rPr>
        <w:t xml:space="preserve">و ارنست کوایِک </w:t>
      </w:r>
      <w:r>
        <w:rPr>
          <w:rStyle w:val="FootnoteAnchor"/>
          <w:rtl w:val="true"/>
        </w:rPr>
        <w:footnoteReference w:id="495"/>
      </w:r>
      <w:r>
        <w:rPr>
          <w:rFonts w:ascii="IRNazanin" w:hAnsi="IRNazanin" w:eastAsia="IRNazanin"/>
          <w:color w:val="111111"/>
          <w:sz w:val="28"/>
          <w:sz w:val="28"/>
          <w:szCs w:val="28"/>
          <w:rtl w:val="true"/>
          <w:lang w:bidi="fa-IR"/>
        </w:rPr>
        <w:t xml:space="preserve">رئیس و بازرس کتابخانه های شهر پاریس و استانداری شهر سن </w:t>
      </w:r>
      <w:r>
        <w:rPr>
          <w:rStyle w:val="FootnoteAnchor"/>
          <w:rtl w:val="true"/>
        </w:rPr>
        <w:footnoteReference w:id="496"/>
      </w:r>
      <w:r>
        <w:rPr>
          <w:rFonts w:ascii="IRNazanin" w:hAnsi="IRNazanin" w:eastAsia="IRNazanin"/>
          <w:color w:val="111111"/>
          <w:sz w:val="28"/>
          <w:sz w:val="28"/>
          <w:szCs w:val="28"/>
          <w:rtl w:val="true"/>
          <w:lang w:bidi="fa-IR"/>
        </w:rPr>
        <w:t xml:space="preserve">حمایت اصلی و مشاوره را در مورد تأسیس موفقیت آمیز مدرسه فراهم کردند به عنوان مثال مورل </w:t>
      </w:r>
      <w:r>
        <w:rPr>
          <w:rStyle w:val="FootnoteAnchor"/>
          <w:rtl w:val="true"/>
        </w:rPr>
        <w:footnoteReference w:id="497"/>
      </w:r>
      <w:r>
        <w:rPr>
          <w:rFonts w:ascii="IRNazanin" w:hAnsi="IRNazanin" w:eastAsia="IRNazanin"/>
          <w:color w:val="111111"/>
          <w:sz w:val="28"/>
          <w:sz w:val="28"/>
          <w:szCs w:val="28"/>
          <w:rtl w:val="true"/>
          <w:lang w:bidi="fa-IR"/>
        </w:rPr>
        <w:t xml:space="preserve">به پارسونز، </w:t>
      </w:r>
      <w:r>
        <w:rPr>
          <w:rStyle w:val="FootnoteAnchor"/>
          <w:rtl w:val="true"/>
        </w:rPr>
        <w:footnoteReference w:id="498"/>
      </w:r>
      <w:r>
        <w:rPr>
          <w:rFonts w:ascii="IRNazanin" w:hAnsi="IRNazanin" w:eastAsia="IRNazanin"/>
          <w:color w:val="111111"/>
          <w:sz w:val="28"/>
          <w:sz w:val="28"/>
          <w:szCs w:val="28"/>
          <w:rtl w:val="true"/>
          <w:lang w:bidi="fa-IR"/>
        </w:rPr>
        <w:t xml:space="preserve">مدیر محلی مدرسه، هشدار مخالفان مدرسه شارتر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مدرسه حق انحصاری در جای دادن فارغ التحصیلانش در پست های کتابداری دولتی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داد که اگر مدرسه کتابداری پاریس، برنامه درسی اش را بر آموزش فنی برای پست های زیر دست در کتابخانه ها متمرکز کند، مخالفت از بین خواهد رفت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خواسته های دوجانبه انجمن کتابداری آمریکا برای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ارتقای ایده آل کتابخانه عمومی آمریکایی کمک می داد و مبادله میان فرهنگی را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فرانسوی دو نگاه به مدرسه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کوایک مدرسه را در وهله اول برای دانشجویان فرانسوی می 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گابریل هانریو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مدیر کتابخانه فورنی </w:t>
      </w:r>
      <w:r>
        <w:rPr>
          <w:rStyle w:val="FootnoteAnchor"/>
          <w:rtl w:val="true"/>
        </w:rPr>
        <w:footnoteReference w:id="500"/>
      </w:r>
      <w:r>
        <w:rPr>
          <w:rFonts w:ascii="IRNazanin" w:hAnsi="IRNazanin" w:eastAsia="IRNazanin"/>
          <w:color w:val="111111"/>
          <w:sz w:val="28"/>
          <w:sz w:val="28"/>
          <w:szCs w:val="28"/>
          <w:rtl w:val="true"/>
          <w:lang w:bidi="fa-IR"/>
        </w:rPr>
        <w:t xml:space="preserve">بود و بعد به اعضای هیأت علمی مدرسه کتابداری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وسیع تری برای مدرسه در نظر داشت؛ او به دنبال فرصتی بود تا مدرسه بین المللی شود و در پیوند با علاقه اش به مؤسسه بین المللی کتابشناختی پل اوتله در بروکسل </w:t>
      </w:r>
      <w:r>
        <w:rPr>
          <w:rStyle w:val="FootnoteAnchor"/>
          <w:rtl w:val="true"/>
        </w:rPr>
        <w:footnoteReference w:id="501"/>
      </w:r>
      <w:r>
        <w:rPr>
          <w:rFonts w:ascii="IRNazanin" w:hAnsi="IRNazanin" w:eastAsia="IRNazanin"/>
          <w:color w:val="111111"/>
          <w:sz w:val="28"/>
          <w:sz w:val="28"/>
          <w:szCs w:val="28"/>
          <w:rtl w:val="true"/>
          <w:lang w:bidi="fa-IR"/>
        </w:rPr>
        <w:t>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پارسونز، </w:t>
      </w:r>
      <w:r>
        <w:rPr>
          <w:rStyle w:val="FootnoteAnchor"/>
          <w:rtl w:val="true"/>
        </w:rPr>
        <w:footnoteReference w:id="502"/>
      </w:r>
      <w:r>
        <w:rPr>
          <w:rFonts w:ascii="IRNazanin" w:hAnsi="IRNazanin" w:eastAsia="IRNazanin"/>
          <w:color w:val="111111"/>
          <w:sz w:val="28"/>
          <w:sz w:val="28"/>
          <w:szCs w:val="28"/>
          <w:rtl w:val="true"/>
          <w:lang w:bidi="fa-IR"/>
        </w:rPr>
        <w:t xml:space="preserve">مدیر محلی مدرسه خاطر نشان کرد که هرگز با کسی از هر ملیتی که بینشی بیش از آقای هانریو نشان دهد سخن نگفته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بینشی نسبت به کارش در کتابخانه خودش و عقاید </w:t>
      </w:r>
    </w:p>
    <w:p>
      <w:pPr>
        <w:pStyle w:val="BookText"/>
        <w:rPr/>
      </w:pPr>
      <w:r>
        <w:rPr>
          <w:rFonts w:ascii="IRNazanin" w:hAnsi="IRNazanin" w:eastAsia="IRNazanin"/>
          <w:color w:val="111111"/>
          <w:sz w:val="28"/>
          <w:sz w:val="28"/>
          <w:szCs w:val="28"/>
          <w:rtl w:val="true"/>
          <w:lang w:bidi="fa-IR"/>
        </w:rPr>
        <w:t>بین المللی اش در مورد کتابداری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هانریو به زودی به عضویت هیأت علمی مدرسه کتابداری پاریس درآمد و رئیس انجمن کتابداران فرانسه شد، در حالی که از این پست ها استفاده می کرد تا اهدافش را برای کتابداری بین المللی پیش ببرد</w:t>
      </w:r>
    </w:p>
    <w:p>
      <w:pPr>
        <w:pStyle w:val="BookText"/>
        <w:rPr/>
      </w:pPr>
      <w:r>
        <w:rPr>
          <w:rFonts w:ascii="IRNazanin" w:hAnsi="IRNazanin" w:eastAsia="IRNazanin"/>
          <w:color w:val="111111"/>
          <w:sz w:val="28"/>
          <w:sz w:val="28"/>
          <w:szCs w:val="28"/>
          <w:rtl w:val="true"/>
          <w:lang w:bidi="fa-IR"/>
        </w:rPr>
        <w:t xml:space="preserve">باوجود این، پولن </w:t>
      </w:r>
      <w:r>
        <w:rPr>
          <w:rStyle w:val="FootnoteAnchor"/>
          <w:rtl w:val="true"/>
        </w:rPr>
        <w:footnoteReference w:id="503"/>
      </w:r>
      <w:r>
        <w:rPr>
          <w:rFonts w:ascii="IRNazanin" w:hAnsi="IRNazanin" w:eastAsia="IRNazanin"/>
          <w:color w:val="111111"/>
          <w:sz w:val="28"/>
          <w:sz w:val="28"/>
          <w:szCs w:val="28"/>
          <w:rtl w:val="true"/>
          <w:lang w:bidi="fa-IR"/>
        </w:rPr>
        <w:t>اشاره می کند مدرسه ابتدا به وضوح با روش های کتابداری آمریکا که عالی ارائه شده بود اداره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زمانی که مدرسه کتابداری پاریس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 مدت زیادی نبود که طرح آمریکایی ویرایش خود را از حرفه کتابداری به بیرون ،فرستاد و پیوندی دوجانبه برای هر دو گروه نیازهای آمریکایی و فرانسوی شد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کوایک مدیر مشاور ،بود برای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ممتاز فرانسوی سخنرانی می کرد و درس هایی را در موضوعاتی از کتابداری تا کار مرجع هدایت می کرد به علاوه تغییرات بیشتری در برنامه درسی انجام شد تا در خدمت نیازهای فرانسوی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از این شکل پیوند دوجانبه توسعه یافت شهرت طبیعت بین المللی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بود که تمام وقت بر بحث اهمیت مدرسه و مشارکت ها در حرفه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کتابداری آمریکا مدیر مدرسه را تعیین می کرد، بوگل </w:t>
      </w:r>
      <w:r>
        <w:rPr>
          <w:rStyle w:val="FootnoteAnchor"/>
          <w:rtl w:val="true"/>
        </w:rPr>
        <w:footnoteReference w:id="504"/>
      </w:r>
      <w:r>
        <w:rPr>
          <w:rFonts w:ascii="IRNazanin" w:hAnsi="IRNazanin" w:eastAsia="IRNazanin"/>
          <w:color w:val="111111"/>
          <w:sz w:val="28"/>
          <w:sz w:val="28"/>
          <w:szCs w:val="28"/>
          <w:rtl w:val="true"/>
          <w:lang w:bidi="fa-IR"/>
        </w:rPr>
        <w:t>مدعی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ای وجود ندارد جز آنکه مدرسه در حال حاضر عامل هدایتگر توسعه بین المللی کتابداری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بین المللی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معرفی شده در میان دانش آموختگان تا زمان تعطیلی مدرسه سالانه افزایش می یافت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دانشجویان بین المللی و طبیعت بین المللی مدرسه اعتبار بالایی داشت تا آن جا که هیأت علمی فرانسوی، همچون هانریو درخواست کردند محدودیت سهمیه اصلی تعداد دانشجویان غیر فرانسوی و غیر آمریکایی برداشته شود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توسعه و از طریق همکاری ضروری با کتابداران فرانسوی که موفقیت را برای مدرسه به دنبال داشت، نیروهای همگون کتابداری آمریکایی به وطن بازگردانده شدند و مدرسه به شیوه توصیفی آپادورای تغییر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مدرسه خدمت به عنوان یک مرکز اطلاعات، فنون کتابداری را با دریافت درخواست هایی برای سازماندهی کتابخانه ها آغاز کرد به خصوص کتابخانه های تخصصی که سراسر اروپا در خدمت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آن چه از پاریس و مدرسه شکل ،گرفت در زبان کاستلز به عنوان مرکزی در شبکه در حال رشد کتابداری بین المللی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کاستلز نظریه پردازی کرد همزمان با گسترش شبکه، درخواست ها و منافع عضویت نیز فزونی یافت زمانی که این اتفاق افتاد جنبه های بین المللی برنامه در ارتباطات و ارتقای ،برنامه مورد تأکید قرار گرفت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اینترناسیولیسمِ در حال رشد به شکل های چندگانه درآمد و با گذشت زمان به جهت دهی </w:t>
      </w:r>
    </w:p>
    <w:p>
      <w:pPr>
        <w:pStyle w:val="BookText"/>
        <w:rPr/>
      </w:pPr>
      <w:r>
        <w:rPr>
          <w:rFonts w:ascii="IRNazanin" w:hAnsi="IRNazanin" w:eastAsia="IRNazanin"/>
          <w:color w:val="111111"/>
          <w:sz w:val="28"/>
          <w:sz w:val="28"/>
          <w:szCs w:val="28"/>
          <w:rtl w:val="true"/>
          <w:lang w:bidi="fa-IR"/>
        </w:rPr>
        <w:t xml:space="preserve">جهانی نگری فرهنگی شکل داد آقای وارن </w:t>
      </w:r>
      <w:r>
        <w:rPr>
          <w:rStyle w:val="FootnoteAnchor"/>
          <w:rtl w:val="true"/>
        </w:rPr>
        <w:footnoteReference w:id="505"/>
      </w:r>
      <w:r>
        <w:rPr>
          <w:rFonts w:ascii="IRNazanin" w:hAnsi="IRNazanin" w:eastAsia="IRNazanin"/>
          <w:color w:val="111111"/>
          <w:sz w:val="28"/>
          <w:sz w:val="28"/>
          <w:szCs w:val="28"/>
          <w:rtl w:val="true"/>
          <w:lang w:bidi="fa-IR"/>
        </w:rPr>
        <w:t xml:space="preserve">سخنرانی ای برای دانشجویان ارائه کرد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آموخته ای مدیر یک کتابخانه صنعتی در ائسلو بود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داشت به این که دستیابی به یک دیپلم حرف های اتفاق خوبی بوده است اما احساس همبستگی بین کتابداران در بخش های مختلف دنیا را نیز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من بلافاصله برای اورشلیم و دیگر همکلاسی ها در دیگر کشورها نامه می نویسم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پایان برنامه، جنبه های بین المللی مدرسه یا قدرت شبکه بر بحث های مرتبط با این که آیا و چطور برنامه پایدار بماند حاکم بود در بحث های انجمن کتابداری آمریکا، ارتقای فنون و ارزش های کتابداری آمریکا، دیگر در گفتگوها طنین انداز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فراهم آمده از مبادله بین المللی حاصل از مدرسه بر گفتگو حاکم بود همان گونه که رئیس دانشکده معلمی دانشگاه کلمبیا </w:t>
      </w:r>
      <w:r>
        <w:rPr>
          <w:rStyle w:val="FootnoteAnchor"/>
          <w:rtl w:val="true"/>
        </w:rPr>
        <w:footnoteReference w:id="507"/>
      </w:r>
      <w:r>
        <w:rPr>
          <w:rFonts w:ascii="IRNazanin" w:hAnsi="IRNazanin" w:eastAsia="IRNazanin"/>
          <w:color w:val="111111"/>
          <w:sz w:val="28"/>
          <w:sz w:val="28"/>
          <w:szCs w:val="28"/>
          <w:rtl w:val="true"/>
          <w:lang w:bidi="fa-IR"/>
        </w:rPr>
        <w:t>خاطر 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اصلی مدرسه کتابداری پاریس این است که به فرانسه یا نروژ یا هر کشور دیگری چیزی ارائه کند که ما آمریکایی ها می دانیم در طولانی مدت با شکست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فکر می کنم تا آن جا که به روابط بین المللی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درجه اول مؤسسه ای باشد که چیزی آمریکایی ارائه کند که اروپایی ها دارند، با شکست مطلق روبرو می شود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کنفرانس رئیس جلسه رئیس انجمن کتابداری آمریکا، کارل رودن، </w:t>
      </w:r>
      <w:r>
        <w:rPr>
          <w:rStyle w:val="FootnoteAnchor"/>
          <w:rtl w:val="true"/>
        </w:rPr>
        <w:footnoteReference w:id="508"/>
      </w:r>
      <w:r>
        <w:rPr>
          <w:rFonts w:ascii="IRNazanin" w:hAnsi="IRNazanin" w:eastAsia="IRNazanin"/>
          <w:color w:val="111111"/>
          <w:sz w:val="28"/>
          <w:sz w:val="28"/>
          <w:szCs w:val="28"/>
          <w:rtl w:val="true"/>
          <w:lang w:bidi="fa-IR"/>
        </w:rPr>
        <w:t>مفهوم موقعیت گروه را در مدرسه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جایگاه کنفرانس را به درستی بیان کنم ما به نقطه ای رسیده ایم که علاقه کمتری به عملکرد کنونی آن مدرسه کتابداری در حال حاضر و در گذشته داریم، بلکه به فعالیت ها و امکانات بدیهی اش به عنوان وسیله ای در سطح بین المللی یا برای ارتقای فرهنگ بین المللی و شاید روابط بین الملل علاقه مند هستیم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مدرسه کتابداری پاریس دیگر وجود ندارد امروز شبکه بین المللی پرورش یافته آن سراسر کتابداری بین المللی در حال جریان است جهانی نگری فرهنگی در حال رشد مدرسه، شبکه بین المللی در حال گسترش آن، و قالب جدید سازمانی که عودت داده شد به فرانسه، اساس تأسیس ایفلا بودند در گزارش های کنگره پراگ بینش هانریو بود که این گروه بین المللی را با تأسیس یک سازمان غیرانتفاعی بین المللی دائمی به حرکت درآورد تا مراقب روابط بین المللی در میان کتابخانه ها باشد و شرایط لازم را برای همکاری بین المللی متقابل کتابداران ایجاد کند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و هدایت بحث ها توسط هانریو بود که به تأسیس سازمان دائمی ایفلا منجر شد</w:t>
      </w:r>
      <w:r>
        <w:rPr>
          <w:rFonts w:eastAsia="IRNazanin" w:cs="IRNazanin"/>
          <w:color w:val="111111"/>
          <w:sz w:val="28"/>
          <w:szCs w:val="28"/>
          <w:rtl w:val="true"/>
          <w:lang w:bidi="fa-IR"/>
        </w:rPr>
        <w:t xml:space="preserve">. </w:t>
      </w:r>
      <w:bookmarkStart w:id="380" w:name="pg9653_81825"/>
    </w:p>
    <w:p>
      <w:pPr>
        <w:pStyle w:val="Heading3"/>
        <w:numPr>
          <w:ilvl w:val="2"/>
          <w:numId w:val="1"/>
        </w:numPr>
        <w:rPr/>
      </w:pPr>
      <w:bookmarkStart w:id="381" w:name="__RefHeading___Toc7766532_2870459653"/>
      <w:bookmarkStart w:id="382" w:name="_Toc141"/>
      <w:bookmarkEnd w:id="380"/>
      <w:bookmarkEnd w:id="381"/>
      <w:r>
        <w:rPr>
          <w:rtl w:val="true"/>
        </w:rPr>
        <w:t>نتیجه گیری</w:t>
      </w:r>
      <w:bookmarkEnd w:id="382"/>
    </w:p>
    <w:p>
      <w:pPr>
        <w:pStyle w:val="BookText"/>
        <w:rPr/>
      </w:pPr>
      <w:r>
        <w:rPr>
          <w:rFonts w:ascii="IRNazanin" w:hAnsi="IRNazanin" w:eastAsia="IRNazanin"/>
          <w:color w:val="111111"/>
          <w:sz w:val="28"/>
          <w:sz w:val="28"/>
          <w:szCs w:val="28"/>
          <w:rtl w:val="true"/>
          <w:lang w:bidi="fa-IR"/>
        </w:rPr>
        <w:t>با مشاهده داستان کوتاه مدرسه کتابداری پاریس، از دیدگاه نظریه های جهانی شدن که تأکید بر توسعه سازمان های غیر انتفاعی نقش شبکه ها و توسعه قالب های جدید فراملیتی فرهنگی دارند واضح است که ما می توانیم شناخت کتابداری بین المللی و توسعه کتابداری را از طریق کاربرد این نظریه ها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ای که می توانست به آسانی به عنوان امپریالیسم فرهنگی تبیین شود، به دنبال اهداف ملی گرایانه سازمان های حرفه ای یا خلاصه آموزش ،کتابداری و رای این نظریه ها پیچیده تر و متنوع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علاوه می توان دید این شبکه ها و طرح های بین المللی چگونه فضایی برای مبادله فرهنگی و تغییر نظام مند فراهم می کنند حرکاتی ورای ساختارهای توانمند و جریان های به ظاهر یک جانبه دانش که در سطح 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کاربرد نظریه های جهانی شدن توان این را دارد که در حال کمک به راهنمای توسعه طرح های نو روشنایی جدیدی بر تأثیرات سازمان های بین المللی قدیمی کتابداری بیفکند، در حالی که به توسعه طرح های جدید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اطمینان می یابد که جریان های بودجه، فناوری و فرهنگ، به شیوه ای اتفاق می افتد که به عودت های مثبت و توسعه قالب های جدید حرفه ای اجازه دهد که در بروندادهای موفق حرفه جهانی شده کتابداری مشارکت کنند</w:t>
      </w:r>
      <w:r>
        <w:rPr>
          <w:rFonts w:eastAsia="IRNazanin" w:cs="IRNazanin"/>
          <w:color w:val="111111"/>
          <w:sz w:val="28"/>
          <w:szCs w:val="28"/>
          <w:rtl w:val="true"/>
          <w:lang w:bidi="fa-IR"/>
        </w:rPr>
        <w:t>.</w:t>
      </w:r>
    </w:p>
    <w:p>
      <w:pPr>
        <w:pStyle w:val="Heading3"/>
        <w:numPr>
          <w:ilvl w:val="2"/>
          <w:numId w:val="1"/>
        </w:numPr>
        <w:rPr/>
      </w:pPr>
      <w:bookmarkStart w:id="383" w:name="__RefHeading___Toc7766534_2870459653"/>
      <w:bookmarkStart w:id="384" w:name="_Toc142"/>
      <w:bookmarkEnd w:id="383"/>
      <w:r>
        <w:rPr>
          <w:rtl w:val="true"/>
        </w:rPr>
        <w:t>یادداشت ها</w:t>
      </w:r>
      <w:bookmarkEnd w:id="384"/>
    </w:p>
    <w:p>
      <w:pPr>
        <w:pStyle w:val="BookText"/>
        <w:rPr/>
      </w:pPr>
      <w:r>
        <w:rPr>
          <w:rFonts w:eastAsia="Times New Roman" w:cs="Times New Roman" w:ascii="Times New Roman" w:hAnsi="Times New Roman"/>
          <w:color w:val="111111"/>
          <w:sz w:val="28"/>
          <w:szCs w:val="28"/>
          <w:lang w:val="en-US" w:bidi="en-US"/>
        </w:rPr>
        <w:t>Briet, Suzanne. What Is Documentation?: English Translation of the Classic French Text. Scarecrow Press,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Perrier, Paul. L'unité humaine: histoire de la civilisation et de l'esprit humain. F. Alcan, 1931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Carmovsky, Leon. International Aspects of Librarianship: University of Chi- cago Press, 1954,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Giddens, A. The Consequences of Modernity. Stanford, CA: Stanford U Press, 1990, p. 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Iriye, Akira. Cultural Internationalism and World Order. Baltimore, Md.: Johns Hopkins University Press, 1997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Castells, Manuel. The Rise of the Network Society. Malden MA.: Blackwell Publishers, 2009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Appadurai, Arjun. Modernity at Large: Cultural Dimensions of Globaliza- tion. Minneapolis, MN: University of Minnesota Press,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Hopkins, A. G., ed. Global History : Interactions Between the Universal and the Local: Palgrave Macmillan,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Iriye, Akira. Cultural Internationalism and World Order. Baltimore, Md._: Johns Hopkins University Press, 1997,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Iriye, Akira. Global Community: the Role of International Organizations in the Making of the Contemporary World. Berkeley: University of California Press, 2002, p. 19. Ibid. p. 25.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Castells, Manuel. The Rise of the Network Society. Malden Mass.: Blackwell Publishers, 2009, p. 548. Ibid. p. 442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Castells, Manuel. The Rise of the Network Society. Malden Mass.: Blackwell Publishers, 2009, p. 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Witt, Mary. Shifting Tides in Global Higher Education: Agency, Autonomy, and Governance in the Global Network. New York: P. Lang, 2011, p.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Appadurai, Arjun. Modernity at Large Cultural Dimensions of Globaliza- tion. Minneapolis, MN: University of Minnesota Press, 1996., p. 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37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 further description of the founding of these organizations and their impact see the work of W. Boyd Rayward: "The Evolution of an International Library and Bibliographic Community." The Journal of Library History (1974- 1987) 16, no. 2 (April 1, 1981): 449-462; and Rayward, W. Boyd (Translator and Adapter). "Mundaneum: Archives De La Connaissance", April 2010. http://hdl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handle.net/2142/15431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See Kesselman, Martin Alan, and Irwin Weintraub. Global Librarianship. CRC Press, 2004. Krzys, Richard, Gaston Litton, and Ann Hewitt. World Librar- ianship: a Comparative Study. M. Dekker, 1983. Wiegand, Wayne A. An Active Instrument for Propaganda: The American Public Library During World War I. Greenwood Press,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See Maack's American Bookwomen in Paris for a full description of the achievements of librarians such as Maack and Bogle during this period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Letter from Milam to ALA Executive Committee. ALA Archives, University of Illinois Library, Urbana,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Poulain, Martine. "Philanthropy, Benefaction, and Libraries in France, 1916- 1929." Libraries &amp; Culture 31, no. 2 (April 1, 1996): 447–465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Mary Parsons to Sarah Bogle, December 21, 1923, ALA Archives, University of Illinois Library, Urbana,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Parsons, Mary, May 8th 1924. ALA Archives, University of Illinois Library, Urbana,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Poulain, Martine. "Philanthropy, Benefaction, and Libraries in France, 1916- 1929." Libraries &amp; Culture 31, no. 2 (April 1, 1996): 447–465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Sarah Bogle to Carl Milam, October 17th, 1924. ALA Archives, Uni- versity of Illinois Library, Urbana,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Henriot, Gabriel. Des Livres Pour Tous. Paris Durassié, 1943. General Correspondence, 1927, Paris Library School Files. ALA Archives, University of Illinois Library, Urbana,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General Coorespondence, 1925, Paris Library School Files, ALA Archives, University of Illinois Library, Urbana,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Conference on the Paris Library School, December 3rd 1927. ALA Archives. University of Illinois Library. Urbana, IL, p. 23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Conference on the Paris Library School. ALA Archives, University of Illi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nois, Library. Urbana, IL, p. 48</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Malek, Rudollf. "On the Orgin of the International Organization of Librari- ans (IFLA): The Congress of Librarians in Prague 1926." Libri 20, no. 3 (1970): 222-224</w:t>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9653_81830"/>
      <w:bookmarkStart w:id="386" w:name="pg9653_81830"/>
      <w:bookmarkEnd w:id="386"/>
    </w:p>
    <w:p>
      <w:pPr>
        <w:pStyle w:val="Heading2"/>
        <w:numPr>
          <w:ilvl w:val="1"/>
          <w:numId w:val="1"/>
        </w:numPr>
        <w:rPr/>
      </w:pPr>
      <w:bookmarkStart w:id="387" w:name="pg9653_81830"/>
      <w:bookmarkStart w:id="388" w:name="__RefHeading___Toc7766536_2870459653"/>
      <w:bookmarkStart w:id="389" w:name="_Toc143"/>
      <w:bookmarkEnd w:id="387"/>
      <w:bookmarkEnd w:id="388"/>
      <w:r>
        <w:rPr>
          <w:rtl w:val="true"/>
        </w:rPr>
        <w:t>چکیده</w:t>
      </w:r>
      <w:bookmarkEnd w:id="389"/>
    </w:p>
    <w:p>
      <w:pPr>
        <w:pStyle w:val="BookText"/>
        <w:rPr/>
      </w:pPr>
      <w:r>
        <w:rPr>
          <w:rFonts w:ascii="IRNazanin" w:hAnsi="IRNazanin" w:eastAsia="IRNazanin"/>
          <w:color w:val="111111"/>
          <w:sz w:val="28"/>
          <w:sz w:val="28"/>
          <w:szCs w:val="28"/>
          <w:rtl w:val="true"/>
          <w:lang w:bidi="fa-IR"/>
        </w:rPr>
        <w:t xml:space="preserve">این مطالعه قابلیت و فواید کتاب خوان های الکترونیکی </w:t>
      </w:r>
      <w:r>
        <w:rPr>
          <w:rStyle w:val="FootnoteAnchor"/>
          <w:rtl w:val="true"/>
        </w:rPr>
        <w:footnoteReference w:id="509"/>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نسل دوم آی پد اپل، </w:t>
      </w:r>
      <w:r>
        <w:rPr>
          <w:rStyle w:val="FootnoteAnchor"/>
          <w:rtl w:val="true"/>
        </w:rPr>
        <w:footnoteReference w:id="510"/>
      </w:r>
      <w:r>
        <w:rPr>
          <w:rFonts w:ascii="IRNazanin" w:hAnsi="IRNazanin" w:eastAsia="IRNazanin"/>
          <w:color w:val="111111"/>
          <w:sz w:val="28"/>
          <w:sz w:val="28"/>
          <w:szCs w:val="28"/>
          <w:rtl w:val="true"/>
          <w:lang w:bidi="fa-IR"/>
        </w:rPr>
        <w:t xml:space="preserve">کیندل فایر آمازون </w:t>
      </w:r>
      <w:r>
        <w:rPr>
          <w:rStyle w:val="FootnoteAnchor"/>
          <w:rtl w:val="true"/>
        </w:rPr>
        <w:footnoteReference w:id="511"/>
      </w:r>
      <w:r>
        <w:rPr>
          <w:rFonts w:ascii="IRNazanin" w:hAnsi="IRNazanin" w:eastAsia="IRNazanin"/>
          <w:color w:val="111111"/>
          <w:sz w:val="28"/>
          <w:sz w:val="28"/>
          <w:szCs w:val="28"/>
          <w:rtl w:val="true"/>
          <w:lang w:bidi="fa-IR"/>
        </w:rPr>
        <w:t xml:space="preserve">و نوک تیبل </w:t>
      </w:r>
      <w:r>
        <w:rPr>
          <w:rStyle w:val="FootnoteAnchor"/>
          <w:rtl w:val="true"/>
        </w:rPr>
        <w:footnoteReference w:id="512"/>
      </w:r>
      <w:r>
        <w:rPr>
          <w:rFonts w:ascii="IRNazanin" w:hAnsi="IRNazanin" w:eastAsia="IRNazanin"/>
          <w:color w:val="111111"/>
          <w:sz w:val="28"/>
          <w:sz w:val="28"/>
          <w:szCs w:val="28"/>
          <w:rtl w:val="true"/>
          <w:lang w:bidi="fa-IR"/>
        </w:rPr>
        <w:t xml:space="preserve">نوبل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در دو مرحله انجام می شود تا به طور کامل، ویژگی های دسترس پذیری قابلیت دستگاه های کتاب خوان الکترونیکی و کاربرد آن ها را در ارتباط با افرادی که توانایی مطالعه آثار مکتوب را ندارند بررسی و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نخست به بررسی ویژگی های قابل دسترس و نحوه کار این ویژگی ها بر روی کتاب خوان های الکترونیکی می پردازد مرحله دوم همین ویژگی ها و عملکردها را در افرادی تحلیل می کند که اختلالات بینایی دارند و کسانی که از فناوری تطبیق داده شده استفاده می کنند تا با آثار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ها، مجلات و روزنامه ها تعامل پیدا کنند مرحله نخست به این نتیجه می رسد که هر کدام از این سه کتابخوان الکترونیکی یادشده محدودیت هایی دارند و این امکان وجود ندارد که به عنوان یک دسترسی جهانی در نظر گرفته شوند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خوان های الکترونیکی، کاربران با اختلالات بینایی </w:t>
      </w:r>
      <w:bookmarkStart w:id="390" w:name="pg9653_81831"/>
    </w:p>
    <w:p>
      <w:pPr>
        <w:pStyle w:val="Heading2"/>
        <w:numPr>
          <w:ilvl w:val="1"/>
          <w:numId w:val="1"/>
        </w:numPr>
        <w:rPr/>
      </w:pPr>
      <w:bookmarkStart w:id="391" w:name="__RefHeading___Toc7766538_2870459653"/>
      <w:bookmarkStart w:id="392" w:name="_Toc144"/>
      <w:bookmarkEnd w:id="390"/>
      <w:bookmarkEnd w:id="391"/>
      <w:r>
        <w:rPr>
          <w:rtl w:val="true"/>
        </w:rPr>
        <w:t>ارزیابی قابلیت و دسترس پذیری کتاب خوان های الکترونیکی برای افرادی که توانایی مطالعه آثار مکتوب را ندارند</w:t>
      </w:r>
      <w:r>
        <w:rPr>
          <w:rtl w:val="true"/>
        </w:rPr>
        <w:t xml:space="preserve">: </w:t>
      </w:r>
      <w:r>
        <w:rPr>
          <w:rtl w:val="true"/>
        </w:rPr>
        <w:t>مرحله نخست</w:t>
      </w:r>
      <w:bookmarkEnd w:id="392"/>
    </w:p>
    <w:p>
      <w:pPr>
        <w:pStyle w:val="Heading3"/>
        <w:numPr>
          <w:ilvl w:val="2"/>
          <w:numId w:val="1"/>
        </w:numPr>
        <w:rPr/>
      </w:pPr>
      <w:bookmarkStart w:id="393" w:name="__RefHeading___Toc7766540_2870459653"/>
      <w:bookmarkStart w:id="394" w:name="_Toc145"/>
      <w:bookmarkEnd w:id="393"/>
      <w:r>
        <w:rPr>
          <w:rtl w:val="true"/>
        </w:rPr>
        <w:t>اشاره</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قابلیت و دسترس پذیری کتاب خوان های الکترونیکی برای افرادی که توانایی مطالعه آثار مکتوب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نخست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نوشته استفانی ماتا </w:t>
      </w:r>
      <w:r>
        <w:rPr>
          <w:rStyle w:val="FootnoteAnchor"/>
          <w:rtl w:val="true"/>
        </w:rPr>
        <w:footnoteReference w:id="514"/>
      </w:r>
      <w:r>
        <w:rPr>
          <w:rFonts w:ascii="IRNazanin" w:hAnsi="IRNazanin" w:eastAsia="IRNazanin"/>
          <w:color w:val="111111"/>
          <w:sz w:val="28"/>
          <w:sz w:val="28"/>
          <w:szCs w:val="28"/>
          <w:rtl w:val="true"/>
          <w:lang w:bidi="fa-IR"/>
        </w:rPr>
        <w:t xml:space="preserve">لوری بونیچی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افسانه تیموری خانی </w:t>
      </w:r>
      <w:r>
        <w:rPr>
          <w:rStyle w:val="FootnoteAnchor"/>
          <w:rtl w:val="true"/>
        </w:rPr>
        <w:footnoteReference w:id="516"/>
      </w:r>
    </w:p>
    <w:p>
      <w:pPr>
        <w:pStyle w:val="Heading3"/>
        <w:numPr>
          <w:ilvl w:val="2"/>
          <w:numId w:val="1"/>
        </w:numPr>
        <w:rPr/>
      </w:pPr>
      <w:bookmarkStart w:id="395" w:name="__RefHeading___Toc7766542_2870459653"/>
      <w:bookmarkStart w:id="396" w:name="_Toc146"/>
      <w:bookmarkEnd w:id="395"/>
      <w:r>
        <w:rPr>
          <w:rtl w:val="true"/>
        </w:rPr>
        <w:t>مقدمه</w:t>
      </w:r>
      <w:bookmarkEnd w:id="39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ناشران آمریکا کتاب های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بوک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بالاترین میزان فروش در مقایسه با مقوله های تجاری همه کتاب ها رتبه بندی کرد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این رتبه بندی به علت جریان دسترسی به دستگاه های کتاب خوان های الکترونیکی مقرون به صرفه بود که شامل آی پد اپل، کیندل آمازون و نوک نوبل و بارنز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نسل کتاب خوان های الکترونیکی، شامل مشخصاتی از قبیل جوهر الکترونیکی صفحات چاپی مشابه همراه با تصاویر رنگی، طول عمر بیشتر باطری و بعضی از گزینه های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و کتاب های مصور که در شکل های الکترونیکی قابل خواندن در نسل دوم این دستگاه ها ایجاد شده اند طیف گسترده تری از منابع چاپی را در شکل رقومی قابل دسترس قرار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کتاب خوان الکترونیکی یاد شده که به شکل تبلت و شبیه به آی پد هستند در اواخر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مصرف کننده را با فروش و عرضه بالاتری بیش از حد انتظار روبه رو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بازار مصرف کننده را به فروش و عرضه بالاتری بیش از حد انتظار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با دستگاه های قبلی، تبلت ها مقرون به صرفه و قابل حمل هستند و برنامه های کاربردی متعددی را برای محاسبه و شبکه های اجتماعی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برنامه های کاربردی برای کتاب خوان های الکترونیکی تبلت ها به کاربر اجازه می دهند که فیلم تماشا کند به صدا گوش بدهد و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مرکز پژوهش های پیو </w:t>
      </w:r>
      <w:r>
        <w:rPr>
          <w:rStyle w:val="FootnoteAnchor"/>
          <w:rtl w:val="true"/>
        </w:rPr>
        <w:footnoteReference w:id="518"/>
      </w:r>
      <w:r>
        <w:rPr>
          <w:rFonts w:ascii="IRNazanin" w:hAnsi="IRNazanin" w:eastAsia="IRNazanin"/>
          <w:color w:val="111111"/>
          <w:sz w:val="28"/>
          <w:sz w:val="28"/>
          <w:szCs w:val="28"/>
          <w:rtl w:val="true"/>
          <w:lang w:bidi="fa-IR"/>
        </w:rPr>
        <w:t xml:space="preserve">گزارش می دهد که مالکان تبلت در عرض فصل تعطیلات زمستان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 برابر شده اند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بزرگسالان آمریکایی حداقل یک دستگاه کتاب خوان الکترونیکی دارند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کتابخانه های عمومی و دانشگاهی و سیستم آموزش ابتدایی و متوسطه در ایالات متحده از این فناوری جدید، از ابتدای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کامل به کتاب ها و دیگر منابع و پاسخگویی به خواسته های موکلین خود بسیار استقبال کردند خیلی از سازمان ها هم این تصور را داشتند که کتاب های الکترونیکی راه حلی کم هزینه است در برابر هزینه های فزاینده کتاب های کتابخانه، کتاب های درسی و مجلات، به ویژه در مورد متونی که به سرعت کهنه می شوند و نیز در مقابله با افزایش مشکل کمبود فضای قفسه که ساختمان فیزیکی کتابخانه دچار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مختلف و سیستم های مدارس از جمله دانشگاه کالرونیای شرقی، </w:t>
      </w:r>
      <w:r>
        <w:rPr>
          <w:rStyle w:val="FootnoteAnchor"/>
          <w:rtl w:val="true"/>
        </w:rPr>
        <w:footnoteReference w:id="520"/>
      </w:r>
      <w:r>
        <w:rPr>
          <w:rFonts w:ascii="IRNazanin" w:hAnsi="IRNazanin" w:eastAsia="IRNazanin"/>
          <w:color w:val="111111"/>
          <w:sz w:val="28"/>
          <w:sz w:val="28"/>
          <w:szCs w:val="28"/>
          <w:rtl w:val="true"/>
          <w:lang w:bidi="fa-IR"/>
        </w:rPr>
        <w:t xml:space="preserve">مدرسه منطقه ای پاسو هرناندو </w:t>
      </w:r>
      <w:r>
        <w:rPr>
          <w:rStyle w:val="FootnoteAnchor"/>
          <w:rtl w:val="true"/>
        </w:rPr>
        <w:footnoteReference w:id="521"/>
      </w:r>
      <w:r>
        <w:rPr>
          <w:rFonts w:ascii="IRNazanin" w:hAnsi="IRNazanin" w:eastAsia="IRNazanin"/>
          <w:color w:val="111111"/>
          <w:sz w:val="28"/>
          <w:sz w:val="28"/>
          <w:szCs w:val="28"/>
          <w:rtl w:val="true"/>
          <w:lang w:bidi="fa-IR"/>
        </w:rPr>
        <w:t xml:space="preserve">دانشگاه کیس وسترن رزرو </w:t>
      </w:r>
      <w:r>
        <w:rPr>
          <w:rStyle w:val="FootnoteAnchor"/>
          <w:rtl w:val="true"/>
        </w:rPr>
        <w:footnoteReference w:id="522"/>
      </w:r>
      <w:r>
        <w:rPr>
          <w:rFonts w:ascii="IRNazanin" w:hAnsi="IRNazanin" w:eastAsia="IRNazanin"/>
          <w:color w:val="111111"/>
          <w:sz w:val="28"/>
          <w:sz w:val="28"/>
          <w:szCs w:val="28"/>
          <w:rtl w:val="true"/>
          <w:lang w:bidi="fa-IR"/>
        </w:rPr>
        <w:t>یک برنامه آزمایشی را برای آزمون زیست پذیری استفاده از کتاب خوان های الکترونیکی و ایپدها برای فعالیت های کلاسی به کار بستند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بسیاری از سازمان ها از جمله فدراسیون ملی نابینایان </w:t>
      </w:r>
      <w:r>
        <w:rPr>
          <w:rStyle w:val="FootnoteAnchor"/>
          <w:rtl w:val="true"/>
        </w:rPr>
        <w:footnoteReference w:id="523"/>
      </w:r>
      <w:r>
        <w:rPr>
          <w:rFonts w:ascii="IRNazanin" w:hAnsi="IRNazanin" w:eastAsia="IRNazanin"/>
          <w:color w:val="111111"/>
          <w:sz w:val="28"/>
          <w:sz w:val="28"/>
          <w:szCs w:val="28"/>
          <w:rtl w:val="true"/>
          <w:lang w:bidi="fa-IR"/>
        </w:rPr>
        <w:t xml:space="preserve">و شورای نابینایان آمریکا </w:t>
      </w:r>
      <w:r>
        <w:rPr>
          <w:rStyle w:val="FootnoteAnchor"/>
          <w:rtl w:val="true"/>
        </w:rPr>
        <w:footnoteReference w:id="524"/>
      </w:r>
      <w:r>
        <w:rPr>
          <w:rFonts w:ascii="IRNazanin" w:hAnsi="IRNazanin" w:eastAsia="IRNazanin"/>
          <w:color w:val="111111"/>
          <w:sz w:val="28"/>
          <w:sz w:val="28"/>
          <w:szCs w:val="28"/>
          <w:rtl w:val="true"/>
          <w:lang w:bidi="fa-IR"/>
        </w:rPr>
        <w:t xml:space="preserve">به نمایندگی از طرف افرادی که توانایی مطالعه آثار مکتوب را ندارند، اظهار کردند که کتاب خوان های الکترونیکی که از جمله دستگاه های نسل سوم هستند، الزامات مورد نیاز برای دسترسی به معلولان </w:t>
      </w:r>
      <w:bookmarkStart w:id="397" w:name="pg9653_81833"/>
    </w:p>
    <w:p>
      <w:pPr>
        <w:pStyle w:val="BookText"/>
        <w:rPr/>
      </w:pPr>
      <w:bookmarkEnd w:id="397"/>
      <w:r>
        <w:rPr>
          <w:rFonts w:ascii="IRNazanin" w:hAnsi="IRNazanin" w:eastAsia="IRNazanin"/>
          <w:color w:val="111111"/>
          <w:sz w:val="28"/>
          <w:sz w:val="28"/>
          <w:szCs w:val="28"/>
          <w:rtl w:val="true"/>
          <w:lang w:bidi="fa-IR"/>
        </w:rPr>
        <w:t xml:space="preserve">آمریکایی براساس قانون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نمی آورد و دسترسی عادلانه به منابع رقومی را انکار می کنند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وزارت دادگستری ایالت متحده </w:t>
      </w:r>
      <w:r>
        <w:rPr>
          <w:rStyle w:val="FootnoteAnchor"/>
          <w:rtl w:val="true"/>
        </w:rPr>
        <w:footnoteReference w:id="526"/>
      </w:r>
      <w:r>
        <w:rPr>
          <w:rFonts w:ascii="IRNazanin" w:hAnsi="IRNazanin" w:eastAsia="IRNazanin"/>
          <w:color w:val="111111"/>
          <w:sz w:val="28"/>
          <w:sz w:val="28"/>
          <w:szCs w:val="28"/>
          <w:rtl w:val="true"/>
          <w:lang w:bidi="fa-IR"/>
        </w:rPr>
        <w:t xml:space="preserve">به نمایندگی از آن اف بی و ای سی بی، از چهار موسسه دانشگاهی به خاطر استفاده از کیندل دی اکس </w:t>
      </w:r>
      <w:r>
        <w:rPr>
          <w:rStyle w:val="FootnoteAnchor"/>
          <w:rtl w:val="true"/>
        </w:rPr>
        <w:footnoteReference w:id="527"/>
      </w:r>
      <w:r>
        <w:rPr>
          <w:rFonts w:ascii="IRNazanin" w:hAnsi="IRNazanin" w:eastAsia="IRNazanin"/>
          <w:color w:val="111111"/>
          <w:sz w:val="28"/>
          <w:sz w:val="28"/>
          <w:szCs w:val="28"/>
          <w:rtl w:val="true"/>
          <w:lang w:bidi="fa-IR"/>
        </w:rPr>
        <w:t>به عنوان بخشی از آزمون آزمایشی کتاب های درسی الکترونیکی شکایت کرد آنان به این نتیجه رسیدند که موسسات دانشگاهی تا زمانی که دسترسی و قابلیت این کتاب خوان ها ارتقا یابد نیازی به کتاب خوان های الکترونیکی برای دانش آموزان با اختلالات بینایی ندارند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آن اف بی به تازگی در 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مراجعان کتابخانه های عمومی در فیلادلفیا کمک کرد تا شکایتی در برابر کتابخانه آزاد فیلادلفیا ارائه بدهند و اظهار کنند که کتاب خوان های الکترونیکی لمسی ساده نوک نوبلز و بارون برای کاربران نابینا غیر قابل دسترس است و منکر دسترسی عادلانه به منابع برای این نوع کاربران کتابخانه 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هر یک از این دعاوی ادعا می کنند که تصمیم مؤسسات عمومی برای خرید کتاب خوان های الکترونیکی غیر قابل دسترس نقض بند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احیای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دوم آمریکایی های دارای معلولیت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توسعه و به کارگیری سریع کتاب خوان های الکترونیکی مطالعات محدودی بر روی فواید و قابلیت این دستگاه ها برای افرادی که توانایی مطالعه آثار مکتوب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بینایان، نابینایان، نارساخوانان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کتابخانه ها و محیط های آموزشی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p>
    <w:p>
      <w:pPr>
        <w:pStyle w:val="BookText"/>
        <w:rPr/>
      </w:pPr>
      <w:r>
        <w:rPr>
          <w:rFonts w:ascii="IRNazanin" w:hAnsi="IRNazanin" w:eastAsia="IRNazanin"/>
          <w:color w:val="111111"/>
          <w:sz w:val="28"/>
          <w:sz w:val="28"/>
          <w:szCs w:val="28"/>
          <w:rtl w:val="true"/>
          <w:lang w:bidi="fa-IR"/>
        </w:rPr>
        <w:t>نخست این مطالعه، عملکرد و ویژگی های این سه دستگاه کتاب خوان الکترونیکی معروف را برای دو هدف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سطح دسترسی افرادی که توانایی مطالعه آثار مکتوب را ندارند و نیز زیست پذیری استفاده از آن ها در تنظیمات دانشگاهی و کتابخانه ها</w:t>
      </w:r>
      <w:r>
        <w:rPr>
          <w:rFonts w:eastAsia="IRNazanin" w:cs="IRNazanin"/>
          <w:color w:val="111111"/>
          <w:sz w:val="28"/>
          <w:szCs w:val="28"/>
          <w:rtl w:val="true"/>
          <w:lang w:bidi="fa-IR"/>
        </w:rPr>
        <w:t>.</w:t>
      </w:r>
    </w:p>
    <w:p>
      <w:pPr>
        <w:pStyle w:val="Heading3"/>
        <w:numPr>
          <w:ilvl w:val="2"/>
          <w:numId w:val="1"/>
        </w:numPr>
        <w:rPr/>
      </w:pPr>
      <w:bookmarkStart w:id="398" w:name="__RefHeading___Toc7766544_2870459653"/>
      <w:bookmarkStart w:id="399" w:name="_Toc147"/>
      <w:bookmarkEnd w:id="398"/>
      <w:r>
        <w:rPr>
          <w:rtl w:val="true"/>
        </w:rPr>
        <w:t>پیشینه تحقیق</w:t>
      </w:r>
      <w:r>
        <w:rPr>
          <w:rtl w:val="true"/>
        </w:rPr>
        <w:t>:</w:t>
      </w:r>
      <w:bookmarkEnd w:id="39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در مورد استفاده و قابلیت کتاب خوان های الکترونیکی، در سه گروه کلی دسته بندی می شود </w:t>
      </w:r>
    </w:p>
    <w:p>
      <w:pPr>
        <w:pStyle w:val="BookText"/>
        <w:rPr/>
      </w:pPr>
      <w:r>
        <w:rPr>
          <w:rFonts w:ascii="IRNazanin" w:hAnsi="IRNazanin" w:eastAsia="IRNazanin"/>
          <w:color w:val="111111"/>
          <w:sz w:val="28"/>
          <w:sz w:val="28"/>
          <w:szCs w:val="28"/>
          <w:rtl w:val="true"/>
          <w:lang w:bidi="fa-IR"/>
        </w:rPr>
        <w:t>مقایسه محصولات بین دستگاه های رقیب ارزیابی و اولویت های کاربران از جمله رفتارها و نگرش های کاربران و طراحی کتاب خوان های الکترونیکی و کتاب های الکترونیکی مطالعه مقایسه ای محصولات ویژگی های خاصی از هر کدام از این دستگاه ها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رالف اسکات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 آی پد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بارنزو نوبل</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را به عنوان بخشی از برنامه گردش بالقوه کتاب خوان های الکترونیکی در برنامه دانشگاهی کالیفرنیای شرقی بررسی کرد اسکات، از میان ویژگی های دیگر موارد مربوط به دسترسی وای فای </w:t>
      </w:r>
      <w:r>
        <w:rPr>
          <w:rStyle w:val="FootnoteAnchor"/>
          <w:rtl w:val="true"/>
        </w:rPr>
        <w:footnoteReference w:id="532"/>
      </w:r>
      <w:r>
        <w:rPr>
          <w:rFonts w:ascii="IRNazanin" w:hAnsi="IRNazanin" w:eastAsia="IRNazanin"/>
          <w:color w:val="111111"/>
          <w:sz w:val="28"/>
          <w:sz w:val="28"/>
          <w:szCs w:val="28"/>
          <w:rtl w:val="true"/>
          <w:lang w:bidi="fa-IR"/>
        </w:rPr>
        <w:t xml:space="preserve">دسترسی به پورت یو اس بی، </w:t>
      </w:r>
      <w:r>
        <w:rPr>
          <w:rStyle w:val="FootnoteAnchor"/>
          <w:rtl w:val="true"/>
        </w:rPr>
        <w:footnoteReference w:id="533"/>
      </w:r>
      <w:r>
        <w:rPr>
          <w:rFonts w:ascii="IRNazanin" w:hAnsi="IRNazanin" w:eastAsia="IRNazanin"/>
          <w:color w:val="111111"/>
          <w:sz w:val="28"/>
          <w:sz w:val="28"/>
          <w:szCs w:val="28"/>
          <w:rtl w:val="true"/>
          <w:lang w:bidi="fa-IR"/>
        </w:rPr>
        <w:t xml:space="preserve">قیمت و دسترس پذیری را سنجید اظهارات وی نشان داد که آی پد با این که قیمتی بسیار بالاتر نسبت به دیگر دستگاه ها دارد به مراتب برتر از دیگر محصولات از منظر دسترس پذیری تصاویر، صوت و تصویر است هر واحد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مقایسه با قیمت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کیندل و نوک</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متعدد، تجارب کاربران و قابلیت دستگاه های کتاب خوان های الکترونیکی را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گیبسن و گیب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دریافتند زمانی که بسیاری از مسائل مربوط به نسل اول کتاب خوان های الکترونیکی مورد خطاب قرار گرفت کاربران چالش های بیشتری بیان کردند که شامل قابلیت تبدیل صفحات الکترونیکی و بزرگنمایی متن برای سهولت خواندن آن است کاربران همچنین گزارش کرده اند که یادگیری کتاب خوان ها الکترونیکی،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شامل یک منحنی یادگیری شیب دار 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شلبرن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و نلسون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هر دو کشف کردند که کاربرد کتاب های الکترونیکی در کتابخانه های دانشگاهی رو به افزایش است اما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خوان های الکترونیکی بدون مشکل نیست کاربران انعطاف پذیری بیشتری را در جست و جوی متون کتاب های الکترونیکی می خواهند و به کیفیت پایین صفحه نمایش متن اشاره کرده اند به هر حال هر دو پژوهش نشان دادند که تقاضا برای کتاب های الکترونیکی و کتاب خوان های الکترونیکی در میان کاربران کتابخانه های دانشگاهی در حال افزایش است</w:t>
      </w:r>
      <w:r>
        <w:rPr>
          <w:rFonts w:eastAsia="IRNazanin" w:cs="IRNazanin"/>
          <w:color w:val="111111"/>
          <w:sz w:val="28"/>
          <w:szCs w:val="28"/>
          <w:rtl w:val="true"/>
          <w:lang w:bidi="fa-IR"/>
        </w:rPr>
        <w:t xml:space="preserve">. </w:t>
      </w:r>
      <w:r>
        <w:rPr>
          <w:rStyle w:val="FootnoteAnchor"/>
          <w:rtl w:val="true"/>
        </w:rPr>
        <w:footnoteReference w:id="539"/>
      </w:r>
      <w:bookmarkStart w:id="400" w:name="pg9653_81835"/>
    </w:p>
    <w:p>
      <w:pPr>
        <w:pStyle w:val="BookText"/>
        <w:rPr/>
      </w:pPr>
      <w:bookmarkEnd w:id="400"/>
      <w:r>
        <w:rPr>
          <w:rFonts w:ascii="IRNazanin" w:hAnsi="IRNazanin" w:eastAsia="IRNazanin"/>
          <w:color w:val="111111"/>
          <w:sz w:val="28"/>
          <w:sz w:val="28"/>
          <w:szCs w:val="28"/>
          <w:rtl w:val="true"/>
          <w:lang w:bidi="fa-IR"/>
        </w:rPr>
        <w:t>بسیاری از پژوهش ها که بر اساس استفاده مشتریانی که توانایی مطالعه آثار مکتوب را ندارند برروی دستگاه های کتاب خوان های الکترونیکی انجام شده به مقوله مقایسه این فرآورده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ایمی میسن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به طور مثال، چندین کتاب خوان الکترونیکی را از دیدگاه قابلیت دسترسی برای افرادی که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دارند مقایسه کرده است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وی چندین کتاب خوان الکترونیکی را که در حال حاضر قابل دسترس هستند، بررسی کرد و علل زیر را دلایلی برای عدم دسترسی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بسیار بصری اکثر واسطه ای کتاب خوان های الکترونیکی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های مدیریت حقوق رقومی که از خوانده شدن متن با صدای بلند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مشابه، پتری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و برتون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هر کدام معیارهای عملکردی را برای دسترس پذیری کتاب های الکترونیکی و کتاب خوان های الکترونیکی آزمودند و توصیه هایی برای طراحی بهتر برای نیاز افرادی که بیناییشان را از دست داده اند ارائه کرده اند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پتری و برتون بسیاری از همان نوع چالش هایی را که میسون آورده بود شناسایی کردند هر کدام از این ارزیابی ها به ویژگی های خاصی اشاره می کند که بر اساس دستورالعمل وزارت آموزش و پرورش ایالات متحده، غیر قابل دسترس هستند</w:t>
      </w:r>
      <w:r>
        <w:rPr>
          <w:rFonts w:eastAsia="IRNazanin" w:cs="IRNazanin"/>
          <w:color w:val="111111"/>
          <w:sz w:val="28"/>
          <w:szCs w:val="28"/>
          <w:rtl w:val="true"/>
          <w:lang w:bidi="fa-IR"/>
        </w:rPr>
        <w:t xml:space="preserve">. </w:t>
      </w:r>
      <w:r>
        <w:rPr>
          <w:rStyle w:val="FootnoteAnchor"/>
          <w:rtl w:val="true"/>
        </w:rPr>
        <w:footnoteReference w:id="545"/>
      </w:r>
    </w:p>
    <w:p>
      <w:pPr>
        <w:pStyle w:val="Heading3"/>
        <w:numPr>
          <w:ilvl w:val="2"/>
          <w:numId w:val="1"/>
        </w:numPr>
        <w:rPr/>
      </w:pPr>
      <w:bookmarkStart w:id="401" w:name="__RefHeading___Toc7766546_2870459653"/>
      <w:bookmarkStart w:id="402" w:name="_Toc148"/>
      <w:bookmarkEnd w:id="401"/>
      <w:r>
        <w:rPr>
          <w:rtl w:val="true"/>
        </w:rPr>
        <w:t>تعاریف</w:t>
      </w:r>
      <w:bookmarkEnd w:id="40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ظهور کتاب خوان های الکترونیکی ویلسن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سه نوع متفاوت از کتاب خوان های الکترونیکی را مشخص کرد که در بازار قابل دسترسی هستند و طوری طراحی شده اند که به کاربران اجازه می دهند که کتاب ها را در فرمتی به غیر از فرمت چاپی آن مطالعه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خوان های الکترونیکی اختصاصی مثل کتاب خوان های الکترونیکی راکت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 مدیا</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و نرم افزار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کتاب و نشریات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دی ای ها </w:t>
      </w:r>
      <w:r>
        <w:rPr>
          <w:rStyle w:val="FootnoteAnchor"/>
          <w:rtl w:val="true"/>
        </w:rPr>
        <w:footnoteReference w:id="548"/>
      </w:r>
      <w:r>
        <w:rPr>
          <w:rFonts w:ascii="IRNazanin" w:hAnsi="IRNazanin" w:eastAsia="IRNazanin"/>
          <w:color w:val="111111"/>
          <w:sz w:val="28"/>
          <w:sz w:val="28"/>
          <w:szCs w:val="28"/>
          <w:rtl w:val="true"/>
          <w:lang w:bidi="fa-IR"/>
        </w:rPr>
        <w:t>و رایانه های شخصی جیبی با نرم افزارهایی برای دانلود و خواندن 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ترکیبی مثل ایی بوک من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ترکیبی از قابلیت های پی دی ای ها و رایانه های شخصی جیبی با قابلیت کتاب خوان های الکترونیکی اختصاصی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با راه اندازی آمازون کیندل </w:t>
      </w:r>
      <w:r>
        <w:rPr>
          <w:rStyle w:val="FootnoteAnchor"/>
          <w:rtl w:val="true"/>
        </w:rPr>
        <w:footnoteReference w:id="551"/>
      </w:r>
      <w:r>
        <w:rPr>
          <w:rFonts w:ascii="IRNazanin" w:hAnsi="IRNazanin" w:eastAsia="IRNazanin"/>
          <w:color w:val="111111"/>
          <w:sz w:val="28"/>
          <w:sz w:val="28"/>
          <w:szCs w:val="28"/>
          <w:rtl w:val="true"/>
          <w:lang w:bidi="fa-IR"/>
        </w:rPr>
        <w:t xml:space="preserve">و محصولات مشابه آن مثل دستگاه کتاب خوان سونی و گسترش مداوم سخت افزارها و نرم افزارها کتاب های الکترونیکی و کتاب خوان های الکترونیکی در حال حاضر به راحتی و در یک محدوده وسیع تر، شامل محصولاتی مثل رایانه های شخصی رومیزی و لبتاپ و تلفن های هوشمند و آیفون همچنین دستگاه های اختصاصی و ترکیبی در دسترس هستند بیشتر پیچیدگی این موضوع به خاطر برنامه های کاربردی متعددی است که می توانند بر روی دستگاه ها بارگیری شوند و به کاربر اجازه دهند که از میان دستگاه های متعدد به کتاب ها دسترسی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معنی توانایی انتخاب و خواندن یک کتاب بر روی کیندل ،فایر برنامه کاربردی ای پد کیندل و برنامه کاربردی آندورد ،کیندل به خوبی خواندن یک کتاب از طریق لبتاپ یا رایانه رومیزی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کمتر به این موضوع می پردازد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کتاب خوان الکترونیکی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بیشتر به این مقوله می پردازد که دسترسی یک کتابخوان الکترونیکی برای فردی که نابینا است یا بینایی کمی دارد یا دیگر ناتوانی در مطالعه آثار مکتوب دارد، چگونه تعریف می شود به عبارت دیگر یک کاربر با اختلال بینایی باید توانایی ناوبری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یا پیمایش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تعامل با مواد و منابع را داشته باشد و به همان اطلاعاتی که برای افراد بینا قابل دسترس است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حقوقی وزارت آموزش و پرورش ایالات متحده آمریکا یک تعریف کاربردی از دسترسی را به کار می برد و اظهار می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دانش آموزان که نابینا یا کم بینا هستند فرصت یکسانی ارائه شود تا برای کسب اطلاعات مشابه، درگیر تعاملات مشابه شوند و از خدماتی مشابه با آن چه به دانش آموزان بینا ارائه می شود لذت ببرند</w:t>
      </w:r>
      <w:r>
        <w:rPr>
          <w:rFonts w:eastAsia="IRNazanin" w:cs="IRNazanin"/>
          <w:color w:val="111111"/>
          <w:sz w:val="28"/>
          <w:szCs w:val="28"/>
          <w:rtl w:val="true"/>
          <w:lang w:bidi="fa-IR"/>
        </w:rPr>
        <w:t xml:space="preserve">. </w:t>
      </w:r>
      <w:r>
        <w:rPr>
          <w:rStyle w:val="FootnoteAnchor"/>
          <w:rtl w:val="true"/>
        </w:rPr>
        <w:footnoteReference w:id="552"/>
      </w:r>
      <w:bookmarkStart w:id="403" w:name="pg9653_81837"/>
    </w:p>
    <w:p>
      <w:pPr>
        <w:pStyle w:val="BookText"/>
        <w:rPr/>
      </w:pPr>
      <w:bookmarkEnd w:id="403"/>
      <w:r>
        <w:rPr>
          <w:rFonts w:ascii="IRNazanin" w:hAnsi="IRNazanin" w:eastAsia="IRNazanin"/>
          <w:color w:val="111111"/>
          <w:sz w:val="28"/>
          <w:sz w:val="28"/>
          <w:szCs w:val="28"/>
          <w:rtl w:val="true"/>
          <w:lang w:bidi="fa-IR"/>
        </w:rPr>
        <w:t>این تعریف شامل کتاب خوان های الکترونیکی و فناوری های در حال ظهور و همچنین مواد چاپی سنتی و کتاب های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آمریکا، انجمن کتابداری آمریکا </w:t>
      </w:r>
      <w:r>
        <w:rPr>
          <w:rStyle w:val="FootnoteAnchor"/>
          <w:rtl w:val="true"/>
        </w:rPr>
        <w:footnoteReference w:id="553"/>
      </w:r>
      <w:r>
        <w:rPr>
          <w:rFonts w:ascii="IRNazanin" w:hAnsi="IRNazanin" w:eastAsia="IRNazanin"/>
          <w:color w:val="111111"/>
          <w:sz w:val="28"/>
          <w:sz w:val="28"/>
          <w:szCs w:val="28"/>
          <w:rtl w:val="true"/>
          <w:lang w:bidi="fa-IR"/>
        </w:rPr>
        <w:t xml:space="preserve">و مؤسسه خدمات موزه و کتابخانه </w:t>
      </w:r>
      <w:r>
        <w:rPr>
          <w:rStyle w:val="FootnoteAnchor"/>
          <w:rtl w:val="true"/>
        </w:rPr>
        <w:footnoteReference w:id="554"/>
      </w:r>
      <w:r>
        <w:rPr>
          <w:rFonts w:ascii="IRNazanin" w:hAnsi="IRNazanin" w:eastAsia="IRNazanin"/>
          <w:color w:val="111111"/>
          <w:sz w:val="28"/>
          <w:sz w:val="28"/>
          <w:szCs w:val="28"/>
          <w:rtl w:val="true"/>
          <w:lang w:bidi="fa-IR"/>
        </w:rPr>
        <w:t>از دستورالعمل های مشابه برای دسترسی به اطلاعات پیروی می کنند</w:t>
      </w:r>
    </w:p>
    <w:p>
      <w:pPr>
        <w:pStyle w:val="BookText"/>
        <w:rPr/>
      </w:pPr>
      <w:r>
        <w:rPr>
          <w:rFonts w:ascii="IRNazanin" w:hAnsi="IRNazanin" w:eastAsia="IRNazanin"/>
          <w:color w:val="111111"/>
          <w:sz w:val="28"/>
          <w:sz w:val="28"/>
          <w:szCs w:val="28"/>
          <w:rtl w:val="true"/>
          <w:lang w:bidi="fa-IR"/>
        </w:rPr>
        <w:t>با استفاده از یک تعریف عمومی برای این مطالعه دسترسی به معنی توانایی فرد ناتوان در خواندن در استفاده و ناوبری دستگاه های کتاب خوان های الکترونیکی از طریق فناوری دسترسی جهانی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دستگاه شامل فناوری دسترسی تعبیه شده قوی نباشد، کاربر باید بتواند توانایی دسترسی برابر به اطلاعات را از طریق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یا پیرایش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تطابق از طریق فناوری های تطبیقی مثل تبدیل متن به گفتار بر روی صفحه نمایش کتاب خوان های الکترونیکی یا مترجمان خط بریل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باید توانایی روشن کردن اداره کردن قراردادن و درک بارگیری مواد خواندنی را داشته باشد</w:t>
      </w:r>
      <w:r>
        <w:rPr>
          <w:rFonts w:eastAsia="IRNazanin" w:cs="IRNazanin"/>
          <w:color w:val="111111"/>
          <w:sz w:val="28"/>
          <w:szCs w:val="28"/>
          <w:rtl w:val="true"/>
          <w:lang w:bidi="fa-IR"/>
        </w:rPr>
        <w:t>.</w:t>
      </w:r>
    </w:p>
    <w:p>
      <w:pPr>
        <w:pStyle w:val="Heading3"/>
        <w:numPr>
          <w:ilvl w:val="2"/>
          <w:numId w:val="1"/>
        </w:numPr>
        <w:rPr/>
      </w:pPr>
      <w:bookmarkStart w:id="404" w:name="__RefHeading___Toc7766548_2870459653"/>
      <w:bookmarkStart w:id="405" w:name="_Toc149"/>
      <w:bookmarkEnd w:id="404"/>
      <w:r>
        <w:rPr>
          <w:rtl w:val="true"/>
        </w:rPr>
        <w:t>روش شناسی</w:t>
      </w:r>
      <w:r>
        <w:rPr>
          <w:rtl w:val="true"/>
        </w:rPr>
        <w:t>:</w:t>
      </w:r>
      <w:bookmarkEnd w:id="405"/>
    </w:p>
    <w:p>
      <w:pPr>
        <w:pStyle w:val="BookText"/>
        <w:rPr/>
      </w:pPr>
      <w:r>
        <w:rPr>
          <w:rFonts w:ascii="IRNazanin" w:hAnsi="IRNazanin" w:eastAsia="IRNazanin"/>
          <w:color w:val="111111"/>
          <w:sz w:val="28"/>
          <w:sz w:val="28"/>
          <w:szCs w:val="28"/>
          <w:rtl w:val="true"/>
          <w:lang w:bidi="fa-IR"/>
        </w:rPr>
        <w:t>برای پرداختن به قابلیت و دسترس پذیری کتاب خوان های الکترونیکی جهت استفاده در مؤسسات دانشگاهی و کتابخانه ها این مطالعه قابلیت استفاده و جنبه های طراحی جهانی برای سه کتاب خوان الکترونیکی مشهور را بررسی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پد اپل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آمازون کیندل فایر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تبلت نولزی نوک و بارنز این دستگاه ها برای این که آماده دسترس بودند و در بازار مشتریان محبوبیت داشتند،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قابلیت استفاده فرصتی را برای گروه هایی از کاربران پدید می آورد تا به طور مستقیم با دستگاه های کتاب خوان الکترونیکی در تعامل باشند و به عملکردها و ویژگی ها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این طرح برای پرداختن به پرسش های پژوهش به شرح ذیل طراحی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کاربرانی که توانایی مطالعه آثار مکتوب را ندارند کدام یک از دستگاه ها را ترجیح می دهند؟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دستگاه ها بهترین قابلیت را برای کاربرانی که توانایی مطالعه آثار مکتوب را ندارند، ارائه می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دستگاه ها بهترین گزینه را برای سازگاری و قابلیت استفاده از فناوری های انطباقی ارائه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بارگذاری مجدد بریل خوان ها، جاوز </w:t>
      </w:r>
      <w:r>
        <w:rPr>
          <w:rStyle w:val="FootnoteAnchor"/>
          <w:rtl w:val="true"/>
        </w:rPr>
        <w:footnoteReference w:id="555"/>
      </w:r>
      <w:r>
        <w:rPr>
          <w:rFonts w:ascii="IRNazanin" w:hAnsi="IRNazanin" w:eastAsia="IRNazanin"/>
          <w:color w:val="111111"/>
          <w:sz w:val="28"/>
          <w:sz w:val="28"/>
          <w:szCs w:val="28"/>
          <w:rtl w:val="true"/>
          <w:lang w:bidi="fa-IR"/>
        </w:rPr>
        <w:t xml:space="preserve">و یا بزرگ نمایی متن </w:t>
      </w:r>
      <w:r>
        <w:rPr>
          <w:rStyle w:val="FootnoteAnchor"/>
          <w:rtl w:val="true"/>
        </w:rPr>
        <w:footnoteReference w:id="5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طرح، طراحی و قابلیت کتاب خوان های الکترونیکی را برای افرادی که توانایی مطالعه آثار </w:t>
      </w:r>
    </w:p>
    <w:p>
      <w:pPr>
        <w:pStyle w:val="BookText"/>
        <w:rPr/>
      </w:pPr>
      <w:r>
        <w:rPr>
          <w:rFonts w:ascii="IRNazanin" w:hAnsi="IRNazanin" w:eastAsia="IRNazanin"/>
          <w:color w:val="111111"/>
          <w:sz w:val="28"/>
          <w:sz w:val="28"/>
          <w:szCs w:val="28"/>
          <w:rtl w:val="true"/>
          <w:lang w:bidi="fa-IR"/>
        </w:rPr>
        <w:t>مكتوب ندارند، بررسی می کند، که شامل ارزیابی ویژگی های دسترس پذیری تعبیه شده است، مثل بزرگ نمایی متن و صدای بلند هدف فراگیر تجزیه و تحلیل قابلیت ،استفاده درک کاملی از نحوه کار این دستگاه ها و شناسایی محدودیت احتمالی در قابلیت مربوط به دسترس 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قابلیت استفاده در دو مرحله انجام شد مرحله نخست مبنایی برای درک چگونگی کار دستگاه کتابخوان الکترونیکی و شناخت نوع ویژگی های دسترس پذیری تعبیه شده را برای کاربر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که اکنون در جریان است بررسی دسترس پذیری این دستگاه ها در ارتباط با اتصال و استفاده از فناوری های انطباقی به وسیله کاربرانی است که توانایی مطالعه آثار مکتوب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روبین و کیسنل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حداقل چهار تا پنج شرکت کننده در هر آزمون قابلیت استفاده را پیشنهاد کردند تا حداکثر مسائل مربوط به قابلیت استفاده را نشان دهند اما حداقل هشت مورد برای عدم چشم پوشی مشکلات اضافی قابلیت استفاده مورد آزمون قرار گرفتند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شرکت کنندگان در مرحله نخست این مطالعه از دو گروه گرفته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آموزان عمومی که در مدارس علوم کتابداری و اطلاع رسانی ثبت نام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دانش آموزان از همان مدرسه علوم کتابداری و اطلاع رسانی که در آی ام ال اس برنامه اعطای کمک تحصیلی ثبت نام کردند تا یاد بگیرند که با فناوری و ارتقاء فلسفه جامع و دسترسی های جهانی چگونه کار کنند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برای شرکت در آزمون کارایی و ارائه بازخورد بر روی طراحی و قابلیت عملکرد دستگاه ها دعوت شده بودند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مطالعه عمدا برای رسیدن به درک کاملی از این که هر دستگاه کتابخوان الکترونیکی چگونه کار می کند با دانشجویان بینا شروع گردید هر شرکت کننده به بررسی قابلیت دستگاه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اصول تأمین انرژی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ناوبری از طریق صفحه نمایش های متعدد محل تنظیمات برای سفارشی سازی تجربه خواندن و پیدا کردن و دسترسی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مواد خواندنی می پردازد شناسایی نقاط قوت و ضعف بالقوه تجهیزات و چالش های ،ممکن برای افرادی که توانایی </w:t>
      </w:r>
      <w:bookmarkStart w:id="406" w:name="pg9653_81839"/>
    </w:p>
    <w:p>
      <w:pPr>
        <w:pStyle w:val="BookText"/>
        <w:rPr/>
      </w:pPr>
      <w:bookmarkEnd w:id="406"/>
      <w:r>
        <w:rPr>
          <w:rFonts w:ascii="IRNazanin" w:hAnsi="IRNazanin" w:eastAsia="IRNazanin"/>
          <w:color w:val="111111"/>
          <w:sz w:val="28"/>
          <w:sz w:val="28"/>
          <w:szCs w:val="28"/>
          <w:rtl w:val="true"/>
          <w:lang w:bidi="fa-IR"/>
        </w:rPr>
        <w:t>مطالعه آثار مکتوب را ندارند بسیار حیاتی بود مساله اصلی که پیش آمد، تعیین این مطلب بود که آیا یک فرد با دیدکم یا نابینا قادر خواهد بود غیر مسلح از این کتاب خوان های الکترونیکی استفاده کند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کتاب خوان الکترونیکی، از پیش با منابع خواندنی یکسانی بارگذاری شد که شامل یک رمان ،مشهور گلچینی از داستان های ژول ورن و دو روزنامه بود این نوع بارگذاری، منابع مشابه را در هر سه سیستم عامل ارائه داد و شرکت کنندگان را برای آزمودن منابع مشابه قادر ساخت کتاب ها و روزنامه ها از طریق فروشگاه های کتاب خوان های الکترونیکی شخصی تهیه شد تا اطمینان حاصل شود که آن ها بدون مشکل دریافت می شوند و با دستگاه های در نظر گرفته شده سازگار هستند</w:t>
      </w:r>
    </w:p>
    <w:p>
      <w:pPr>
        <w:pStyle w:val="BookText"/>
        <w:rPr/>
      </w:pPr>
      <w:r>
        <w:rPr>
          <w:rFonts w:ascii="IRNazanin" w:hAnsi="IRNazanin" w:eastAsia="IRNazanin"/>
          <w:color w:val="111111"/>
          <w:sz w:val="28"/>
          <w:sz w:val="28"/>
          <w:szCs w:val="28"/>
          <w:rtl w:val="true"/>
          <w:lang w:bidi="fa-IR"/>
        </w:rPr>
        <w:t xml:space="preserve">تجزیه و تحلیل قابلیت ،استفاده شامل یک سلسله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دستگاه های کتاب خوان های الکترونیکی است هر دانش آموز پرسشنامه اولیه ای را برای جمع آوری اطلاعات جمعیت شناسی و نشان دادن تجارب قبلی خود با کتاب خوان های الکترونیکی و به طور کلی با فناوری اطلاعات و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کرد همان طور که شرکت کننده ها وظایفشان را انجام می دادند با استفاده از مقیاس لیکرت، جنبه های قابلیت و ویژگی های مختلف هر کدام از کتاب خوان های الکترونیکی را امتیاز دادند و رتبه بندی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مخالفم،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مخالفم و نه 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موافقم و آن ها این فرصت را داشتند تا به پرسش های هدایت شده پاسخ های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کارایی با یک مصاحبه که بر روی 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استفاده از کتاب خوان های الکترونیکی بود خاتمه یافت</w:t>
      </w:r>
      <w:r>
        <w:rPr>
          <w:rFonts w:eastAsia="IRNazanin" w:cs="IRNazanin"/>
          <w:color w:val="111111"/>
          <w:sz w:val="28"/>
          <w:szCs w:val="28"/>
          <w:rtl w:val="true"/>
          <w:lang w:bidi="fa-IR"/>
        </w:rPr>
        <w:t>.</w:t>
      </w:r>
    </w:p>
    <w:p>
      <w:pPr>
        <w:pStyle w:val="Heading3"/>
        <w:numPr>
          <w:ilvl w:val="2"/>
          <w:numId w:val="1"/>
        </w:numPr>
        <w:rPr/>
      </w:pPr>
      <w:bookmarkStart w:id="407" w:name="__RefHeading___Toc7766550_2870459653"/>
      <w:bookmarkStart w:id="408" w:name="_Toc150"/>
      <w:bookmarkEnd w:id="407"/>
      <w:r>
        <w:rPr>
          <w:rtl w:val="true"/>
        </w:rPr>
        <w:t>بحث و بررسی</w:t>
      </w:r>
      <w:r>
        <w:rPr>
          <w:rtl w:val="true"/>
        </w:rPr>
        <w:t>:</w:t>
      </w:r>
      <w:bookmarkEnd w:id="40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پرسشنامه اولیه نشان داد در کل گروه، دانش آموزان با طیف وسیعی از فناوری اطلاعات و ارتباطات شامل تلفن های همراه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پدها و دستگاه های پخش ام پی تری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هستند هر یک از دانش آموزان یک دستگاه محاسباتی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لب تاپ یا رایانه رومیزی دارد آن ها از دستگاه های فناوری اطلاعات و ارتباطات برای اهداف مختلفی مطالعه و کار کلاسی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الکترونیک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ارتباطات با خانواده دوستان و همکاران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تنها سه نفر از دانش آموزان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کتاب خوان الکترونیکی شخصی داشتند و به طور مساوی در میان سه دستگاه مورد بررسی تقسیم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کیندل، یک نوک و یک هم آی 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دانش آموزان اظهار داشتند که به هیچ وجه قصد خرید کتاب خوان های الکترونیکی یا دانلود نرم افزارهای کتاب خوان های الکترونیکی را بر روی دستگاه های فناوری ارتباطات و اطلاعات خود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 آموز به وضوح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منابع چاپی را به تمامی کتاب خوان های الکترونیکی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یک شرکت کننده اظهار کرد که خواندن رقومی یا متنهای الکترونیکی را بر منابع چاپی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کتاب خوان های الکترونیکی به سه حوزه مجزا تقسیم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فیزیک کتاب خوان های الکترونیکی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های کلی کتاب خوان های الکترونیکی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دسترس پذیری یا ویژگی های دسترسی جهانی</w:t>
      </w:r>
    </w:p>
    <w:p>
      <w:pPr>
        <w:pStyle w:val="BookText"/>
        <w:rPr/>
      </w:pPr>
      <w:r>
        <w:rPr>
          <w:rFonts w:ascii="IRNazanin" w:hAnsi="IRNazanin" w:eastAsia="IRNazanin"/>
          <w:color w:val="111111"/>
          <w:sz w:val="28"/>
          <w:sz w:val="28"/>
          <w:szCs w:val="28"/>
          <w:rtl w:val="true"/>
          <w:lang w:bidi="fa-IR"/>
        </w:rPr>
        <w:t xml:space="preserve">ویژگی ها و عملکردها در یک مقیاس لیکرت، از گزینه کاملا مخالفم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کاملا موافقم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فیزیک کتاب خوان های الکترونیکی ویژگی های اساسی نه تنها برای کاربران بینا بلکه نیاز به نگه داشتن راحت و دستکاری غیر مسلح توسط افراد دارای معلولیت به منظور تهیه دسترسی برابر، بسیار حیاتی است شرکت کنندگان احساس کردند که اندازه کتاب خوان های الکترونیکی به میزان کافی برای هدف در نظر گرفته شده ،خواندن مناسب هستند و بزرگتر از ابعاد یک کتاب جلد کاغذی یا جلد گالینگوری استاندارد نیستند آن ها دریافتند که تصاویر بصری و صفحه نمایش واضح و 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وزن کتاب خوان های الکترونیکی برای راحت نگه داشتن بیش از حد سنگین ثبت شده است، خصوصا کیندل فایر توسط سه نفر از دانش آموزان سنگین و ناراحت کننده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شرکت کنندگان نشان داد که وزن کیندل فایر شش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اونس یا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که از یک کتاب گالینگور سنتی سنگین تر به نظر می رسد و می تواند به عنوان یک مشکل برای نگه داشتن ممتد در یک دوره زمانی خواندن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برای افراد با تحرک محدود و یا افرادی که نیازمند نگه داشتن منابع نزدیک به حوزه دید خود هستند نگران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نگرانی هایی که شرکت کنندگان بیان کردند محل دکمه پاور برای روشن و خاموش کردن دستگاه بود که نمره کلی آن به طور متوسط سه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در مقیاس لیکرت بود ای پد در میان سه دستگاه به طور کلی با متوسط سه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برای سهولت محل قرار گرفتن دکمه و تجهیزات خاموش ،کردن کمترین رتبه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روی ایپد به سرعت قابل مشاهده نیست و در کنار لبه دستگاه تعبيه شده است و مولفه لمسی قوی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تبلت نوک برای محل و استفاده سویچ پاور بسیار مناسب رتبه بندی شده است ندیدن یا احساس نکردن دکمه پاور یکی از توانایی های فرد را برای انجام عمل بسیار اساسی در دستگاه مهار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مقایسه شرکت کنندگان این چنین دریافت شد که قابلیت حمل و نقل کتاب خوان های الکترونیکی </w:t>
      </w:r>
    </w:p>
    <w:p>
      <w:pPr>
        <w:pStyle w:val="BookText"/>
        <w:rPr/>
      </w:pPr>
      <w:r>
        <w:rPr>
          <w:rFonts w:ascii="IRNazanin" w:hAnsi="IRNazanin" w:eastAsia="IRNazanin"/>
          <w:color w:val="111111"/>
          <w:sz w:val="28"/>
          <w:sz w:val="28"/>
          <w:szCs w:val="28"/>
          <w:rtl w:val="true"/>
          <w:lang w:bidi="fa-IR"/>
        </w:rPr>
        <w:t xml:space="preserve">و توانایی ذخیره حجم زیاد از منابع را از ویژگی های مثبت کتاب خوان های الکترونیکی می دانند هر دو ویژگی قابلیت حمل و نقل و توانایی ذخیره میانگین امتیاز چهار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شرکت کنندگان اظهار داشت که به طور کلی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توانید کتاب های زیادی را ذخیره کنید و می توانید همراه با خود به هر جایی مثل تعطیلات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انواع مختلف مطالب خواندنی و موزیک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ویژگی های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های کلی کتاب خوان های الکترونیکی راحتی ناوبری در دستگاه می تواند به عنوان قابلیت های کلی کتاب خوان های الکترونیکی در نظر گرفته شده است ای پد کیندل فایر و تبلت نوک، از فناوری صفحه نمایش لمسی برای دسترسی به نرم افزارها تعامل با صفحه کلید و دستکاری کتاب های الکترونیکی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تغییر و سفارشی کردن تنظیمات، از فناوری لمسی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کنندگان بالاترین امتیاز را به استفاده از صفحه نمایش لمسی در میان کتاب خوان های الکترونیکی با بالاترین نرخ متوسط چهار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راحتی قادر به ضربه زدن سریدن و لمس کردن صفحه نمایش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مطالب خواندنی و حرکت در میان برنامه های کاربردی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ها به ماهیت بصری بالای صفحه نمایش با رنگ ها و تصاویر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قابلیت تغییر تنظیمات و سفارشی کردن ویژگی های کتاب خوان های الکترونیکی در تمامی دست گاه ها با نرخ متوسط دو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پایین رتبه بندی شده ،است خصوصا زمانی که این تنظیمات برای عملکردهای دسترسی جهانی فعال سازی می شوند مثل صدای بلند یا بزرگنمایی متن چندین شرکت کننده پیشنهاد دادند که پیوند تنظیمات به راحتی قابل شناسایی نیست و به راحتی تعبیه نشده است و باید به طور واضح تر بزرگتر و در مرکز در ورودی صفحه نمایش قرار بگیرد تا افرادی که به این عملکردها نیاز دارند آن ها را به سهولت و سرعت پیدا کنند تبلت نوک، پایین ترین نرخ را برای توانایی قرار دادن تنظیمات دریافت کرده است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کیندل فایر 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 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در قراردادن سریع و آسان این پیوندها در تنظیمات عمومی جایی که عملکردهای دسترسی جهانی مطرح می،شود برای موفقیت و رضایت بخشی افرادی که توانایی مطالعه آثار مکتوب را ندارند، در هر سه کتابخوان الکترونیکی یک چالش مهم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 بودن دسترسی های جهانی یا ویژگی های دسترس پذیری به عنوان بخشی از وظایف تجزیه و تحلیل قابلیت استفاده شرکت کنندگان آموزش دیدند تا ویژگی های دسترسی تعبیه شده هر کدام از کتاب خوان های الکترونیکی را که به طور خاص برای افرادی با معلولیت بینایی و دیگر افرادی که توانایی مطالعه آثار مکتوب را ندارند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آن ها کار خود را با بررسی ویژگی های </w:t>
      </w:r>
      <w:bookmarkStart w:id="409" w:name="pg9653_81842"/>
    </w:p>
    <w:p>
      <w:pPr>
        <w:pStyle w:val="BookText"/>
        <w:rPr/>
      </w:pPr>
      <w:bookmarkEnd w:id="409"/>
      <w:r>
        <w:rPr>
          <w:rFonts w:ascii="IRNazanin" w:hAnsi="IRNazanin" w:eastAsia="IRNazanin"/>
          <w:color w:val="111111"/>
          <w:sz w:val="28"/>
          <w:sz w:val="28"/>
          <w:szCs w:val="28"/>
          <w:rtl w:val="true"/>
          <w:lang w:bidi="fa-IR"/>
        </w:rPr>
        <w:t>مربوط به متن و ،چاپ از جمله توانایی تغییر اندازه متن و نوع سبک برای سهولت در خواندن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عملکردها برای کار با متن بر روی صفحه نمایش به نظر برای شرکت کنندگان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هم به این توافق رسیدند که هر کدام از کتاب خوان های الکترونیکی گزینه هایی را ارائه می 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اندازه قلم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قلم ها بین سریف و قلم اسکن سریف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رنگ قلم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کنتراست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متن سفید در زمینه تیره متن تیره در زمینه روشن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روشنایی صفحه نمایش برای سهولت در خواندن ای پد کیندل فایر و تبلت نوک نرخ برابری را برای آزمون عملکردهای دسترسی دریافت کردند و هیچ کدام از آن ها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دستگاه کتاب خوان الکترونیکی استفاده شده در این مطالعه رسانه دیداری بالایی دارند مملو از رنگ و تصویر هستند و برای افرادی که توانایی مطالعه آثار مکتوب را ندارند یک محیط مشکل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موضوع شامل ویژگی صدای بلند که در ای پد تعبیه شده صفحه را بلند می خواند و به افرادی که توانایی مطالعه آثار مکتوب را ندارند کمک می کند که در میان ایکون های برنامه های ،کاربردی کلیدها و صفحات ناوبری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کنند هیچ کدام از کیندل فایر و تبلت نوک ویژگی خواندن بلند را ندارند و کتاب خوان های الکترونیکی را برای افرادی که نابینا و کم بینا هستند غیر قابل دسترس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هر یک از دانش آموزان این را نقطه ضعفی برای استفاده افراد با اختلالات بینایی دانست یک گزارش نا امید کننده نشان داد که تمام این فناوری ها برای افرادی که دارای معلولیت بینایی هستند اندک است</w:t>
      </w:r>
    </w:p>
    <w:p>
      <w:pPr>
        <w:pStyle w:val="Heading3"/>
        <w:numPr>
          <w:ilvl w:val="2"/>
          <w:numId w:val="1"/>
        </w:numPr>
        <w:rPr/>
      </w:pPr>
      <w:bookmarkStart w:id="410" w:name="__RefHeading___Toc7766552_2870459653"/>
      <w:bookmarkStart w:id="411" w:name="_Toc151"/>
      <w:bookmarkEnd w:id="410"/>
      <w:r>
        <w:rPr>
          <w:rtl w:val="true"/>
        </w:rPr>
        <w:t>نتیجه گیری</w:t>
      </w:r>
      <w:bookmarkEnd w:id="411"/>
    </w:p>
    <w:p>
      <w:pPr>
        <w:pStyle w:val="BookText"/>
        <w:rPr/>
      </w:pPr>
      <w:r>
        <w:rPr>
          <w:rFonts w:ascii="IRNazanin" w:hAnsi="IRNazanin" w:eastAsia="IRNazanin"/>
          <w:color w:val="111111"/>
          <w:sz w:val="28"/>
          <w:sz w:val="28"/>
          <w:szCs w:val="28"/>
          <w:rtl w:val="true"/>
          <w:lang w:bidi="fa-IR"/>
        </w:rPr>
        <w:t>بدون ویژگی های دسترس پذیری، شامل صدای ،بلند کتاب خوان های الکترونیکی ارائه شده برای افرادی که توانایی مطالعه آثار مکتوب را ندارند، غیر قابل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کیندل فایر و تبلت نوک قابلیت های محدودی برای افرادی که بینایی اندکی ،دارند ارائه می دهد و توانایی دستکاری متن بر روی صفحه نمایش ممکن است به افرادی که دارای مشکلات یادگیری یا نارساخوانی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خوانش پرشی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کیندل فایر و تبلت نوک در دسترس افراد نابینا نیستند و این افراد برای دستکاری و ناوبری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یک فرد بینا نیاز خواهند داشت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پد تنها محصولی است که در این مطالعه مورد تجزیه و تحلیل قرار گرفته و طیف وسیعی از ویژگی های دسترسی جهانی برای کاربران ارائه می دهد اما محدودیت هایی برای قرار گرفتن پیوندهای مناسب برای تنظیمات جهت سفارشی کردن تنظیمات دسترسی دارد شرکت کنندگان در این مطالعه موافق هستند که اگر قابلیت ها می توانست بهبود یابد این کتاب خوان های الکترونیکی پتانسیلی برای </w:t>
      </w:r>
    </w:p>
    <w:p>
      <w:pPr>
        <w:pStyle w:val="BookText"/>
        <w:rPr/>
      </w:pPr>
      <w:r>
        <w:rPr>
          <w:rFonts w:ascii="IRNazanin" w:hAnsi="IRNazanin" w:eastAsia="IRNazanin"/>
          <w:color w:val="111111"/>
          <w:sz w:val="28"/>
          <w:sz w:val="28"/>
          <w:szCs w:val="28"/>
          <w:rtl w:val="true"/>
          <w:lang w:bidi="fa-IR"/>
        </w:rPr>
        <w:t>فائق آمدن بر موانع دسترسی دارند، اما با تکرار شرایط جاری این دستگاه ها فاقد دسترسی جهانی 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نقاط قوت و ضعف این سه کتاب خوان الکترونیکی یک دانش پایه برای نزدیک شدن به دومین مرحله این مطالعه را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این است که افراد با ناتوانایی مطالعه آثار مکتوب تحت فرایندی مشابه از تجزیه و تحلیل قابلیت استفاده قرار گیرند تا تعیین شود که آیا نقاط ضعف شناخته شده دانش آموزان بینا را می توان از طریق استفاده از فناوری تطبیقی مشخص کرد و از میان برداشت یا نه هر سه تا کتاب خوان های الکترونیکی قابلیت اتصال پورت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اس بی</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را که مترجمان بریل و خوانندگان صفحه نمایش برای اتصال به رایانه و دیگر دستگاه های قابل حمل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کتاب خوان های الکترونیکی با استفاده از مجموعه کارهای مشابه و پرسشنامه های به کار گرفته شده در مرحله نخست در مورد فناوری های انطباقی مورد آزمون قرار خواهد گرفت</w:t>
      </w:r>
      <w:r>
        <w:rPr>
          <w:rFonts w:eastAsia="IRNazanin" w:cs="IRNazanin"/>
          <w:color w:val="111111"/>
          <w:sz w:val="28"/>
          <w:szCs w:val="28"/>
          <w:rtl w:val="true"/>
          <w:lang w:bidi="fa-IR"/>
        </w:rPr>
        <w:t xml:space="preserve">. </w:t>
      </w:r>
      <w:bookmarkStart w:id="412" w:name="pg9653_81844"/>
    </w:p>
    <w:p>
      <w:pPr>
        <w:pStyle w:val="Heading2"/>
        <w:numPr>
          <w:ilvl w:val="1"/>
          <w:numId w:val="1"/>
        </w:numPr>
        <w:rPr/>
      </w:pPr>
      <w:bookmarkStart w:id="413" w:name="__RefHeading___Toc7766554_2870459653"/>
      <w:bookmarkStart w:id="414" w:name="_Toc152"/>
      <w:bookmarkEnd w:id="412"/>
      <w:bookmarkEnd w:id="413"/>
      <w:r>
        <w:rPr>
          <w:rtl w:val="true"/>
        </w:rPr>
        <w:t>چکیده</w:t>
      </w:r>
      <w:bookmarkEnd w:id="414"/>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سال های ،اخیر کتابخانه ملی فرانسه </w:t>
      </w:r>
      <w:r>
        <w:rPr>
          <w:rStyle w:val="FootnoteAnchor"/>
          <w:rtl w:val="true"/>
        </w:rPr>
        <w:footnoteReference w:id="561"/>
      </w:r>
      <w:r>
        <w:rPr>
          <w:rFonts w:ascii="IRNazanin" w:hAnsi="IRNazanin" w:eastAsia="IRNazanin"/>
          <w:color w:val="111111"/>
          <w:sz w:val="28"/>
          <w:sz w:val="28"/>
          <w:szCs w:val="28"/>
          <w:rtl w:val="true"/>
          <w:lang w:bidi="fa-IR"/>
        </w:rPr>
        <w:t>با استفاده از برنامه هایی که اولویت عمده ی آن ها بر رقومی سازی است، مجموعه ی رقومی وسیعی ساخته که به سرعت در حال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وضعیت بحرانی، بخش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اس سی</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که مسؤلیت هماهنگی بین رقومی سازی حفاظت فیزیکی را به عهده دارد می کوشد هزینه افول فعالیت در بخش حفاظت فیزیکی را با استفاده از دو شیوه حفاظت، به کمک نوع دیگر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ملزومات رقومی سازی به صورت انبوه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کلی تطبیق آن با شرایط حفاظت مطلوب برای مدارک اصلی کاری دشوار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فرانسه به طور چشمگیری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قراردادهای مدیریت شده توسط شرکت های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خود را، از رقومی سازی با هدف برجسته کردن مجموعه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رقومی سازی حفاظت </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به مفهوم واقعی معطوف نموده است کتابخانه در قراردادهایش خواستار این موارد است تأمین تجهیزات اسکن بدون آسیب رسانی، تصاویر و قالب های فایلی با کیفیت بالا ممنوعیت اسکن با زاویه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برای اکثر مدارک کنترل شرایط و ویژگی های مدارک قبل و بعد از رقومی سازی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فرانسه، رقومی سازی، حفاظت رقومی </w:t>
      </w:r>
      <w:bookmarkStart w:id="415" w:name="pg9653_81845"/>
    </w:p>
    <w:p>
      <w:pPr>
        <w:pStyle w:val="Heading2"/>
        <w:numPr>
          <w:ilvl w:val="1"/>
          <w:numId w:val="1"/>
        </w:numPr>
        <w:rPr/>
      </w:pPr>
      <w:bookmarkStart w:id="416" w:name="__RefHeading___Toc7766556_2870459653"/>
      <w:bookmarkStart w:id="417" w:name="_Toc153"/>
      <w:bookmarkEnd w:id="415"/>
      <w:bookmarkEnd w:id="416"/>
      <w:r>
        <w:rPr>
          <w:rtl w:val="true"/>
        </w:rPr>
        <w:t>یکپارچه سازی حفاظت فیزیکی و رقومی سازی</w:t>
      </w:r>
      <w:r>
        <w:rPr>
          <w:rtl w:val="true"/>
        </w:rPr>
        <w:t xml:space="preserve">: </w:t>
      </w:r>
      <w:r>
        <w:rPr>
          <w:rtl w:val="true"/>
        </w:rPr>
        <w:t>فرایندی مؤثر در کتابخانه ملی فرانسه</w:t>
      </w:r>
      <w:bookmarkEnd w:id="417"/>
    </w:p>
    <w:p>
      <w:pPr>
        <w:pStyle w:val="Heading3"/>
        <w:numPr>
          <w:ilvl w:val="2"/>
          <w:numId w:val="1"/>
        </w:numPr>
        <w:rPr/>
      </w:pPr>
      <w:bookmarkStart w:id="418" w:name="__RefHeading___Toc7766558_2870459653"/>
      <w:bookmarkStart w:id="419" w:name="_Toc154"/>
      <w:bookmarkEnd w:id="418"/>
      <w:r>
        <w:rPr>
          <w:rtl w:val="true"/>
        </w:rPr>
        <w:t>اشاره</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 سازی حفاظت فیزیکی و رقومی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فرایندی مؤثر در کتابخانه ملی فرانسه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نوشته فیلیپ والِس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زهرا جعفرزاده کرمانی، </w:t>
      </w:r>
      <w:r>
        <w:rPr>
          <w:rStyle w:val="FootnoteAnchor"/>
          <w:rtl w:val="true"/>
        </w:rPr>
        <w:footnoteReference w:id="566"/>
      </w:r>
      <w:r>
        <w:rPr>
          <w:rFonts w:ascii="IRNazanin" w:hAnsi="IRNazanin" w:eastAsia="IRNazanin"/>
          <w:color w:val="111111"/>
          <w:sz w:val="28"/>
          <w:sz w:val="28"/>
          <w:szCs w:val="28"/>
          <w:rtl w:val="true"/>
          <w:lang w:bidi="fa-IR"/>
        </w:rPr>
        <w:t xml:space="preserve">گیسو گمرکی </w:t>
      </w:r>
      <w:r>
        <w:rPr>
          <w:rStyle w:val="FootnoteAnchor"/>
          <w:rtl w:val="true"/>
        </w:rPr>
        <w:footnoteReference w:id="56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فیزیکی با توجه به رقومی سازی دامنه یکپارچه ای مرکب از حفاظت فیزیکی و رقومی سازی را ایجاد کردیم، به طوری که هر یک براساس دیگری قابل تشخیص باشد برای مثال رقومی سازی در قالب چارچوبی انجام شود که شرایط حفاظت مدارک اصلی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مدارک آسیب دیده باید شرایط فیزیکی مطلوب برای رقومی سازی داشته باشد دو کارگاه تخصصی برای آماده سازی روزنامه ها و کتاب های چاپی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مدارکی که چند سال پیش مرمت شده اند، برای رقومی سازی انتخاب می شوند و امروزه دیگر همه ی مدارکی که بواسطه رقومی سازی آسیب دیده اند مرمت نمی شوند از ابتدا مسئول طرح فوری کتابخانه ملی فرانسه سیاست های مدیریت ریسک را هم برای مجموعه های رقومی و هم برای مجموعه های فیزیکی هماهنگ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اخیرا افراد بجز موارد خاص بعد از رقومی سازی به اصل مدرک دسترسی نخواهد داشت</w:t>
      </w:r>
      <w:r>
        <w:rPr>
          <w:rFonts w:eastAsia="IRNazanin" w:cs="IRNazanin"/>
          <w:color w:val="111111"/>
          <w:sz w:val="28"/>
          <w:szCs w:val="28"/>
          <w:rtl w:val="true"/>
          <w:lang w:bidi="fa-IR"/>
        </w:rPr>
        <w:t xml:space="preserve">. </w:t>
      </w:r>
      <w:bookmarkStart w:id="420" w:name="pg9653_81846"/>
    </w:p>
    <w:p>
      <w:pPr>
        <w:pStyle w:val="BookText"/>
        <w:rPr/>
      </w:pPr>
      <w:bookmarkEnd w:id="420"/>
      <w:r>
        <w:rPr>
          <w:rFonts w:ascii="IRNazanin" w:hAnsi="IRNazanin" w:eastAsia="IRNazanin"/>
          <w:color w:val="111111"/>
          <w:sz w:val="28"/>
          <w:sz w:val="28"/>
          <w:szCs w:val="28"/>
          <w:rtl w:val="true"/>
          <w:lang w:bidi="fa-IR"/>
        </w:rPr>
        <w:t>از این معیارها یا طرح ها، بدون پنهان کردن گذشته و یا محدودیت ها طرحی کلی ارائه خواهد شد</w:t>
      </w:r>
      <w:r>
        <w:rPr>
          <w:rFonts w:eastAsia="IRNazanin" w:cs="IRNazanin"/>
          <w:color w:val="111111"/>
          <w:sz w:val="28"/>
          <w:szCs w:val="28"/>
          <w:rtl w:val="true"/>
          <w:lang w:bidi="fa-IR"/>
        </w:rPr>
        <w:t>.</w:t>
      </w:r>
    </w:p>
    <w:p>
      <w:pPr>
        <w:pStyle w:val="Heading3"/>
        <w:numPr>
          <w:ilvl w:val="2"/>
          <w:numId w:val="1"/>
        </w:numPr>
        <w:rPr/>
      </w:pPr>
      <w:bookmarkStart w:id="421" w:name="__RefHeading___Toc7766560_2870459653"/>
      <w:bookmarkStart w:id="422" w:name="_Toc155"/>
      <w:bookmarkEnd w:id="421"/>
      <w:r>
        <w:rPr/>
        <w:t>1</w:t>
      </w:r>
      <w:r>
        <w:rPr>
          <w:rtl w:val="true"/>
        </w:rPr>
        <w:t xml:space="preserve">. </w:t>
      </w:r>
      <w:r>
        <w:rPr>
          <w:rtl w:val="true"/>
        </w:rPr>
        <w:t>رقومی سازی به عنوان اولویت حفاظتی</w:t>
      </w:r>
      <w:r>
        <w:rPr>
          <w:rtl w:val="true"/>
        </w:rPr>
        <w:t>:</w:t>
      </w:r>
      <w:bookmarkEnd w:id="422"/>
    </w:p>
    <w:p>
      <w:pPr>
        <w:pStyle w:val="BookText"/>
        <w:rPr/>
      </w:pPr>
      <w:r>
        <w:rPr>
          <w:rFonts w:ascii="IRNazanin" w:hAnsi="IRNazanin" w:eastAsia="IRNazanin"/>
          <w:color w:val="111111"/>
          <w:sz w:val="28"/>
          <w:sz w:val="28"/>
          <w:szCs w:val="28"/>
          <w:rtl w:val="true"/>
          <w:lang w:bidi="fa-IR"/>
        </w:rPr>
        <w:t xml:space="preserve">در طول چند سال اخیر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برنامه های فشرده رقومی سازی بدون هیچ وقفه ای ادامه داشته است کتابخانه ملی فرانسه مجموعه رقومی وسیعی را فراهم آورده که اکنون نیز در حال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منبع در سال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رقومی فرانسه گالیکا، بیش از دو میلیون مدرک دارد، حجمی بیش از مگابایت و گیگابایت هدف رسمی کتابخانه ملی فرانسه، در حال حاضر دسترس پذیر کردن این بخش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پیوسته است و در صورتی که نتواند دسترسی به تمام آن ها را فراهم کند در جهت برجسته نمودن آن ها بکوشد؛ یا به جای توجه بیش از حد به حفاظت به منظور اشاعه ی آن به کشورهای دیگر از لحاظ فنی به سطح بالایی از کیفت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وضوح تصویری دی پی آی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تصاویری مشخص و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گذشته نخستین هدف راهبردی، ایجاد کتابخانه رقومی مرجع </w:t>
      </w:r>
      <w:r>
        <w:rPr>
          <w:rStyle w:val="FootnoteAnchor"/>
          <w:rtl w:val="true"/>
        </w:rPr>
        <w:footnoteReference w:id="569"/>
      </w:r>
      <w:r>
        <w:rPr>
          <w:rFonts w:ascii="IRNazanin" w:hAnsi="IRNazanin" w:eastAsia="IRNazanin"/>
          <w:color w:val="111111"/>
          <w:sz w:val="28"/>
          <w:sz w:val="28"/>
          <w:szCs w:val="28"/>
          <w:rtl w:val="true"/>
          <w:lang w:bidi="fa-IR"/>
        </w:rPr>
        <w:t>در سطح 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هزینه ی حفاظت رقومی به سرعت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انواع سند را در خود جای داده است که به تفاوت های قابل توجهی با یکدیگر دارد و متعهد هستیم برنامه های بیشتری برای حفاظت از آن ها طراحی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برنامه های رقومی سازی به خاطر کمبود بودجه تقریبا مورد بی توجهی قرار گرفته و در بودجه کتابخانه ملی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درآمد حاصل از مالیات مشخصی توسط مرکز ملی کتاب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وزارتخانه فرهنگ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به طور گسترده و منظم به این امر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اس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خدمات رقومی سازی تنها فردی است که فعالیت های رقومی سازی کتابخانه ملی فرانسه در حوزه های اداری و فنی را به عهده دارد مجموعه ای که اکنون رو به افزایش دارد</w:t>
      </w:r>
      <w:r>
        <w:rPr>
          <w:rFonts w:eastAsia="IRNazanin" w:cs="IRNazanin"/>
          <w:color w:val="111111"/>
          <w:sz w:val="28"/>
          <w:szCs w:val="28"/>
          <w:rtl w:val="true"/>
          <w:lang w:bidi="fa-IR"/>
        </w:rPr>
        <w:t>.</w:t>
      </w:r>
    </w:p>
    <w:p>
      <w:pPr>
        <w:pStyle w:val="Heading3"/>
        <w:numPr>
          <w:ilvl w:val="2"/>
          <w:numId w:val="1"/>
        </w:numPr>
        <w:rPr/>
      </w:pPr>
      <w:bookmarkStart w:id="423" w:name="__RefHeading___Toc7766562_2870459653"/>
      <w:bookmarkStart w:id="424" w:name="_Toc156"/>
      <w:bookmarkEnd w:id="423"/>
      <w:r>
        <w:rPr/>
        <w:t>2</w:t>
      </w:r>
      <w:r>
        <w:rPr>
          <w:rtl w:val="true"/>
        </w:rPr>
        <w:t xml:space="preserve">. </w:t>
      </w:r>
      <w:r>
        <w:rPr>
          <w:rtl w:val="true"/>
        </w:rPr>
        <w:t>وضعیت بحرانی در حفاظت فیزیکی</w:t>
      </w:r>
      <w:bookmarkEnd w:id="42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حفاظت فیزیکی به خاطر مشکلات اقتصادی با چالش بزرگی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سال اخیر بودجه به خاطر بحران اقتصادی و بدهی ملی دولت فرانسه به طور قابل توجهی کاهش یافته است</w:t>
      </w:r>
      <w:r>
        <w:rPr>
          <w:rFonts w:eastAsia="IRNazanin" w:cs="IRNazanin"/>
          <w:color w:val="111111"/>
          <w:sz w:val="28"/>
          <w:szCs w:val="28"/>
          <w:rtl w:val="true"/>
          <w:lang w:bidi="fa-IR"/>
        </w:rPr>
        <w:t xml:space="preserve">. </w:t>
      </w:r>
      <w:bookmarkStart w:id="425" w:name="pg9653_81847"/>
    </w:p>
    <w:p>
      <w:pPr>
        <w:pStyle w:val="BookText"/>
        <w:rPr/>
      </w:pPr>
      <w:bookmarkEnd w:id="425"/>
      <w:r>
        <w:rPr>
          <w:rFonts w:ascii="IRNazanin" w:hAnsi="IRNazanin" w:eastAsia="IRNazanin"/>
          <w:color w:val="111111"/>
          <w:sz w:val="28"/>
          <w:sz w:val="28"/>
          <w:szCs w:val="28"/>
          <w:rtl w:val="true"/>
          <w:lang w:bidi="fa-IR"/>
        </w:rPr>
        <w:t>شرایط در سال جاری بدتر شده و ممکن است این وضعیت چندین سال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بودجه ی مناسبی به مرمت صحافی و دیگر موارد مهم در حفاظت فیزیکی اختصاص یافته است، اما تاثیرات آن برای مردم محسوس نیست بنابراین فعالیت های کمی در حوزه حفاظت فیزیکی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عنوان مثال بین سال های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مدارکی که صحافی شده اند، از رقم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 مالی که کاهش کارکنان بخش حفاظت فیزیکی را به همراه داشته، بیشتر در کارگاه های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مرمت و میکروفیلم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مشاهده است در این کارگاه ها با بازنشستگی افراد نیروی جوان جایگزین آن نمی شود چون اکثر کارکنان بخش حفاظت در برنامه های رقومی سازی به خدمت گرفته می شوند، از این رو مدیریت بخش مجموعه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دسته بندی مدارک برای رقومی سازی براساس معیارهای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کاهش بودجه در حوزه های دیگر مثل نگهداری ساختمان تهویه هوای مطبوع، نظافت، امنیت، کامپیوترها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تضمین کننده محیط سالم و مدیریت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حفاظت فیزیکی و رقومی سازی تأثیر بسزایی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اس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است با همکاری بخش مجموعه سازی دی سی اُ</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که مسئول انتخاب و بررسی اسناد است افزایش بودجه و فعالیت در بخش رقومی سازی را به عنوان هدف اصلی خود در دستور کار قرار دهد راهبرد این است که علاوه بر اولویت دادن به رقومی ،سازی طوری برنامه ریزی کرد که تا حد امکان کاهش فعالیت های مربوط به حفاظت فیزیکی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استفاده از روش های حفاظت فیزیکی، رقومی سازی منابع آسیب دیده یا آسیب پذیر را آسان و ممکن می سازد</w:t>
      </w:r>
      <w:r>
        <w:rPr>
          <w:rFonts w:eastAsia="IRNazanin" w:cs="IRNazanin"/>
          <w:color w:val="111111"/>
          <w:sz w:val="28"/>
          <w:szCs w:val="28"/>
          <w:rtl w:val="true"/>
          <w:lang w:bidi="fa-IR"/>
        </w:rPr>
        <w:t>.</w:t>
      </w:r>
    </w:p>
    <w:p>
      <w:pPr>
        <w:pStyle w:val="Heading3"/>
        <w:numPr>
          <w:ilvl w:val="2"/>
          <w:numId w:val="1"/>
        </w:numPr>
        <w:rPr/>
      </w:pPr>
      <w:bookmarkStart w:id="426" w:name="__RefHeading___Toc7766564_2870459653"/>
      <w:bookmarkStart w:id="427" w:name="_Toc157"/>
      <w:bookmarkEnd w:id="426"/>
      <w:r>
        <w:rPr/>
        <w:t>3</w:t>
      </w:r>
      <w:r>
        <w:rPr>
          <w:rtl w:val="true"/>
        </w:rPr>
        <w:t xml:space="preserve">. </w:t>
      </w:r>
      <w:r>
        <w:rPr>
          <w:rtl w:val="true"/>
        </w:rPr>
        <w:t>به سوی حفاظت مطلوب رقومی</w:t>
      </w:r>
      <w:r>
        <w:rPr>
          <w:rtl w:val="true"/>
        </w:rPr>
        <w:t>:</w:t>
      </w:r>
      <w:bookmarkEnd w:id="4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رقومی سازی مجموعه کتابخانه به هر روشی که انجام شود، نباید جنبه های فنی آن مثلا انواع پویشگرها قالب های تشخیص کاراکترهای نوری یا تصاویر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داشت که در موارد زیادی مجموعه رقومی شده از اسناد اصلی در شکل های مختلف تهیه می شوند که شیوه نگهداری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با ارزش جزء میراث فرهنگی به شمار می روند که ارزش گذاری آن اغلب توسط مراجع قانونی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سپرده قانونی</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 کتابخانه ملی فرانسه این اتفاق افتاده است اسناد انتخاب شده برای رقومی سازی پس از تبدیل به صورت الکترونیکی برای اطمینان از این که ارزش اسنادی و میراث فرهنگی آن ها حفظ شده باشد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در موارد استثنائی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اقلامی که فقط برای رقومی سازی خریداری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ها باید برای مدت طولانی نگهداری شوند اگر از نسخه چاپی اولیه کتاب نسخه های دیگری موجود باشد، تمام این نسخه ها به عنوان میراث ارزشمند در نظر گرفته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کتابخانه ملی فرانسه، از زمان شروع برنامه های رقومی سازی، به طور شفاف بیان کرد که حفاظت مجموعه ها در اولویت است و نمی بایست تحت الشعاع رقومی سازی قرار گیرد تصاویری که با مستندسازی آسیب می بینند مشمول رقومی سازی نمی شوند حساسیت در حفاظت، حتی در برنامه هایی با سطحی وسیع تر، همیشه مهمتر از میزان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به طور واضح در قراردادهای منعقد شده توسط کتابخانه ملی فرانسه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ها زمانی ضروری تر می شود که رقومی سازی اسناد میراثی، به ویژه اسناد قدیمی آسیب پذیر و اسناد چند جلدی و بزرگ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پیشرفت فنی در صورتی که انواع مدل های اسکنر موجود به طور مناسب استفاده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کمبود کارشناس، کمبود توجه به اسناد یا سرعت اسکن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نوع اسنادی که باید رقومی شوند با پویشگرها تناسب نداشته باشد ممکن است برای مجموعه ها خطرناک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اسکنری متناسب با انواع سند هنوز موجود نیست اگر می خواهیم برنامه ای موفق شود، باید از قبل تبادل نظر و مشورت بین تمام بخش های درگیر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کتابخانه </w:t>
      </w:r>
      <w:r>
        <w:rPr>
          <w:rStyle w:val="FootnoteAnchor"/>
          <w:rtl w:val="true"/>
        </w:rPr>
        <w:footnoteReference w:id="574"/>
      </w:r>
      <w:r>
        <w:rPr>
          <w:rFonts w:ascii="IRNazanin" w:hAnsi="IRNazanin" w:eastAsia="IRNazanin"/>
          <w:color w:val="111111"/>
          <w:sz w:val="28"/>
          <w:sz w:val="28"/>
          <w:szCs w:val="28"/>
          <w:rtl w:val="true"/>
          <w:lang w:bidi="fa-IR"/>
        </w:rPr>
        <w:t xml:space="preserve">، مرمتگر </w:t>
      </w:r>
      <w:r>
        <w:rPr>
          <w:rStyle w:val="FootnoteAnchor"/>
          <w:rtl w:val="true"/>
        </w:rPr>
        <w:footnoteReference w:id="575"/>
      </w:r>
      <w:r>
        <w:rPr>
          <w:rFonts w:ascii="IRNazanin" w:hAnsi="IRNazanin" w:eastAsia="IRNazanin"/>
          <w:color w:val="111111"/>
          <w:sz w:val="28"/>
          <w:sz w:val="28"/>
          <w:szCs w:val="28"/>
          <w:rtl w:val="true"/>
          <w:lang w:bidi="fa-IR"/>
        </w:rPr>
        <w:t>و به ویژه 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تا روش های مدیریت و عکاسی و تجهیزاتی که باید استفاده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پویشگرها، کلاف های ویژه کتاب</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و همچنین شرایط فیزیکی مجموعه ها بررسی شوند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سه قرارداد رقومی سازی به صورت گسترده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اجرا شد، این گونه برداشت می شود که بخش حفاظت به عنوان مسئول مدیریت قراردادها باید آگاه باشد که اگر برنامه ها به طور مناسب و با دقت تهیه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از قبل بین تمامی سهامداران مطلع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 ملزومات رقومی سازی به صورت گسترده با حفاظت منابع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دشواری ها که کتابخانه ملی فرانسه در طول نخستین قراردادهای رقومی سازی با آن مواجه شده بود به ما نشان داد که تا چه اندازه همخوانی حفاظت با نوع مجموعه ها ضروری است اگر سرپرستان، مسئول مجموعه های برگشتی آسیب دیده باشند بعد از رقومی سازی و مشکلاتی که بین بخش های مختلف ایجاد شده است، </w:t>
      </w:r>
    </w:p>
    <w:p>
      <w:pPr>
        <w:pStyle w:val="BookText"/>
        <w:rPr/>
      </w:pPr>
      <w:r>
        <w:rPr>
          <w:rFonts w:ascii="IRNazanin" w:hAnsi="IRNazanin" w:eastAsia="IRNazanin"/>
          <w:color w:val="111111"/>
          <w:sz w:val="28"/>
          <w:sz w:val="28"/>
          <w:szCs w:val="28"/>
          <w:rtl w:val="true"/>
          <w:lang w:bidi="fa-IR"/>
        </w:rPr>
        <w:t>آن ها به فراهم آورندگان خدمات رقومی سازی اعتماد نمی کنند و خود نیز نسبت به رقومی سازی رغبتی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اسنادی را انتخاب می کنند که شرایط مطلوب برای رقومی سازی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سلسله مراتب قانونی برنامه را مشکل می سازد سرپرستان فراهم آورندگان خدمات خصوصی را مسؤول آسیب هایی می دانند که متوجه کتاب ها بعد از رقومی 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اسناد اصلی مورد بی توجهی قرار نگیرند و در زمان و بودجه صرفه جویی شود کتابخانه از میکروفیلم هایی که در دهه گذشته تهیه کرده بود استفاده کرد و قراردادهایی را برای رقومی سازی میکروفیلم ها و همچنین منابع اصلی خود تنظیم کرد اما نتایج همیشه در مورد میکروفیلم های قدیمی و اسناد رنگی، از کیفیت بالایی برخوردار نبوده است و به نظر می رسد در سال های اخیر به دلیل ملزومات فنی، شرایط نامناسب تر شده است در موارد زیادی، اسنادی رقومی می شوند که یا از قبل میکروفیلم شده باشند یا در شرایط ظاهری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پیش می آید که این اسناد برای دومین بار رقومی می شوند که خوشبختانه این اتفاق کمتر پیش می آید</w:t>
      </w:r>
    </w:p>
    <w:p>
      <w:pPr>
        <w:pStyle w:val="BookText"/>
        <w:rPr/>
      </w:pPr>
      <w:r>
        <w:rPr>
          <w:rFonts w:ascii="IRNazanin" w:hAnsi="IRNazanin" w:eastAsia="IRNazanin"/>
          <w:color w:val="111111"/>
          <w:sz w:val="28"/>
          <w:sz w:val="28"/>
          <w:szCs w:val="28"/>
          <w:rtl w:val="true"/>
          <w:lang w:bidi="fa-IR"/>
        </w:rPr>
        <w:t>بنابراین بخش حفاظت با همکاری بخش مجموعه ها در تلاش است که با سازماندهی فعالیت های رقومی ،سازی صدمات وارد شده به مجموعه ها را کاهش دهد و حتی از این فعالیت ها در جهت حفاظت از آن 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فرانسه برمبنای تجارب ده ساله اش در اعتماد به شرکت های خصوصی حاضر در برنامه های رقومی سازی، قوانینی وضع نموده است که کارکنانش و فراهم آورندگان خدمات، بتوانند بر اساس آن به اهداف خود برسند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لازم است به اقلام آسیب دیده، آسیب پذیر یا مدارک مرتبط با آن ها توجه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مسئله در دهه گذشته منجر به تولید دوباره میکروفیلم ها و میکروفیش 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صدد ایجاد مجموعه رقومی هستید لازم است به سرپرستان کتابخانه اطمینان داده شود که در این برنامه آسیبی به مدارک آن ها وارد نمی شود اکنون کارکنان کتابخانه ملی فرانسه به ملزومات حفاظت توجه دارند و می توانند ارزیابی های مرتبط با مرمت را در صورت لزوم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پذیرترین و با ارزش ترین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اسناد کاغذی 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 مجموعه سازی به کارگاه های رقومی سازی خود اعتماد می کند زیرا آن ها در گذشته امتحان خود را به خوبی پس داده اند و به این فرایند آشناتر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منابع آسیب دیده یا آسیب پذیر کنار گذاشته نمی شوند برای این که ظرفیت رقومی سازی بالاتر رود و دست نوشته ها و کتاب های چاپی با ارزش </w:t>
      </w:r>
      <w:r>
        <w:rPr>
          <w:rStyle w:val="FootnoteAnchor"/>
          <w:rtl w:val="true"/>
        </w:rPr>
        <w:footnoteReference w:id="577"/>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در این برنامه قرار گیرند، قوانینی تنظیم کرده است این قوانین فراهم آورندگان خدمات رقومی سازی را مجبور می کند فرایند رقومی سازی منابع را در سایت کتابخانه بارگذاری نمایند تا سرپرستان کتابخانه بتواند از نزدیک، فعالیت آن 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های داخلی و قراردادهای تنظیم شده، فقط بخش کوچکی از فعالیت های رقومی سازی کتابخانه ملی فرانسه را در مورد مجموعه های خاص نشان می دهد اکنون هدف اصلی گنجاندن اسناد آسیب دیده و آسیب پذیر در برنامه رقومی سازی به صورت گسترده است، اسنادی که قبلا از مجموعه کنار گذاشته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قراردادها شرکت های رقومی سازی را متعهد می کند که رقومی سازی منابع را با دقت انجام دهند در این قراردادها پیش نویس جریمه ها </w:t>
      </w:r>
      <w:r>
        <w:rPr>
          <w:rStyle w:val="FootnoteAnchor"/>
          <w:rtl w:val="true"/>
        </w:rPr>
        <w:footnoteReference w:id="578"/>
      </w:r>
      <w:r>
        <w:rPr>
          <w:rFonts w:ascii="IRNazanin" w:hAnsi="IRNazanin" w:eastAsia="IRNazanin"/>
          <w:color w:val="111111"/>
          <w:sz w:val="28"/>
          <w:sz w:val="28"/>
          <w:szCs w:val="28"/>
          <w:rtl w:val="true"/>
          <w:lang w:bidi="fa-IR"/>
        </w:rPr>
        <w:t>در صورت آسیب دیدن منابع بسته به نوع و میزان آسیب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فرستادن یک منبع برای رقومی سازی، شرایط ظاهری آن توسط کارمند بخش مجموعه سازی و حفاظت و فراهم کننده خدمات به طور مشترک بررسی و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مرمتگر فایل رایانه ای ایجاد شده را با منبع چاپی مربوط به آن مقایسه می کند تا بعد از برگشت منابع از رقومی سازی، اگر آسیبی مشاهده شد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آسیب در اثر رقومی سازی ایجاد شده بود صورت حسابی با جزئیات کامل برای فراهم کننده خدمات رقومی فرستاده می شود در انتهای نخستین دوره رقومی سازی به صورت گسترده در مورد کتاب های چاپی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جریمه های بدست آمده این امکان را فراهم کرد که به مدت یک سال صدها منبع آسیب دیده توسط مرمتگر متخصص مرمت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مسأله در قراردادهای جاری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آگاهانه می تواند به عنوان سیاست بازدارنده مکمل خوبی برای جریمه ها باشد در ابتدای برنامه های رقومی سازی، به طور گسترده به تعدادی از مرمتگرها و کارشناسان صحافی اداره حفاظت کتابخانه ملی فرانسه آموزش ویژه </w:t>
      </w:r>
      <w:r>
        <w:rPr>
          <w:rStyle w:val="FootnoteAnchor"/>
          <w:rtl w:val="true"/>
        </w:rPr>
        <w:footnoteReference w:id="579"/>
      </w:r>
      <w:r>
        <w:rPr>
          <w:rFonts w:ascii="IRNazanin" w:hAnsi="IRNazanin" w:eastAsia="IRNazanin"/>
          <w:color w:val="111111"/>
          <w:sz w:val="28"/>
          <w:sz w:val="28"/>
          <w:szCs w:val="28"/>
          <w:rtl w:val="true"/>
          <w:lang w:bidi="fa-IR"/>
        </w:rPr>
        <w:t xml:space="preserve">داده شد تا از آسیب رسانی به منابع جلوگیری شود و رقومی سازی نیز سریعتر انجام شود هدف این بود که با فراهم آوری ابزارهای لازم به فراهم آوران خدمات رقومی نیز در تصمیم گیری کمک شود تا با توجه به خصوصیات ظاهری ،مدرک از انواع تجهیزات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پویشگر</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استفاده کنند این آموزش به طور منظم به کارکنان کتابخانه ملی فرانسه و فراهم آوران خدمات رقومی که در انتخاب و مدیریت و بررسی شرایط ظاهری و رقومی سازی مدارک نقش دارند داده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به ظاهر ساده باعث تبادل اطلاعات بین کارکنان کتابخانه ملی فرانسه و فراهم آوران </w:t>
      </w:r>
      <w:bookmarkStart w:id="428" w:name="pg9653_81851"/>
    </w:p>
    <w:p>
      <w:pPr>
        <w:pStyle w:val="BookText"/>
        <w:rPr/>
      </w:pPr>
      <w:bookmarkEnd w:id="428"/>
      <w:r>
        <w:rPr>
          <w:rFonts w:ascii="IRNazanin" w:hAnsi="IRNazanin" w:eastAsia="IRNazanin"/>
          <w:color w:val="111111"/>
          <w:sz w:val="28"/>
          <w:sz w:val="28"/>
          <w:szCs w:val="28"/>
          <w:rtl w:val="true"/>
          <w:lang w:bidi="fa-IR"/>
        </w:rPr>
        <w:t>خدمات رقومی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آنان از سلامت اسناد اطمینان یابند ارتباط بین آن ها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اغلب به کمیت توجه می شود تا قانون های مدیریتی، لازم است آموزش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شرایط فیزیکی اسناد قبل و بعد از رقومی سازی و فعالیت های آموزشی توسط مرمتگران ماهر انجام می شود این امر در اطمینان بخشیدن به مدیران مجموعه ها و ایجاد ارتباط بین رقومی سازی و حفاظت فیزیکی، کمک شایانی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کارکنان کتابخانه ملی فرانسه توجه بیشتری به اسناد آسیب پذیر می کنند و این نکته را مد نظر دارند که درجه اسکن، از یک کتاب به کتاب دیگر متفاوت است شرایط رقومی سازی به شرح زیر مورد توجه است درجه پایین برای اسکن نسخه ها </w:t>
      </w:r>
      <w:r>
        <w:rPr>
          <w:rFonts w:eastAsia="IRNazanin" w:cs="IRNazanin"/>
          <w:color w:val="111111"/>
          <w:sz w:val="28"/>
          <w:szCs w:val="28"/>
          <w:rtl w:val="true"/>
          <w:lang w:bidi="fa-IR"/>
        </w:rPr>
        <w:t>(</w:t>
      </w:r>
      <w:r>
        <w:rPr>
          <w:rFonts w:eastAsia="IRNazanin" w:cs="IRNazanin"/>
          <w:color w:val="111111"/>
          <w:sz w:val="28"/>
          <w:szCs w:val="28"/>
          <w:lang w:bidi="fa-IR"/>
        </w:rPr>
        <w:t>120/110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 است و اکثر کتاب های مجموعه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رقومی نمی شوند بنابراین فراهم آوران خدمات رقومی سازی مجبورند کلاف های ویژه کتاب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امروزه از نظر هنری، رقومی سازی با اسکن زاویه جزئی آهسته تر و گران تر از رقومی سازی با اسکن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بنابراین خروجی با حجم زیاد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تشخیص رقومی سازی واقعی، مجبور به رعایت و توجه به ملزومات فنی هستیم زیرا رقومی سازی فایل ها باید تا حد ممکن معتبر باشد تا بتوان به بالاترین درجه ارزیابی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کارکنان، باید کیفیت خروجی فایل های رقومی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بخش حفاظت خدمات رقومی نیز که آموزش های ویژه دیده اند به طور مرتب بر کار شرکت های خصوصی نظارت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سیاهه ارزیابی دارند که براساس آن جزئیات را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فایل های الکترونی تولید شده به کتابخانه ملی فرانسه ارسال شده و به طور خودکار از لحاظ تصویری بررسی می شوند آخرین نظارت توسط سرپرست مجموعه و تیم مخصوص از دی اس سی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 که برای کاهش خطر از دست دادن منابع برنامه های خاصی با بالاترین سطح نظارت در مورد مخزن رقومی کتابخانه ملی فرانسه در نظر گرفته می شود تا از فایل های منابع رقومی شده حفاظت به عمل آید از این رو به دنبال طراحی برنامه هایی برای مخزن رقومی هستیم که به آسیب پذیری و بقای اسناد در آن توجه شده باشد</w:t>
      </w:r>
      <w:r>
        <w:rPr>
          <w:rFonts w:eastAsia="IRNazanin" w:cs="IRNazanin"/>
          <w:color w:val="111111"/>
          <w:sz w:val="28"/>
          <w:szCs w:val="28"/>
          <w:rtl w:val="true"/>
          <w:lang w:bidi="fa-IR"/>
        </w:rPr>
        <w:t>.</w:t>
      </w:r>
    </w:p>
    <w:p>
      <w:pPr>
        <w:pStyle w:val="Heading3"/>
        <w:numPr>
          <w:ilvl w:val="2"/>
          <w:numId w:val="1"/>
        </w:numPr>
        <w:rPr/>
      </w:pPr>
      <w:bookmarkStart w:id="429" w:name="__RefHeading___Toc7766566_2870459653"/>
      <w:bookmarkStart w:id="430" w:name="_Toc158"/>
      <w:bookmarkEnd w:id="429"/>
      <w:r>
        <w:rPr/>
        <w:t>4</w:t>
      </w:r>
      <w:r>
        <w:rPr>
          <w:rtl w:val="true"/>
        </w:rPr>
        <w:t xml:space="preserve">. </w:t>
      </w:r>
      <w:r>
        <w:rPr>
          <w:rtl w:val="true"/>
        </w:rPr>
        <w:t>در جهت حفاظت فیزیکی مرتبط با رقومی سازی</w:t>
      </w:r>
      <w:bookmarkEnd w:id="4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جدید استفاده از برنامه های رقومی،سازی در جهت حمایت هرچه بیشتر از حفاظت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قانونی آن این است که با استفاده از ابزارها و مهارت های حفاظت فیزیکی شرایط </w:t>
      </w:r>
    </w:p>
    <w:p>
      <w:pPr>
        <w:pStyle w:val="BookText"/>
        <w:rPr/>
      </w:pPr>
      <w:r>
        <w:rPr>
          <w:rFonts w:ascii="IRNazanin" w:hAnsi="IRNazanin" w:eastAsia="IRNazanin"/>
          <w:color w:val="111111"/>
          <w:sz w:val="28"/>
          <w:sz w:val="28"/>
          <w:szCs w:val="28"/>
          <w:rtl w:val="true"/>
          <w:lang w:bidi="fa-IR"/>
        </w:rPr>
        <w:t>رقومی سازی را آسانتر و کم خطرتر سازد و تعداد اسنادی که به دلیل شرایط ظاهری نامناسب نمی توانند دوباره تولید شوند،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فیزیکی که به طور مداوم در ارتباط با رقومی سازی صورت می گیرد، حفظ مجموعه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جریان یکپارچه ای از حفاظت فیزیکی و رقومی به طور مستقل و با توجه به شرایط ،یکدیگر فراهم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قبل از برگشت به ،انبار در کارگاه های داخلی یا شرکت های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همچنان در حال افزایش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اگرچه نه به طور منظم، اما بلافاصله بعد از بازتولید در جعبه ها یا قفسه ها گذاشته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محفظه ها برای حفاظت از اسناد است و از طریق مُهر یا علامتی خاص به روی آن، به عنوان نسخه رقومی، به عموم آگاهی رسانی می شود</w:t>
      </w:r>
    </w:p>
    <w:p>
      <w:pPr>
        <w:pStyle w:val="BookText"/>
        <w:rPr/>
      </w:pPr>
      <w:r>
        <w:rPr>
          <w:rFonts w:ascii="IRNazanin" w:hAnsi="IRNazanin" w:eastAsia="IRNazanin"/>
          <w:color w:val="111111"/>
          <w:sz w:val="28"/>
          <w:sz w:val="28"/>
          <w:szCs w:val="28"/>
          <w:rtl w:val="true"/>
          <w:lang w:bidi="fa-IR"/>
        </w:rPr>
        <w:t xml:space="preserve">در اکثر اوقات، اسنادی که به مرمت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مواردی که قبل از مرمت از دیگر اسناد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نمایش، رقومی می شوند، رقومی سازی به طور منظم برای حفظ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مواردی که اسناد را برای نمایشگاه امانت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به دلیل کمبود بودجه و نیروی انسانی از رقومی سازی به طور روزافزونی به منزله شیوه حفاظت جایگزین استفاده می شود این امر منجر به صرفه جویی در زمان و حفاظت های فیزیکی با هزینه های سنگین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رقومی سازی، اسناد دیگر مرمت نمی شوند، به جز مواردی که چندان ارزشمند نیستند و یا اسنادی که فراهم کنندگان خدمات خصوصی به آن ها آسیب زده اند امروزه اقلام آسیب دیده را فقط در جعبه های خاصی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گیری این روند و تحول آن است که با دسترسی به نسخه رقومی اسناد، رجوع به نسخه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وضعیت ظاهری مناسبی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نخواهد پذیرفت در مواردی استثنائی رجوع به اصل سند امکان پذیر خواهد شد و این تصمیم، آسیب های احتمالی به اسناد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عموما توسط افراد و کارکنان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 مهمترین گام هایی که در دو سه سال اخیر برداشته شده و روند رقومی سازی را در برنامه های داخلی و خارجی آسان می کند، اقدامات زیر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برای کاهش میزان آسیب ها در برنامه رقومی سازی گسترده، کتاب های چاپی و همچنین اسنادی که به دلیل آسیب پذیری یا وضعیت نامناسب نمی توانند گزینش شوند، اداره حفاظت کارگاه ویژه ای </w:t>
      </w:r>
      <w:r>
        <w:rPr>
          <w:rStyle w:val="FootnoteAnchor"/>
          <w:rtl w:val="true"/>
        </w:rPr>
        <w:footnoteReference w:id="581"/>
      </w:r>
      <w:r>
        <w:rPr>
          <w:rFonts w:ascii="IRNazanin" w:hAnsi="IRNazanin" w:eastAsia="IRNazanin"/>
          <w:color w:val="111111"/>
          <w:sz w:val="28"/>
          <w:sz w:val="28"/>
          <w:szCs w:val="28"/>
          <w:rtl w:val="true"/>
          <w:lang w:bidi="fa-IR"/>
        </w:rPr>
        <w:t xml:space="preserve">را ایجاد کرده است که دو نفر از کارکنان نیمه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مرمتگر ماهر و معاون کتابخانه که با صحافی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مدیریت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مرمت نمی کنند بلکه تعمیرات سریع برای انواعی </w:t>
      </w:r>
    </w:p>
    <w:p>
      <w:pPr>
        <w:pStyle w:val="BookText"/>
        <w:rPr/>
      </w:pPr>
      <w:r>
        <w:rPr>
          <w:rFonts w:ascii="IRNazanin" w:hAnsi="IRNazanin" w:eastAsia="IRNazanin"/>
          <w:color w:val="111111"/>
          <w:sz w:val="28"/>
          <w:sz w:val="28"/>
          <w:szCs w:val="28"/>
          <w:rtl w:val="true"/>
          <w:lang w:bidi="fa-IR"/>
        </w:rPr>
        <w:t xml:space="preserve">از کتاب ها انجام می شود تا برای اسکن کردن آماده گردند، کتاب ها یا نسخه های صحافی نشده مستحکم شده بروشورها دوخت و منگنه می شود و پارگی ها و بخش های آسیب دیده اصلاح می شود سال گذشته علاوه بر اسنادی که در کارگاه های کتابخانه ملی فرانسه ترمیم جزئی گردیده بودند بیش از دو هزار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اسناد رقومی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کارگاه فرمت یا آماده شدند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حفاظت روزنامه ها، شرایط مطلوب فیزیکی مجموعه ها قبل از رقومی سازی به تنهایی مفید نیست، اما ضروری است اکثر روزنامه ها که طی جمهوری سوم فرانسه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طلایی </w:t>
      </w:r>
      <w:r>
        <w:rPr>
          <w:rStyle w:val="FootnoteAnchor"/>
          <w:rtl w:val="true"/>
        </w:rPr>
        <w:footnoteReference w:id="582"/>
      </w:r>
      <w:r>
        <w:rPr>
          <w:rFonts w:ascii="IRNazanin" w:hAnsi="IRNazanin" w:eastAsia="IRNazanin"/>
          <w:color w:val="111111"/>
          <w:sz w:val="28"/>
          <w:sz w:val="28"/>
          <w:szCs w:val="28"/>
          <w:rtl w:val="true"/>
          <w:lang w:bidi="fa-IR"/>
        </w:rPr>
        <w:t xml:space="preserve">انتشارات فرانسه چاپ شدند در شرایط بسیار نامطلوبی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کاغذهای اسیدی و آسیب پذیر، برگه های تاشده به دلیل کمبود فضا در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ترمیم شوند تا شرایط رقومی سازی آن 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مرمت نمی کنیم بلکه تعمیری جزئی انجام می شود تا رقومی سازی آسان تر و با کیفیت بالا امکان پذیر گردد با توجه به اصل یکپارچگی اسناد، نحوه ی ترمیم به این صورت است که برگه های روزنامه ها با فشار گرمای بالای اتوهای برقی صاف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صفحات آسیب پذیر صاف کردن با استفاده از کاغذ فیلموپلَست </w:t>
      </w:r>
      <w:r>
        <w:rPr>
          <w:rStyle w:val="FootnoteAnchor"/>
          <w:rtl w:val="true"/>
        </w:rPr>
        <w:footnoteReference w:id="583"/>
      </w:r>
      <w:r>
        <w:rPr>
          <w:rFonts w:ascii="IRNazanin" w:hAnsi="IRNazanin" w:eastAsia="IRNazanin"/>
          <w:color w:val="111111"/>
          <w:sz w:val="28"/>
          <w:sz w:val="28"/>
          <w:szCs w:val="28"/>
          <w:rtl w:val="true"/>
          <w:lang w:bidi="fa-IR"/>
        </w:rPr>
        <w:t>به آسانی صورت می گیرد فیلموپلست کاغذی کنفی ده گرمی و چسبناک است که با گرم شدن، منجر به حفاظت طولانی مدت مدرک می شود و به آسانی نیز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امکان پذیر باشد این نوع ترمیم در مورد قسمت هایی از اسناد که آسیب بیشتری 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هایی که سند تا خورده حاشیه ها و قسمت هایی که سند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نوار باریک فیلموپلست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لازم است که یک طرف کاغذ، با استفاده از مسطره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فشار گرم و رول های باریکی از فیلم وپلست مستحکم شود تخمین زده می شود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روزنامه ها به ترمیم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صاف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خط گذاری کامل صفحات نیاز دارند وقتی روزنامه ای صحافی می شود، باز کردن صحافی جلدها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جلد و چسب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رقومی سازی و اسکن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ضروری است تمامی این امور، زمان 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چندین ثانیه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برای هر صفحه و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برداشتن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استحکام بخشیدن نیز هزینه بر است در سطح جهانی هزینه تمام شده رقومی سازی نشریات حدود سی درصد افزایش یافته است؛ با وجود این که توسط مرمت کاران ماهر نیز انجام نمی شود بلکه توسط معاونان کتابخانه که آموزش دیده اند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فرانسه کارگاهی چهار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نفر تمام وقت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است که حدود </w:t>
      </w:r>
      <w:r>
        <w:rPr>
          <w:rFonts w:eastAsia="IRNazanin" w:cs="IRNazanin"/>
          <w:color w:val="111111"/>
          <w:sz w:val="28"/>
          <w:szCs w:val="28"/>
          <w:lang w:bidi="fa-IR"/>
        </w:rPr>
        <w:t>112000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روزنامه را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کرده اند اما برای این که برنامه رقومی سازی گسترده برای مجموعه روزنامه ها انجام شود، ناچاریم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به خدمت گیریم</w:t>
      </w:r>
      <w:r>
        <w:rPr>
          <w:rFonts w:eastAsia="IRNazanin" w:cs="IRNazanin"/>
          <w:color w:val="111111"/>
          <w:sz w:val="28"/>
          <w:szCs w:val="28"/>
          <w:rtl w:val="true"/>
          <w:lang w:bidi="fa-IR"/>
        </w:rPr>
        <w:t xml:space="preserve">. </w:t>
      </w:r>
      <w:bookmarkStart w:id="431" w:name="pg9653_81854"/>
    </w:p>
    <w:p>
      <w:pPr>
        <w:pStyle w:val="BookText"/>
        <w:rPr/>
      </w:pPr>
      <w:bookmarkEnd w:id="431"/>
      <w:r>
        <w:rPr>
          <w:rFonts w:ascii="IRNazanin" w:hAnsi="IRNazanin" w:eastAsia="IRNazanin"/>
          <w:color w:val="111111"/>
          <w:sz w:val="28"/>
          <w:sz w:val="28"/>
          <w:szCs w:val="28"/>
          <w:rtl w:val="true"/>
          <w:lang w:bidi="fa-IR"/>
        </w:rPr>
        <w:t>بسیاری از فعالیت هایی که تاکنون ارائه گردیده است، توسط مرمت کاران ماهر یا کارکنانی که در مرمت اسناد صلاحیت لازم دارند انجام شده است با گسترش برنامه های رقومی سازی مختلف و گسترده واضح است که وجود کارگاهای مرمت در کنار آزمایشگاههای رقومی مفید و حتی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ضمن ارج نهادن به حفاظت کتاب ها توسط کارکنان و ارائه فعالیت آموزشی و توصیه های مفید ،آن ها کارگاه ها سهم بسیاری در موارد زیر ایفا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موفق برنامه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رقومی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نمودن گزینش اسناد و کاهش تعداد اقلامی که نمی تواند رقومی شود به منظور اطمینان بخشیدن به سرپرستان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رابطه بهتر بین گروه های مختلفی که اجرای برنامه ها را به عهده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آسیب های وارد شده به واسطه رقومی سازی</w:t>
      </w:r>
    </w:p>
    <w:p>
      <w:pPr>
        <w:pStyle w:val="BookText"/>
        <w:rPr/>
      </w:pPr>
      <w:r>
        <w:rPr>
          <w:rFonts w:ascii="IRNazanin" w:hAnsi="IRNazanin" w:eastAsia="IRNazanin"/>
          <w:color w:val="111111"/>
          <w:sz w:val="28"/>
          <w:sz w:val="28"/>
          <w:szCs w:val="28"/>
          <w:rtl w:val="true"/>
          <w:lang w:bidi="fa-IR"/>
        </w:rPr>
        <w:t>و مدیریت لازم</w:t>
      </w:r>
    </w:p>
    <w:p>
      <w:pPr>
        <w:pStyle w:val="BookText"/>
        <w:rPr/>
      </w:pPr>
      <w:r>
        <w:rPr>
          <w:rFonts w:ascii="IRNazanin" w:hAnsi="IRNazanin" w:eastAsia="IRNazanin"/>
          <w:color w:val="111111"/>
          <w:sz w:val="28"/>
          <w:sz w:val="28"/>
          <w:szCs w:val="28"/>
          <w:rtl w:val="true"/>
          <w:lang w:bidi="fa-IR"/>
        </w:rPr>
        <w:t>امروزه همزمان با شروع برنامه رقومی سازی، از یک مرمت کار استفاده می شود تا تمام افراد درگیر در حفاظت را آموزش دهد و کارگاهای آماده سازی را مدیریت کند برای کنترل و بررسی شرایط فیزیکی اسناد، تعیین میزان آسیب وارده و اطمینان از کاربردی بودن دستورالعمل ها مشاوره به عکاس ها و همکارانی که اسناد را گزینش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گرفته شد در سال های آینده برای دو کارگاه مرمت، از نیروی انسانی بیشتری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 کارگاه اختصاص داده شده که توضیح آن پیشتر ارائه گردید به طور تقریبی تمام کارگاه های مرمت اکنون بخش مهمی از وقت خود را به اسنادی اختصاص داده اند که برای رقومی سازی انتخاب شده اند یا رقومی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رقومی سازی، حفاظت فیزیکی کاملی را به همراه ندارد ورود کتابخانه ملی فرانسه به عصر رقومی سازی، فرصت ها و دورنماهایی جدید و گاهی متناقض برای کارگاه های مرمت فراهم می کند</w:t>
      </w:r>
      <w:r>
        <w:rPr>
          <w:rFonts w:eastAsia="IRNazanin" w:cs="IRNazanin"/>
          <w:color w:val="111111"/>
          <w:sz w:val="28"/>
          <w:szCs w:val="28"/>
          <w:rtl w:val="true"/>
          <w:lang w:bidi="fa-IR"/>
        </w:rPr>
        <w:t>.</w:t>
      </w:r>
    </w:p>
    <w:p>
      <w:pPr>
        <w:pStyle w:val="Heading3"/>
        <w:numPr>
          <w:ilvl w:val="2"/>
          <w:numId w:val="1"/>
        </w:numPr>
        <w:rPr/>
      </w:pPr>
      <w:bookmarkStart w:id="432" w:name="__RefHeading___Toc7766568_2870459653"/>
      <w:bookmarkStart w:id="433" w:name="_Toc159"/>
      <w:bookmarkEnd w:id="432"/>
      <w:r>
        <w:rPr/>
        <w:t>5</w:t>
      </w:r>
      <w:r>
        <w:rPr>
          <w:rtl w:val="true"/>
        </w:rPr>
        <w:t xml:space="preserve">. </w:t>
      </w:r>
      <w:r>
        <w:rPr>
          <w:rtl w:val="true"/>
        </w:rPr>
        <w:t>محدودیت ها و خطرها</w:t>
      </w:r>
      <w:bookmarkEnd w:id="43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مواردی که پیشتر توضیح داده شد، در وضعیت فعلی مهم نیست اما به تنهایی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توصیف تمام رویکردهای فعلی به منزله تحول مثبت و ایده آل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سیاست رقومی ،سازی گاهی ناگزیر از انتخاب روشی هستیم که بتوان آسیب های ایجاد شده در نتیجه فعالیت های حفاظت فیزیکی را کاهش داد این رویکردها با تهدیدهایی همراه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تصمیماتی که پیشتر توضیح داده شد یا اکنون اتخاذ می شود یا در مرحله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ها تغییر خاصی در اجرای اهداف برنامه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برجسته کردن و گستراندن مجموعه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موارد بویژه زمانی که تأکید بر حفاظت منابع است اقلامی که باز تولید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نگاشت های قدیمی و مجموعه 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انتخابی نیستند، زیرا به مجموعه مواد آسیب دیده در مجموعه کتابخانه ملی فرانسه تعلق ندارند بر عکس از آن جا که امروزه حامیان ما به نشر علاقه ای ،ندارند ما نیز برنامه های عمده رقومی سازی روزنامه هایی را که هنوز آسیب پذیرترین و پر تقاضاترین بخش مجموعه ها هستند مدیریت نمی کنیم از این رو تا کنون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مجموعه ی آسیب پذیر کتابخانه ملی فرانسه رقومی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اولویت ها و تعداد زیاد برنامه های رقومی سازی و کاهش فوق العاده کارکنان سبب شد تا افراد زیادی که قبلا مسؤلیت حفاظت فیزیکی را به عهده داشتند برای انجام امور مربوط به رقومی سازی به کار گرفته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بخشی از وقت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روند فعالیت های مربوط به حفاظت فیزیکی را کندتر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اتفاق می افتد که به دلیل کمبود افراد، برای گزینش مدارکی که نیاز به حفاظت دارند، بودجه ای صرف نمی شود بنابراین اگرچه رقومی سازی نقش مهمی در حفاظت مجموعه ها ایفا می کند اما حفاظت فیزیکی در دسترسی کارکنان به منابع، مشکل جدی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رغم تاثیرات مثبت برنامه های رقومی سازی و حتی برنامه های اصلی نمی تواند مانع بدتر شدن وضعیت مجموعه های فیزیکی شود که در اثر کاهش بیش از حد بودجه، مختص حفاظت فیزیکی ایجاد شده است برعکس، این وضعیت نامطلوب مدیریت برنامه ها را سخت تر و پرهزینه تر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دوام یا حداقل توسعه کامل گنجینه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ضمانت طولانی مدت فایل های رقومی را امکان پذیر می سازد مطمئن نیستیم زیرا اسپار با کاهش بودجه کتابخانه ملی فرانسه مواجه گردیده است در سال جاری نخستین بار است که این مسئله دامن گنجینه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ممکن است مشکلاتی در مدیریت و روحیه کارکنان ایجاد کند گرچه تعداد زیادی از کارکنان به تغیرات و فناوری های جدید علاقه دارند اما با تمرکز صرف بر رقومی سازی نیز موافق نیستند برخی معتقدند که در آینده، فرهنگ توجه به اسناد فیزیکی کمرنگ خواهد شد و از این ،پس کسی نخواهد توانست آن ها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مرمتگران به طور خاص فرایند رقومی سازی را باور ندارند زیرا به اموری که به آماده سازی یا تعمیرات فیزیکی طی فرایند رقومی سازی می پردازد، </w:t>
      </w:r>
      <w:bookmarkStart w:id="434" w:name="pg9653_81856"/>
    </w:p>
    <w:p>
      <w:pPr>
        <w:pStyle w:val="BookText"/>
        <w:rPr/>
      </w:pPr>
      <w:bookmarkEnd w:id="434"/>
      <w:r>
        <w:rPr>
          <w:rFonts w:ascii="IRNazanin" w:hAnsi="IRNazanin" w:eastAsia="IRNazanin"/>
          <w:color w:val="111111"/>
          <w:sz w:val="28"/>
          <w:sz w:val="28"/>
          <w:szCs w:val="28"/>
          <w:rtl w:val="true"/>
          <w:lang w:bidi="fa-IR"/>
        </w:rPr>
        <w:t>بی علاقه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صرف انرژی و تجربه بر کاری سطحی را ضروری نمی دانند همچنین ترس از این دارند که توجه به مرمت دقیق و موشکافانه مورد بی مهری قرار گیرد و موقعیت حرفه به خطر افتد در مرحله حساس و بحرانی، برای مدیران کتابخانه ملی فرانسه سخت خواهد بود که هم زمان مدیریت هر دو گروه را بر عهده گیرند و در عین حال درگیر طرح ها و برنامه های رقومی سازی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گروه ها نسبت به این روند تمایل ندارند و خود را قربانی این تصمیمات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تردیدها به دلیل ابهام برخی از گفتگوهای رسمی ادامه دارد افراد دریافتند که افزایش رقومی سازی و اسناد رقومی، می تواند کمبود ابزارهای مختص حفاظت فیزیکی را جبران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کاهش بودجه ظرف چندین سال ادامه یابد ترس از این هست که با کاهش نیروی انسانی و بودجه مواجه شویم و این احتمال هست که هماهنگی بین دو فعالیت، با تهدید جدی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به رقومی سازی بیش از اندازه بها داده شده که ممکن است منجر به تیرگی روابط گردد به این دلیل که مردم چندان با این موضوع موافق نیستند که اهمیت حفاظت فیزیکی تا حد یک فعالیت جانبی کاهش یابد و تبدیل به یک مکمل صرف رقومی سازی شود</w:t>
      </w:r>
      <w:r>
        <w:rPr>
          <w:rFonts w:eastAsia="IRNazanin" w:cs="IRNazanin"/>
          <w:color w:val="111111"/>
          <w:sz w:val="28"/>
          <w:szCs w:val="28"/>
          <w:rtl w:val="true"/>
          <w:lang w:bidi="fa-IR"/>
        </w:rPr>
        <w:t>.</w:t>
      </w:r>
    </w:p>
    <w:p>
      <w:pPr>
        <w:pStyle w:val="Heading3"/>
        <w:numPr>
          <w:ilvl w:val="2"/>
          <w:numId w:val="1"/>
        </w:numPr>
        <w:rPr/>
      </w:pPr>
      <w:bookmarkStart w:id="435" w:name="__RefHeading___Toc7766570_2870459653"/>
      <w:bookmarkStart w:id="436" w:name="_Toc160"/>
      <w:bookmarkEnd w:id="435"/>
      <w:r>
        <w:rPr/>
        <w:t>6</w:t>
      </w:r>
      <w:r>
        <w:rPr>
          <w:rtl w:val="true"/>
        </w:rPr>
        <w:t xml:space="preserve">. </w:t>
      </w:r>
      <w:r>
        <w:rPr>
          <w:rtl w:val="true"/>
        </w:rPr>
        <w:t>نتیجه گیری</w:t>
      </w:r>
      <w:bookmarkEnd w:id="436"/>
    </w:p>
    <w:p>
      <w:pPr>
        <w:pStyle w:val="BookText"/>
        <w:rPr/>
      </w:pPr>
      <w:r>
        <w:rPr>
          <w:rFonts w:ascii="IRNazanin" w:hAnsi="IRNazanin" w:eastAsia="IRNazanin"/>
          <w:color w:val="111111"/>
          <w:sz w:val="28"/>
          <w:sz w:val="28"/>
          <w:szCs w:val="28"/>
          <w:rtl w:val="true"/>
          <w:lang w:bidi="fa-IR"/>
        </w:rPr>
        <w:t>با وجود مشکلات ،موجود ارزیابی جهانی از این تحول، بی تردید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ابتدا بخش عظیمی از کارکنان فعالیتی با اولویتی فوق العاده را به عنوان یک برونداد نپذیرفتند، ولی رقومی سازی در سطحی گسترده جایگاه خود را در فعالیت های کتابخانه ملی فرانسه و در کنار حفاظت فیزیکی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درخور توجه و تقدیر از بخش حفاظت است، زیرا توانست یکپارچگی و هماهنگی بین دو فعالیت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فرهنگ شغلی و توانمندی های متفاوت، دریافته اند که ضمن درک متقابل، چگونه به دور از رعایت سلسه مراتب اداری، در کنار هم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فرهنگ مشترک در بستر نشست ها و کارگاه های آموزشی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غیر منتظره اما منطقی، رقومی سازی از یک سو، فعالیت ها و مسئولیت های جدیدی را برای متخصصان حفاظت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مرمت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و از سوی دیگر مسئولان کتابخانه ها به بررسی و ارزیابی شرایط فیزیکی اسناد و امکان سنجی رقومی سازی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این نتیجه رسیدیم که کارگاه های مرمت باید در کنار آزمایشگاه های رقومی سازی ایجاد شود و این کمکی بزرگ برای کتابخانه است که دیگر نگران کنار گذاشتن رقومی سازی در آینده نباشد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گنجینه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ویژگی های فیزیکی اسناد توجه ویژه می گردد با این هدف که </w:t>
      </w:r>
    </w:p>
    <w:p>
      <w:pPr>
        <w:pStyle w:val="BookText"/>
        <w:rPr/>
      </w:pPr>
      <w:r>
        <w:rPr>
          <w:rFonts w:ascii="IRNazanin" w:hAnsi="IRNazanin" w:eastAsia="IRNazanin"/>
          <w:color w:val="111111"/>
          <w:sz w:val="28"/>
          <w:sz w:val="28"/>
          <w:szCs w:val="28"/>
          <w:rtl w:val="true"/>
          <w:lang w:bidi="fa-IR"/>
        </w:rPr>
        <w:t>حفاظت پایدار و طولانی مدت اسناد تضمین گردد بی تردید آسیب های وارده ناشی از دسترسی عموم به اسناد، با ایجاد نسخه رقومی و استفاده از آن کاهش خواهد یافت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می توان گفت که رقومی سازی نقش بسیار مهمی در حفاظت مجموعه ایفا می کند و محافظت فیزیکی با هدف تسهیل رقومی سازی و حفاظت از اسناد در دستور کار قرار دارد البته هنوز گامی جدی برای یکپارچه کردن موارد آسیب دیده در فرایند رقومی سازی و ایجاد جایگاهی برای محافظت از این نوع اسناد در برنامه های رقومی سازی برداشته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برای روزنامه ها و نشریات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 یکپارچگی بین حفاظت فیزیکی و رقومی سازی می توانست به واسطه کاهش روز افزون و گسترده منابع مورد نیاز برای حفاظت، به مخاطره افتد و این امر تهدیدی برای تداوم رقومی سازی مجموعه های فرهنگی به شمار می رود </w:t>
      </w:r>
      <w:bookmarkStart w:id="437" w:name="pg9653_81858"/>
    </w:p>
    <w:p>
      <w:pPr>
        <w:pStyle w:val="Heading2"/>
        <w:numPr>
          <w:ilvl w:val="1"/>
          <w:numId w:val="1"/>
        </w:numPr>
        <w:rPr/>
      </w:pPr>
      <w:bookmarkStart w:id="438" w:name="__RefHeading___Toc7766572_2870459653"/>
      <w:bookmarkStart w:id="439" w:name="_Toc161"/>
      <w:bookmarkEnd w:id="437"/>
      <w:bookmarkEnd w:id="438"/>
      <w:r>
        <w:rPr>
          <w:rtl w:val="true"/>
        </w:rPr>
        <w:t>چکیده</w:t>
      </w:r>
      <w:bookmarkEnd w:id="439"/>
    </w:p>
    <w:p>
      <w:pPr>
        <w:pStyle w:val="BookText"/>
        <w:rPr/>
      </w:pPr>
      <w:r>
        <w:rPr>
          <w:rFonts w:ascii="IRNazanin" w:hAnsi="IRNazanin" w:eastAsia="IRNazanin"/>
          <w:color w:val="111111"/>
          <w:sz w:val="28"/>
          <w:sz w:val="28"/>
          <w:szCs w:val="28"/>
          <w:rtl w:val="true"/>
          <w:lang w:bidi="fa-IR"/>
        </w:rPr>
        <w:t xml:space="preserve">آزمایشگاه لاتينا </w:t>
      </w:r>
      <w:r>
        <w:rPr>
          <w:rStyle w:val="FootnoteAnchor"/>
          <w:rtl w:val="true"/>
        </w:rPr>
        <w:footnoteReference w:id="584"/>
      </w:r>
      <w:r>
        <w:rPr>
          <w:rFonts w:ascii="IRNazanin" w:hAnsi="IRNazanin" w:eastAsia="IRNazanin"/>
          <w:color w:val="111111"/>
          <w:sz w:val="28"/>
          <w:sz w:val="28"/>
          <w:szCs w:val="28"/>
          <w:rtl w:val="true"/>
          <w:lang w:bidi="fa-IR"/>
        </w:rPr>
        <w:t xml:space="preserve">واحد آموزش و توسعه آموزشی برای یادگیری الکترونیکی در مرکز آموزش و کتابخانه دانشگاه اُسلو </w:t>
      </w:r>
      <w:r>
        <w:rPr>
          <w:rStyle w:val="FootnoteAnchor"/>
          <w:rtl w:val="true"/>
        </w:rPr>
        <w:footnoteReference w:id="585"/>
      </w:r>
      <w:r>
        <w:rPr>
          <w:rFonts w:ascii="IRNazanin" w:hAnsi="IRNazanin" w:eastAsia="IRNazanin"/>
          <w:color w:val="111111"/>
          <w:sz w:val="28"/>
          <w:sz w:val="28"/>
          <w:szCs w:val="28"/>
          <w:rtl w:val="true"/>
          <w:lang w:bidi="fa-IR"/>
        </w:rPr>
        <w:t xml:space="preserve">و آکر شیس </w:t>
      </w:r>
      <w:r>
        <w:rPr>
          <w:rStyle w:val="FootnoteAnchor"/>
          <w:rtl w:val="true"/>
        </w:rPr>
        <w:footnoteReference w:id="58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امسال با کتابخانه دانشگاه ماکررا </w:t>
      </w:r>
      <w:r>
        <w:rPr>
          <w:rStyle w:val="FootnoteAnchor"/>
          <w:rtl w:val="true"/>
        </w:rPr>
        <w:footnoteReference w:id="587"/>
      </w:r>
      <w:r>
        <w:rPr>
          <w:rFonts w:ascii="IRNazanin" w:hAnsi="IRNazanin" w:eastAsia="IRNazanin"/>
          <w:color w:val="111111"/>
          <w:sz w:val="28"/>
          <w:sz w:val="28"/>
          <w:szCs w:val="28"/>
          <w:rtl w:val="true"/>
          <w:lang w:bidi="fa-IR"/>
        </w:rPr>
        <w:t>در کامپالای اوگاندا همکاری می کنیم تا یک کارگاه فشرده دو هفته ای برگزار نماییم با این کارگاه کتابخانه قادر خواهد بود انواع مشابهی از توسعه آموزش با منابع مربوط به خودشان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ما به طور خلاصه به نکاتی می پردازیم که از لاتینا درباره کتابخانه ها به عنوان مراکز آموزش الکترونیکی ماکر را به عنوان موردی واقعی آموخته ایم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الکترونیکی، کتابخانه های رقومی، آفریقای شرقی </w:t>
      </w:r>
      <w:bookmarkStart w:id="440" w:name="pg9653_81859"/>
    </w:p>
    <w:p>
      <w:pPr>
        <w:pStyle w:val="Heading2"/>
        <w:numPr>
          <w:ilvl w:val="1"/>
          <w:numId w:val="1"/>
        </w:numPr>
        <w:rPr/>
      </w:pPr>
      <w:bookmarkStart w:id="441" w:name="__RefHeading___Toc7766574_2870459653"/>
      <w:bookmarkStart w:id="442" w:name="_Toc162"/>
      <w:bookmarkEnd w:id="440"/>
      <w:bookmarkEnd w:id="441"/>
      <w:r>
        <w:rPr>
          <w:rtl w:val="true"/>
        </w:rPr>
        <w:t>کتابخانه های آفریقا به عنوان مراکز آموزش الکترونیکی</w:t>
      </w:r>
      <w:bookmarkEnd w:id="442"/>
    </w:p>
    <w:p>
      <w:pPr>
        <w:pStyle w:val="Heading3"/>
        <w:numPr>
          <w:ilvl w:val="2"/>
          <w:numId w:val="1"/>
        </w:numPr>
        <w:rPr/>
      </w:pPr>
      <w:bookmarkStart w:id="443" w:name="__RefHeading___Toc7766576_2870459653"/>
      <w:bookmarkStart w:id="444" w:name="_Toc163"/>
      <w:bookmarkEnd w:id="443"/>
      <w:r>
        <w:rPr>
          <w:rtl w:val="true"/>
        </w:rPr>
        <w:t>اشاره</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های آفریقا به عنوان مراکز آموزش الکترونیکی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نوشته تورد هُیوک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لاله جولاهی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بنین </w:t>
      </w:r>
      <w:r>
        <w:rPr>
          <w:rStyle w:val="FootnoteAnchor"/>
          <w:rtl w:val="true"/>
        </w:rPr>
        <w:footnoteReference w:id="591"/>
      </w:r>
      <w:r>
        <w:rPr>
          <w:rFonts w:ascii="IRNazanin" w:hAnsi="IRNazanin" w:eastAsia="IRNazanin"/>
          <w:color w:val="111111"/>
          <w:sz w:val="28"/>
          <w:sz w:val="28"/>
          <w:szCs w:val="28"/>
          <w:rtl w:val="true"/>
          <w:lang w:bidi="fa-IR"/>
        </w:rPr>
        <w:t>هفتمین کنفرانس منطقه ای در آموزش الکترونیکی در آفریقا را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اذعان کردند که پژوهش آموزش الکترونیکی اشتراک گذاری دانش یادگیری از طریق</w:t>
      </w:r>
    </w:p>
    <w:p>
      <w:pPr>
        <w:pStyle w:val="BookText"/>
        <w:rPr/>
      </w:pPr>
      <w:r>
        <w:rPr>
          <w:rFonts w:ascii="IRNazanin" w:hAnsi="IRNazanin" w:eastAsia="IRNazanin"/>
          <w:color w:val="111111"/>
          <w:sz w:val="28"/>
          <w:sz w:val="28"/>
          <w:szCs w:val="28"/>
          <w:rtl w:val="true"/>
          <w:lang w:bidi="fa-IR"/>
        </w:rPr>
        <w:t>عمل و نظارت مستمر و ارزیابی در سال های اخیر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دانشگاه ها بهبود عملکرد در این زمینه را نشان می دهند اما آموزش الکترونیکی نه تنها در آفریقا بلکه در تمام دنیا مراحل اولیه توسعه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پرسیدند که چگونه آموزش الکترونیکی از مدیریت تغییر، از جمله تغییرات سریع و ،مخرّب حمایت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برنامه ریزی پایدار برای طرح های آموزش الکترونیکی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برنامه های آموزش الکترونیکی مدیریت تغییر را در نظر می 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های سازگار تجربه شده با طرح های ابتکاری آموزش الکترونیکی چگونه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چارچوب های مفهومی و نظریه های در حال ظهوری وجود دارند که برنامه های آموزش الکترونیکی پایدار را با آن ها طراحی کنیم؟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چارچوب هایی در زمینه های مختلف در اقتصاد کشورهای توسعه یافته و در حال توسعه اعمال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الکترونیک آفریقا،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592"/>
      </w:r>
      <w:bookmarkStart w:id="445" w:name="pg9653_81860"/>
    </w:p>
    <w:p>
      <w:pPr>
        <w:pStyle w:val="BookText"/>
        <w:rPr/>
      </w:pPr>
      <w:bookmarkEnd w:id="445"/>
      <w:r>
        <w:rPr>
          <w:rFonts w:ascii="IRNazanin" w:hAnsi="IRNazanin" w:eastAsia="IRNazanin"/>
          <w:color w:val="111111"/>
          <w:sz w:val="28"/>
          <w:sz w:val="28"/>
          <w:szCs w:val="28"/>
          <w:rtl w:val="true"/>
          <w:lang w:bidi="fa-IR"/>
        </w:rPr>
        <w:t>این مقاله سعی دارد طرحی باشد که به این گونه پرسش ها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لاتینا آموزش الکترونیکی را به عنوان فرایندی بررسی می کنیم که فناوری ها، روش ها و مفاهیم جدید تدریس و آموزش را در همه زمان ها می پژوهد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دانش آموزان معلمان و سازمان هایی که می خواهند خودشان را با شیوه های جدید قریب الوقوع وب منطبق کنند تعامل داریم، تغییر سازمانی بخش اصلی این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لاتینا عهده دار یادگیری و تدریس </w:t>
      </w:r>
      <w:r>
        <w:rPr>
          <w:rStyle w:val="FootnoteAnchor"/>
          <w:rtl w:val="true"/>
        </w:rPr>
        <w:footnoteReference w:id="593"/>
      </w:r>
      <w:r>
        <w:rPr>
          <w:rFonts w:ascii="IRNazanin" w:hAnsi="IRNazanin" w:eastAsia="IRNazanin"/>
          <w:color w:val="111111"/>
          <w:sz w:val="28"/>
          <w:sz w:val="28"/>
          <w:szCs w:val="28"/>
          <w:rtl w:val="true"/>
          <w:lang w:bidi="fa-IR"/>
        </w:rPr>
        <w:t>در دنیای رقومی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آموزش این دوره را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اسلو پایه ریزی کرده ایم اما با گروه های بین المللی مربی و دانش آموزان خودمان در انگلستان کار می کنیم پیوند با آفریقا از همان آغاز شروع شد سه شرکت کننده در دوره اول از دانشگاه نیل اولیا </w:t>
      </w:r>
      <w:r>
        <w:rPr>
          <w:rStyle w:val="FootnoteAnchor"/>
          <w:rtl w:val="true"/>
        </w:rPr>
        <w:footnoteReference w:id="594"/>
      </w:r>
      <w:r>
        <w:rPr>
          <w:rFonts w:ascii="IRNazanin" w:hAnsi="IRNazanin" w:eastAsia="IRNazanin"/>
          <w:color w:val="111111"/>
          <w:sz w:val="28"/>
          <w:sz w:val="28"/>
          <w:szCs w:val="28"/>
          <w:rtl w:val="true"/>
          <w:lang w:bidi="fa-IR"/>
        </w:rPr>
        <w:t xml:space="preserve">در مالاکای سودان جنوبی </w:t>
      </w:r>
      <w:r>
        <w:rPr>
          <w:rStyle w:val="FootnoteAnchor"/>
          <w:rtl w:val="true"/>
        </w:rPr>
        <w:footnoteReference w:id="595"/>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امسال در حال انجام دو دوره تابستانی یکی در اسلو و یکی در کامپالا </w:t>
      </w:r>
      <w:r>
        <w:rPr>
          <w:rStyle w:val="FootnoteAnchor"/>
          <w:rtl w:val="true"/>
        </w:rPr>
        <w:footnoteReference w:id="596"/>
      </w:r>
      <w:r>
        <w:rPr>
          <w:rFonts w:ascii="IRNazanin" w:hAnsi="IRNazanin" w:eastAsia="IRNazanin"/>
          <w:color w:val="111111"/>
          <w:sz w:val="28"/>
          <w:sz w:val="28"/>
          <w:szCs w:val="28"/>
          <w:rtl w:val="true"/>
          <w:lang w:bidi="fa-IR"/>
        </w:rPr>
        <w:t>در کتابخانه دانشگاه ماکر را هستیم در دوره ای که در کامپالا برگزار می شود، از شش کشور شرق آفریقا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همچنین با کمک مولیب </w:t>
      </w:r>
      <w:r>
        <w:rPr>
          <w:rStyle w:val="FootnoteAnchor"/>
          <w:rtl w:val="true"/>
        </w:rPr>
        <w:footnoteReference w:id="597"/>
      </w:r>
      <w:r>
        <w:rPr>
          <w:rFonts w:ascii="IRNazanin" w:hAnsi="IRNazanin" w:eastAsia="IRNazanin"/>
          <w:color w:val="111111"/>
          <w:sz w:val="28"/>
          <w:sz w:val="28"/>
          <w:szCs w:val="28"/>
          <w:rtl w:val="true"/>
          <w:lang w:bidi="fa-IR"/>
        </w:rPr>
        <w:t>كتابخانه دانشگاه ماكررا یک واحد آموزش رقومی در این دانشگاه راه اندازی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،طرح توانمند کردن کتابخانه و شرکت کنندگان آفریقایی برای ارائه انواع مشابهی از آموزش است که در آینده در موسسات مربوط به خود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 طور خلاصه می کوشیم آن چه را که از لاتینا در مورد کتابخانه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مراکز آموزش الکترونیکی با تمرکز بر اوگاندا و شرق 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ایم بیان کنیم</w:t>
      </w:r>
      <w:r>
        <w:rPr>
          <w:rFonts w:eastAsia="IRNazanin" w:cs="IRNazanin"/>
          <w:color w:val="111111"/>
          <w:sz w:val="28"/>
          <w:szCs w:val="28"/>
          <w:rtl w:val="true"/>
          <w:lang w:bidi="fa-IR"/>
        </w:rPr>
        <w:t>.</w:t>
      </w:r>
    </w:p>
    <w:p>
      <w:pPr>
        <w:pStyle w:val="Heading3"/>
        <w:numPr>
          <w:ilvl w:val="2"/>
          <w:numId w:val="1"/>
        </w:numPr>
        <w:rPr/>
      </w:pPr>
      <w:bookmarkStart w:id="446" w:name="__RefHeading___Toc7766578_2870459653"/>
      <w:bookmarkStart w:id="447" w:name="_Toc164"/>
      <w:bookmarkEnd w:id="446"/>
      <w:r>
        <w:rPr>
          <w:rtl w:val="true"/>
        </w:rPr>
        <w:t>فناوری های مخرب</w:t>
      </w:r>
      <w:bookmarkEnd w:id="4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ها از دنیای مبتنی بر کاغذ به سوی دنیای مبتنی بر فناوری رقومی در حال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نخست جایگزینی </w:t>
      </w:r>
      <w:r>
        <w:rPr>
          <w:rStyle w:val="FootnoteAnchor"/>
          <w:rtl w:val="true"/>
        </w:rPr>
        <w:footnoteReference w:id="5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پردازها جای نوشتن و پست الکترونیکی جای نامه 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مدرسان عادت داشتند از نمایشگر اورهد </w:t>
      </w:r>
      <w:r>
        <w:rPr>
          <w:rStyle w:val="FootnoteAnchor"/>
          <w:rtl w:val="true"/>
        </w:rPr>
        <w:footnoteReference w:id="599"/>
      </w:r>
      <w:r>
        <w:rPr>
          <w:rFonts w:ascii="IRNazanin" w:hAnsi="IRNazanin" w:eastAsia="IRNazanin"/>
          <w:color w:val="111111"/>
          <w:sz w:val="28"/>
          <w:sz w:val="28"/>
          <w:szCs w:val="28"/>
          <w:rtl w:val="true"/>
          <w:lang w:bidi="fa-IR"/>
        </w:rPr>
        <w:t xml:space="preserve">استفاده کنند اما اکنون از نمایشگر ویدیویی و نرم افزار ارائه مطالب </w:t>
      </w:r>
      <w:r>
        <w:rPr>
          <w:rStyle w:val="FootnoteAnchor"/>
          <w:rtl w:val="true"/>
        </w:rPr>
        <w:footnoteReference w:id="600"/>
      </w:r>
      <w:r>
        <w:rPr>
          <w:rFonts w:ascii="IRNazanin" w:hAnsi="IRNazanin" w:eastAsia="IRNazanin"/>
          <w:color w:val="111111"/>
          <w:sz w:val="28"/>
          <w:sz w:val="28"/>
          <w:szCs w:val="28"/>
          <w:rtl w:val="true"/>
          <w:lang w:bidi="fa-IR"/>
        </w:rPr>
        <w:t>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نوشتن، ارتباطات و ارائه آن با سرعت بالاتری صورت می پذیرد اما کار سازماندهی مانند قبل باقی مانده است</w:t>
      </w:r>
      <w:r>
        <w:rPr>
          <w:rFonts w:eastAsia="IRNazanin" w:cs="IRNazanin"/>
          <w:color w:val="111111"/>
          <w:sz w:val="28"/>
          <w:szCs w:val="28"/>
          <w:rtl w:val="true"/>
          <w:lang w:bidi="fa-IR"/>
        </w:rPr>
        <w:t xml:space="preserve">. </w:t>
      </w:r>
      <w:bookmarkStart w:id="448" w:name="pg9653_81861"/>
    </w:p>
    <w:p>
      <w:pPr>
        <w:pStyle w:val="BookText"/>
        <w:rPr/>
      </w:pPr>
      <w:bookmarkEnd w:id="448"/>
      <w:r>
        <w:rPr>
          <w:rFonts w:ascii="IRNazanin" w:hAnsi="IRNazanin" w:eastAsia="IRNazanin"/>
          <w:color w:val="111111"/>
          <w:sz w:val="28"/>
          <w:sz w:val="28"/>
          <w:szCs w:val="28"/>
          <w:rtl w:val="true"/>
          <w:lang w:bidi="fa-IR"/>
        </w:rPr>
        <w:t xml:space="preserve">گام دوم جدا سازی </w:t>
      </w:r>
      <w:r>
        <w:rPr>
          <w:rStyle w:val="FootnoteAnchor"/>
          <w:rtl w:val="true"/>
        </w:rPr>
        <w:footnoteReference w:id="6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های ویژه به نام آزمایشگاه رایانه راه اندازی شده است دوره های جداگانه برای فعالیت های رقومی در برنامه کلاس ها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برای تدریس موضوعات مرتبط با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مدرسان داده ها و معلمان حوزه فناوری 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سی تی</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استخدام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جداگانه ای برای خدمات شبکه های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رایانه، فناوری اطلاعات و ارتباطات 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محیط تدریس و یادگیری از هم منفک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های سنتی آموزش و یادگیری مانند گذشته ادامه دارد در مکان های رقومی روش های جدید کار آزمایش و اجرا می شوند روش های قدیمی و جدید در کنار هم در اتاقهای جداگانه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سازمانی از نظر ذهنی و فیزیکی آموزش و فناوری را از هم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سوم ادغام </w:t>
      </w:r>
      <w:r>
        <w:rPr>
          <w:rStyle w:val="FootnoteAnchor"/>
          <w:rtl w:val="true"/>
        </w:rPr>
        <w:footnoteReference w:id="603"/>
      </w:r>
      <w:r>
        <w:rPr>
          <w:rFonts w:ascii="IRNazanin" w:hAnsi="IRNazanin" w:eastAsia="IRNazanin"/>
          <w:color w:val="111111"/>
          <w:sz w:val="28"/>
          <w:sz w:val="28"/>
          <w:szCs w:val="28"/>
          <w:rtl w:val="true"/>
          <w:lang w:bidi="fa-IR"/>
        </w:rPr>
        <w:t>است در این مرحله دستگاه های قابل حمل مانند لپ تاپ ها، تبلت ها و گوشی های هوشمند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معلمان و دانش آموزان رایانه های شخصی دارند دسترسی به اینترنت در همه جا و در هر زمان امکان پذیر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وب طیف گسترده ای از آموزش را جهت ارائه مواد آموزشی برای مطالعه آزمایش و گذر در حوزه های مجازی ارائه می دهد در این نقطه روش های آموزش شروع به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رقومی جایگزین رسانه های کاغذی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و دانش آموزان فرم های رقومی را به کار می گیرند تغییر و تحول اغلب باعث آشفتگی می شود اقتصاددانان و مورخان در مورد فناوری های مخرب </w:t>
      </w:r>
      <w:r>
        <w:rPr>
          <w:rStyle w:val="FootnoteAnchor"/>
          <w:rtl w:val="true"/>
        </w:rPr>
        <w:footnoteReference w:id="604"/>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گرم نقش شوالیه ها را نابود کرد مطبوعات چاپی نخستین رسانه 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و جزوه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روشن نسخه های خطی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بخار، اسب های بادپا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سوییچ های بزرگ ،برق زندگی را در خانه و کار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سی تی به همان اندازه می تواند زندگی را مختل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فرایند واقعی از این تغییر می تواند کاملا دردآور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روش های آموزشی جدید در آموزش عالی یک فرایند پیچیده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روی تجربه معتقدیم که کتابخانه ها آزادی عمل بیشتری برای آزمایش نسبت به برنامه های عادی یافتند</w:t>
      </w:r>
      <w:r>
        <w:rPr>
          <w:rFonts w:eastAsia="IRNazanin" w:cs="IRNazanin"/>
          <w:color w:val="111111"/>
          <w:sz w:val="28"/>
          <w:szCs w:val="28"/>
          <w:rtl w:val="true"/>
          <w:lang w:bidi="fa-IR"/>
        </w:rPr>
        <w:t>.</w:t>
      </w:r>
    </w:p>
    <w:p>
      <w:pPr>
        <w:pStyle w:val="Heading3"/>
        <w:numPr>
          <w:ilvl w:val="2"/>
          <w:numId w:val="1"/>
        </w:numPr>
        <w:rPr/>
      </w:pPr>
      <w:bookmarkStart w:id="449" w:name="__RefHeading___Toc7766580_2870459653"/>
      <w:bookmarkStart w:id="450" w:name="_Toc165"/>
      <w:bookmarkEnd w:id="449"/>
      <w:r>
        <w:rPr>
          <w:rtl w:val="true"/>
        </w:rPr>
        <w:t>آزمایشگاه لاتینا</w:t>
      </w:r>
      <w:bookmarkEnd w:id="4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آزمایشگاه لاتینا واحد آموزش و توسعه آموزش الکترونیکی است که داخل کتابخانه قرار دارد کتابخانه به دانشکده علوم کاربردی دانشگاه اسلو و آکرشاس در نروژ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رسمی آن کتابخانه و </w:t>
      </w:r>
    </w:p>
    <w:p>
      <w:pPr>
        <w:pStyle w:val="BookText"/>
        <w:rPr/>
      </w:pPr>
      <w:r>
        <w:rPr>
          <w:rFonts w:ascii="IRNazanin" w:hAnsi="IRNazanin" w:eastAsia="IRNazanin"/>
          <w:color w:val="111111"/>
          <w:sz w:val="28"/>
          <w:sz w:val="28"/>
          <w:szCs w:val="28"/>
          <w:rtl w:val="true"/>
          <w:lang w:bidi="fa-IR"/>
        </w:rPr>
        <w:t>مرکز آموزش است که علاقه شان به فرایند آموزشی را نشان می دهد چهار سال پیش کالج نخستین مدرسه تابستانی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سه هفته ای برای دانش آموزان بین المللی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تجربی مدرسه این فرصت را به ما داد که رویکرد جدیدی به تدریس و آموزش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ما با مشارکت هم و با همه توان دوره آموزشی رقومی فشرده و تولید محوری را برای افرادی که می خواهند امکانات آموزشی وب را بررسی و شناسایی کنند طراحی کردند ما در این تابستان نخستین دوره لاتینا را با شرکت کنندگان چینی اروپایی و افریقایی برگزار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آغاز به کار کردیم، آزمایشگاه تجارب گسترده ای برای آموزش الکترونیکی کتابخانه ای کسب نموده است ما دوره هایی از یک هفته تا یک ترم در کلاس های بین المللی به کتابداران، دانشجویان کتابداری و اساتید دانشگاه در اسلو فنلاند چین و فلسطین ارائه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پیوند با آفریقا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شد هنگامی که مدیر کتابخانه دانشگاه ماکررا دکتر ماريا موسوک </w:t>
      </w:r>
      <w:r>
        <w:rPr>
          <w:rStyle w:val="FootnoteAnchor"/>
          <w:rtl w:val="true"/>
        </w:rPr>
        <w:footnoteReference w:id="605"/>
      </w:r>
      <w:r>
        <w:rPr>
          <w:rFonts w:ascii="IRNazanin" w:hAnsi="IRNazanin" w:eastAsia="IRNazanin"/>
          <w:color w:val="111111"/>
          <w:sz w:val="28"/>
          <w:sz w:val="28"/>
          <w:szCs w:val="28"/>
          <w:rtl w:val="true"/>
          <w:lang w:bidi="fa-IR"/>
        </w:rPr>
        <w:t>از اسلو و آزمایشگاه لاتینا بازدید کرد او تصمیم گرفت که یکی از کتابداران ارشد خود را به دوره تابستانی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سه دوره دیگر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آموزش ها مورد قدردانی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ناماگاندا </w:t>
      </w:r>
      <w:r>
        <w:rPr>
          <w:rStyle w:val="FootnoteAnchor"/>
          <w:rtl w:val="true"/>
        </w:rPr>
        <w:footnoteReference w:id="606"/>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مولیب در دوره های فناوری اطلاعات شبیه دوره لاتینا، در اسلو حضور داشتند و این دوره ها در کسب مهارت های مناسب فعالیت کتابخانه ایشان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کتابداران در بخش افریقانا، آلبوم مولیب در پیکاسا، اسلایدهای روز آمد شده کاربران، ویدئو آموزشی درباره اوپک </w:t>
      </w:r>
      <w:r>
        <w:rPr>
          <w:rStyle w:val="FootnoteAnchor"/>
          <w:rtl w:val="true"/>
        </w:rPr>
        <w:footnoteReference w:id="607"/>
      </w:r>
      <w:r>
        <w:rPr>
          <w:rFonts w:ascii="IRNazanin" w:hAnsi="IRNazanin" w:eastAsia="IRNazanin"/>
          <w:color w:val="111111"/>
          <w:sz w:val="28"/>
          <w:sz w:val="28"/>
          <w:szCs w:val="28"/>
          <w:rtl w:val="true"/>
          <w:lang w:bidi="fa-IR"/>
        </w:rPr>
        <w:t xml:space="preserve">در یوتیوب </w:t>
      </w:r>
      <w:r>
        <w:rPr>
          <w:rStyle w:val="FootnoteAnchor"/>
          <w:rtl w:val="true"/>
        </w:rPr>
        <w:footnoteReference w:id="608"/>
      </w:r>
      <w:r>
        <w:rPr>
          <w:rFonts w:ascii="IRNazanin" w:hAnsi="IRNazanin" w:eastAsia="IRNazanin"/>
          <w:color w:val="111111"/>
          <w:sz w:val="28"/>
          <w:sz w:val="28"/>
          <w:szCs w:val="28"/>
          <w:rtl w:val="true"/>
          <w:lang w:bidi="fa-IR"/>
        </w:rPr>
        <w:t>را که به طور مرتب روزآمد می شد ایجاد کردند جالب ترین کار، تهیه داستانی مصور از تصاویر واحدهای کتابخانه ها بود که بر روی یوتیوب بارگذاری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دوره لاتینا در اوگاندا بخشی از یک فرایند بسیار گسترده تر را تشکیل می دهد کتابخانه ها و دانشگاه ها در سراسر جهان در حال تغییر هستند و شیوه های جدیدی از طریق کانال های مختلف در حال گسترش می باشند و ما داریم به یک دریا آب اضافه می کنیم در لاتینا ما به همکاری نزدیک و عملی تأکید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مربی از اسلو و چهار نفر از کارمندان مولیب هستند که در دوره ای که در اسلو از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شرکت داشتند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دیگر از کامپالا به تیم ملحق خواهند شد نسبت بالای مربیان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فرایند یادگیری را بیشتر می نماید انتقال دانش در گروه کارکنان نیز حیاتی است</w:t>
      </w:r>
      <w:r>
        <w:rPr>
          <w:rFonts w:eastAsia="IRNazanin" w:cs="IRNazanin"/>
          <w:color w:val="111111"/>
          <w:sz w:val="28"/>
          <w:szCs w:val="28"/>
          <w:rtl w:val="true"/>
          <w:lang w:bidi="fa-IR"/>
        </w:rPr>
        <w:t xml:space="preserve">. </w:t>
      </w:r>
      <w:bookmarkStart w:id="451" w:name="pg9653_81863"/>
    </w:p>
    <w:p>
      <w:pPr>
        <w:pStyle w:val="BookText"/>
        <w:rPr/>
      </w:pPr>
      <w:bookmarkEnd w:id="451"/>
      <w:r>
        <w:rPr>
          <w:rFonts w:ascii="IRNazanin" w:hAnsi="IRNazanin" w:eastAsia="IRNazanin"/>
          <w:color w:val="111111"/>
          <w:sz w:val="28"/>
          <w:sz w:val="28"/>
          <w:szCs w:val="28"/>
          <w:rtl w:val="true"/>
          <w:lang w:bidi="fa-IR"/>
        </w:rPr>
        <w:t xml:space="preserve">لاتینا کتابخانه ها و آموزش الکترونیکی را یکپارچه کرده است تیم پشت پرده لاتینا شامل هلیه هیوک </w:t>
      </w:r>
      <w:r>
        <w:rPr>
          <w:rStyle w:val="FootnoteAnchor"/>
          <w:rtl w:val="true"/>
        </w:rPr>
        <w:footnoteReference w:id="609"/>
      </w:r>
      <w:r>
        <w:rPr>
          <w:rFonts w:ascii="IRNazanin" w:hAnsi="IRNazanin" w:eastAsia="IRNazanin"/>
          <w:color w:val="111111"/>
          <w:sz w:val="28"/>
          <w:sz w:val="28"/>
          <w:szCs w:val="28"/>
          <w:rtl w:val="true"/>
          <w:lang w:bidi="fa-IR"/>
        </w:rPr>
        <w:t xml:space="preserve">، لارس ایگلن </w:t>
      </w:r>
      <w:r>
        <w:rPr>
          <w:rStyle w:val="FootnoteAnchor"/>
          <w:rtl w:val="true"/>
        </w:rPr>
        <w:footnoteReference w:id="610"/>
      </w:r>
      <w:r>
        <w:rPr>
          <w:rFonts w:ascii="IRNazanin" w:hAnsi="IRNazanin" w:eastAsia="IRNazanin"/>
          <w:color w:val="111111"/>
          <w:sz w:val="28"/>
          <w:sz w:val="28"/>
          <w:szCs w:val="28"/>
          <w:rtl w:val="true"/>
          <w:lang w:bidi="fa-IR"/>
        </w:rPr>
        <w:t xml:space="preserve">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هُیوک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هلیه کسی که اتفاقی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تدریس روش های رقومی را از اوایل دهه نود با او دارم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 ام به دلیل این که موسسه ای این چنین، آموزش الکترونیکی را با مطالعات و برنامه های خود یکپارچه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به عنوان مدرّس کتابخانه، توسعه دهنده و جستجوگر سال های زیادی کار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 ،ما لارس ایگلن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مدیر کتابخانه دانشگاه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یک مرکز آموزشی بر مبنای راهبرد گسترده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ظرفیت توسعه، برای انجام دوره های آموزش الکترونیکی توسط کتابخانه امیدوار کننده به نظر می رسید روش لاتینا مبتنی بر سخنرانی نیست بلکه دانش آموزان بر فعالیت های گروهی و تولیدی تمرکز دارند آزمایشگاه دوره های فشرده تدریس و روش های ویژه یادگیری را بر پایه وضعیت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روند در حال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فناوری و ارتباطات کاربرگرای توسعه نمایش و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کار گروهی بین معلمان و دانش آموزان تأکید داریم و بطور کلی از نرم افزارهای رایگان که کاربرد گسترده دارند، استفاده می کنیم اصول کار ما بر اساس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و چند رسانه ای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ای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منابع را به وسیله انواع دستگاه ها مانند رایانه های قابل حمل، تبلت های لمسی و گوشی های همراه، دسترس پذیر تولید، ویرایش و اصلاح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موادی را که قبلا و در طول دوره ها توسعه داده ایم، به طور معمول با مجوز سی سی </w:t>
      </w:r>
      <w:r>
        <w:rPr>
          <w:rStyle w:val="FootnoteAnchor"/>
          <w:rtl w:val="true"/>
        </w:rPr>
        <w:footnoteReference w:id="611"/>
      </w:r>
      <w:r>
        <w:rPr>
          <w:rFonts w:ascii="IRNazanin" w:hAnsi="IRNazanin" w:eastAsia="IRNazanin"/>
          <w:color w:val="111111"/>
          <w:sz w:val="28"/>
          <w:sz w:val="28"/>
          <w:szCs w:val="28"/>
          <w:rtl w:val="true"/>
          <w:lang w:bidi="fa-IR"/>
        </w:rPr>
        <w:t>بر روی وب منتشر شده اند و با اطمینان کامل در کتابخانه های دانشگاهی مستقر کرده ایم</w:t>
      </w:r>
      <w:r>
        <w:rPr>
          <w:rFonts w:eastAsia="IRNazanin" w:cs="IRNazanin"/>
          <w:color w:val="111111"/>
          <w:sz w:val="28"/>
          <w:szCs w:val="28"/>
          <w:rtl w:val="true"/>
          <w:lang w:bidi="fa-IR"/>
        </w:rPr>
        <w:t>.</w:t>
      </w:r>
    </w:p>
    <w:p>
      <w:pPr>
        <w:pStyle w:val="Heading3"/>
        <w:numPr>
          <w:ilvl w:val="2"/>
          <w:numId w:val="1"/>
        </w:numPr>
        <w:rPr/>
      </w:pPr>
      <w:bookmarkStart w:id="452" w:name="__RefHeading___Toc7766582_2870459653"/>
      <w:bookmarkStart w:id="453" w:name="_Toc166"/>
      <w:bookmarkEnd w:id="452"/>
      <w:r>
        <w:rPr>
          <w:rtl w:val="true"/>
        </w:rPr>
        <w:t>بسته لاتینا</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لاتینا </w:t>
      </w:r>
      <w:r>
        <w:rPr>
          <w:rStyle w:val="FootnoteAnchor"/>
          <w:rtl w:val="true"/>
        </w:rPr>
        <w:footnoteReference w:id="6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همه مدارس و دانشگاه ها فناوری های مربوط به مقالات چاپ و نوشتن را رایگان به کاربران ارائه می دهند ما احساس می کنیم که آموزش و پرورش نیاز به یکپارچه کردن وب در یک روش مشابه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سرعت و ارتباط پایدار وب دارند، دسترسی سریع به وبگاه عادی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ما در نروژ فنلاند و چین از طریق وب می تواند قابل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مناطق آفریقا این مورد صادق نیست دسترسی به سرعت به ویژه از طریق خدمات مبتنی بر تلفن همراه در حال گسترش است</w:t>
      </w:r>
      <w:r>
        <w:rPr>
          <w:rFonts w:eastAsia="IRNazanin" w:cs="IRNazanin"/>
          <w:color w:val="111111"/>
          <w:sz w:val="28"/>
          <w:szCs w:val="28"/>
          <w:rtl w:val="true"/>
          <w:lang w:bidi="fa-IR"/>
        </w:rPr>
        <w:t xml:space="preserve">. </w:t>
      </w:r>
      <w:bookmarkStart w:id="454" w:name="pg9653_81864"/>
    </w:p>
    <w:p>
      <w:pPr>
        <w:pStyle w:val="BookText"/>
        <w:rPr/>
      </w:pPr>
      <w:bookmarkEnd w:id="454"/>
      <w:r>
        <w:rPr>
          <w:rFonts w:ascii="IRNazanin" w:hAnsi="IRNazanin" w:eastAsia="IRNazanin"/>
          <w:color w:val="111111"/>
          <w:sz w:val="28"/>
          <w:sz w:val="28"/>
          <w:szCs w:val="28"/>
          <w:rtl w:val="true"/>
          <w:lang w:bidi="fa-IR"/>
        </w:rPr>
        <w:t>اما برای پنج سال آینده ما نیاز به رویکردی داریم که به ما این اجازه را بدهد که از منابع فوق العاده تحت وب در حداقل شرایط ایده آل استفاده کنیم دوره کامپالا بر این اساس تأسیس خواهد شد که ما آن را بسته لاتینا می نامیم</w:t>
      </w:r>
    </w:p>
    <w:p>
      <w:pPr>
        <w:pStyle w:val="BookText"/>
        <w:rPr/>
      </w:pPr>
      <w:r>
        <w:rPr>
          <w:rFonts w:ascii="IRNazanin" w:hAnsi="IRNazanin" w:eastAsia="IRNazanin"/>
          <w:color w:val="111111"/>
          <w:sz w:val="28"/>
          <w:sz w:val="28"/>
          <w:szCs w:val="28"/>
          <w:rtl w:val="true"/>
          <w:lang w:bidi="fa-IR"/>
        </w:rPr>
        <w:t xml:space="preserve">این بدان معنی است که ما همه منابع دوره را به صورت برنامه های وبلاگ چند کاربره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پرس</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 یک سرور کوچک قابل حمل ذخیره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اسپات </w:t>
      </w:r>
      <w:r>
        <w:rPr>
          <w:rStyle w:val="FootnoteAnchor"/>
          <w:rtl w:val="true"/>
        </w:rPr>
        <w:footnoteReference w:id="614"/>
      </w:r>
      <w:r>
        <w:rPr>
          <w:rFonts w:ascii="IRNazanin" w:hAnsi="IRNazanin" w:eastAsia="IRNazanin"/>
          <w:color w:val="111111"/>
          <w:sz w:val="28"/>
          <w:sz w:val="28"/>
          <w:szCs w:val="28"/>
          <w:rtl w:val="true"/>
          <w:lang w:bidi="fa-IR"/>
        </w:rPr>
        <w:t xml:space="preserve">محلی را راه اندازی کردیم و روتر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جعبه قرار دادیم، تا دانش آموزان و معلمان بتوانند منابع روی سِرور را با ابزارهای رقومی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رایانه شخصی قابل حمل </w:t>
      </w:r>
      <w:r>
        <w:rPr>
          <w:rStyle w:val="FootnoteAnchor"/>
          <w:rtl w:val="true"/>
        </w:rPr>
        <w:footnoteReference w:id="616"/>
      </w:r>
      <w:r>
        <w:rPr>
          <w:rFonts w:ascii="IRNazanin" w:hAnsi="IRNazanin" w:eastAsia="IRNazanin"/>
          <w:color w:val="111111"/>
          <w:sz w:val="28"/>
          <w:sz w:val="28"/>
          <w:szCs w:val="28"/>
          <w:rtl w:val="true"/>
          <w:lang w:bidi="fa-IR"/>
        </w:rPr>
        <w:t>، تبلت ها و گوشی هوشمند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دسترسی به وب، گاه و بی گاه امکان پذیر خواهد شد ما از وب جدا نخواهیم شد و می توانیم در هر زمان، بارگیری </w:t>
      </w:r>
      <w:r>
        <w:rPr>
          <w:rStyle w:val="FootnoteAnchor"/>
          <w:rtl w:val="true"/>
        </w:rPr>
        <w:footnoteReference w:id="618"/>
      </w:r>
      <w:r>
        <w:rPr>
          <w:rFonts w:ascii="IRNazanin" w:hAnsi="IRNazanin" w:eastAsia="IRNazanin"/>
          <w:color w:val="111111"/>
          <w:sz w:val="28"/>
          <w:sz w:val="28"/>
          <w:szCs w:val="28"/>
          <w:rtl w:val="true"/>
          <w:lang w:bidi="fa-IR"/>
        </w:rPr>
        <w:t xml:space="preserve">و یا بارگذاری </w:t>
      </w:r>
      <w:r>
        <w:rPr>
          <w:rStyle w:val="FootnoteAnchor"/>
          <w:rtl w:val="true"/>
        </w:rPr>
        <w:footnoteReference w:id="619"/>
      </w:r>
      <w:r>
        <w:rPr>
          <w:rFonts w:ascii="IRNazanin" w:hAnsi="IRNazanin" w:eastAsia="IRNazanin"/>
          <w:color w:val="111111"/>
          <w:sz w:val="28"/>
          <w:sz w:val="28"/>
          <w:szCs w:val="28"/>
          <w:rtl w:val="true"/>
          <w:lang w:bidi="fa-IR"/>
        </w:rPr>
        <w:t>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می توانیم فعالیت های تحت وب را در کامپالا، اوگاندا و بیشتر آفریقا 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توسعه فعالیت های ما طراحی منابع آموزشی مانند متن، تصویر ویدیو است که با ابزارهای متعدد دسترس پذیر خواهند بود یادگیرنده ها دانش آموزان و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اندرکاران دسترسی به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حوزه های کاریشان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محیط دانشگاه چه خارج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امکانات دسترسی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به طور تلویحی می تواند برای کتابداران مدارس معلمان ،روستایی کارگران و پرستاران محلی نیز قابل 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گذشته قیمت های تجهیزات به سرعت کاهش یافته لذا این رویکرد از رایانه ها و سرورهای قدیمی گران تر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کازومونی،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620"/>
      </w:r>
    </w:p>
    <w:p>
      <w:pPr>
        <w:pStyle w:val="Heading3"/>
        <w:numPr>
          <w:ilvl w:val="2"/>
          <w:numId w:val="1"/>
        </w:numPr>
        <w:rPr/>
      </w:pPr>
      <w:bookmarkStart w:id="455" w:name="__RefHeading___Toc7766584_2870459653"/>
      <w:bookmarkStart w:id="456" w:name="_Toc167"/>
      <w:bookmarkEnd w:id="455"/>
      <w:r>
        <w:rPr>
          <w:rtl w:val="true"/>
        </w:rPr>
        <w:t>آموزش رقومی</w:t>
      </w:r>
      <w:bookmarkEnd w:id="45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و پرورش در مدارس و دانشگاه های ما با ترکیبی از آموزش شفاهی و منابع چاپی و دست نوشته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ها نقشه ها ،پوسترها یادداشت ها و تخته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شده بود </w:t>
      </w:r>
      <w:r>
        <w:rPr>
          <w:rFonts w:eastAsia="IRNazanin" w:cs="IRNazanin"/>
          <w:color w:val="111111"/>
          <w:sz w:val="28"/>
          <w:szCs w:val="28"/>
          <w:rtl w:val="true"/>
          <w:lang w:bidi="fa-IR"/>
        </w:rPr>
        <w:t xml:space="preserve">. </w:t>
      </w:r>
      <w:bookmarkStart w:id="457" w:name="pg9653_81865"/>
    </w:p>
    <w:p>
      <w:pPr>
        <w:pStyle w:val="BookText"/>
        <w:rPr/>
      </w:pPr>
      <w:bookmarkEnd w:id="457"/>
      <w:r>
        <w:rPr>
          <w:rFonts w:ascii="IRNazanin" w:hAnsi="IRNazanin" w:eastAsia="IRNazanin"/>
          <w:color w:val="111111"/>
          <w:sz w:val="28"/>
          <w:sz w:val="28"/>
          <w:szCs w:val="28"/>
          <w:rtl w:val="true"/>
          <w:lang w:bidi="fa-IR"/>
        </w:rPr>
        <w:t xml:space="preserve">می توان گفت که این منابع متعلق به کهکشان گوتنبرگ </w:t>
      </w:r>
      <w:r>
        <w:rPr>
          <w:rStyle w:val="FootnoteAnchor"/>
          <w:rtl w:val="true"/>
        </w:rPr>
        <w:footnoteReference w:id="621"/>
      </w:r>
      <w:r>
        <w:rPr>
          <w:rFonts w:ascii="IRNazanin" w:hAnsi="IRNazanin" w:eastAsia="IRNazanin"/>
          <w:color w:val="111111"/>
          <w:sz w:val="28"/>
          <w:sz w:val="28"/>
          <w:szCs w:val="28"/>
          <w:rtl w:val="true"/>
          <w:lang w:bidi="fa-IR"/>
        </w:rPr>
        <w:t>یا دورهای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آموزشی و یادگیری براساس منابع چاپی و کاغذی طی پانصد سال گذشته گسترش بسیار یافته است آن ها همچنین سطح وسیعی از آفریقا را به همان کیفیت اروپا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ما نیز به محیط های رسانه ای مختلف دسترسی داریم وب جهان گستر که تنها بیست سال از عمر آن می گذرد همیشه در منابع یادگیری و آموزشی غنی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این منابع رقومی اغلب کمتر توسعه یافته و رسمی بوده و نسبت به مواد چاپی که ما به آن عادت کرده ایم، ثبات کمتری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 جدید سیال ترند و کمتر از محیط های قدیمی ثبات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جوان هرگز دنیای بدون وب را تجربه نکرده اند آن ها فرهنگ و خدمات وب را به صورت رایگان می پذیرند با این حال، بسیاری از معلمان احساس راحتی بیشتری با دوره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گوتنبرگ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جهانی که در آن رشد کرده اند و جهانی که ما در آن به مرحله مهارت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یا در آینده ای نزدیک وب در هر جا که باشیم ما را احاطه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وب قسمتی از سبک زندگی ما خواهد بود در آفریقا گرایش زیادی برای ارتباط از طریق تلفن همراه و مودم های مبتنی بر خط 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اتصال با 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در مناطق شهری دسترسی عمومی از طریق کافی نت ها و کتابخانه 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طور حتم نقش بزرگی نسبت به آن چه در غرب است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الگوهای مشابهی در بخش های بیشتری از آفریقا و آمریکای لاتین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بیسیم با سرعتی بیشتر از کابل ها در حال گسترش هستند در همایش کشور ،بنین آموزش توسط تلفن همراه یک موضوع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باند عموما در جنوب کمتر 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سرعت دسترسی در حال افزایش است اما در جنوب احتمالا با تاخیر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عقب تر از غرب روبرو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وقتی ما برنامه ریزی برای آموزش الکترونیکی در آفریقا را داریم ، برای حفظ آن باید این منابع و شرایط اجتماعی را در نظر داشته باشیم</w:t>
      </w:r>
      <w:r>
        <w:rPr>
          <w:rFonts w:eastAsia="IRNazanin" w:cs="IRNazanin"/>
          <w:color w:val="111111"/>
          <w:sz w:val="28"/>
          <w:szCs w:val="28"/>
          <w:rtl w:val="true"/>
          <w:lang w:bidi="fa-IR"/>
        </w:rPr>
        <w:t>.</w:t>
      </w:r>
    </w:p>
    <w:p>
      <w:pPr>
        <w:pStyle w:val="Heading3"/>
        <w:numPr>
          <w:ilvl w:val="2"/>
          <w:numId w:val="1"/>
        </w:numPr>
        <w:rPr/>
      </w:pPr>
      <w:bookmarkStart w:id="458" w:name="__RefHeading___Toc7766586_2870459653"/>
      <w:bookmarkStart w:id="459" w:name="_Toc168"/>
      <w:bookmarkEnd w:id="458"/>
      <w:r>
        <w:rPr>
          <w:rtl w:val="true"/>
        </w:rPr>
        <w:t>ارتباطات افقی</w:t>
      </w:r>
      <w:bookmarkEnd w:id="45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کهکشان گوتنبرگ یا عصر چاپ با کلمات چاپ شده حکمفرماست عکس ها، نقشه ها، نمودارها و جداول چاپی با مشکل تولید بیشتر روبرو هستند و آن ها گرایش به متون کلامی و شفاهی دارند در وب رسانه های غیر شفاهی برجسته تر می نمایند دوربین های رقومی و دستگاه های ضبط ویدیویی خیلی ارزان و آسان برای استفاده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ویرایش به طور آزاد در دسترس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تواند از هر مکان و هر زمان آن را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جدید، ساختار ارتباطی را تغییر شکل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کهکشان گوتنبرگ یا دوره چاپ، گرایش به ارتباطات از بالا به پایین وجود دارد یعنی مرکز صحبت کرده و گروه های مخاطب گوش می دهند اما در وب ارتباطات افقی هست و گاهی گروه های مخاطب سخن می گویند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در قدرت باقی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گوش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آموزش و پرورش این مطلب بدان معنی است که بین معلمان و دانش آموزان فاصله کمتر شده است با فناوری های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رایانش ابری </w:t>
      </w:r>
      <w:r>
        <w:rPr>
          <w:rStyle w:val="FootnoteAnchor"/>
          <w:rtl w:val="true"/>
        </w:rPr>
        <w:footnoteReference w:id="622"/>
      </w:r>
      <w:r>
        <w:rPr>
          <w:rFonts w:ascii="IRNazanin" w:hAnsi="IRNazanin" w:eastAsia="IRNazanin"/>
          <w:color w:val="111111"/>
          <w:sz w:val="28"/>
          <w:sz w:val="28"/>
          <w:szCs w:val="28"/>
          <w:rtl w:val="true"/>
          <w:lang w:bidi="fa-IR"/>
        </w:rPr>
        <w:t xml:space="preserve">و دسترسی به تلفن همراه و رسانه های اجتماعی انجام امور مولد در کنارهم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افقی</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می تواند مؤثرتر از انتقال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عمودی</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معلم هنوز اساس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 یا تیمی است که با مهارت های حرفه ای اش در نخستین گام، شروع به سازماندهی برانگیختن انگیزه حمایت و راهنمایی فرایندهای آموزشی برای دانش آموزان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اما سبک افقی آموزش که در کهکشان گوتنبرگ امکان پذیر بود برای آموزش عمودی آسان تر بود این شیوه در دنیای رقومی، برعکس کاربرد دارد ابزارهای رقومی با رویکرد افقی بهترین عملکرد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یک پیوند وبی، مناسب و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ثابت باشد یا با تلفن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منتخب مناسب از مقالات دانشگاهی </w:t>
      </w:r>
      <w:r>
        <w:rPr>
          <w:rStyle w:val="FootnoteAnchor"/>
          <w:rtl w:val="true"/>
        </w:rPr>
        <w:footnoteReference w:id="626"/>
      </w:r>
      <w:r>
        <w:rPr>
          <w:rFonts w:ascii="IRNazanin" w:hAnsi="IRNazanin" w:eastAsia="IRNazanin"/>
          <w:color w:val="111111"/>
          <w:sz w:val="28"/>
          <w:sz w:val="28"/>
          <w:szCs w:val="28"/>
          <w:rtl w:val="true"/>
          <w:lang w:bidi="fa-IR"/>
        </w:rPr>
        <w:t>را در مجلات دسترسی باز و مخازن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های عملی خود را پیدا کند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گسترده ای از کتاب ها را با نسخه رقومی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w:t>
      </w:r>
      <w:r>
        <w:rPr>
          <w:rStyle w:val="FootnoteAnchor"/>
          <w:rtl w:val="true"/>
        </w:rPr>
        <w:footnoteReference w:id="628"/>
      </w:r>
      <w:r>
        <w:rPr>
          <w:rFonts w:ascii="IRNazanin" w:hAnsi="IRNazanin" w:eastAsia="IRNazanin"/>
          <w:color w:val="111111"/>
          <w:sz w:val="28"/>
          <w:sz w:val="28"/>
          <w:szCs w:val="28"/>
          <w:rtl w:val="true"/>
          <w:lang w:bidi="fa-IR"/>
        </w:rPr>
        <w:t>را در تلفن همراه خود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جزوات دانشجویی خود را در همه موضوعات متداول منتشر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واقعیات اصلی جهان از لحاظ فیزیکی و اجتماعی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وُلفرام آلفا</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کوتاهی درباره هر موضوع زیر نور آفتاب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سخنرانی های کوتاه را در همان حوزه موضوعی خود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نقشه ها را دقیق از هر منطقه بر روی زمین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مَپ</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دو بعدی و سه بعدی را طراحی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کلی موضوعات علمی را بخواند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هایی را که در حوزه مقالات، فروش پایان نامه های سفارشی در موضوعات علوم اجتماعی و انسانی فعالیت دارند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ها و تصاویر را پیدا کند مانند فلیکر، پیکاسا، گوگل ایمیج </w:t>
      </w:r>
      <w:r>
        <w:rPr>
          <w:rStyle w:val="FootnoteAnchor"/>
          <w:rtl w:val="true"/>
        </w:rPr>
        <w:footnoteReference w:id="63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اسلایدهای نمایشی را با هر موضوع دانشگاهی کسب و کار یا عملی را بر روی وب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اسلاید شِر</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نه چندان بد به زبان های مختلف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ترنسلیت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ویدئویی کوتاه در هر موضوع قابل تصور را بر روی وب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يوتيوب، ويميو</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منابع چاپی از بین نخواهند رفت وب، سطح بالایی از گوتنبرگ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کرده است کسانی که در حوزه آموزش و تدریس فعالیت دارند باید با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چاپی و هم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ما فرایندهای یادگیری را برای آینده طراحی می کنیم باید به جای مقابله با محیط های جدید با آن ها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نگهداری وب و منابع موجود در آن دور از کلاس درس کاری بیهوده است مراقبت مختصر از وب امکان پذیر هست، اما راهبردهای اصلی باید رقومی 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ابداعات دیگر، مطبوعات چاپی گسترش بیشتری در اروپا یافته اند اما لازمه ی رفتارهای خواندن ترکیبی از سواد و مواد خواندنی ارزان قیمت بود که آن هم در قرن نوزدهم بنا شده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بطور روزافزون در حال گسترش است به قدری سریع که مؤسسات باید برای همراه شدن با این تغییرات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ها و ناشران با وجود صفحات وب و کتاب های الکترونیکی ذخیره شده در آن تهدید شدند بسیاری از روزنامه فروشی ها و فروشگاه های موسیقی در حال مبارزه با این پدیده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دانشگاه ها زمان انطباق کمی برای سازش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فشار برای تغییر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عمومی درباره شکل و ارزش آموزش سطح بالا تحت وضعیت های فناوری جدید در آمریکا داغ است آن ها این بحث ها را نیز به ظاهر در اروپا شروع کرده اندچین، آموزش رقومی در آینده </w:t>
      </w:r>
      <w:bookmarkStart w:id="460" w:name="pg9653_81868"/>
    </w:p>
    <w:p>
      <w:pPr>
        <w:pStyle w:val="BookText"/>
        <w:rPr/>
      </w:pPr>
      <w:bookmarkEnd w:id="460"/>
      <w:r>
        <w:rPr>
          <w:rFonts w:ascii="IRNazanin" w:hAnsi="IRNazanin" w:eastAsia="IRNazanin"/>
          <w:color w:val="111111"/>
          <w:sz w:val="28"/>
          <w:sz w:val="28"/>
          <w:szCs w:val="28"/>
          <w:rtl w:val="true"/>
          <w:lang w:bidi="fa-IR"/>
        </w:rPr>
        <w:t>را درصدر دستور کار مذاکرات سیاسی قرار داده است این بحث ها یقیناً در آفریقا هم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واجد شرایط کلیدی برای رشد اقتصادی در اقتصاد رقابتی جهانی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مهارت های سطح بالا، افزون بر آن به یک پایگاه قوی برای بسترسازی اصلی در جامعه به عنوان یک کل در قالبی از آموزش پایه نیاز دارد سلامت عموم جامعه و یکپارچه شدن کشور از طریق ارتباطات خوب امکان پذیر است در غرب اقتصاد دانش بنیان جدید طی دو قرن توسعه صنعتی حمایت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چین و حتی بیشتر در آفریقا پایه های صنعت و اقتصاد پسا صنعتی باید همزمان گسترش یابد؛ بدان معنی که راهی که آفریقا و چین پیموده اند، با روشی که در اروپا و ایالات متحده در پیش گرفته شده، متفاوت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هاگارد،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رقومی کردن با سرعت بیشتر و افراطی تر در کشورهایی با بخش های وسیع روستایی نسبت به توسعه کامل محیط های ،صنعتی اتفاق خواهد افتاد</w:t>
      </w:r>
      <w:r>
        <w:rPr>
          <w:rFonts w:eastAsia="IRNazanin" w:cs="IRNazanin"/>
          <w:color w:val="111111"/>
          <w:sz w:val="28"/>
          <w:szCs w:val="28"/>
          <w:rtl w:val="true"/>
          <w:lang w:bidi="fa-IR"/>
        </w:rPr>
        <w:t>.</w:t>
      </w:r>
    </w:p>
    <w:p>
      <w:pPr>
        <w:pStyle w:val="Heading3"/>
        <w:numPr>
          <w:ilvl w:val="2"/>
          <w:numId w:val="1"/>
        </w:numPr>
        <w:rPr/>
      </w:pPr>
      <w:bookmarkStart w:id="461" w:name="__RefHeading___Toc7766588_2870459653"/>
      <w:bookmarkStart w:id="462" w:name="_Toc169"/>
      <w:bookmarkEnd w:id="461"/>
      <w:r>
        <w:rPr>
          <w:rtl w:val="true"/>
        </w:rPr>
        <w:t>شرق آفریقا</w:t>
      </w:r>
      <w:r>
        <w:rPr>
          <w:rtl w:val="true"/>
        </w:rPr>
        <w:t xml:space="preserve">- </w:t>
      </w:r>
      <w:r>
        <w:rPr>
          <w:rtl w:val="true"/>
        </w:rPr>
        <w:t>محیط رقومی</w:t>
      </w:r>
      <w:bookmarkEnd w:id="462"/>
    </w:p>
    <w:p>
      <w:pPr>
        <w:pStyle w:val="BookText"/>
        <w:rPr/>
      </w:pPr>
      <w:r>
        <w:rPr>
          <w:rFonts w:ascii="IRNazanin" w:hAnsi="IRNazanin" w:eastAsia="IRNazanin"/>
          <w:color w:val="111111"/>
          <w:sz w:val="28"/>
          <w:sz w:val="28"/>
          <w:szCs w:val="28"/>
          <w:rtl w:val="true"/>
          <w:lang w:bidi="fa-IR"/>
        </w:rPr>
        <w:t>در زمان ارائه آموزش رقومی آگاهی از سطح دسترسی به وب را که انتظار داریم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در طی دوره باید دسترسی به وب برای شرکت کنندگان و مربیان و همچنین دسترسی شرکت کنندگان در محیط کار آن ها قبل و بعد از آموزش وجود داشته باشد جنوب صحرای آفریقا بدترین وضعیت اینترنت را نسبت به هر منطقه بزرگ جهان دارد اما زیر ساخت آن به سرعت در حال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ویکی تراول گزارش می دهد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اوگاندا دسترسی به تلفن همراه دارند هر چند نقاط مرتفع مانند قله ها در بخش هایی از کشور می تواند مشکل ساز باشد سیم کارت ها با قیمت ارزان در همه جا قابل دسترس هستند تعداد زیادی از کافی نت ها در کامپالا وجینجا </w:t>
      </w:r>
      <w:r>
        <w:rPr>
          <w:rStyle w:val="FootnoteAnchor"/>
          <w:rtl w:val="true"/>
        </w:rPr>
        <w:footnoteReference w:id="637"/>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پهنای باند اتصال به اینترنت ضعیف است، با این حال استفاده از کافی نتها نیز در سراسر تانزانیا رواج دارد پیدا کردن آن ها در مناطق عمده شهری مانند دار السلام و آروشا بسیار آسان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مخابرات دوربرد بین المللی کم ظرفیت و غیر قابل اعتماد است برخی از ارائه دهندگان خدمات تلفن همراه ارائه اینترنت بیسیم را آغاز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مناطق شهری و بسیاری از مناطق روستایی از پوشش تلفن همراه و اینترنت آن نیز برخوردارند تری جی بیسیم </w:t>
      </w:r>
      <w:r>
        <w:rPr>
          <w:rStyle w:val="FootnoteAnchor"/>
          <w:rtl w:val="true"/>
        </w:rPr>
        <w:footnoteReference w:id="638"/>
      </w:r>
      <w:r>
        <w:rPr>
          <w:rFonts w:ascii="IRNazanin" w:hAnsi="IRNazanin" w:eastAsia="IRNazanin"/>
          <w:color w:val="111111"/>
          <w:sz w:val="28"/>
          <w:sz w:val="28"/>
          <w:szCs w:val="28"/>
          <w:rtl w:val="true"/>
          <w:lang w:bidi="fa-IR"/>
        </w:rPr>
        <w:t>در بسیاری از مناطق از دارالسلام آروشا و زنگبار در دسترس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اجازه دهید برخی از تجربیات شخصی خودم را وقتی 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کامپالا بازدید کردم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کافی نتها نسبتا خوب ولی به آرامی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مهمانخانه ماکررا، می توانستیم رایانه ای که دسترسی مناسب به ما می دهد اجاره کنیم اما سرعت وب به دفعات در ساعت های متمادی کند می شد دفاتر دانشگاهی اغلب دسترسی داشتند که آن هم بطور مداوم نبود در بهار امسال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کوشیدیم از وب برای ارتباط با همکارانمان در مولیب استفاده کنیم</w:t>
      </w:r>
    </w:p>
    <w:p>
      <w:pPr>
        <w:pStyle w:val="BookText"/>
        <w:rPr/>
      </w:pPr>
      <w:r>
        <w:rPr>
          <w:rFonts w:ascii="IRNazanin" w:hAnsi="IRNazanin" w:eastAsia="IRNazanin"/>
          <w:color w:val="111111"/>
          <w:sz w:val="28"/>
          <w:sz w:val="28"/>
          <w:szCs w:val="28"/>
          <w:rtl w:val="true"/>
          <w:lang w:bidi="fa-IR"/>
        </w:rPr>
        <w:t xml:space="preserve">نتیجه گیری کلی باید این باشد که بعضی وقت ها کار می کند اما اغلب کار نمی کرد اتصالات وب نامنظم و خاموشی موقتی شهر نیز رخ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پایدارترین اتصالات رقومی در داخل اوگاندا با استفاده از شبکه تلفن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 از اسلو به همتایان خود، از طریق تلفن های همراه متصل می شدیم با استفاده از اسکایپ </w:t>
      </w:r>
      <w:r>
        <w:rPr>
          <w:rStyle w:val="FootnoteAnchor"/>
          <w:rtl w:val="true"/>
        </w:rPr>
        <w:footnoteReference w:id="639"/>
      </w:r>
      <w:r>
        <w:rPr>
          <w:rFonts w:ascii="IRNazanin" w:hAnsi="IRNazanin" w:eastAsia="IRNazanin"/>
          <w:color w:val="111111"/>
          <w:sz w:val="28"/>
          <w:sz w:val="28"/>
          <w:szCs w:val="28"/>
          <w:rtl w:val="true"/>
          <w:lang w:bidi="fa-IR"/>
        </w:rPr>
        <w:t>هزینه ها در سطح پایین و مقرون به صرفه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و خاموشی شهرها مشکلات موقتی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شبکه های رقومی به سرعت در حال گسترش هستند و ارتباطات بین قاره ای جدید در راه است اما ما می خواهیم در این زمان آموزش رقومی معنی داری را ارائه کنیم به این دلیل قصد داریم که یک هات اسپات محلی را روی یک سرور قابل حمل راه اندازی کنیم نهاد و یا دانشگاهی که می خواهد به اجرای لاتینا بپردازد به طور کلی در سطح نظام های آموزش الکترونیکی باید قادر به ارائه خدمات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سرور برای اجرای شبکه های بیسیم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یک کلاس درس با سیستم ارائه مطالب رایانه ثابت یا لپتاپ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پروژکتور و یک صفحه نمایش با اندازه بزرگ رایانه باید به کارت صدا و مجموعه مناسبی از بلندگوها مجهز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فیزیکی نیز اهمیت دارد در این اتاق، یادگیرندگان باید قادر به دیدن صفحه نمایش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صدای معلم بدون مزاحمت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امنیتی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در برابر سرقت و آسیب های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گرد و غبار، حرارت، حشرات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تهیه نسخه پشتیبان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مداوم برق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فنی 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دو و ترجیحا سه نفر قادر به نگهداری و خدمات نرم افزاری و برای نگهداری شبکه های محلی با رایانه های همراه چاپگر و غیره در حال اجرا </w:t>
      </w:r>
      <w:bookmarkStart w:id="463" w:name="pg9653_81870"/>
    </w:p>
    <w:p>
      <w:pPr>
        <w:pStyle w:val="BookText"/>
        <w:rPr/>
      </w:pPr>
      <w:bookmarkEnd w:id="463"/>
      <w:r>
        <w:rPr>
          <w:rFonts w:ascii="IRNazanin" w:hAnsi="IRNazanin" w:eastAsia="IRNazanin"/>
          <w:color w:val="111111"/>
          <w:sz w:val="28"/>
          <w:sz w:val="28"/>
          <w:szCs w:val="28"/>
          <w:rtl w:val="true"/>
          <w:lang w:bidi="fa-IR"/>
        </w:rPr>
        <w:t>اگر این امور طبق برنامه انجام شود مولیب تجهیزات را دریافت می کند و کارکنان واجد شرایط را برای آموزش های فنی راه اندازی سرور به کار خواهد گرفت</w:t>
      </w:r>
      <w:r>
        <w:rPr>
          <w:rFonts w:eastAsia="IRNazanin" w:cs="IRNazanin"/>
          <w:color w:val="111111"/>
          <w:sz w:val="28"/>
          <w:szCs w:val="28"/>
          <w:rtl w:val="true"/>
          <w:lang w:bidi="fa-IR"/>
        </w:rPr>
        <w:t>.</w:t>
      </w:r>
    </w:p>
    <w:p>
      <w:pPr>
        <w:pStyle w:val="Heading3"/>
        <w:numPr>
          <w:ilvl w:val="2"/>
          <w:numId w:val="1"/>
        </w:numPr>
        <w:rPr/>
      </w:pPr>
      <w:bookmarkStart w:id="464" w:name="__RefHeading___Toc7766590_2870459653"/>
      <w:bookmarkStart w:id="465" w:name="_Toc170"/>
      <w:bookmarkEnd w:id="464"/>
      <w:r>
        <w:rPr>
          <w:rtl w:val="true"/>
        </w:rPr>
        <w:t>جنوب سودان</w:t>
      </w:r>
      <w:bookmarkEnd w:id="465"/>
    </w:p>
    <w:p>
      <w:pPr>
        <w:pStyle w:val="BookText"/>
        <w:rPr/>
      </w:pPr>
      <w:r>
        <w:rPr>
          <w:rFonts w:ascii="IRNazanin" w:hAnsi="IRNazanin" w:eastAsia="IRNazanin"/>
          <w:color w:val="111111"/>
          <w:sz w:val="28"/>
          <w:sz w:val="28"/>
          <w:szCs w:val="28"/>
          <w:rtl w:val="true"/>
          <w:lang w:bidi="fa-IR"/>
        </w:rPr>
        <w:t>دوره آموزشی لاتینا در اوگاندا پیوند ویژه ای با جنوب سودان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ای از بودجه ما از طرح نروژی در حمایت از توسعه کتابخانه ها در جنوب سودان تأمین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ادلیب</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این طرح متخصصان را برای آموزش کتابداران در جنوب سودان در ای ای اس ال آی اس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کتابداری و اطلاع رسانی در شرق آفریقا که در ماکررا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کینگو </w:t>
      </w:r>
      <w:r>
        <w:rPr>
          <w:rStyle w:val="FootnoteAnchor"/>
          <w:rtl w:val="true"/>
        </w:rPr>
        <w:footnoteReference w:id="642"/>
      </w:r>
      <w:r>
        <w:rPr>
          <w:rFonts w:ascii="IRNazanin" w:hAnsi="IRNazanin" w:eastAsia="IRNazanin"/>
          <w:color w:val="111111"/>
          <w:sz w:val="28"/>
          <w:sz w:val="28"/>
          <w:szCs w:val="28"/>
          <w:rtl w:val="true"/>
          <w:lang w:bidi="fa-IR"/>
        </w:rPr>
        <w:t xml:space="preserve">بیکنیا و موسوک </w:t>
      </w:r>
      <w:r>
        <w:rPr>
          <w:rStyle w:val="FootnoteAnchor"/>
          <w:rtl w:val="true"/>
        </w:rPr>
        <w:footnoteReference w:id="64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نروژ، از توسعه طرح هایی در جنوب سودان برای سال های متمادی و چندین برنامه توسعه برای آموزش دانشگاه ها که در دست اجراست حمایت کرده است ایده کلی بسته لاتینا نخستین بار به دوره آموزشی لاتینا در اسلو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سه تن از شرکت کنندگان از دانشگاه نیل اولیا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داخلی دراز مدت در سودان بیشتر زیر ساخت های آموزشی را در جنوب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توافق نامه صلح بین جنوب و شمال سودان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آغاز شد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که در شمال رود نیل در شهر مالاکا قرار دارد حدود سه هزار دانشجو و سیصد استاد را شامل می شد اما فقط تعداد انگشت شماری رایانه داشت و هیچ ارتباط پیوسته و دائمی به اینترنت وجود نداشت پهنای باند اینترنت بسیار پایین بود و هزینه دسترسی به آن بسیار بالا بود همانند بیشتر مناطق آفریقا تأمین انرژی برق اطمینان بخش نبود مولدهای برق می توانستند انرژی برق پشتیبان را تأمین کنند اما به منبعی برای تأمین منظم سوخت برای پشتیبانی مقطعی فعالیت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های خورشیدی جایگزینی مناسب هستند، خدمات و حفاظت در مقابل دزدی و آسیب های فیزیکی، باید خریداری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ترین مشکل در جنوب سودان، فقدان متون درسی روزآمد و دیگر منابع آموزشی و پشتیبان کتابخانه ای است اما در حال حاضر رایانه های شخصی برای استفاده گسترده یا در مجموعه کتابخانه یا به صورت جایگزین برای متون درسی تخصصی به ارزانی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منابع پایه به شکل رقومی در دسترس باشند در شرایطی که اتصال به ،اینترنت ضعیف یا هزینه بر باشد می توانند </w:t>
      </w:r>
      <w:bookmarkStart w:id="466" w:name="pg9653_81871"/>
    </w:p>
    <w:p>
      <w:pPr>
        <w:pStyle w:val="BookText"/>
        <w:rPr/>
      </w:pPr>
      <w:bookmarkEnd w:id="466"/>
      <w:r>
        <w:rPr>
          <w:rFonts w:ascii="IRNazanin" w:hAnsi="IRNazanin" w:eastAsia="IRNazanin"/>
          <w:color w:val="111111"/>
          <w:sz w:val="28"/>
          <w:sz w:val="28"/>
          <w:szCs w:val="28"/>
          <w:rtl w:val="true"/>
          <w:lang w:bidi="fa-IR"/>
        </w:rPr>
        <w:t>بر روی سرور محلی ذخیره شوند هر چه ارتباطات بهتر و ارزان تر شود، منابع آموزشی بیشتر می توانند در محیط رایانش ابری ذخیره شوند که در واقع به معنی سرور جایگزین در هر مکانی است برای ارائه آموزش الکترونیکی استفاده از رایانه ها ، نخستین گام و لاتینا گام دوم را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لپ تاپ ها و گوشی های هوشمند جایگزین متون درسی سنتی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یادگیری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شرکت کنندگان در سال جاری، از کتابداران جنوب سودان هستند</w:t>
      </w:r>
      <w:r>
        <w:rPr>
          <w:rFonts w:eastAsia="IRNazanin" w:cs="IRNazanin"/>
          <w:color w:val="111111"/>
          <w:sz w:val="28"/>
          <w:szCs w:val="28"/>
          <w:rtl w:val="true"/>
          <w:lang w:bidi="fa-IR"/>
        </w:rPr>
        <w:t>.</w:t>
      </w:r>
    </w:p>
    <w:p>
      <w:pPr>
        <w:pStyle w:val="Heading3"/>
        <w:numPr>
          <w:ilvl w:val="2"/>
          <w:numId w:val="1"/>
        </w:numPr>
        <w:rPr/>
      </w:pPr>
      <w:bookmarkStart w:id="467" w:name="__RefHeading___Toc7766592_2870459653"/>
      <w:bookmarkStart w:id="468" w:name="_Toc171"/>
      <w:bookmarkEnd w:id="467"/>
      <w:r>
        <w:rPr>
          <w:rtl w:val="true"/>
        </w:rPr>
        <w:t>عربی، فرانسوی و سواحیلی</w:t>
      </w:r>
      <w:bookmarkEnd w:id="46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های بین المللی غالبا با مشکل زبان روبرو می شوند همانند بیشتر دوره های از این دست لاتینا نیز به انگلیسی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کنندگان اوگاندا کنیا و تانزانیا مانعی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کشورها انگلیسی، زبان آموزش دانشگاهی است دو نفر از شرکت کنندگان ما از رواندا احتمالا فرانسه را به انگلیسی ترجیح خواهند داد پنج نفر از دانشجویان ما از جنوب سودان عربی را به راحتی سخن می گویند و با انگلیسی چندان راحت نیستند این بود که دست کم با سه تن از شرکت کنندگان مسائل بسیاری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برای سال ها دولت در خارطوم زبان عربی را به عنوان زبان عربی رسمی، آموزشی و اداری سودان رواج داد و زبان انگلیسی تنزل داده شد زبان های محلی شبیه دینکا </w:t>
      </w:r>
      <w:r>
        <w:rPr>
          <w:rStyle w:val="FootnoteAnchor"/>
          <w:rtl w:val="true"/>
        </w:rPr>
        <w:footnoteReference w:id="644"/>
      </w:r>
      <w:r>
        <w:rPr>
          <w:rFonts w:ascii="IRNazanin" w:hAnsi="IRNazanin" w:eastAsia="IRNazanin"/>
          <w:color w:val="111111"/>
          <w:sz w:val="28"/>
          <w:sz w:val="28"/>
          <w:szCs w:val="28"/>
          <w:rtl w:val="true"/>
          <w:lang w:bidi="fa-IR"/>
        </w:rPr>
        <w:t xml:space="preserve">و نییر </w:t>
      </w:r>
      <w:r>
        <w:rPr>
          <w:rStyle w:val="FootnoteAnchor"/>
          <w:rtl w:val="true"/>
        </w:rPr>
        <w:footnoteReference w:id="645"/>
      </w:r>
      <w:r>
        <w:rPr>
          <w:rFonts w:ascii="IRNazanin" w:hAnsi="IRNazanin" w:eastAsia="IRNazanin"/>
          <w:color w:val="111111"/>
          <w:sz w:val="28"/>
          <w:sz w:val="28"/>
          <w:szCs w:val="28"/>
          <w:rtl w:val="true"/>
          <w:lang w:bidi="fa-IR"/>
        </w:rPr>
        <w:t>چندان ثبات ندارند سیاست های زبانی، ابزار قدرتمندی در ملت سازی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زبان سواحیلی به عنوان زبان رسمی تانزانیا مثال برجسته ای از این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هویتی جدید ایجاد می کنند، اما ممکن است مرزهای جدیدی بین مردم پدید آورند لاتینا یک دوره جهانی است به این معنی که ما نمی توانیم انگلیسی را از آن ها بگیریم، در کشورهای اروپایی کوچک تر دانش آموزان باید حداقل در نوشتن به زبان انگلیسی تسلط داشته باشند به خاطر این که بسیاری از متون جهت مطالعه به زبان محلیشان در دسترس نیست اما در اسپانیا، ایتالیا، فرانسه، یونان، روسیه و رومانی، تقاضا برای متون به زبان انگلیسی کمتر است فراتر از اروپا وضعیت در خیلی از کشورها پیچیده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آمریکای لاتین دانش آموزان غالبا نیاز به زبان اسپانیایی یا پرتغالی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آفریقا به فرانسوی مسلط هستند آنگولا و موزامبیک از پرتغالی در آموزش عالی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عربی در خاورمیانه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بزرگ آسیا، از ترکیه تا ژاپن، از زبان خود برای آموزش در سطح دانشگاه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یادگیری جهانی ذاتا چند زبانه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لاتینا استفاده عملی از چندین زبان دیگر بجز زبان انگلیسی در آموزش و یادگیری آزمون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کار را با زبان درمانی </w:t>
      </w:r>
    </w:p>
    <w:p>
      <w:pPr>
        <w:pStyle w:val="BookText"/>
        <w:rPr/>
      </w:pPr>
      <w:r>
        <w:rPr>
          <w:rFonts w:ascii="IRNazanin" w:hAnsi="IRNazanin" w:eastAsia="IRNazanin"/>
          <w:color w:val="111111"/>
          <w:sz w:val="28"/>
          <w:sz w:val="28"/>
          <w:szCs w:val="28"/>
          <w:rtl w:val="true"/>
          <w:lang w:bidi="fa-IR"/>
        </w:rPr>
        <w:t>به عنوان یک منبع به جای یک مانع انجام می دهیم 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به مقالات مرتبط ویکی پدیا در زبان های دیگر غیر از زبان انگلیسی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ترجمه گوگل به صورت مطمئن، اما قابل فهم نسخه هایی از مواد در زبان هایی مانند عربی و چینی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کنندگان می خواهیم و بلاگ نویسی را با زبان اصلی خودشان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کنندگان می خواهیم در برخی از مواد به زبان خود در کلاس سخنرانی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از وبلاگ نویسی می توان به کلارا اسکوبار </w:t>
      </w:r>
      <w:r>
        <w:rPr>
          <w:rStyle w:val="FootnoteAnchor"/>
          <w:rtl w:val="true"/>
        </w:rPr>
        <w:footnoteReference w:id="646"/>
      </w:r>
      <w:r>
        <w:rPr>
          <w:rFonts w:ascii="IRNazanin" w:hAnsi="IRNazanin" w:eastAsia="IRNazanin"/>
          <w:color w:val="111111"/>
          <w:sz w:val="28"/>
          <w:sz w:val="28"/>
          <w:szCs w:val="28"/>
          <w:rtl w:val="true"/>
          <w:lang w:bidi="fa-IR"/>
        </w:rPr>
        <w:t xml:space="preserve">اشاره کرد که دو وبلاگ لاتینا را در بهار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یکی به زبان اسپانیایی </w:t>
      </w:r>
      <w:r>
        <w:rPr>
          <w:rStyle w:val="FootnoteAnchor"/>
          <w:rtl w:val="true"/>
        </w:rPr>
        <w:footnoteReference w:id="647"/>
      </w:r>
      <w:r>
        <w:rPr>
          <w:rFonts w:ascii="IRNazanin" w:hAnsi="IRNazanin" w:eastAsia="IRNazanin"/>
          <w:color w:val="111111"/>
          <w:sz w:val="28"/>
          <w:sz w:val="28"/>
          <w:szCs w:val="28"/>
          <w:rtl w:val="true"/>
          <w:lang w:bidi="fa-IR"/>
        </w:rPr>
        <w:t>و یکی به زبان انگلیسی</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آزمایش بین فرهنگی براساس زبان اول برگزار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هر دانش آموز خواستیم تا یک کلمه فرهنگی خاص از زبان مادری خود را انتخاب کند آن ها کلمه را در یک ورق کاغذ با حروف بزرگ نوشتند و وقتی نوبتشان شد معنی واژه را به دیگران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نیز این کلمات را در وبلاگ خود مورد بحث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نمونه از آفریقا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بامبی </w:t>
      </w:r>
      <w:r>
        <w:rPr>
          <w:rStyle w:val="FootnoteAnchor"/>
          <w:rtl w:val="true"/>
        </w:rPr>
        <w:footnoteReference w:id="649"/>
      </w:r>
      <w:r>
        <w:rPr>
          <w:rFonts w:ascii="IRNazanin" w:hAnsi="IRNazanin" w:eastAsia="IRNazanin"/>
          <w:color w:val="111111"/>
          <w:sz w:val="28"/>
          <w:sz w:val="28"/>
          <w:szCs w:val="28"/>
          <w:rtl w:val="true"/>
          <w:lang w:bidi="fa-IR"/>
        </w:rPr>
        <w:t xml:space="preserve">یک کلمه رایج در میان سوگاه </w:t>
      </w:r>
      <w:r>
        <w:rPr>
          <w:rStyle w:val="FootnoteAnchor"/>
          <w:rtl w:val="true"/>
        </w:rPr>
        <w:footnoteReference w:id="650"/>
      </w:r>
      <w:r>
        <w:rPr>
          <w:rFonts w:ascii="IRNazanin" w:hAnsi="IRNazanin" w:eastAsia="IRNazanin"/>
          <w:color w:val="111111"/>
          <w:sz w:val="28"/>
          <w:sz w:val="28"/>
          <w:szCs w:val="28"/>
          <w:rtl w:val="true"/>
          <w:lang w:bidi="fa-IR"/>
        </w:rPr>
        <w:t xml:space="preserve">ها و قبایل گاندایی </w:t>
      </w:r>
      <w:r>
        <w:rPr>
          <w:rStyle w:val="FootnoteAnchor"/>
          <w:rtl w:val="true"/>
        </w:rPr>
        <w:footnoteReference w:id="651"/>
      </w:r>
      <w:r>
        <w:rPr>
          <w:rFonts w:ascii="IRNazanin" w:hAnsi="IRNazanin" w:eastAsia="IRNazanin"/>
          <w:color w:val="111111"/>
          <w:sz w:val="28"/>
          <w:sz w:val="28"/>
          <w:szCs w:val="28"/>
          <w:rtl w:val="true"/>
          <w:lang w:bidi="fa-IR"/>
        </w:rPr>
        <w:t>در اوگاندا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با توجه به لحن مورد استفاده در هنگام استفاده از آن معانی مختلف دارد اگر آن را با یک تن زیر ادا کنیم، به معنای احساس تأسف برای دیگری است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پایم ضربه به سنگ بزنم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بدگویی پشت سر دوستم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میگه بامبی همچنین می تواند در هنگام شفاعت به نفع شخص دیگری مورد استفاده قرار گیرد یا 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باید شمرده تر ادا شود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برای مثال به منظور گرفتن تخفیف قیمت از فروشنده برای خریدن چیزی و یا در هنگام درخواست کمک از دوستم می توانم بگویم بامبی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لطفا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کلمۀ میکاما </w:t>
      </w:r>
      <w:r>
        <w:rPr>
          <w:rStyle w:val="FootnoteAnchor"/>
          <w:rtl w:val="true"/>
        </w:rPr>
        <w:footnoteReference w:id="653"/>
      </w:r>
      <w:r>
        <w:rPr>
          <w:rFonts w:ascii="IRNazanin" w:hAnsi="IRNazanin" w:eastAsia="IRNazanin"/>
          <w:color w:val="111111"/>
          <w:sz w:val="28"/>
          <w:sz w:val="28"/>
          <w:szCs w:val="28"/>
          <w:rtl w:val="true"/>
          <w:lang w:bidi="fa-IR"/>
        </w:rPr>
        <w:t>است، به معنای رئیس یا استاد بسیاری از پادشاهان را به عنوان میکاما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عنوان رئیس قلمرو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این واژه را به کار می گیرند و به معنای واقعی کلمه، احترام را حتی برای مردم عادی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کسی چیزی را به </w:t>
      </w:r>
    </w:p>
    <w:p>
      <w:pPr>
        <w:pStyle w:val="BookText"/>
        <w:rPr/>
      </w:pPr>
      <w:r>
        <w:rPr>
          <w:rFonts w:ascii="IRNazanin" w:hAnsi="IRNazanin" w:eastAsia="IRNazanin"/>
          <w:color w:val="111111"/>
          <w:sz w:val="28"/>
          <w:sz w:val="28"/>
          <w:szCs w:val="28"/>
          <w:rtl w:val="true"/>
          <w:lang w:bidi="fa-IR"/>
        </w:rPr>
        <w:t>اصرار از شما بخواهد او به شما میکاما می گوید و برعکس اگر شما هم از او چیزی بخواهید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خدا را نیز میکاما می نامند و بسیاری از والدین نام فرزندان خود را میکاما می گذارند بدان امید که در آینده رهبر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تابستان لاتینا از هفت کشور تشکیل شد چین اوگاندا، فلسطین، لهستان، لیتوانی، زامبیا و نپال تنوع زبانی خیلی زیاد بود نه زبان برای نخستین بار در کلاس ارائه شده بود عربی، بمبا، </w:t>
      </w:r>
      <w:r>
        <w:rPr>
          <w:rStyle w:val="FootnoteAnchor"/>
          <w:rtl w:val="true"/>
        </w:rPr>
        <w:footnoteReference w:id="654"/>
      </w:r>
      <w:r>
        <w:rPr>
          <w:rFonts w:ascii="IRNazanin" w:hAnsi="IRNazanin" w:eastAsia="IRNazanin"/>
          <w:color w:val="111111"/>
          <w:sz w:val="28"/>
          <w:sz w:val="28"/>
          <w:szCs w:val="28"/>
          <w:rtl w:val="true"/>
          <w:lang w:bidi="fa-IR"/>
        </w:rPr>
        <w:t xml:space="preserve">لیتوانیایی، </w:t>
      </w:r>
      <w:r>
        <w:rPr>
          <w:rStyle w:val="FootnoteAnchor"/>
          <w:rtl w:val="true"/>
        </w:rPr>
        <w:footnoteReference w:id="655"/>
      </w:r>
      <w:r>
        <w:rPr>
          <w:rFonts w:ascii="IRNazanin" w:hAnsi="IRNazanin" w:eastAsia="IRNazanin"/>
          <w:color w:val="111111"/>
          <w:sz w:val="28"/>
          <w:sz w:val="28"/>
          <w:szCs w:val="28"/>
          <w:rtl w:val="true"/>
          <w:lang w:bidi="fa-IR"/>
        </w:rPr>
        <w:t xml:space="preserve">لوگاندا، </w:t>
      </w:r>
      <w:r>
        <w:rPr>
          <w:rStyle w:val="FootnoteAnchor"/>
          <w:rtl w:val="true"/>
        </w:rPr>
        <w:footnoteReference w:id="656"/>
      </w:r>
      <w:r>
        <w:rPr>
          <w:rFonts w:ascii="IRNazanin" w:hAnsi="IRNazanin" w:eastAsia="IRNazanin"/>
          <w:color w:val="111111"/>
          <w:sz w:val="28"/>
          <w:sz w:val="28"/>
          <w:szCs w:val="28"/>
          <w:rtl w:val="true"/>
          <w:lang w:bidi="fa-IR"/>
        </w:rPr>
        <w:t xml:space="preserve">لوگبارا، </w:t>
      </w:r>
      <w:r>
        <w:rPr>
          <w:rStyle w:val="FootnoteAnchor"/>
          <w:rtl w:val="true"/>
        </w:rPr>
        <w:footnoteReference w:id="657"/>
      </w:r>
      <w:r>
        <w:rPr>
          <w:rFonts w:ascii="IRNazanin" w:hAnsi="IRNazanin" w:eastAsia="IRNazanin"/>
          <w:color w:val="111111"/>
          <w:sz w:val="28"/>
          <w:sz w:val="28"/>
          <w:szCs w:val="28"/>
          <w:rtl w:val="true"/>
          <w:lang w:bidi="fa-IR"/>
        </w:rPr>
        <w:t xml:space="preserve">ماندارین، </w:t>
      </w:r>
      <w:r>
        <w:rPr>
          <w:rStyle w:val="FootnoteAnchor"/>
          <w:rtl w:val="true"/>
        </w:rPr>
        <w:footnoteReference w:id="658"/>
      </w:r>
      <w:r>
        <w:rPr>
          <w:rFonts w:ascii="IRNazanin" w:hAnsi="IRNazanin" w:eastAsia="IRNazanin"/>
          <w:color w:val="111111"/>
          <w:sz w:val="28"/>
          <w:sz w:val="28"/>
          <w:szCs w:val="28"/>
          <w:rtl w:val="true"/>
          <w:lang w:bidi="fa-IR"/>
        </w:rPr>
        <w:t xml:space="preserve">نواری، </w:t>
      </w:r>
      <w:r>
        <w:rPr>
          <w:rStyle w:val="FootnoteAnchor"/>
          <w:rtl w:val="true"/>
        </w:rPr>
        <w:footnoteReference w:id="659"/>
      </w:r>
      <w:r>
        <w:rPr>
          <w:rFonts w:ascii="IRNazanin" w:hAnsi="IRNazanin" w:eastAsia="IRNazanin"/>
          <w:color w:val="111111"/>
          <w:sz w:val="28"/>
          <w:sz w:val="28"/>
          <w:szCs w:val="28"/>
          <w:rtl w:val="true"/>
          <w:lang w:bidi="fa-IR"/>
        </w:rPr>
        <w:t>لهستانی و تبتی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کشورها برخی از زبانی های اقلیت هایشان را داشتند، مانند مردم سامی در نروژ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چین، نپال، اوگاندا و زامبیا بسیار متنوع بودند فهرستی از بیش از چهل زبان در اوگاندا و زامبیا وجود دارد در ویکی پدیا لیست بیش از نود زبان در چین و نپال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امسال سی شرکت کننده از شش کشور آفریقایی کنیا، تانزانیا، رواندا، </w:t>
      </w:r>
      <w:r>
        <w:rPr>
          <w:rStyle w:val="FootnoteAnchor"/>
          <w:rtl w:val="true"/>
        </w:rPr>
        <w:footnoteReference w:id="660"/>
      </w:r>
      <w:r>
        <w:rPr>
          <w:rFonts w:ascii="IRNazanin" w:hAnsi="IRNazanin" w:eastAsia="IRNazanin"/>
          <w:color w:val="111111"/>
          <w:sz w:val="28"/>
          <w:sz w:val="28"/>
          <w:szCs w:val="28"/>
          <w:rtl w:val="true"/>
          <w:lang w:bidi="fa-IR"/>
        </w:rPr>
        <w:t>سودان جنوبی، تانزانیا و اوگاندا شرکت کرده اند این بدان معناست که شرکت کنندگان به سه زبان زنده دنیا یعنی زبان انگلیسی، فرانسه و عربی، یک زبان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سواحلی </w:t>
      </w:r>
      <w:r>
        <w:rPr>
          <w:rStyle w:val="FootnoteAnchor"/>
          <w:rtl w:val="true"/>
        </w:rPr>
        <w:footnoteReference w:id="661"/>
      </w:r>
      <w:r>
        <w:rPr>
          <w:rFonts w:ascii="IRNazanin" w:hAnsi="IRNazanin" w:eastAsia="IRNazanin"/>
          <w:color w:val="111111"/>
          <w:sz w:val="28"/>
          <w:sz w:val="28"/>
          <w:szCs w:val="28"/>
          <w:rtl w:val="true"/>
          <w:lang w:bidi="fa-IR"/>
        </w:rPr>
        <w:t>و بسیاری از زبان های مختلف محلی دیگر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سیصد نسخه زبان از ویکی پدیا، دانشنامه آزاد،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آن ها محدود هستند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نسخه اصلی آن بسیار بزرگ است نسخه انگلیسی نزدیک به چهار میلیون و نسخه فرانسه بیش از یک میلیون ورودی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جزئیات نسخه انگلیسی بسیار بزرگ تر و بیشتر از زبان عربی است، اما ویکی پدیای عربی هنوز هم می تواند به ارائه موضوعات مرتبط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سودان جنوبی یک طرح کلاس در رابطه با مالاریا داشتند، و ما از آن ها خواستیم که مدخل های مالاریا در دو زبان را مقایسه کنند این تمرین مفیدی بود و یکی پدیای عربی نزدیک به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نسخه سواحلی بسیار بسیار 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دیگری در زبان های آفریقایی وجود دارد اما در بهترین حالت خیلی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پدیا همچنین یک نسخه ساده انگلیسی دارد که برای افرادی که با زبان انگلیسی مشکل دارند بسیار مفید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دهید ما چند سطر اول از مقاله مالاریا را در دو نسخه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مالاریا یک بیماری قابل انتقال و عفونی است که پشه هایی به انسان و حیوانات که توسط تک یاخته ای از جنس ژنوم پلاسمودیوم است سرایت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بیماری حاصل از وجود انگل پلاسمودیوم در سلول های قرمز خون، باعث بروز علائمی هم چون تب و سردرد و در موارد شدید و پیشرفته، حالت کما و حتی مرگ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مالاریا یک بیماری عفونی است که انگل ها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زمانی که انگل وارد خونشان می شود، به بیماری مالاریا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 باعث عفونتی کشنده می شود که هر ساله بسیاری از مردم را از بین می برد انگل ایجاد کننده مالاریا تک یاخته ای به نام پلاسمودیوم </w:t>
      </w:r>
      <w:r>
        <w:rPr>
          <w:rStyle w:val="FootnoteAnchor"/>
          <w:rtl w:val="true"/>
        </w:rPr>
        <w:footnoteReference w:id="662"/>
      </w:r>
      <w:r>
        <w:rPr>
          <w:rFonts w:ascii="IRNazanin" w:hAnsi="IRNazanin" w:eastAsia="IRNazanin"/>
          <w:color w:val="111111"/>
          <w:sz w:val="28"/>
          <w:sz w:val="28"/>
          <w:szCs w:val="28"/>
          <w:rtl w:val="true"/>
          <w:lang w:bidi="fa-IR"/>
        </w:rPr>
        <w:t>است تک یاختگان موجودات زنده تک سلولی هستند، اما آن ها باکتری نیستند باکتری ها کوچک تر و ساده تر از تک یاخته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 پدیا در حال حاضر به عنوان منبع عمده آموزش چند زبانه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طرح های آموزشی مانند و یکی بووک </w:t>
      </w:r>
      <w:r>
        <w:rPr>
          <w:rStyle w:val="FootnoteAnchor"/>
          <w:rtl w:val="true"/>
        </w:rPr>
        <w:footnoteReference w:id="663"/>
      </w:r>
      <w:r>
        <w:rPr>
          <w:rFonts w:ascii="IRNazanin" w:hAnsi="IRNazanin" w:eastAsia="IRNazanin"/>
          <w:color w:val="111111"/>
          <w:sz w:val="28"/>
          <w:sz w:val="28"/>
          <w:szCs w:val="28"/>
          <w:rtl w:val="true"/>
          <w:lang w:bidi="fa-IR"/>
        </w:rPr>
        <w:t xml:space="preserve">و ویکیورسیتی </w:t>
      </w:r>
      <w:r>
        <w:rPr>
          <w:rStyle w:val="FootnoteAnchor"/>
          <w:rtl w:val="true"/>
        </w:rPr>
        <w:footnoteReference w:id="664"/>
      </w:r>
      <w:r>
        <w:rPr>
          <w:rFonts w:ascii="IRNazanin" w:hAnsi="IRNazanin" w:eastAsia="IRNazanin"/>
          <w:color w:val="111111"/>
          <w:sz w:val="28"/>
          <w:sz w:val="28"/>
          <w:szCs w:val="28"/>
          <w:rtl w:val="true"/>
          <w:lang w:bidi="fa-IR"/>
        </w:rPr>
        <w:t>در محیط ویکی پدیاروی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بیشترین اهمیت را ترجمه ماشینی دارد ترجمه چشمگیر موتور ،گوگل در حال حاضر حاصل ترجمه بین بیش از شصت زبان، از جمله عربی، فرانسوی، پرتغالی، اسپانیایی، سواحیلی و آفریقائی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هنوز هم ناجور است اما ترجمه اجازه می دهد تا شما درکی از نکات اصلی متن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ترجیح می دهند با این زبان ها کار کنند، در زمان مطالعه متون انگلیسی می توانند از ترجمه گوگل به عنوان</w:t>
      </w:r>
    </w:p>
    <w:p>
      <w:pPr>
        <w:pStyle w:val="BookText"/>
        <w:rPr/>
      </w:pPr>
      <w:r>
        <w:rPr>
          <w:rFonts w:ascii="IRNazanin" w:hAnsi="IRNazanin" w:eastAsia="IRNazanin"/>
          <w:color w:val="111111"/>
          <w:sz w:val="28"/>
          <w:sz w:val="28"/>
          <w:szCs w:val="28"/>
          <w:rtl w:val="true"/>
          <w:lang w:bidi="fa-IR"/>
        </w:rPr>
        <w:t>یک سرقت ادبی استفاده کنند به عنوان مثال، من نسخه معمولی مالاریا از زبان انگلیسی را به عربی ترجمه کردم و پس از آن دوباره از عربی به انگلیسی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شد که کاملا قابل درک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 به عربی و عربی به انگلیسی مالاریا را پشه از انسان های مبتلا و سایر حیوانات توسط پروتوزوییدهای یوکاریوتی از جنس پلاسمودیوم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حاصل گسترش انگل پلاسمودیوم در داخل سلول های قرمز خون است که به طور معمول باعث تب سردرد و در موارد شدید و پیشرفته، کما یا مرگ می شود</w:t>
      </w:r>
      <w:r>
        <w:rPr>
          <w:rFonts w:eastAsia="IRNazanin" w:cs="IRNazanin"/>
          <w:color w:val="111111"/>
          <w:sz w:val="28"/>
          <w:szCs w:val="28"/>
          <w:rtl w:val="true"/>
          <w:lang w:bidi="fa-IR"/>
        </w:rPr>
        <w:t xml:space="preserve">. </w:t>
      </w:r>
      <w:bookmarkStart w:id="469" w:name="pg9653_81875"/>
    </w:p>
    <w:p>
      <w:pPr>
        <w:pStyle w:val="Heading3"/>
        <w:numPr>
          <w:ilvl w:val="2"/>
          <w:numId w:val="1"/>
        </w:numPr>
        <w:rPr/>
      </w:pPr>
      <w:bookmarkStart w:id="470" w:name="__RefHeading___Toc7766594_2870459653"/>
      <w:bookmarkStart w:id="471" w:name="_Toc172"/>
      <w:bookmarkEnd w:id="469"/>
      <w:bookmarkEnd w:id="470"/>
      <w:r>
        <w:rPr>
          <w:rtl w:val="true"/>
        </w:rPr>
        <w:t>کتابخانه ها برای تغییر</w:t>
      </w:r>
      <w:r>
        <w:rPr>
          <w:rtl w:val="true"/>
        </w:rPr>
        <w:t>:</w:t>
      </w:r>
      <w:bookmarkEnd w:id="471"/>
    </w:p>
    <w:p>
      <w:pPr>
        <w:pStyle w:val="BookText"/>
        <w:rPr/>
      </w:pPr>
      <w:r>
        <w:rPr>
          <w:rFonts w:ascii="IRNazanin" w:hAnsi="IRNazanin" w:eastAsia="IRNazanin"/>
          <w:color w:val="111111"/>
          <w:sz w:val="28"/>
          <w:sz w:val="28"/>
          <w:szCs w:val="28"/>
          <w:rtl w:val="true"/>
          <w:lang w:bidi="fa-IR"/>
        </w:rPr>
        <w:t>ما لاتينا را به عنوان یک فناوری نمی بینیم، بلکه آن را یک طرح تحول آفرین می دانیم که برای افراد و سازمان هایی که می خواهند در شیوه های فعلی خود در آموزش و یادگیری تغییر ایجاد کنند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کتابخانه، اساسی است، زیرا ما در بخش کتابخانه کار می کنیم اما پس از سال ها آموزش و پرورش سطح بالا، پذیرفته ایم که کتابخانه ها می توانند نیروی مهمی برای تغییر در داخل مؤسسات خودشان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آموزش، تمایل محافظه کارانه تری در رویکرد خود به آموزش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اغلب کارکنان خود را با برنامه های درسی و سنت ها و عاداتی محدود می کنند که سال ها ریشه دوانده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حداقل به طور بالقوه آزادی بیشتری در عمل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 حاضر، از یک سو عمیقا با آموزش و پژوهش و از سوی دیگر با فناوری رقومی سر و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اجازه بدهید دوباره از فارغ التحصیلان مان در اوگاندا نقل قول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ناماگاندا و همکاران،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قابلیت دیدن مولیب در وب از طریق مهارت های کسب شده ای چون در استفاده از مخزن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اس دی ال</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فوق العاده افزایش یافته است مثلا کتابداران مولیب از فناوری اطلاعات و ارتباطات برای به دست آوردن سازماندهی و اشاعه اطلاعات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نقش های کتابداران از شرایط سنتی به وضعیت مبتنی بر فناوری فوق العاده ای عوض شده است، که در بلندمدت برای سرمایه گذاری بزرگ مالی در دوره های آموزشی نرم افزار و سخت افزار و دسترسی به منابع الکترونیکی منبع ،باز اجرا می شود یادگیری و آموزش با تغییرات عمیقی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عمیق به معنای تغییر در هسته اصلی افراد و نهادها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سطحی را می توان با ایجاد روندها و مفاهیم مدیریت کرد تغییرات عمیق بین گذشته و آینده شکاف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فرایندهای رایج را مختل می کنند آن ها ما را به توسعه تجربه های جدید وا می دارند راه های جدید در کار کردن و در سخن گفتن افراد و سازمان ها باید مذاکره کنند بسازند و دوباره خودشان را تحول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رقومی بسیاری از روش های سنتی کار هدف خود را از دست داده است آن ها باید از دور خارج شوند تا فضا و زمان برای یافته های جدید بدهند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حتى در صورت لزوم تغییر عمیق به ندرت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از کاغذ به وب روی </w:t>
      </w:r>
      <w:bookmarkStart w:id="472" w:name="pg9653_81876"/>
    </w:p>
    <w:p>
      <w:pPr>
        <w:pStyle w:val="BookText"/>
        <w:rPr/>
      </w:pPr>
      <w:bookmarkEnd w:id="472"/>
      <w:r>
        <w:rPr>
          <w:rFonts w:ascii="IRNazanin" w:hAnsi="IRNazanin" w:eastAsia="IRNazanin"/>
          <w:color w:val="111111"/>
          <w:sz w:val="28"/>
          <w:sz w:val="28"/>
          <w:szCs w:val="28"/>
          <w:rtl w:val="true"/>
          <w:lang w:bidi="fa-IR"/>
        </w:rPr>
        <w:t xml:space="preserve">می آوریم دوباره به یک مبتدی تبدیل می شویم ما باید روش های جدید کار با دانش آموزانمان و همچنین روش های جدید برگزاری جلساتمان را فرا گیریم ما در مؤسسات کار می کنیم و نیاز به حمایت از همکاران و رهبرانمان داریم پس باید تغییرات جمعی را مانند تغییرات فردی ترویج کنیم ابزارهای رقومی برای آموزش الکترونیکی ضرورت دارند اما فعالیت های آموزش الکترونیکی که به جای تمرینات بر ابزار تمرکز دارند موفق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 یک لپتاپ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میلیون ها کودک مدرسه ای امکان تجربه کار با کامپیوتر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همچنین نشان می دهد که کامپیوترهای مفید می توانند بسیار ارزان تولید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نکته ای که در مقاله ویکی پدیا به آن اشاره شده است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لپ تاپ خودش به تنهایی نمی تواند نیاز دانش آموزان محروم کشور را برآورد فقدان ارتباط مستقیم با آموزش مورد نیاز در بافت محلی برای این که واقعا موثر باشد، وجود دارد مردم سطوح پایین اجتماعی و اقتصادی تمایل دارند که به طور موثر از لپتاپ برای اهداف آموزشی خودشان استفاده کنند اما با مشاوره معلمان، این دستگاه می تواند مفیدتر باشد این رویکرد نیاز به جامعیت بیشتر تلفیق فناوری با تلاشی جمعی و دنباله دار آموزش معلمان تلاش های آموزشی محلی و بینش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مشکلات مشابهی در آموزش عالی مواجه شدیم کار کردن با افراد درگیر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هیچ علاقه ای به دفاع ندارد کامپیوترها اعتراض نمی کنند فقط افراد هستند که این کار را انجام می دهند طرح ها در صورتی منجر به تغییر می شوند که سازمان و محیطشان از آن ها به طور کافی حمایت کنند این حمایت باید هم عملی و هم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آموزگاران سنتی می توانند با ابزارهای ابتدایی مثل صندلی میز، تخته سیاه و گچ مدیریت کنند، معلمان رقومی باید دسترسی دائم به برخی از تجهیزات الکترونیکی داشته باشند امتحانات باید تغییر کند وب سایت ها اطلاعات را فوری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تدریس و ارزیابی از همین جا می تواند شروع شود رایانه ها برای آموزش فعال و تولیدگرا مناسب هستنند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دانش آموزان، مطالب بسیاری را به خاطر بسپارند آن ها باید به خوبی کتاب بخوانند</w:t>
      </w:r>
      <w:r>
        <w:rPr>
          <w:rFonts w:eastAsia="IRNazanin" w:cs="IRNazanin"/>
          <w:color w:val="111111"/>
          <w:sz w:val="28"/>
          <w:szCs w:val="28"/>
          <w:rtl w:val="true"/>
          <w:lang w:bidi="fa-IR"/>
        </w:rPr>
        <w:t>.</w:t>
      </w:r>
    </w:p>
    <w:p>
      <w:pPr>
        <w:pStyle w:val="Heading3"/>
        <w:numPr>
          <w:ilvl w:val="2"/>
          <w:numId w:val="1"/>
        </w:numPr>
        <w:rPr/>
      </w:pPr>
      <w:bookmarkStart w:id="473" w:name="__RefHeading___Toc7766596_2870459653"/>
      <w:bookmarkStart w:id="474" w:name="_Toc173"/>
      <w:bookmarkEnd w:id="473"/>
      <w:r>
        <w:rPr>
          <w:rtl w:val="true"/>
        </w:rPr>
        <w:t>بر روی لبه</w:t>
      </w:r>
      <w:bookmarkEnd w:id="47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لاتینا یک دوره آموزشی واحد با برنامه درسی ثابت نیست ما به آن به عنوان یک رویکرد کلی آموزش الکترونیکی می نگریم که می تواند از طریق آموزش های مختلف و فرمت های یادگیری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آموزشی می خواهند از آن چه که ما ارائه می دهیم آگاهی داشته باشند لذا ما کوشیدیم که اهداف آموزشیمان را در چارچوب مدیریتی مناسب، فرمول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در حالی که سبک لاتینا به غیر رسمی </w:t>
      </w:r>
    </w:p>
    <w:p>
      <w:pPr>
        <w:pStyle w:val="BookText"/>
        <w:rPr/>
      </w:pPr>
      <w:r>
        <w:rPr>
          <w:rFonts w:ascii="IRNazanin" w:hAnsi="IRNazanin" w:eastAsia="IRNazanin"/>
          <w:color w:val="111111"/>
          <w:sz w:val="28"/>
          <w:sz w:val="28"/>
          <w:szCs w:val="28"/>
          <w:rtl w:val="true"/>
          <w:lang w:bidi="fa-IR"/>
        </w:rPr>
        <w:t>بودن گرایش دارد، ما می پذیریم که اهداف یادگیری صریح در بسیاری از زمینه ها لازم و مفید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دوره لاتینا، شرکت کنندگان باید توانایی استفاده از منابع موجود بر روی وب را برای بازیابی انتخاب و استفاده مجدد از اسناد تصاویر و فیلم ها را با درک اساسی از مسائل حق مولف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باید چگونگی تولید مواد آموزشی پایه، از جمله ارائه اسلاید، عکس ضبط ویرایش داستان های رقومی، فیلم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را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هم چنین باید قادر باشند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برقراری ارتباط موثر با کاربران، دانش آموزان و همکاران از طریق ترکیبی از ایمیل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جیمیل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وردپرس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ابزارهای نوشتاری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گوگل داک</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آوری و سازماندهی کردن منابع جهت تدریس و یادگیری در محیط های چند زبانه با استفاده از گوگل مترجم و ویکی پدیا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دوره های کوتاه مدت که موضوعات فوق را پوشش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و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ماژول های آموزشی مبتنی بر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تحت پوشش 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مدت چند دقیقه تا 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انواع فرمت های تدریس و یادگیری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دوره، آن ها هم چنین باید دانش پایه ای از وب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آن، وضعیت کنونی و روندهای آینده اش و علاوه بر این درک خوبی از توسعه کنش ها و واکنش های بین کتابخانه ها آموزش و پرورش رسمی و غیررسمی و وب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بعلاوه، آن ها باید آمادگی حمایت و کار با فرآیندهای کاربر محور تغییر در کتابخانه ها، موسسات آموزشی و سازمان های اجتماعی را داشته باشند؛ و قادر به انطباق با رویکرد لاتینا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 و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شرایط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 و مناطق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جای حساسی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آزمایشگاه لاتینا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توسعه نوآوری محوری به جای واحد تولیدی است که البته چنین نیز هست دوره های لاتینا به جای برنامه های آموزشی استاندارد شده شامل اکتشافات و آزمایش هایی در آموزش الکترونیکی است به عنوان طراحان و هدایت کنندگان دوره ما می کوشیم همراه با توسعه فناوری و آموزشی پیش رو باقی بمانیم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 در ادامه تلاش کرده ام که برخی از اصول اساسی را که کار ما را پشتیبانی می کند، تدوین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از اصول لاتینا، یک سند رسمی نیست بلکه نشان دهنده دیدگاههای شخصی من و نسخه ای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حال همکاران ،لاتینای من نیز این متن را دیدند و مخالفتی </w:t>
      </w:r>
    </w:p>
    <w:p>
      <w:pPr>
        <w:pStyle w:val="BookText"/>
        <w:rPr/>
      </w:pPr>
      <w:r>
        <w:rPr>
          <w:rFonts w:ascii="IRNazanin" w:hAnsi="IRNazanin" w:eastAsia="IRNazanin"/>
          <w:color w:val="111111"/>
          <w:sz w:val="28"/>
          <w:sz w:val="28"/>
          <w:szCs w:val="28"/>
          <w:rtl w:val="true"/>
          <w:lang w:bidi="fa-IR"/>
        </w:rPr>
        <w:t>نکردند، بنابراین من احساس می کنم آن ها با محوریت اصلی آن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یک بیانیه ایده ای شخصی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کاری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برای کاربران در حال تغییر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لاتینا بخشی از اقتصاد جهانی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وب زندگی می کنیم و دسترسی به وب را نوعی کمک و مزیت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اشتراک گذاری تولیدات مان ما می 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عادی لذت بخش است و سهم ما را از دانش افزایش می دهد ما به آموزش عادی احترام می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عمیق اثر گذار است و ما را متحول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یادگیری عمیق را باور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می خواهد که به اشتراک گذاشته شود ما نتایج را به اشتراک می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جوامع تولید می کنند جوامع با عمل ما ساخته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جای قدرت، استدلال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احمقانه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مشکلات دشوارتر از پیدا کردن پاسخ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اکیدا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جهانمان از بالا بنگریم، شاهد چهار نظام عمده اجتماعی هستیم فناوری اقتصاد جامعه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رقومی سازی تغییرات عمیق در تمام چهار نظام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رقومی فرآیندهای دستی نمادها را با فرایند خودکارسازی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پیشرفته جایگزین مهارت های انسانی و نیروی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انبوه در صنعت و کشاورزی هم چنان ادامه دارد اما نقش موثر در اقتصاد به بخش های مبتنی بر دانش بر می گردد در حال حاضر آموزش و پرورش نوآوری و پژوهش صنایع سنگین جدید ما هستند</w:t>
      </w:r>
    </w:p>
    <w:p>
      <w:pPr>
        <w:pStyle w:val="BookText"/>
        <w:rPr/>
      </w:pPr>
      <w:r>
        <w:rPr>
          <w:rFonts w:ascii="IRNazanin" w:hAnsi="IRNazanin" w:eastAsia="IRNazanin"/>
          <w:color w:val="111111"/>
          <w:sz w:val="28"/>
          <w:sz w:val="28"/>
          <w:szCs w:val="28"/>
          <w:rtl w:val="true"/>
          <w:lang w:bidi="fa-IR"/>
        </w:rPr>
        <w:t xml:space="preserve">عرصه های اجتماعی که ما در آن فعالیت می کنیم شامل مناطقی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آفریقا، اتحادیه اروپا، شرق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جهانی شدن به جای پرداختن به حوزه های 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شیوه ها و ارزش هایی که به زندگی ما معنا و نظم می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اعتبار و شخصیتش را از دست داده است به طور فزاینده ای، گروه ها و افراد، فرهنگ هایی را که به آن ها خو گرفته اند ایجاد می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گرایش ها و تحولات متناقض وجود دارد اما اعتراضات به جای پیشنهادهای متناوب </w:t>
      </w:r>
      <w:bookmarkStart w:id="475" w:name="pg9653_81879"/>
    </w:p>
    <w:p>
      <w:pPr>
        <w:pStyle w:val="BookText"/>
        <w:rPr/>
      </w:pPr>
      <w:bookmarkEnd w:id="475"/>
      <w:r>
        <w:rPr>
          <w:rFonts w:ascii="IRNazanin" w:hAnsi="IRNazanin" w:eastAsia="IRNazanin"/>
          <w:color w:val="111111"/>
          <w:sz w:val="28"/>
          <w:sz w:val="28"/>
          <w:szCs w:val="28"/>
          <w:rtl w:val="true"/>
          <w:lang w:bidi="fa-IR"/>
        </w:rPr>
        <w:t>واقع بینانه، با ناراحتی پاسخ داده می شوند هیچ کس قادر به متوقف کردن اولین انقلاب صنعتی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قادر به متوقف کردن این پدیده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و دانشگاه های شرق آفریقا با مشکلات بسیار سخت تر از موسسات همتر از خود در شمال اروپا روبرو خواهند شد اما فناوری رقومی تاثیر بزرگ خود را در همه جا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سریع شبکه های تری جی و فورجی </w:t>
      </w:r>
      <w:r>
        <w:rPr>
          <w:rStyle w:val="FootnoteAnchor"/>
          <w:rtl w:val="true"/>
        </w:rPr>
        <w:footnoteReference w:id="668"/>
      </w:r>
      <w:r>
        <w:rPr>
          <w:rFonts w:ascii="IRNazanin" w:hAnsi="IRNazanin" w:eastAsia="IRNazanin"/>
          <w:color w:val="111111"/>
          <w:sz w:val="28"/>
          <w:sz w:val="28"/>
          <w:szCs w:val="28"/>
          <w:rtl w:val="true"/>
          <w:lang w:bidi="fa-IR"/>
        </w:rPr>
        <w:t>بدان معنی است که موانع بیشتری برای تغییر شامل فرهنگ آداب و رسوم و عادات شخصی در مقایسه با فناوری وجود دارد در کنفرانس بنین پرسیده شد که آیا همان مفاهیم آموزش الکترونیکی کشورهای توسعه یافته در کشورهای در حال توسعه اعمال می شود؟ پاسخ ما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لاتینا با دانشجویان بسیاری از کشورهای مختلف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اساسی ما همان است که در نروژ چین و فلسطین بوده است کتابخانه ها و کتابداران با سیستم های رقومی برای چندین دهه کار کرده اند پس به خوبی برای ترویج یادگیری الکترونیکی در جنوب به میزان شمال آمادگی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دوره لاتینا در کامپالا در ماه ژوئن ظرفیت های بالقوه خود را نشان دهد</w:t>
      </w:r>
      <w:r>
        <w:rPr>
          <w:rFonts w:eastAsia="IRNazanin" w:cs="IRNazanin"/>
          <w:color w:val="111111"/>
          <w:sz w:val="28"/>
          <w:szCs w:val="28"/>
          <w:rtl w:val="true"/>
          <w:lang w:bidi="fa-IR"/>
        </w:rPr>
        <w:t>.</w:t>
      </w:r>
    </w:p>
    <w:p>
      <w:pPr>
        <w:pStyle w:val="Heading3"/>
        <w:numPr>
          <w:ilvl w:val="2"/>
          <w:numId w:val="1"/>
        </w:numPr>
        <w:rPr/>
      </w:pPr>
      <w:bookmarkStart w:id="476" w:name="__RefHeading___Toc7766598_2870459653"/>
      <w:bookmarkStart w:id="477" w:name="_Toc174"/>
      <w:bookmarkEnd w:id="476"/>
      <w:r>
        <w:rPr>
          <w:rtl w:val="true"/>
        </w:rPr>
        <w:t>منابع</w:t>
      </w:r>
      <w:bookmarkEnd w:id="477"/>
    </w:p>
    <w:p>
      <w:pPr>
        <w:pStyle w:val="BookText"/>
        <w:rPr/>
      </w:pPr>
      <w:r>
        <w:rPr>
          <w:rFonts w:eastAsia="Times New Roman" w:cs="Times New Roman" w:ascii="Times New Roman" w:hAnsi="Times New Roman"/>
          <w:color w:val="111111"/>
          <w:sz w:val="28"/>
          <w:szCs w:val="28"/>
          <w:lang w:val="en-US" w:bidi="en-US"/>
        </w:rPr>
        <w:t>eLearning Africa 2012. 7th International Conference for Education, Training andDevelopment. Home page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EdLib. Educating librarians for the future. Web site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Ethnologue. Languages of the world. Web site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Haggard, Stephan. The China-Africa partnership: effective for education?. eLearningAfrica News Portal, April 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Hollow, David. One to one computing in Ethiopia. eLearning Africa News Portal, December 15,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Kasumuni, Ludger. More Africans learn by mobile phone. eLearning Africa News Portal, June 8, 2011</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Kigongo-Bukenya, Isaac M.N. and Maria G. N. Musoke. LIS education</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and training in developing countries: developments and challenges with special reference to Southern Sudan and Uganda. Paper delivered at the Satellite Pre- Conference of SIG LIS</w:t>
      </w:r>
    </w:p>
    <w:p>
      <w:pPr>
        <w:pStyle w:val="BookText"/>
        <w:rPr/>
      </w:pPr>
      <w:r>
        <w:rPr>
          <w:rFonts w:eastAsia="Times New Roman" w:cs="Times New Roman" w:ascii="Times New Roman" w:hAnsi="Times New Roman"/>
          <w:color w:val="111111"/>
          <w:sz w:val="28"/>
          <w:szCs w:val="28"/>
          <w:lang w:val="en-US" w:bidi="en-US"/>
        </w:rPr>
        <w:t>Education in Developing Countries, IFLA Puerto Rico, 11th-12th August 2011 LATINA Africa 2012. Home page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List of ICT4D organizations. Information and communication technologies for development. Wikipedia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Malaria. Wikipedia. English version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Malaria. Wikipedia. Simple English version</w:t>
      </w:r>
    </w:p>
    <w:p>
      <w:pPr>
        <w:pStyle w:val="BookText"/>
        <w:rPr/>
      </w:pPr>
      <w:r>
        <w:rPr>
          <w:rFonts w:eastAsia="Times New Roman" w:cs="Times New Roman" w:ascii="Times New Roman" w:hAnsi="Times New Roman"/>
          <w:color w:val="111111"/>
          <w:sz w:val="28"/>
          <w:szCs w:val="28"/>
          <w:lang w:val="en-US" w:bidi="en-US"/>
        </w:rPr>
        <w:t>Namaganda, Agnes et al. (2011). The changing role of librarians at Makerere University. LATINA in Africa (blog), January 14,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Laptop per Child. Wikipedia</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Wallace, Fiona. Caring through sharing: South Africa's sustainable model. eLearning Africa News Portal, April 25, 2012.. Interview</w:t>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9653_81882"/>
      <w:bookmarkStart w:id="479" w:name="pg9653_81882"/>
      <w:bookmarkEnd w:id="479"/>
    </w:p>
    <w:p>
      <w:pPr>
        <w:pStyle w:val="Heading2"/>
        <w:numPr>
          <w:ilvl w:val="1"/>
          <w:numId w:val="1"/>
        </w:numPr>
        <w:rPr/>
      </w:pPr>
      <w:bookmarkStart w:id="480" w:name="pg9653_81882"/>
      <w:bookmarkStart w:id="481" w:name="__RefHeading___Toc7766600_2870459653"/>
      <w:bookmarkStart w:id="482" w:name="_Toc175"/>
      <w:bookmarkEnd w:id="480"/>
      <w:bookmarkEnd w:id="481"/>
      <w:r>
        <w:rPr>
          <w:rtl w:val="true"/>
        </w:rPr>
        <w:t>چکیده</w:t>
      </w:r>
      <w:bookmarkEnd w:id="482"/>
    </w:p>
    <w:p>
      <w:pPr>
        <w:pStyle w:val="BookText"/>
        <w:rPr/>
      </w:pPr>
      <w:r>
        <w:rPr>
          <w:rFonts w:ascii="IRNazanin" w:hAnsi="IRNazanin" w:eastAsia="IRNazanin"/>
          <w:color w:val="111111"/>
          <w:sz w:val="28"/>
          <w:sz w:val="28"/>
          <w:szCs w:val="28"/>
          <w:rtl w:val="true"/>
          <w:lang w:bidi="fa-IR"/>
        </w:rPr>
        <w:t xml:space="preserve">در این مقاله وضعیت کنونی کتابداری بین المللی و تطبیقی در رابطه با نظریه مفروضات فرانظری و تصمیم گیری های روش شناختی و روش ها ارزیابی شده است پژوهشگران کتابداری بین المللی و تطبیقی برای توسعه نظریه هایی که برآمده از دلداده ها و در عین حال از نظر اجتماعی روشنگر باشند نیازمند جستجو و بسط نظریه از پژوهش های پیشین کتابداری و اطلاع رسانی </w:t>
      </w:r>
      <w:r>
        <w:rPr>
          <w:rStyle w:val="FootnoteAnchor"/>
          <w:rtl w:val="true"/>
        </w:rPr>
        <w:footnoteReference w:id="669"/>
      </w:r>
      <w:r>
        <w:rPr>
          <w:rFonts w:ascii="IRNazanin" w:hAnsi="IRNazanin" w:eastAsia="IRNazanin"/>
          <w:color w:val="111111"/>
          <w:sz w:val="28"/>
          <w:sz w:val="28"/>
          <w:szCs w:val="28"/>
          <w:rtl w:val="true"/>
          <w:lang w:bidi="fa-IR"/>
        </w:rPr>
        <w:t>و نیز وام گرفتن و تطبیق نظریه از سایر رشته های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باید پیش از پرداختن به روش شناسی و روش ها در مورد مفروضات روش شناختی خود بررسی و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تصمیم گیری های روش شناختی ویژه پژوهش بین المللی تطبیقی، در این مقاله شناسایی و بیان شده است در رابطه با روش های پژوهش بسیاری از شیوه ها و فنون پژوهش علوم اجتماعی می تواند در پژوهش های بین المللی و تطبیقی به کار گرفته شود که در این مورد توضیحاتی از زمینه های بین المللی و بین فرهنگی ارائه شده و پیشنهادهایی در جهت بهبود پژوهش در کتابداری بین المللی و تطبیقی مطرح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کتابداری بین المللی، کتابداری تطبیقی، روش شناسی پژوهشی </w:t>
      </w:r>
      <w:bookmarkStart w:id="483" w:name="pg9653_81883"/>
    </w:p>
    <w:p>
      <w:pPr>
        <w:pStyle w:val="Heading2"/>
        <w:numPr>
          <w:ilvl w:val="1"/>
          <w:numId w:val="1"/>
        </w:numPr>
        <w:rPr/>
      </w:pPr>
      <w:bookmarkStart w:id="484" w:name="__RefHeading___Toc7766602_2870459653"/>
      <w:bookmarkStart w:id="485" w:name="_Toc176"/>
      <w:bookmarkEnd w:id="483"/>
      <w:bookmarkEnd w:id="484"/>
      <w:r>
        <w:rPr>
          <w:rtl w:val="true"/>
        </w:rPr>
        <w:t>به سوی کمال در پژوهش های تطبیقی و بین المللی کتابداری و اطلاع رسانی</w:t>
      </w:r>
      <w:bookmarkEnd w:id="485"/>
    </w:p>
    <w:p>
      <w:pPr>
        <w:pStyle w:val="Heading3"/>
        <w:numPr>
          <w:ilvl w:val="2"/>
          <w:numId w:val="1"/>
        </w:numPr>
        <w:rPr/>
      </w:pPr>
      <w:bookmarkStart w:id="486" w:name="__RefHeading___Toc7766604_2870459653"/>
      <w:bookmarkStart w:id="487" w:name="_Toc177"/>
      <w:bookmarkEnd w:id="486"/>
      <w:r>
        <w:rPr>
          <w:rtl w:val="true"/>
        </w:rPr>
        <w:t>اشاره</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کمال در پژوهش های تطبیقی و بین المللی کتابداری و اطلاع رسانی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نوشته لور پیتر جوهان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نجلا حریری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nadjlahariri@gmail.com</w:t>
      </w:r>
    </w:p>
    <w:p>
      <w:pPr>
        <w:pStyle w:val="Heading3"/>
        <w:numPr>
          <w:ilvl w:val="2"/>
          <w:numId w:val="1"/>
        </w:numPr>
        <w:rPr/>
      </w:pPr>
      <w:bookmarkStart w:id="488" w:name="__RefHeading___Toc7766606_2870459653"/>
      <w:bookmarkStart w:id="489" w:name="_Toc178"/>
      <w:bookmarkEnd w:id="488"/>
      <w:r>
        <w:rPr>
          <w:rtl w:val="true"/>
        </w:rPr>
        <w:t>مقدمه</w:t>
      </w:r>
      <w:bookmarkEnd w:id="48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دانشجویانی که درس روش های تحقیق در کتابداری و اطلاع رسانی را می گذرانند، ممکن است در فصل های اولیه کتاب های درسی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کانووی و پاوِل،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به مطالب ناامید کننده ای در مورد وضعیت پژوهش در کتابداری و اطلاع رسانی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تنها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یِن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نیز در نوشته های خود در زمینه روش های علوم اجتماعی در پژوهش های برنامه ریزی درسی شکایت از این دارد که بسیاری از پژوهش ها در رشته وی، از صلاحیت لازم برخوردار نیستند وی این امر را به تجربی گرایی </w:t>
      </w:r>
      <w:r>
        <w:rPr>
          <w:rStyle w:val="FootnoteAnchor"/>
          <w:rtl w:val="true"/>
        </w:rPr>
        <w:footnoteReference w:id="675"/>
      </w:r>
      <w:r>
        <w:rPr>
          <w:rFonts w:ascii="IRNazanin" w:hAnsi="IRNazanin" w:eastAsia="IRNazanin"/>
          <w:color w:val="111111"/>
          <w:sz w:val="28"/>
          <w:sz w:val="28"/>
          <w:szCs w:val="28"/>
          <w:rtl w:val="true"/>
          <w:lang w:bidi="fa-IR"/>
        </w:rPr>
        <w:t xml:space="preserve">ضعیف نسبت می دهد که برای نخستین بار برنستاین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مطرح کرده و از نظر وی، پارادایم غالب در پژوهش های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آنیین دو نوع از تجربی گرایی ضعیف را شناسایی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تجربی گرایی ضعیف، شامل گردآوری و دستکاری داده هایی است که پژوهشگر </w:t>
      </w:r>
      <w:bookmarkStart w:id="490" w:name="pg9653_81884"/>
    </w:p>
    <w:p>
      <w:pPr>
        <w:pStyle w:val="BookText"/>
        <w:rPr/>
      </w:pPr>
      <w:bookmarkEnd w:id="490"/>
      <w:r>
        <w:rPr>
          <w:rFonts w:ascii="IRNazanin" w:hAnsi="IRNazanin" w:eastAsia="IRNazanin"/>
          <w:color w:val="111111"/>
          <w:sz w:val="28"/>
          <w:sz w:val="28"/>
          <w:szCs w:val="28"/>
          <w:rtl w:val="true"/>
          <w:lang w:bidi="fa-IR"/>
        </w:rPr>
        <w:t xml:space="preserve">بدون هیچ گونه آگاهی از مفروضاتی </w:t>
      </w:r>
      <w:r>
        <w:rPr>
          <w:rStyle w:val="FootnoteAnchor"/>
          <w:rtl w:val="true"/>
        </w:rPr>
        <w:footnoteReference w:id="677"/>
      </w:r>
      <w:r>
        <w:rPr>
          <w:rFonts w:ascii="IRNazanin" w:hAnsi="IRNazanin" w:eastAsia="IRNazanin"/>
          <w:color w:val="111111"/>
          <w:sz w:val="28"/>
          <w:sz w:val="28"/>
          <w:szCs w:val="28"/>
          <w:rtl w:val="true"/>
          <w:lang w:bidi="fa-IR"/>
        </w:rPr>
        <w:t xml:space="preserve">که این فعالیت های پژوهشی بر آن استوار است آن ها را از جایی به دست آورده است نوع دوم تجربی گرایی ،ضعیف به ساختارهای نظری یا انتزاع هایی متکی است که در یک نظام نظری بسط یافته قرار نگرفته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آنی ین،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نظریه ای توضیحات کافی در مورد واقعیت اجتماعی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هایی در این زمینه مطرح شده است که بسیاری از پژوهش های بین المللی و تطبیقی نیز ویژگی های تجربی گرایی ضعیف دارند در غالب موارد، گردآوری داده ها و مشاهده الگوها بدون قرار دادن آن ها در چارچوب نظری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مکچنی و پتیگرو،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یا نظریه هایی ساخته می شوند که اساسا جنبه دایره ای دارند و تنها به ساختارهای نظری خود ارجاع می دهند و به نظریه روشنگر اجتماعی ارتباط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تأسف است زیرا حرفه ما می تواند از کتابداری بین المللی و تطبیقی، </w:t>
      </w:r>
      <w:r>
        <w:rPr>
          <w:rStyle w:val="FootnoteAnchor"/>
          <w:rtl w:val="true"/>
        </w:rPr>
        <w:footnoteReference w:id="679"/>
      </w:r>
      <w:r>
        <w:rPr>
          <w:rFonts w:ascii="IRNazanin" w:hAnsi="IRNazanin" w:eastAsia="IRNazanin"/>
          <w:color w:val="111111"/>
          <w:sz w:val="28"/>
          <w:sz w:val="28"/>
          <w:szCs w:val="28"/>
          <w:rtl w:val="true"/>
          <w:lang w:bidi="fa-IR"/>
        </w:rPr>
        <w:t xml:space="preserve">بسیار بیاموزد به همین سبب من از برپایی این نشست خوشنودم، نشستی که توسط سه بخش حرفه ای ایفلا شامل بخش نظریه و پژوهش کتابداری، </w:t>
      </w:r>
      <w:r>
        <w:rPr>
          <w:rStyle w:val="FootnoteAnchor"/>
          <w:rtl w:val="true"/>
        </w:rPr>
        <w:footnoteReference w:id="680"/>
      </w:r>
      <w:r>
        <w:rPr>
          <w:rFonts w:ascii="IRNazanin" w:hAnsi="IRNazanin" w:eastAsia="IRNazanin"/>
          <w:color w:val="111111"/>
          <w:sz w:val="28"/>
          <w:sz w:val="28"/>
          <w:szCs w:val="28"/>
          <w:rtl w:val="true"/>
          <w:lang w:bidi="fa-IR"/>
        </w:rPr>
        <w:t xml:space="preserve">بخش آموزش و کارآموزی، </w:t>
      </w:r>
      <w:r>
        <w:rPr>
          <w:rStyle w:val="FootnoteAnchor"/>
          <w:rtl w:val="true"/>
        </w:rPr>
        <w:footnoteReference w:id="681"/>
      </w:r>
      <w:r>
        <w:rPr>
          <w:rFonts w:ascii="IRNazanin" w:hAnsi="IRNazanin" w:eastAsia="IRNazanin"/>
          <w:color w:val="111111"/>
          <w:sz w:val="28"/>
          <w:sz w:val="28"/>
          <w:szCs w:val="28"/>
          <w:rtl w:val="true"/>
          <w:lang w:bidi="fa-IR"/>
        </w:rPr>
        <w:t xml:space="preserve">و گروه توجه ویژه به آموزش کتابداری و اطلاع رسانی در کشورهای در حال توسعه، </w:t>
      </w:r>
      <w:r>
        <w:rPr>
          <w:rStyle w:val="FootnoteAnchor"/>
          <w:rtl w:val="true"/>
        </w:rPr>
        <w:footnoteReference w:id="682"/>
      </w:r>
      <w:r>
        <w:rPr>
          <w:rFonts w:ascii="IRNazanin" w:hAnsi="IRNazanin" w:eastAsia="IRNazanin"/>
          <w:color w:val="111111"/>
          <w:sz w:val="28"/>
          <w:sz w:val="28"/>
          <w:szCs w:val="28"/>
          <w:rtl w:val="true"/>
          <w:lang w:bidi="fa-IR"/>
        </w:rPr>
        <w:t>به منظور توجه به ارتقاء آموزش و پژوهش مربوط معتبر و قابل اطمینان در کتابداری بین المللی و تطبیقی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مطرح می کنم در جهت رسیدن به هدف فوق و افزایش آگاهی در زمینه تصمیمات و مفروضات مربوط به نظریه، فرانظریه، روش شناسی و روش هاست منظور من از اصطلاح کتابداری بین المللی و تطبیقی در سطح وسیع تر مطالعات بین المللی و تطبیقی در کتابداری و اطلاع رسانی است اصطلاح تطبیقی اشاره به مطالعات بین المللی بین ملی بین فرهنگی و بین اجتماعی در کتابداری و اطلاع رسانی دارد</w:t>
      </w:r>
    </w:p>
    <w:p>
      <w:pPr>
        <w:pStyle w:val="Heading3"/>
        <w:numPr>
          <w:ilvl w:val="2"/>
          <w:numId w:val="1"/>
        </w:numPr>
        <w:rPr/>
      </w:pPr>
      <w:bookmarkStart w:id="491" w:name="__RefHeading___Toc7766608_2870459653"/>
      <w:bookmarkStart w:id="492" w:name="_Toc179"/>
      <w:bookmarkEnd w:id="491"/>
      <w:r>
        <w:rPr>
          <w:rtl w:val="true"/>
        </w:rPr>
        <w:t>توسعه کتابداری بین المللی و تطبیقی</w:t>
      </w:r>
      <w:bookmarkEnd w:id="49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کتابداری بین المللی و تطبیقی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 و در دهه 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رشته مشخص شناسایی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لور،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لور و بریتس،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متون و منابع قابل توجهی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که در این متون ضمن تأکید بر ارزش و اهمیت این زمینه </w:t>
      </w:r>
      <w:bookmarkStart w:id="493" w:name="pg9653_81885"/>
    </w:p>
    <w:p>
      <w:pPr>
        <w:pStyle w:val="BookText"/>
        <w:rPr/>
      </w:pPr>
      <w:bookmarkEnd w:id="493"/>
      <w:r>
        <w:rPr>
          <w:rFonts w:ascii="IRNazanin" w:hAnsi="IRNazanin" w:eastAsia="IRNazanin"/>
          <w:color w:val="111111"/>
          <w:sz w:val="28"/>
          <w:sz w:val="28"/>
          <w:szCs w:val="28"/>
          <w:rtl w:val="true"/>
          <w:lang w:bidi="fa-IR"/>
        </w:rPr>
        <w:t xml:space="preserve">رهنمودهای روش شناختی نیز ارائه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سیمسووا و مکی،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کالینگز،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دانتن،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پارکر،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هاروی،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کریستزی،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این نویسندگان به یکدیگر استناد کرده و یا شرح هایی بر آثار یکدیگر نوشته اند و به این ترتیب در طول آن دوره زمانی، یک جبهه پژوهشی دست کم در کتابداری بین المللی به وجود آمد ادبیات کتابداری بین المللی و تطبیقی به عنوان یک زمینه مطالعاتی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کارهایی که در این دو رشته علمی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برخی استثنائات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کریستزی،</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کرزیس و لیتون،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و بلیس،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الهام اولیه برای کتابداری تطبیقی، از رشته های پابرجاتری مانند زبانشناسی تطبیقی، مذهب، حقوق، سیاست و آموزش و پرورش تطبیقی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دانتن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فاسکت،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از میان رشته های فوق آموزش و پرورش تطبیقی بیشتر از سایر رشته ها به عنوان الگوی کتابداری تطبیقی در نظر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آموزش و پرورش تطبیقی و دیگر رشته های تطبیقی مبنای مفهومی و روش شناختی پژوهش تطبیقی را فراهم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هانتریز،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لندمن،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پنینگز </w:t>
      </w:r>
      <w:r>
        <w:rPr>
          <w:rStyle w:val="FootnoteAnchor"/>
          <w:rtl w:val="true"/>
        </w:rPr>
        <w:footnoteReference w:id="695"/>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بحث های مفهومی و روش شناختی این زمینه را زنده نگهداشتند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کاوئن،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کراسلی،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شِریوِر،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با این حال، این امر در کتابداری بین المللی و تطبیقی اتفاق نیفتاد و در این رشته بحث های روش شناختی تا اوایل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بوده است</w:t>
      </w:r>
      <w:r>
        <w:rPr>
          <w:rFonts w:eastAsia="IRNazanin" w:cs="IRNazanin"/>
          <w:color w:val="111111"/>
          <w:sz w:val="28"/>
          <w:szCs w:val="28"/>
          <w:rtl w:val="true"/>
          <w:lang w:bidi="fa-IR"/>
        </w:rPr>
        <w:t>.</w:t>
      </w:r>
    </w:p>
    <w:p>
      <w:pPr>
        <w:pStyle w:val="Heading3"/>
        <w:numPr>
          <w:ilvl w:val="2"/>
          <w:numId w:val="1"/>
        </w:numPr>
        <w:rPr/>
      </w:pPr>
      <w:bookmarkStart w:id="494" w:name="__RefHeading___Toc7766610_2870459653"/>
      <w:bookmarkStart w:id="495" w:name="_Toc180"/>
      <w:bookmarkEnd w:id="494"/>
      <w:r>
        <w:rPr>
          <w:rtl w:val="true"/>
        </w:rPr>
        <w:t>وضعیت کنونی کتابداری بین المللی</w:t>
      </w:r>
      <w:bookmarkEnd w:id="49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بیان شد بدان معنی نیست که در زمینه کتابداری تطبیقی و بین المللی هیچ منبعی منتشر نشده است انتشارات در زمینه کتابداری بین المللی فراوان است و ادبیات این زمینه را می توان به صورت ابتدایی به دو بخش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بخش نخست شامل مطالعات در محدوده های جغرافیایی یعنی </w:t>
      </w:r>
      <w:bookmarkStart w:id="496" w:name="pg9653_81886"/>
    </w:p>
    <w:p>
      <w:pPr>
        <w:pStyle w:val="BookText"/>
        <w:rPr/>
      </w:pPr>
      <w:bookmarkEnd w:id="496"/>
      <w:r>
        <w:rPr>
          <w:rFonts w:ascii="IRNazanin" w:hAnsi="IRNazanin" w:eastAsia="IRNazanin"/>
          <w:color w:val="111111"/>
          <w:sz w:val="28"/>
          <w:sz w:val="28"/>
          <w:szCs w:val="28"/>
          <w:rtl w:val="true"/>
          <w:lang w:bidi="fa-IR"/>
        </w:rPr>
        <w:t>مقالات، بخش های کتاب ها و برخی تک نگاشت ها در مورد جنبه هایی از کتابداری در کشورهای غیر از کشور نویسنده و مطالعات ناحیه ای و پیمایش های منطقه ای و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 مفهوم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زیادی از پیمایش های منطقه ای و بین المللی وجود دارد که بسیاری از آن ها مربوط به کشورهای در حال توسعه است در بیشتر این مطالعات عنصر تطبیقی یا وجود ندارد و یا بسیار ابتدایی است هر چند که بسیاری از این مطالعات، اطلاعات خوبی ارائه می دهند، ولی ادبیات منسجمی را تشکیل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بخش از کتابداری بین المللی جنبه مضمونی دارد و مربوط به موضوع های مختلف در مورد کتابداری و اطلاع رسانی در کشورها جوامع و فرهنگ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این موضوع ها است دامنه و اثرات اندیشه ها در حوزه کتابداری و اطلاع رسانی مسائل مربوط به توسعه کتابداری و اطلاع رسانی و حمایت از آن، آموزش کتابداری و اطلاع رسانی بین المللی زیرساخت های فناوری</w:t>
      </w:r>
    </w:p>
    <w:p>
      <w:pPr>
        <w:pStyle w:val="BookText"/>
        <w:rPr/>
      </w:pPr>
      <w:r>
        <w:rPr>
          <w:rFonts w:ascii="IRNazanin" w:hAnsi="IRNazanin" w:eastAsia="IRNazanin"/>
          <w:color w:val="111111"/>
          <w:sz w:val="28"/>
          <w:sz w:val="28"/>
          <w:szCs w:val="28"/>
          <w:rtl w:val="true"/>
          <w:lang w:bidi="fa-IR"/>
        </w:rPr>
        <w:t>اطلاعات و ارتباطات، شکاف رقومی اقتصاد سیاسی تخصیص منابع و جریان اطلاعات میان کشورهای شمال و جنوب نقش سازمان های بین المللی</w:t>
      </w:r>
    </w:p>
    <w:p>
      <w:pPr>
        <w:pStyle w:val="BookText"/>
        <w:rPr/>
      </w:pPr>
      <w:r>
        <w:rPr>
          <w:rFonts w:ascii="IRNazanin" w:hAnsi="IRNazanin" w:eastAsia="IRNazanin"/>
          <w:color w:val="111111"/>
          <w:sz w:val="28"/>
          <w:sz w:val="28"/>
          <w:szCs w:val="28"/>
          <w:rtl w:val="true"/>
          <w:lang w:bidi="fa-IR"/>
        </w:rPr>
        <w:t xml:space="preserve">این فهرست به طور قطع یک سیاهه جامع نیست و هر چند در این زمینه تأملات نظری و زایندگی متقابل وجود دارد، هیچ نظریه ای در مورد کتابداری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زمینه موضوع های پیشگفته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است و متون و منابع مربوطه تنها به صورت ضعیفی از طریق استناد به هم پیوند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دیدگاه های نظری سایر رشته های علوم اجتماعی، مانند نظریه های مختلف در مورد انتشار نوآوری، دگرگونی فرهنگی، الهام گرفتن از سیاست ها توسعه و خودباوری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نیز که نویسندگان به طور آشکار به نظریه پردازی برای تدوین چارچوب و طرح مطالعه و تفسیر یافته های خود بپردازند چندان مشاهده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مکچنی و پتیگرو، </w:t>
      </w:r>
      <w:r>
        <w:rPr>
          <w:rFonts w:eastAsia="IRNazanin" w:cs="IRNazanin"/>
          <w:color w:val="111111"/>
          <w:sz w:val="28"/>
          <w:szCs w:val="28"/>
          <w:lang w:bidi="fa-IR"/>
        </w:rPr>
        <w:t>2002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ملاحظه موارد استثنایی جالب به آثار آرک </w:t>
      </w:r>
      <w:r>
        <w:rPr>
          <w:rStyle w:val="FootnoteAnchor"/>
          <w:rtl w:val="true"/>
        </w:rPr>
        <w:footnoteReference w:id="699"/>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97" w:name="__RefHeading___Toc7766612_2870459653"/>
      <w:bookmarkStart w:id="498" w:name="_Toc181"/>
      <w:bookmarkEnd w:id="497"/>
      <w:r>
        <w:rPr>
          <w:rtl w:val="true"/>
        </w:rPr>
        <w:t>وضعیت کنونی کتابداری تطبیقی</w:t>
      </w:r>
      <w:bookmarkEnd w:id="498"/>
    </w:p>
    <w:p>
      <w:pPr>
        <w:pStyle w:val="BookText"/>
        <w:rPr/>
      </w:pPr>
      <w:r>
        <w:rPr>
          <w:rFonts w:ascii="IRNazanin" w:hAnsi="IRNazanin" w:eastAsia="IRNazanin"/>
          <w:color w:val="111111"/>
          <w:sz w:val="28"/>
          <w:sz w:val="28"/>
          <w:szCs w:val="28"/>
          <w:rtl w:val="true"/>
          <w:lang w:bidi="fa-IR"/>
        </w:rPr>
        <w:t>در بازگشت به کتابداری تطبیقی، مقایسه های زیادی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پیمایشی که اخیراً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 و هانگ، در دست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 متون و منابع اشکالاتی دارند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منابع مربوطه پراکنده بوده یافتن آن ها در پایگاه های اطلاعات کتابشناختی دشوار است</w:t>
      </w:r>
      <w:r>
        <w:rPr>
          <w:rFonts w:eastAsia="IRNazanin" w:cs="IRNazanin"/>
          <w:color w:val="111111"/>
          <w:sz w:val="28"/>
          <w:szCs w:val="28"/>
          <w:rtl w:val="true"/>
          <w:lang w:bidi="fa-IR"/>
        </w:rPr>
        <w:t xml:space="preserve">. </w:t>
      </w:r>
      <w:bookmarkStart w:id="499" w:name="pg9653_81887"/>
    </w:p>
    <w:p>
      <w:pPr>
        <w:pStyle w:val="BookText"/>
        <w:rPr/>
      </w:pPr>
      <w:bookmarkEnd w:id="499"/>
      <w:r>
        <w:rPr>
          <w:rFonts w:ascii="IRNazanin" w:hAnsi="IRNazanin" w:eastAsia="IRNazanin"/>
          <w:color w:val="111111"/>
          <w:sz w:val="28"/>
          <w:sz w:val="28"/>
          <w:szCs w:val="28"/>
          <w:rtl w:val="true"/>
          <w:lang w:bidi="fa-IR"/>
        </w:rPr>
        <w:t>دوم این که بررسی مقاله هایی که در کتابداری تطبیقی قابل دسترس هستند نشان می دهند که در این مقالات، مضمون هسته ای قابل تشخیصی وجود ندارد نویسندگان به یکدیگر یا به مطالعات تطبیقی دیگر در کتابداری و اطلاع رسانی استناد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متون و منابع روش شناختی و به ویژه متون مربوط به روش شناسی تطبیقی به ندرت مورد استناد قرار گرفته اند و شواهد در زمینه آگاهی از موضوع های مربوط به فرانظریه بسیار اندک است؛ و بالآخره این که متون و منابع مربوطه عمدتاً عاری از نظریه بوده و از لحاظ نظری در خلاً به انجام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نظریه ای از کتابداری و اطلاع رسانی یا از زمینه های موضوعی دیگر در تکوین چارچوب مفهومی، فرضیه ها و طرح پژوهش آن ها و یا در تفسیر نتایج به کار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استثناءات را می توان در ماک،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کنوث،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دالبلو،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و استرتفیلد و مارکلس،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مطالعات تطبیقی دیگر شامل نمونه ایی از کتاب های درسی با تجربی گرایی ضعیف هستند</w:t>
      </w:r>
      <w:r>
        <w:rPr>
          <w:rFonts w:eastAsia="IRNazanin" w:cs="IRNazanin"/>
          <w:color w:val="111111"/>
          <w:sz w:val="28"/>
          <w:szCs w:val="28"/>
          <w:rtl w:val="true"/>
          <w:lang w:bidi="fa-IR"/>
        </w:rPr>
        <w:t>.</w:t>
      </w:r>
    </w:p>
    <w:p>
      <w:pPr>
        <w:pStyle w:val="Heading3"/>
        <w:numPr>
          <w:ilvl w:val="2"/>
          <w:numId w:val="1"/>
        </w:numPr>
        <w:rPr/>
      </w:pPr>
      <w:bookmarkStart w:id="500" w:name="__RefHeading___Toc7766614_2870459653"/>
      <w:bookmarkStart w:id="501" w:name="_Toc182"/>
      <w:bookmarkEnd w:id="500"/>
      <w:r>
        <w:rPr>
          <w:rtl w:val="true"/>
        </w:rPr>
        <w:t>نیاز به نظریه</w:t>
      </w:r>
      <w:bookmarkEnd w:id="501"/>
    </w:p>
    <w:p>
      <w:pPr>
        <w:pStyle w:val="BookText"/>
        <w:rPr/>
      </w:pPr>
      <w:r>
        <w:rPr>
          <w:rFonts w:ascii="IRNazanin" w:hAnsi="IRNazanin" w:eastAsia="IRNazanin"/>
          <w:color w:val="111111"/>
          <w:sz w:val="28"/>
          <w:sz w:val="28"/>
          <w:szCs w:val="28"/>
          <w:rtl w:val="true"/>
          <w:lang w:bidi="fa-IR"/>
        </w:rPr>
        <w:t xml:space="preserve">آنیین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که پیشتر اشاره شد نظریه را به عنوان تلاشی برای تشخیص ظهور ویژگی های ذاتی قابل مشاهده؛ برای فراتر رفتن از داده های تجربی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باید مبتنی بر داده ها باشد و بین نظریه و داده ها ارتباط متقابلی وجود داشته باشد و یکی روشنگر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نظر آنی یِن، نظریه باید به لحاظ اجتماعی آگاهی بخش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من از مطلب فوق این است که نیاز داریم در بین دو نقطه نهایی حد وسط را پیدا کنیم در یکی از این دو نقطه نهایی، مدل های ابتدایی ای داریم که صرفاً می کوشند یافته های تجربی را با عبارت های مربوط به داده ها توضیح دهند چنان که هیورلند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اشاره کرده، مدل ها ممکن است مفید باشند اما ما را به تردید در مورد مفروضاتی که اساس آن ها قرار گرفته اند، ترغیب نمی کنند ما در کتابداری و اطلاع رسانی به مجموعه ای از فرضیه های بی اهمیت برخورد می کنیم که با روش های پیچیده آمار استنباطی آزمون شده اند در حالی که به سؤال چرایی آن ها پاسخی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نهایی دیگر، طیف گسترده نظریه های بزرگ قرار دارد که می توانند طیف وسیعی از پدیده های اجتماعی </w:t>
      </w:r>
      <w:bookmarkStart w:id="502" w:name="pg9653_81888"/>
    </w:p>
    <w:p>
      <w:pPr>
        <w:pStyle w:val="BookText"/>
        <w:rPr/>
      </w:pPr>
      <w:bookmarkEnd w:id="502"/>
      <w:r>
        <w:rPr>
          <w:rFonts w:ascii="IRNazanin" w:hAnsi="IRNazanin" w:eastAsia="IRNazanin"/>
          <w:color w:val="111111"/>
          <w:sz w:val="28"/>
          <w:sz w:val="28"/>
          <w:szCs w:val="28"/>
          <w:rtl w:val="true"/>
          <w:lang w:bidi="fa-IR"/>
        </w:rPr>
        <w:t xml:space="preserve">مانند مارکسیسم و نظریه انتخاب عقلانی را توضیح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ها قابل قبول هستند و پذیرش وسیعی یافته اند اما جنبه انتزاعی دارند، قابل مشاهده تجربی نیستند و کاربرد آن ها تنها در طرح ریزی مطالعات پژوهشی است؛ در عوض زمینه را برای تأمل و نظریه پردازی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کتابداری و اطلاع رسانی در عین حال که از نظریه های سایر رشته های علمی مانند روانشناسی، جامعه شناسی و مدیریت بهره برده نظریه های مهم بسیار اندکی تولید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هیورلند،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من، این امر در مورد کتابداری بین المللی و تطبیقی به صورت قوی تری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کتابداری و اطلاع رسانی تطبیقی شواهد اندکی از نظریه پردازی مشاهده می کنیم هر چند که نظریه وجود دارد اما به مواردی از کاربرد و توسعه آن از سوی پژوهشگران پیشین برخورد نمی کنیم برای مثال در مطالعات مربوط به توسعه کتابداری و اطلاع رسانی در مستعمرات سابق بریتانیا و فرانسه حجم زیادی از مواد اطلاعاتی مفید تولید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همچنین برخی نظریه های ابتدایی نیز در زمینه توسعه کتابخانه ها اعم از تفاوت ها و مشابهت های بین راهبردهای مستعمرات بریتانیا، فرانسه و پرتغال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اندیشه ها به صورت نظام مند کشف نشده اند و هنوز چارچوبی نظری برای چنین مطالعه ای بسط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شده در مورد کتابداری بین المللی مواد خام چنین تحلیلی را فراهم می کنند اما در زمینه کتابداری تطبیقی به نظر می رسد که هر پژوهشگری کار را از ابتدا شروع کرده است از همین رو هر فرد نظریه ای ساخته که آزمون نشده است تا بتواند در وهله اول، در جهت تلاش برای توضیح آن چه تا به حال در متون و منابع گزارش شده و در مرحله بعد برای انتخاب موارد دیگری برای مطالعه استفاده شود</w:t>
      </w:r>
      <w:r>
        <w:rPr>
          <w:rFonts w:eastAsia="IRNazanin" w:cs="IRNazanin"/>
          <w:color w:val="111111"/>
          <w:sz w:val="28"/>
          <w:szCs w:val="28"/>
          <w:rtl w:val="true"/>
          <w:lang w:bidi="fa-IR"/>
        </w:rPr>
        <w:t>.</w:t>
      </w:r>
    </w:p>
    <w:p>
      <w:pPr>
        <w:pStyle w:val="Heading3"/>
        <w:numPr>
          <w:ilvl w:val="2"/>
          <w:numId w:val="1"/>
        </w:numPr>
        <w:rPr/>
      </w:pPr>
      <w:bookmarkStart w:id="503" w:name="__RefHeading___Toc7766616_2870459653"/>
      <w:bookmarkStart w:id="504" w:name="_Toc183"/>
      <w:bookmarkEnd w:id="503"/>
      <w:r>
        <w:rPr>
          <w:rtl w:val="true"/>
        </w:rPr>
        <w:t>فرانظریه، روش شناسی و روش ها</w:t>
      </w:r>
      <w:bookmarkEnd w:id="50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مفروضاتی که پژوهشگر ممکن است از آن ها آگاه نباشد می توانند پایه و اساس تصمیم گیری ها در پژوهش کتابداری و اطلاع رسانی بین المللی و تطبیقی قرار بگیرند این امر تا حد زیادی در مورد تصمیمات آموزش و فعالیت حرفه ای کتابداری و اطلاع رسانی از جمله آموزش بین المللی و در زمینه هایی مانند همکاری برای توسعه و اقتباس سیاست های کتابداری و اطلاع رسانی صدق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فعالیت بین المللی مشکل معمولا زمانی پیش می آید که پژوهشگران آموزشگران یا فعالان حرفه ای از مفروضاتی که مبنای تصمیمات آن ها قرار می گیرد آگاه نباشند زمانی که این مفروضات به سطح آورده نمی شوند تصمیمات بر اساس حدسیات اتخاذ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این مفروضات می توانند انواع مختلفی داشته </w:t>
      </w:r>
    </w:p>
    <w:p>
      <w:pPr>
        <w:pStyle w:val="BookText"/>
        <w:rPr/>
      </w:pPr>
      <w:r>
        <w:rPr>
          <w:rFonts w:ascii="IRNazanin" w:hAnsi="IRNazanin" w:eastAsia="IRNazanin"/>
          <w:color w:val="111111"/>
          <w:sz w:val="28"/>
          <w:sz w:val="28"/>
          <w:szCs w:val="28"/>
          <w:rtl w:val="true"/>
          <w:lang w:bidi="fa-IR"/>
        </w:rPr>
        <w:t xml:space="preserve">باشند، از این رو تمایز میان فرانظریه، </w:t>
      </w:r>
      <w:r>
        <w:rPr>
          <w:rStyle w:val="FootnoteAnchor"/>
          <w:rtl w:val="true"/>
        </w:rPr>
        <w:footnoteReference w:id="708"/>
      </w:r>
      <w:r>
        <w:rPr>
          <w:rFonts w:ascii="IRNazanin" w:hAnsi="IRNazanin" w:eastAsia="IRNazanin"/>
          <w:color w:val="111111"/>
          <w:sz w:val="28"/>
          <w:sz w:val="28"/>
          <w:szCs w:val="28"/>
          <w:rtl w:val="true"/>
          <w:lang w:bidi="fa-IR"/>
        </w:rPr>
        <w:t xml:space="preserve">روش شناسی </w:t>
      </w:r>
      <w:r>
        <w:rPr>
          <w:rStyle w:val="FootnoteAnchor"/>
          <w:rtl w:val="true"/>
        </w:rPr>
        <w:footnoteReference w:id="709"/>
      </w:r>
      <w:r>
        <w:rPr>
          <w:rFonts w:ascii="IRNazanin" w:hAnsi="IRNazanin" w:eastAsia="IRNazanin"/>
          <w:color w:val="111111"/>
          <w:sz w:val="28"/>
          <w:sz w:val="28"/>
          <w:szCs w:val="28"/>
          <w:rtl w:val="true"/>
          <w:lang w:bidi="fa-IR"/>
        </w:rPr>
        <w:t xml:space="preserve">و روش ها </w:t>
      </w:r>
      <w:r>
        <w:rPr>
          <w:rStyle w:val="FootnoteAnchor"/>
          <w:rtl w:val="true"/>
        </w:rPr>
        <w:footnoteReference w:id="710"/>
      </w:r>
      <w:r>
        <w:rPr>
          <w:rFonts w:ascii="IRNazanin" w:hAnsi="IRNazanin" w:eastAsia="IRNazanin"/>
          <w:color w:val="111111"/>
          <w:sz w:val="28"/>
          <w:sz w:val="28"/>
          <w:szCs w:val="28"/>
          <w:rtl w:val="true"/>
          <w:lang w:bidi="fa-IR"/>
        </w:rPr>
        <w:t>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دروین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فرانظریه را چنین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فرض هایی </w:t>
      </w:r>
      <w:r>
        <w:rPr>
          <w:rStyle w:val="FootnoteAnchor"/>
          <w:rtl w:val="true"/>
        </w:rPr>
        <w:footnoteReference w:id="712"/>
      </w:r>
      <w:r>
        <w:rPr>
          <w:rFonts w:ascii="IRNazanin" w:hAnsi="IRNazanin" w:eastAsia="IRNazanin"/>
          <w:color w:val="111111"/>
          <w:sz w:val="28"/>
          <w:sz w:val="28"/>
          <w:szCs w:val="28"/>
          <w:rtl w:val="true"/>
          <w:lang w:bidi="fa-IR"/>
        </w:rPr>
        <w:t xml:space="preserve">که فراهم کننده دیدگاه های عمومی یا راه های نگریستن هستند و اساس آن ها مفروضاتی در مورد ماهیت واقعیت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 ماهیتِ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اهداف نظریه و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ارزش ها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شناسی</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 و ماهیت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گوبا و لینکلن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برای مفهوم فوق، اصطلاح پارادایم را به کار بردند با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اساسی باورها یا جهان بینی که محقق را، نه فقط در انتخاب روش ها بلکه در شیوه های بنیادی هستی شناختی و معرفت شناختی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پارادایم ها شامل اثبات گرایی </w:t>
      </w:r>
      <w:r>
        <w:rPr>
          <w:rStyle w:val="FootnoteAnchor"/>
          <w:rtl w:val="true"/>
        </w:rPr>
        <w:footnoteReference w:id="719"/>
      </w:r>
      <w:r>
        <w:rPr>
          <w:rFonts w:ascii="IRNazanin" w:hAnsi="IRNazanin" w:eastAsia="IRNazanin"/>
          <w:color w:val="111111"/>
          <w:sz w:val="28"/>
          <w:sz w:val="28"/>
          <w:szCs w:val="28"/>
          <w:rtl w:val="true"/>
          <w:lang w:bidi="fa-IR"/>
        </w:rPr>
        <w:t xml:space="preserve">، فرا اثبات گرایی، </w:t>
      </w:r>
      <w:r>
        <w:rPr>
          <w:rStyle w:val="FootnoteAnchor"/>
          <w:rtl w:val="true"/>
        </w:rPr>
        <w:footnoteReference w:id="720"/>
      </w:r>
      <w:r>
        <w:rPr>
          <w:rFonts w:ascii="IRNazanin" w:hAnsi="IRNazanin" w:eastAsia="IRNazanin"/>
          <w:color w:val="111111"/>
          <w:sz w:val="28"/>
          <w:sz w:val="28"/>
          <w:szCs w:val="28"/>
          <w:rtl w:val="true"/>
          <w:lang w:bidi="fa-IR"/>
        </w:rPr>
        <w:t xml:space="preserve">تفسیرگرایی </w:t>
      </w:r>
      <w:r>
        <w:rPr>
          <w:rStyle w:val="FootnoteAnchor"/>
          <w:rtl w:val="true"/>
        </w:rPr>
        <w:footnoteReference w:id="721"/>
      </w:r>
      <w:r>
        <w:rPr>
          <w:rFonts w:ascii="IRNazanin" w:hAnsi="IRNazanin" w:eastAsia="IRNazanin"/>
          <w:color w:val="111111"/>
          <w:sz w:val="28"/>
          <w:sz w:val="28"/>
          <w:szCs w:val="28"/>
          <w:rtl w:val="true"/>
          <w:lang w:bidi="fa-IR"/>
        </w:rPr>
        <w:t xml:space="preserve">برساخت گرایی، </w:t>
      </w:r>
      <w:r>
        <w:rPr>
          <w:rStyle w:val="FootnoteAnchor"/>
          <w:rtl w:val="true"/>
        </w:rPr>
        <w:footnoteReference w:id="722"/>
      </w:r>
      <w:r>
        <w:rPr>
          <w:rFonts w:ascii="IRNazanin" w:hAnsi="IRNazanin" w:eastAsia="IRNazanin"/>
          <w:color w:val="111111"/>
          <w:sz w:val="28"/>
          <w:sz w:val="28"/>
          <w:szCs w:val="28"/>
          <w:rtl w:val="true"/>
          <w:lang w:bidi="fa-IR"/>
        </w:rPr>
        <w:t xml:space="preserve">نظریه انتقادی، </w:t>
      </w:r>
      <w:r>
        <w:rPr>
          <w:rStyle w:val="FootnoteAnchor"/>
          <w:rtl w:val="true"/>
        </w:rPr>
        <w:footnoteReference w:id="723"/>
      </w:r>
      <w:r>
        <w:rPr>
          <w:rFonts w:ascii="IRNazanin" w:hAnsi="IRNazanin" w:eastAsia="IRNazanin"/>
          <w:color w:val="111111"/>
          <w:sz w:val="28"/>
          <w:sz w:val="28"/>
          <w:szCs w:val="28"/>
          <w:rtl w:val="true"/>
          <w:lang w:bidi="fa-IR"/>
        </w:rPr>
        <w:t xml:space="preserve">و پارادایم های مشارکتی </w:t>
      </w:r>
      <w:r>
        <w:rPr>
          <w:rStyle w:val="FootnoteAnchor"/>
          <w:rtl w:val="true"/>
        </w:rPr>
        <w:footnoteReference w:id="724"/>
      </w:r>
      <w:r>
        <w:rPr>
          <w:rFonts w:ascii="IRNazanin" w:hAnsi="IRNazanin" w:eastAsia="IRNazanin"/>
          <w:color w:val="111111"/>
          <w:sz w:val="28"/>
          <w:sz w:val="28"/>
          <w:szCs w:val="28"/>
          <w:rtl w:val="true"/>
          <w:lang w:bidi="fa-IR"/>
        </w:rPr>
        <w:t xml:space="preserve">و رهایی بخش </w:t>
      </w:r>
      <w:r>
        <w:rPr>
          <w:rStyle w:val="FootnoteAnchor"/>
          <w:rtl w:val="true"/>
        </w:rPr>
        <w:footnoteReference w:id="72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کریسول،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مرتنس،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گوبا و لینکلن،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بر آن تأکید شده این است که پارادایم ها باید پیش از تنظیم روش شناسی ها و روش ها مورد توجه قرار گیرند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دروین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روش شناسی ها را به عنوان پلی در نظر می گیرم که فرانظریه را چنان که پیشتر تعریف شد به روش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رویه های عملی ویژه ای که به طور منطقی برای گردآوری تحلیل و تفسیر داده ها انتخاب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روش ها روش شناسی با تصمیمات سطح بالا در زمینه رویکردهای پژوهشی راهبرد و طرح پژوهش سروکار دارد سلسله مراتب فرانظریه روش شناسی و روش ها می تواند به یک کوه یخ تشبیه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کوه یخ تصمیمات و مفروضات پژوهش</w:t>
      </w:r>
    </w:p>
    <w:p>
      <w:pPr>
        <w:pStyle w:val="BookText"/>
        <w:rPr/>
      </w:pPr>
      <w:r>
        <w:rPr>
          <w:rFonts w:ascii="IRNazanin" w:hAnsi="IRNazanin" w:eastAsia="IRNazanin"/>
          <w:color w:val="111111"/>
          <w:sz w:val="28"/>
          <w:sz w:val="28"/>
          <w:szCs w:val="28"/>
          <w:rtl w:val="true"/>
          <w:lang w:bidi="fa-IR"/>
        </w:rPr>
        <w:t>به دلیل تفاوت چگالی یخ و آب دریا، تنها یک دهم کوه یخ شناور، بر روی سطح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کوه یخ به عنوان استعاره ای برای ابعاد پژوهش به کار می رود که در این استعاره، تصمیمات آگاهانه ابعادی هستند که در سطح آب دیده می شوند و ابعاد زیرین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مفروضات ضمنی و ناخودآگاه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سطح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نظریه می تواند به عنوان بخشی از کوه یخ در نظر گرفته شود که در زیر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باید در سطح قرار گرفته باشد اما بررسی متون و منابع نشان می دهد که در کتابداری تطبیقی، تمامی تصمیمات روش شناختی بر اساس بازتاب آگاهانه نبوده اند و اگر نیز چنین بوده است، به روشنی توضیح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 که دیدنی ترین ابعاد هستند، نوک کوه یخ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روشنی ارائه شده باشد پژوهشگر عموماً شیوه ها و فنون ویژه ای را که کار برده است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تطبیقی می توان از شیوه ها و فنونی استفاده کرد که تشکیل دهنده بخشی از ابزارهای عمومی پژوهش کتابداری و اطلاع رسانی هستند اما این شیوه ها و فنون باید در پرتو تصمیمات روش شناختی انتخاب شوند این تصمیمات می تواند شامل تصمیمات مربوط به راهبرد مقایسه باشد و راهبردها نیز ممکن است نیاز به انطباق داشته باشند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های بعدی من به جنبه هایی از مفروضات روش شناختی و تصمیمات مربوط به روش شناسی و روش ها در پژوهش کتابداری بین المللی به ویژه کتابداری تطبیقی خواهم پرداخت</w:t>
      </w:r>
      <w:r>
        <w:rPr>
          <w:rFonts w:eastAsia="IRNazanin" w:cs="IRNazanin"/>
          <w:color w:val="111111"/>
          <w:sz w:val="28"/>
          <w:szCs w:val="28"/>
          <w:rtl w:val="true"/>
          <w:lang w:bidi="fa-IR"/>
        </w:rPr>
        <w:t xml:space="preserve">. </w:t>
      </w:r>
      <w:bookmarkStart w:id="505" w:name="pg9653_81891"/>
    </w:p>
    <w:p>
      <w:pPr>
        <w:pStyle w:val="Heading3"/>
        <w:numPr>
          <w:ilvl w:val="2"/>
          <w:numId w:val="1"/>
        </w:numPr>
        <w:rPr/>
      </w:pPr>
      <w:bookmarkStart w:id="506" w:name="__RefHeading___Toc7766618_2870459653"/>
      <w:bookmarkStart w:id="507" w:name="_Toc184"/>
      <w:bookmarkEnd w:id="505"/>
      <w:bookmarkEnd w:id="506"/>
      <w:r>
        <w:rPr>
          <w:rtl w:val="true"/>
        </w:rPr>
        <w:t>مفروضات روش شناختی</w:t>
      </w:r>
      <w:bookmarkEnd w:id="507"/>
    </w:p>
    <w:p>
      <w:pPr>
        <w:pStyle w:val="BookText"/>
        <w:rPr/>
      </w:pPr>
      <w:r>
        <w:rPr>
          <w:rFonts w:ascii="IRNazanin" w:hAnsi="IRNazanin" w:eastAsia="IRNazanin"/>
          <w:color w:val="111111"/>
          <w:sz w:val="28"/>
          <w:sz w:val="28"/>
          <w:szCs w:val="28"/>
          <w:rtl w:val="true"/>
          <w:lang w:bidi="fa-IR"/>
        </w:rPr>
        <w:t xml:space="preserve">فرانظریه ها و پارادایم هایی را که پیشتر به آن ها اشاره شد می توان برحسب تعداد ابعاد توصیف نمود که نمونه هایی از آن در جدول های تطبیقی پیکارد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و گویا و لینکلن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اقتباس از موتن و مارِی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که پنج بعد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پژوهش علوم اجتماعی</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شناسایی کردند تشخیص پنج بعد فرانظریه ای جامعه شناختی غایت شناختی، هستی شناختی، معرفت شناختی و اخلاقی را سودمند یافتم، با تعیین این ابعاد در بخشی از کوه یخ که در زیر آب قرار گرفته و پیشتر با عنوان فرانظریه نام گذاری کردیم، به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یخ</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رسیدم که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کوه یخ در مفروضات و تصمیمات پژوهشی در کتابداری بین المللی و تطبیقی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کوه یخ مفروضات و تصمیمات پژوهشی در کتابداری بین المللی و تطبیقی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موتن و ماری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اند ابعاد پژوهش علوم اجتماعی بخشی از همین فرایند هستند و تأکیدات یا دیدگاه های مربوط به فرایند پژوهش را نشان می دهند نظریه های علمی مدل ها و فلسفه ها بین این ابعاد میان پُر می زنند در یک اثر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لور، </w:t>
      </w:r>
      <w:r>
        <w:rPr>
          <w:rStyle w:val="FootnoteAnchor"/>
          <w:rtl w:val="true"/>
        </w:rPr>
        <w:footnoteReference w:id="732"/>
      </w: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دقیق تری از ابعاد پنجگانه فرانظریه ارائه شده است در زیر این ابعاد را از طریق برخی پرسش های مرتبط با هر بعد، توضیح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جامعه شناختی، </w:t>
      </w:r>
      <w:r>
        <w:rPr>
          <w:rStyle w:val="FootnoteAnchor"/>
          <w:rtl w:val="true"/>
        </w:rPr>
        <w:footnoteReference w:id="733"/>
      </w:r>
      <w:r>
        <w:rPr>
          <w:rFonts w:ascii="IRNazanin" w:hAnsi="IRNazanin" w:eastAsia="IRNazanin"/>
          <w:color w:val="111111"/>
          <w:sz w:val="28"/>
          <w:sz w:val="28"/>
          <w:szCs w:val="28"/>
          <w:rtl w:val="true"/>
          <w:lang w:bidi="fa-IR"/>
        </w:rPr>
        <w:t>پژوهشگر را در بافت و زمینه اجتماعی، فرهنگی، زبان شناختی و ملی در نظر می گیرد پرسش های زیر، برخی ملاحظات را در این زمینه منعکس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نویسندگان به طور آشکار با چالش های تفاهم بین فرهنگی، تبعیض های فرهنگی و نسبیت فرهنگی سرو کار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مطالعه، تطبیقی است، آیا با استفاده از ابزارها و فنون لازم، در هر دو یا همه کشورهای مورد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متقارن</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یا در یکی از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نامتقارن</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طراحی شده است؟</w:t>
      </w:r>
    </w:p>
    <w:p>
      <w:pPr>
        <w:pStyle w:val="BookText"/>
        <w:rPr/>
      </w:pPr>
      <w:r>
        <w:rPr>
          <w:rFonts w:ascii="IRNazanin" w:hAnsi="IRNazanin" w:eastAsia="IRNazanin"/>
          <w:color w:val="111111"/>
          <w:sz w:val="28"/>
          <w:sz w:val="28"/>
          <w:szCs w:val="28"/>
          <w:rtl w:val="true"/>
          <w:lang w:bidi="fa-IR"/>
        </w:rPr>
        <w:t>بُعد غایت شناختی با هدف یا غایت پژوهش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زیر برخی ملاحظات را در این زمنیه منعکس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هدف پژوهش چیست؟ بنیادی یا نظری است؟ یا با هدف کاربردهای عملی انجام می 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کاربردی است، آیا هدف آن به کارگیری یافته ها در ارزیابی تغییر یا بهبود سازمان ها نظام ها فرآیندها یا محصولات از طریق رتبه بندی های مقایسه ای محک زنی انطباق، نوآوری و غیره است؟</w:t>
      </w:r>
    </w:p>
    <w:p>
      <w:pPr>
        <w:pStyle w:val="BookText"/>
        <w:rPr/>
      </w:pPr>
      <w:r>
        <w:rPr>
          <w:rFonts w:ascii="IRNazanin" w:hAnsi="IRNazanin" w:eastAsia="IRNazanin"/>
          <w:color w:val="111111"/>
          <w:sz w:val="28"/>
          <w:sz w:val="28"/>
          <w:szCs w:val="28"/>
          <w:rtl w:val="true"/>
          <w:lang w:bidi="fa-IR"/>
        </w:rPr>
        <w:t xml:space="preserve">سروکار بُعد هستی شناختی با ماهیت چیزی است که مورد تحقیق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 در مفهوم اصلی و فلسفی که نباید با کاربرد مدرن آن در زمینه سازماندهی دانش اشتباه گرفته شود، مطالعه بودن یا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زیر، برخی ملاحظات را در این زمینه منعکس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پدیده مورد مطالعه چیزی است که در جهان واقعی وجود دارد و قابل مشاهده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گرایی</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پدیده در بافت و زمینه خود مورد بررسی قرار می گیرد؟ آیا رویکرد سیستمی ضمنی یا آشکار و یا استعاره زیست شناختی و تکوینی نهفته ای وجود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ایالت های ملی به عنوان بخش هایی ضروری از تحلیل در نظر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 روش شناختی</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معرفت شناختی با چگونگی رسیدن به درک درست و معتبر از واقعیت اجتماعی سروکار دارد و اعتبار می تواند بسته به موضع فرانظریه ای که فرد اتخاذ می کند به صورت های مختلفی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زیر برخی ملاحظات را در این زمینه منعکس می کند</w:t>
      </w:r>
      <w:r>
        <w:rPr>
          <w:rFonts w:eastAsia="IRNazanin" w:cs="IRNazanin"/>
          <w:color w:val="111111"/>
          <w:sz w:val="28"/>
          <w:szCs w:val="28"/>
          <w:rtl w:val="true"/>
          <w:lang w:bidi="fa-IR"/>
        </w:rPr>
        <w:t xml:space="preserve">: </w:t>
      </w:r>
      <w:bookmarkStart w:id="508" w:name="pg9653_81893"/>
    </w:p>
    <w:p>
      <w:pPr>
        <w:pStyle w:val="BookText"/>
        <w:rPr/>
      </w:pPr>
      <w:bookmarkEnd w:id="5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رابطه خود را درباره پدیده مورد مطالعه چگونه در نظر می گیرد؟ کاملاً جدا و مستقل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تاحدی جدا از آن اما در تلاش برای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اثبات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تعامل آگاهانه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تا چه حد اهمیت دارد و عناصر ذهنی تا چه حد قابل قبول هستند؟ ارزش ها چه نقشی در پژوهش ایفا می کنند؟ آیا کاملا کنار گذاشته شده اند یا به عنوان یک عنصر شکل دهنده در پژوهش لحاظ شده اند؟</w:t>
      </w:r>
    </w:p>
    <w:p>
      <w:pPr>
        <w:pStyle w:val="BookText"/>
        <w:rPr/>
      </w:pPr>
      <w:r>
        <w:rPr>
          <w:rFonts w:ascii="IRNazanin" w:hAnsi="IRNazanin" w:eastAsia="IRNazanin"/>
          <w:color w:val="111111"/>
          <w:sz w:val="28"/>
          <w:sz w:val="28"/>
          <w:szCs w:val="28"/>
          <w:rtl w:val="true"/>
          <w:lang w:bidi="fa-IR"/>
        </w:rPr>
        <w:t>سروکار بُعد اخلاقی با موضوع های مختلف اخلاقی است که در پژوهش های بین المللی و بین فرهنگی باید در نظر گرفته شوند از آن جا که امروزه در زمینه موضوع های اخلاقی در پژوهش های علوم اجتماعی آگاهی عمومی وجود دارد این بعد در بالای سطح آب در مدل کوه یخ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زیر، برخی ملاحظات را در این زمینه منعکس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نویسندگان از تفاوت های بالقوه ملی و فرهنگی در درک مفاهیمی مانند نیکی و محبت حریم خصوصی محرمانه بودن توافق آگاهانه حق کنار کشیدن از پژوهش و استفاده مجدد از داده ها آگاهی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پژوهش در کشورهای در حال توسعه انجام می شود آیا نویسندگان به عزت نفس و خودمختاری شرکت کنندگان پژوهش و اعضای تیم تحقیق که ممکن است ضعف هایی از نظر ،زبان سواد و فقر و غیره داشته باشند اهمیت می دهند؟</w:t>
      </w:r>
    </w:p>
    <w:p>
      <w:pPr>
        <w:pStyle w:val="BookText"/>
        <w:rPr/>
      </w:pPr>
      <w:r>
        <w:rPr>
          <w:rFonts w:ascii="IRNazanin" w:hAnsi="IRNazanin" w:eastAsia="IRNazanin"/>
          <w:color w:val="111111"/>
          <w:sz w:val="28"/>
          <w:sz w:val="28"/>
          <w:szCs w:val="28"/>
          <w:rtl w:val="true"/>
          <w:lang w:bidi="fa-IR"/>
        </w:rPr>
        <w:t>برخی پرسش های ارزیابانه را نیز می توان به فهرست پرسش های فوق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نویسندگان، پارادایمی را که در چارچوب آن کار می کنند مثلا شناختی، برساخت گرا، مارکسیست، فمینیست، فرا استعماری و غیره را به روشنی تشخیص می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آیا در ،نویسندگان نشانه هایی از آگاهی از موضوع های فرانظریه ای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نشانه هایی وجود نداشته باشد موضع آن ها احتمالاً تجربی گرایی ضعیف است</w:t>
      </w:r>
      <w:r>
        <w:rPr>
          <w:rFonts w:eastAsia="IRNazanin" w:cs="IRNazanin"/>
          <w:color w:val="111111"/>
          <w:sz w:val="28"/>
          <w:szCs w:val="28"/>
          <w:rtl w:val="true"/>
          <w:lang w:bidi="fa-IR"/>
        </w:rPr>
        <w:t>.)</w:t>
      </w:r>
    </w:p>
    <w:p>
      <w:pPr>
        <w:pStyle w:val="Heading3"/>
        <w:numPr>
          <w:ilvl w:val="2"/>
          <w:numId w:val="1"/>
        </w:numPr>
        <w:rPr/>
      </w:pPr>
      <w:bookmarkStart w:id="509" w:name="__RefHeading___Toc7766620_2870459653"/>
      <w:bookmarkStart w:id="510" w:name="_Toc185"/>
      <w:bookmarkEnd w:id="509"/>
      <w:r>
        <w:rPr>
          <w:rtl w:val="true"/>
        </w:rPr>
        <w:t>روش شناسی</w:t>
      </w:r>
      <w:bookmarkEnd w:id="510"/>
    </w:p>
    <w:p>
      <w:pPr>
        <w:pStyle w:val="BookText"/>
        <w:rPr/>
      </w:pPr>
      <w:r>
        <w:rPr>
          <w:rFonts w:ascii="IRNazanin" w:hAnsi="IRNazanin" w:eastAsia="IRNazanin"/>
          <w:color w:val="111111"/>
          <w:sz w:val="28"/>
          <w:sz w:val="28"/>
          <w:szCs w:val="28"/>
          <w:rtl w:val="true"/>
          <w:lang w:bidi="fa-IR"/>
        </w:rPr>
        <w:t>چنان که پیشتر اشاره شد من روش شناسی را در مفهوم وسیع آن به عنوان پل پیوند میان فرانظریه و روش ها به کار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را چنین تشریح می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علوم اجتماعی با فنون صرف سروکار ندارد؛ سروکار آن با رابطه بین اندیشه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در این جا اثر چگونگی تنظیم پژوهش و ساختار تحلیل داده ها بر نحوه اندیشه پژوهشگر در مورد موضوع است</w:t>
      </w:r>
      <w:r>
        <w:rPr>
          <w:rFonts w:eastAsia="IRNazanin" w:cs="IRNazanin"/>
          <w:color w:val="111111"/>
          <w:sz w:val="28"/>
          <w:szCs w:val="28"/>
          <w:rtl w:val="true"/>
          <w:lang w:bidi="fa-IR"/>
        </w:rPr>
        <w:t xml:space="preserve">. </w:t>
      </w:r>
      <w:bookmarkStart w:id="511" w:name="pg9653_81894"/>
    </w:p>
    <w:p>
      <w:pPr>
        <w:pStyle w:val="BookText"/>
        <w:rPr/>
      </w:pPr>
      <w:bookmarkEnd w:id="511"/>
      <w:r>
        <w:rPr>
          <w:rFonts w:ascii="IRNazanin" w:hAnsi="IRNazanin" w:eastAsia="IRNazanin"/>
          <w:color w:val="111111"/>
          <w:sz w:val="28"/>
          <w:sz w:val="28"/>
          <w:szCs w:val="28"/>
          <w:rtl w:val="true"/>
          <w:lang w:bidi="fa-IR"/>
        </w:rPr>
        <w:t xml:space="preserve">هر چند توجه به جنبه های روش شناختی کتابداری تطبیقی، اندک بوده است، در سایر حوزه های تطبیقی علوم اجتماعی بازاندیشی و بحث های زیادی صورت گرفته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کلی </w:t>
      </w:r>
      <w:r>
        <w:rPr>
          <w:rStyle w:val="FootnoteAnchor"/>
          <w:rtl w:val="true"/>
        </w:rPr>
        <w:footnoteReference w:id="738"/>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رایوولا،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کراسلی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کاوئن،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توئینینگ،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و سیاست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راجن،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پنینگز و دیگران،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لندمن،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که تنها تصمیم واقعی روش شناختی تصمیم در مورد انتخاب رویکردهای کمی و کیفی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پیکارد،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مطالعات تطبیقی، تصمیمات راهبردی در مورد تعداد موارد تحت مطالعه، و مطالعات متغیر مدار در مقابل مطالعات مورد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تاریخی یا گاه 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سویتنگ،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پنینگز و دیگران،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این که در قلمرو روش در نظر گرفته شوند، در قلمرو روش شناختی لحاظ شوند، در این مقاله به اقتباس از سطوح شناسایی شده توسط پیکارد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سه سطح از تصمیمات روش شناختی را در مطالعات تطبیقی مطرح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کلی انتخاب بین روش شناسی های کمی، کیفی و ترکیبی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تطبیقی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 تطبیقی</w:t>
      </w:r>
    </w:p>
    <w:p>
      <w:pPr>
        <w:pStyle w:val="BookText"/>
        <w:rPr/>
      </w:pPr>
      <w:r>
        <w:rPr>
          <w:rFonts w:ascii="IRNazanin" w:hAnsi="IRNazanin" w:eastAsia="IRNazanin"/>
          <w:color w:val="111111"/>
          <w:sz w:val="28"/>
          <w:sz w:val="28"/>
          <w:szCs w:val="28"/>
          <w:rtl w:val="true"/>
          <w:lang w:bidi="fa-IR"/>
        </w:rPr>
        <w:t>این موارد در زیر توضیح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تمرکز مطلب بر پژوهش های تطبیقی کتابداری و اطلاع رسانی است بخش اعظم بحث در مورد کتابداری و اطلاع رسانی بین المللی نیز صدق می کند</w:t>
      </w:r>
      <w:r>
        <w:rPr>
          <w:rFonts w:eastAsia="IRNazanin" w:cs="IRNazanin"/>
          <w:color w:val="111111"/>
          <w:sz w:val="28"/>
          <w:szCs w:val="28"/>
          <w:rtl w:val="true"/>
          <w:lang w:bidi="fa-IR"/>
        </w:rPr>
        <w:t>.</w:t>
      </w:r>
    </w:p>
    <w:p>
      <w:pPr>
        <w:pStyle w:val="Heading3"/>
        <w:numPr>
          <w:ilvl w:val="2"/>
          <w:numId w:val="1"/>
        </w:numPr>
        <w:rPr/>
      </w:pPr>
      <w:bookmarkStart w:id="512" w:name="__RefHeading___Toc7766622_2870459653"/>
      <w:bookmarkStart w:id="513" w:name="_Toc186"/>
      <w:bookmarkEnd w:id="512"/>
      <w:r>
        <w:rPr>
          <w:rtl w:val="true"/>
        </w:rPr>
        <w:t>رویکردهای کمی کیفی و ترکیبی</w:t>
      </w:r>
      <w:bookmarkEnd w:id="51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مفروضات روش شناختی، اثر نیرومندی بر انتخاب روش شناختی بین رویکردهای کمی کیفی و ترکیبی دارند، روش شناسی کمّی معمولا بر اساس موضع روش شناختی اثبات گرا و فرا اثبات گرا قرار دارد و اساس روش شناسی کیفی موضع تفسیر گرا یا مواضع فرانظریه ای مشابه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هانتریز،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متون و منابع زیادی به بحث در موافقت یا مخالفت با رویکردهای کمی و کیفی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موتن و ماری،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کرسول،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هانتریز،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بیشتر در این زمینه بیمورد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روش های </w:t>
      </w:r>
      <w:bookmarkStart w:id="514" w:name="pg9653_81895"/>
    </w:p>
    <w:p>
      <w:pPr>
        <w:pStyle w:val="BookText"/>
        <w:rPr/>
      </w:pPr>
      <w:bookmarkEnd w:id="514"/>
      <w:r>
        <w:rPr>
          <w:rFonts w:ascii="IRNazanin" w:hAnsi="IRNazanin" w:eastAsia="IRNazanin"/>
          <w:color w:val="111111"/>
          <w:sz w:val="28"/>
          <w:sz w:val="28"/>
          <w:szCs w:val="28"/>
          <w:rtl w:val="true"/>
          <w:lang w:bidi="fa-IR"/>
        </w:rPr>
        <w:t xml:space="preserve">چندگانه یا روش های ترکیبی </w:t>
      </w:r>
      <w:r>
        <w:rPr>
          <w:rStyle w:val="FootnoteAnchor"/>
          <w:rtl w:val="true"/>
        </w:rPr>
        <w:footnoteReference w:id="744"/>
      </w:r>
      <w:r>
        <w:rPr>
          <w:rFonts w:ascii="IRNazanin" w:hAnsi="IRNazanin" w:eastAsia="IRNazanin"/>
          <w:color w:val="111111"/>
          <w:sz w:val="28"/>
          <w:sz w:val="28"/>
          <w:szCs w:val="28"/>
          <w:rtl w:val="true"/>
          <w:lang w:bidi="fa-IR"/>
        </w:rPr>
        <w:t>که تلفیق روش های کمی و کیفی هستند رواج زیادی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که روش های کمی و کیفی مکمل یکدیگر هستند و ترکیب آن ها دارای امتیازاتی است این خطر نیز وجود دارد که به دلیل عدم توافق میان مبانی جهان بینی،ها نتایج غیر قابل تلفیق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گوبا و لینکلن،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رویکرد کمّی کیفی یا ترکیبی نباید بر اساس ملاک هایی مانند سهولت اجرا انجام بگیرد بلکه پژوهشگر کتابداری بین المللی و تطبیقی باید از مفروضات روش شناختی مستتر در این تصمیم به روشنی آگاه باشد</w:t>
      </w:r>
      <w:r>
        <w:rPr>
          <w:rFonts w:eastAsia="IRNazanin" w:cs="IRNazanin"/>
          <w:color w:val="111111"/>
          <w:sz w:val="28"/>
          <w:szCs w:val="28"/>
          <w:rtl w:val="true"/>
          <w:lang w:bidi="fa-IR"/>
        </w:rPr>
        <w:t>.</w:t>
      </w:r>
    </w:p>
    <w:p>
      <w:pPr>
        <w:pStyle w:val="Heading3"/>
        <w:numPr>
          <w:ilvl w:val="2"/>
          <w:numId w:val="1"/>
        </w:numPr>
        <w:rPr/>
      </w:pPr>
      <w:bookmarkStart w:id="515" w:name="__RefHeading___Toc7766624_2870459653"/>
      <w:bookmarkStart w:id="516" w:name="_Toc187"/>
      <w:bookmarkEnd w:id="515"/>
      <w:r>
        <w:rPr>
          <w:rtl w:val="true"/>
        </w:rPr>
        <w:t>راهبرد تطبیقی</w:t>
      </w:r>
      <w:bookmarkEnd w:id="516"/>
    </w:p>
    <w:p>
      <w:pPr>
        <w:pStyle w:val="BookText"/>
        <w:rPr/>
      </w:pPr>
      <w:r>
        <w:rPr>
          <w:rFonts w:ascii="IRNazanin" w:hAnsi="IRNazanin" w:eastAsia="IRNazanin"/>
          <w:color w:val="111111"/>
          <w:sz w:val="28"/>
          <w:sz w:val="28"/>
          <w:szCs w:val="28"/>
          <w:rtl w:val="true"/>
          <w:lang w:bidi="fa-IR"/>
        </w:rPr>
        <w:t xml:space="preserve">یکی از موضوع های مهمی که در متون روش شناسی تطبیقی در علوم اجتماعی مورد بحث قرار گرفته مسأله تعداد موارد تحت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موارد کشورهای 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بحث نیز مطرح است که این تصمیم گیری چنان که راجن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به انتخاب میان مطالعات متغیر مدار </w:t>
      </w:r>
      <w:r>
        <w:rPr>
          <w:rStyle w:val="FootnoteAnchor"/>
          <w:rtl w:val="true"/>
        </w:rPr>
        <w:footnoteReference w:id="745"/>
      </w:r>
      <w:r>
        <w:rPr>
          <w:rFonts w:ascii="IRNazanin" w:hAnsi="IRNazanin" w:eastAsia="IRNazanin"/>
          <w:color w:val="111111"/>
          <w:sz w:val="28"/>
          <w:sz w:val="28"/>
          <w:szCs w:val="28"/>
          <w:rtl w:val="true"/>
          <w:lang w:bidi="fa-IR"/>
        </w:rPr>
        <w:t>و یا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w:t>
      </w:r>
      <w:r>
        <w:rPr>
          <w:rStyle w:val="FootnoteAnchor"/>
          <w:rtl w:val="true"/>
        </w:rPr>
        <w:footnoteReference w:id="746"/>
      </w:r>
      <w:r>
        <w:rPr>
          <w:rFonts w:ascii="IRNazanin" w:hAnsi="IRNazanin" w:eastAsia="IRNazanin"/>
          <w:color w:val="111111"/>
          <w:sz w:val="28"/>
          <w:sz w:val="28"/>
          <w:szCs w:val="28"/>
          <w:rtl w:val="true"/>
          <w:lang w:bidi="fa-IR"/>
        </w:rPr>
        <w:t>بستگی دارد که در این مطالعات تطبیقی به ترتیب روش های کمی و کیفی به کار می روند در مطالعات متغیر مدار معمولا کشورهای متعددی مطالعه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ها بر تعداد اندکی از متغیرها تمرکز دارند و به جای رمزگشایی از این متغیرها آن ها از طریق ساده کردن مفروضات و حذف پیچیدگی ها از واقعیت ملموس و بافت زمین های کشورهای تحت مطالعه جدا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مورد مدار تنها یک کشور یا تعداد اندکی از کشورها مورد مطالعه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ها بر روی یک کشور با ویژگی های تاریخی و بافت اختصاصی آن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مورد تحت مطالعه به عنوان یک مجموعه در نظر گرفته می شود و کل پیکربندی و چینش عوامل و شرایط آن مدّ نظر قرار می گیرد راجن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نیاز به رمزگشایی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چندگانه به هم پیوسته</w:t>
      </w:r>
      <w:r>
        <w:rPr>
          <w:rFonts w:eastAsia="IRNazanin" w:cs="IRNazanin"/>
          <w:color w:val="111111"/>
          <w:sz w:val="28"/>
          <w:szCs w:val="28"/>
          <w:rtl w:val="true"/>
          <w:lang w:bidi="fa-IR"/>
        </w:rPr>
        <w:t xml:space="preserve">"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ویژگی پدیده های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w:t>
      </w:r>
      <w:r>
        <w:rPr>
          <w:rFonts w:eastAsia="IRNazanin" w:cs="IRNazanin"/>
          <w:color w:val="111111"/>
          <w:sz w:val="28"/>
          <w:szCs w:val="28"/>
          <w:rtl w:val="true"/>
          <w:lang w:bidi="fa-IR"/>
        </w:rPr>
        <w:t>.</w:t>
      </w:r>
    </w:p>
    <w:p>
      <w:pPr>
        <w:pStyle w:val="Heading3"/>
        <w:numPr>
          <w:ilvl w:val="2"/>
          <w:numId w:val="1"/>
        </w:numPr>
        <w:rPr/>
      </w:pPr>
      <w:bookmarkStart w:id="517" w:name="__RefHeading___Toc7766626_2870459653"/>
      <w:bookmarkStart w:id="518" w:name="_Toc188"/>
      <w:bookmarkEnd w:id="517"/>
      <w:r>
        <w:rPr>
          <w:rtl w:val="true"/>
        </w:rPr>
        <w:t>طرح پژوهش تطبیقی</w:t>
      </w:r>
      <w:bookmarkEnd w:id="51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که عمدتاً کیفی است و رویکرد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که عمدتا جنبه کمی دارد، در سه طرح اصلی پژوهش تطبیقی، خود را نشان می دهند مطالعات تک کشوری، مقایسه کشورهای متعدد، و مقایسه تعداد اندکی از کشورها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های زیادی در این مورد مطرح شده که آیا مطالعات تک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w:t>
      </w:r>
    </w:p>
    <w:p>
      <w:pPr>
        <w:pStyle w:val="BookText"/>
        <w:rPr/>
      </w:pPr>
      <w:r>
        <w:rPr>
          <w:rFonts w:ascii="IRNazanin" w:hAnsi="IRNazanin" w:eastAsia="IRNazanin"/>
          <w:color w:val="111111"/>
          <w:sz w:val="28"/>
          <w:sz w:val="28"/>
          <w:szCs w:val="28"/>
          <w:rtl w:val="true"/>
          <w:lang w:bidi="fa-IR"/>
        </w:rPr>
        <w:t xml:space="preserve">به عنوان مطالعات تطبیقی در نظر گرفته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سارتوری،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لندمن،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ها در متون و منابع کتابداری تطبیقی نیز منعکس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دانتون،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کرزیس و لیتون،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کالینگز،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سیمسووا و مکی،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کلیدی در مطالعات تک کشوری، انتخاب کشور مورد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کشورها صرفا بر این اساس انتخاب می شوند که پژوهشگران با آن ها آشنایی دارند یا به راحتی می توانند به آن ها دسترسی داشته باشند دلایل قانع کننده تری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این دلیل که این کشورها هنوز مطالعه نشده اند یا نسبت به سایر موارد و مطالعات مهم تلقی می شوند به این ترتیب کشورها ممکن است به این دلیل انتخاب شوند که نمونه ای از یک گروه یا دسته از کشورها هستند و یا ویژگی استثنائی یا وضعیتی خلاف واقع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لندمن،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کشورهای متعدد که با عنوان مطالعات پیمایشی، مطالعات میان بخشی، </w:t>
      </w:r>
      <w:r>
        <w:rPr>
          <w:rStyle w:val="FootnoteAnchor"/>
          <w:rtl w:val="true"/>
        </w:rPr>
        <w:footnoteReference w:id="749"/>
      </w:r>
      <w:r>
        <w:rPr>
          <w:rFonts w:ascii="IRNazanin" w:hAnsi="IRNazanin" w:eastAsia="IRNazanin"/>
          <w:color w:val="111111"/>
          <w:sz w:val="28"/>
          <w:sz w:val="28"/>
          <w:szCs w:val="28"/>
          <w:rtl w:val="true"/>
          <w:lang w:bidi="fa-IR"/>
        </w:rPr>
        <w:t xml:space="preserve">پژوهش میان موردی </w:t>
      </w:r>
      <w:r>
        <w:rPr>
          <w:rStyle w:val="FootnoteAnchor"/>
          <w:rtl w:val="true"/>
        </w:rPr>
        <w:footnoteReference w:id="750"/>
      </w:r>
      <w:r>
        <w:rPr>
          <w:rFonts w:ascii="IRNazanin" w:hAnsi="IRNazanin" w:eastAsia="IRNazanin"/>
          <w:color w:val="111111"/>
          <w:sz w:val="28"/>
          <w:sz w:val="28"/>
          <w:szCs w:val="28"/>
          <w:rtl w:val="true"/>
          <w:lang w:bidi="fa-IR"/>
        </w:rPr>
        <w:t xml:space="preserve">یا مطالعات دارای جامعه بزرگ </w:t>
      </w:r>
      <w:r>
        <w:rPr>
          <w:rStyle w:val="FootnoteAnchor"/>
          <w:rtl w:val="true"/>
        </w:rPr>
        <w:footnoteReference w:id="751"/>
      </w:r>
      <w:r>
        <w:rPr>
          <w:rFonts w:ascii="IRNazanin" w:hAnsi="IRNazanin" w:eastAsia="IRNazanin"/>
          <w:color w:val="111111"/>
          <w:sz w:val="28"/>
          <w:sz w:val="28"/>
          <w:szCs w:val="28"/>
          <w:rtl w:val="true"/>
          <w:lang w:bidi="fa-IR"/>
        </w:rPr>
        <w:t>هم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روش شناسی کمّی با تحلیل های چند متغیری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مفروضات هستی شناختی که مبنای مقایسه کشورهای متعدد قرار می گیرند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می توانند به عنوان واحدهایی در نظر گرفته شوند که جنبه های مورد مقایسه آن ها قابل اندازه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ها به اندازه کافی مشابهت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آن ها در یک کشور به میزان زیادی مستقل از تنوع همان جنبه ها در سایر کشورهاست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واحدها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لندمن،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عمیق بین کشورها در این تصور که ویژگی های آن ها قابل مقایسه است تردید ایجاد می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در مقایسه کشورهای متعدد، امکان آزمون فرضیه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فرضیه ها باید آزمون شوند، رابطه بین تعدادی از متغیرها و تعدادی از کشورها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تعداد کشورهای مناسب برای یک مطالعه خاص، نسبتا اندک هستند مقایسه کنندگان معمولا کشورها را از طریق نمونه گیری انتخاب نمی کنند؛ بلکه تمام کشورهایی را در جامعه مورد مطالعه لحاظ می کنند که با معیار موردنظر مطابقت دارند و یا متعلق به نوع تعریف شده هستند و در مورد آن ها امکان دسترسی به داده های لازم وجود دارد</w:t>
      </w:r>
      <w:r>
        <w:rPr>
          <w:rFonts w:eastAsia="IRNazanin" w:cs="IRNazanin"/>
          <w:color w:val="111111"/>
          <w:sz w:val="28"/>
          <w:szCs w:val="28"/>
          <w:rtl w:val="true"/>
          <w:lang w:bidi="fa-IR"/>
        </w:rPr>
        <w:t xml:space="preserve">. </w:t>
      </w:r>
      <w:bookmarkStart w:id="519" w:name="pg9653_81897"/>
    </w:p>
    <w:p>
      <w:pPr>
        <w:pStyle w:val="BookText"/>
        <w:rPr/>
      </w:pPr>
      <w:bookmarkEnd w:id="519"/>
      <w:r>
        <w:rPr>
          <w:rFonts w:ascii="IRNazanin" w:hAnsi="IRNazanin" w:eastAsia="IRNazanin"/>
          <w:color w:val="111111"/>
          <w:sz w:val="28"/>
          <w:sz w:val="28"/>
          <w:szCs w:val="28"/>
          <w:rtl w:val="true"/>
          <w:lang w:bidi="fa-IR"/>
        </w:rPr>
        <w:t>از نظر تعداد موارد تحت مقایسه، مقایسه تعداد اندکی از کشورها در پیوستار مطالعات تطبیقی در بین مطالعات تک، کشوری و مقایسه کشورهای متعدد قرار می گیرد تعداد کشورها می تواند به دو کشور محدود شود سؤال کلیدی در مطالعه تعداد اندکی از کشورها مانند مطالعات تک کشوری این است که کدام کشورها برای مطالعه انتخاب شوند در مطالعه تعداد اندکی از کشورها انتخاب کشورهای مورد مطالعه از طریق نمونه گیری انجام نمی شود بلکه انتخاب کشورها به دقت و با توجه به هدف پژوهش انجام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راجن،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که در انتخاب کشورها برای مطالعات تک کشوری به کار می رود در این جا نیز کاربرد دارد، اما در مطالعه تعداد اندکی از کشورها عوامل دیگری نیز وارد کار می شوند به ویژه زمانی که این مطالعات در پی آشکار کردن روابط علّی یا شرایط همبستگی میان گذرگاه های توسعه 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محدودیت حجم مقاله بحث در مورد راهبردهای اصلی انتخاب کشورها برای مقایسه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نظام ها با بیشترین مشابهت</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تفاوت</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جان استوارت میل، </w:t>
      </w:r>
      <w:r>
        <w:rPr>
          <w:rStyle w:val="FootnoteAnchor"/>
          <w:rtl w:val="true"/>
        </w:rPr>
        <w:footnoteReference w:id="7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نظام ها با بیشترین تفاوت</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توافق</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پنینگز و دیگران،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لندمن،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هانتریز،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جاست که انتخاب کشورها برای مقایسه، تصمیم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مطالعات تطبیقی کتابداری و اطلاع رسانی، نویسندگان به ندرت دلایل انتخاب کشورهای مورد مقایسه را شرح داده اند و توضیحات درحد کلی بوده است مانند انتخاب یک کشور توسعه یافته یا در حال توسعه، یا یک کشور از اروپای غربی یا شرقی به نظر می رسد که انتخاب عمدتا بر اساس عوامل شخصی یا اتفاقی بوده است در بسیاری از این گونه ،مطالعات توجه به جنبه های نظری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نقش نظریه در این مطالعات، زمانی است که کشورهای تحت مطالعه بر اساس ملاحظات نظری انتخاب شده باشند</w:t>
      </w:r>
      <w:r>
        <w:rPr>
          <w:rFonts w:eastAsia="IRNazanin" w:cs="IRNazanin"/>
          <w:color w:val="111111"/>
          <w:sz w:val="28"/>
          <w:szCs w:val="28"/>
          <w:rtl w:val="true"/>
          <w:lang w:bidi="fa-IR"/>
        </w:rPr>
        <w:t>.</w:t>
      </w:r>
    </w:p>
    <w:p>
      <w:pPr>
        <w:pStyle w:val="Heading3"/>
        <w:numPr>
          <w:ilvl w:val="2"/>
          <w:numId w:val="1"/>
        </w:numPr>
        <w:rPr/>
      </w:pPr>
      <w:bookmarkStart w:id="520" w:name="__RefHeading___Toc7766628_2870459653"/>
      <w:bookmarkStart w:id="521" w:name="_Toc189"/>
      <w:bookmarkEnd w:id="520"/>
      <w:r>
        <w:rPr>
          <w:rtl w:val="true"/>
        </w:rPr>
        <w:t>روش ها</w:t>
      </w:r>
      <w:bookmarkEnd w:id="52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من روش ها را از لحاظ ملاحظات مربوط به شیوه ها فنون و ابزارها، متفاوت از روش شناسی در نظر می گیرم در مطالعات کتابداری بین المللی و تطبیقی، مجموعه کاملی از شیوه ها و فنونی که </w:t>
      </w:r>
    </w:p>
    <w:p>
      <w:pPr>
        <w:pStyle w:val="BookText"/>
        <w:rPr/>
      </w:pPr>
      <w:r>
        <w:rPr>
          <w:rFonts w:ascii="IRNazanin" w:hAnsi="IRNazanin" w:eastAsia="IRNazanin"/>
          <w:color w:val="111111"/>
          <w:sz w:val="28"/>
          <w:sz w:val="28"/>
          <w:szCs w:val="28"/>
          <w:rtl w:val="true"/>
          <w:lang w:bidi="fa-IR"/>
        </w:rPr>
        <w:t xml:space="preserve">بخشی از ابزارهای </w:t>
      </w:r>
      <w:r>
        <w:rPr>
          <w:rStyle w:val="FootnoteAnchor"/>
          <w:rtl w:val="true"/>
        </w:rPr>
        <w:footnoteReference w:id="757"/>
      </w:r>
      <w:r>
        <w:rPr>
          <w:rFonts w:ascii="IRNazanin" w:hAnsi="IRNazanin" w:eastAsia="IRNazanin"/>
          <w:color w:val="111111"/>
          <w:sz w:val="28"/>
          <w:sz w:val="28"/>
          <w:szCs w:val="28"/>
          <w:rtl w:val="true"/>
          <w:lang w:bidi="fa-IR"/>
        </w:rPr>
        <w:t xml:space="preserve">عمومی پژوهش کتابداری و اطلاع رسانی را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داده ها، نمونه گیری، پردازش داده 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مورد استفاده قرار بگیرد اما این شیوه ها و فنون باید با توجه به تصمیمات روش شناختی شامل تصمیمات مربوط به راهبرد مقایسه، انتخاب شوند افزون بر این، باید به مسائل خاص روش های تطبیقی مانند انطباق با شیوه ها و فنون عمومی مورد نیاز یا لزوم تشخیص مخاطرات موجود، توجه شود در این جا به دو مورد از مسائل فوق با استفاده از مثال به طور مختصر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مفاهیم قابل انتقال هستند؟ احتمالاً یکی از مسأله سازترین موضوع ها، به مفاهیم و به استفاده از زبان در مطالعاتی مربوط می شود که مستلزم استفاده از زبان خارجی، زبان های چندگانه یا حتی تنوع های ملی در زبان های بین المللی مانند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 بین المللی به طور ضمنی انتقال مفاهیم را نیز دربردارند؛ مفاهیمی که بتوانند در سرتاسر مرزهای ملی فرهنگی و زبانی مورد استفاده قرار گیرند نمی توان فرض کرد که یک واژه در بافت های متفاوت ملی و فرهنگی، معنای یکسانی داشته باشد حتی کمتر می توان تصور کرد که واژه هایی که در واژه نامه های دوزبانه جستجو می کنیم معنای معادلی برای اهداف پژوهشی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و بسط مفهوم نحوه تنظیم مفاهیم نیز اشارات ضمنی مهمی برای اعتبار درونی و بیرونی مطالعات تطبیقی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نردبان انتزاع </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سارتوری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رابطه معکوسی میان تمرکز بر یک مفهوم و بسط یک مفهوم وجود دارد به این ترتیب که بسط یا توسعه مفهوم کتابخانه عمومس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شامل سالن های مطالعه روستایی و مراکز راه دور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امکان می دهد که کشورهای بیشتری را پوشش بدهیم، اما ممکن است نهادهای مورد مطالعه مشترکات اندکی داشته باشند بنابراین، تصمیم در مورد نحوه تعریف مفاهیم کلیدی تصمیم بسیار مهمی در روش تطبیقی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شیوه ها و فنون، نکات قابل توجه دیگری در مطالعات بین المللی و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مورد رعایت شرایط برابر در نمونه گیری بررسی و کدگذاری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کشورهای تحت مطالعه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در این رابطه مطرح می شود این است که آیا پژوهشگران اطلاعات کافی در مورد این جنبه های روش های خود ارائه می دهند؟ </w:t>
      </w:r>
      <w:bookmarkStart w:id="522" w:name="pg9653_81899"/>
    </w:p>
    <w:p>
      <w:pPr>
        <w:pStyle w:val="Heading3"/>
        <w:numPr>
          <w:ilvl w:val="2"/>
          <w:numId w:val="1"/>
        </w:numPr>
        <w:rPr/>
      </w:pPr>
      <w:bookmarkStart w:id="523" w:name="__RefHeading___Toc7766630_2870459653"/>
      <w:bookmarkStart w:id="524" w:name="_Toc190"/>
      <w:bookmarkEnd w:id="522"/>
      <w:bookmarkEnd w:id="523"/>
      <w:r>
        <w:rPr>
          <w:rtl w:val="true"/>
        </w:rPr>
        <w:t>نتیجه گیری و پیشنهادها</w:t>
      </w:r>
      <w:bookmarkEnd w:id="524"/>
    </w:p>
    <w:p>
      <w:pPr>
        <w:pStyle w:val="BookText"/>
        <w:rPr/>
      </w:pPr>
      <w:r>
        <w:rPr>
          <w:rFonts w:ascii="IRNazanin" w:hAnsi="IRNazanin" w:eastAsia="IRNazanin"/>
          <w:color w:val="111111"/>
          <w:sz w:val="28"/>
          <w:sz w:val="28"/>
          <w:szCs w:val="28"/>
          <w:rtl w:val="true"/>
          <w:lang w:bidi="fa-IR"/>
        </w:rPr>
        <w:t>در حوزه های موضوعی کتابداری بین المللی و تطبیقی از نظر کاربرد و بسط نظریه، و آگاهی عمومی روش شناختی و فرانظریه ای، ظرفیت قابل ملاحظه ای برای توسعه وجود دارد در کتابداری بین المللی و تطبیقی به طور کلی جای نگرانی است که متون و منابع اخیر آن عاری از نظریه اند و این حوزه بر مبنای مطالعات بین المللی یا تطبیقی پیشین قرار نگرفته و به اندازه کافی از نظریه های کتابداری و اطلاع رسانی یا نظریه های سایر رشته ها استفاده نکرده است در نگاه ویژه به کتابداری تطبیقی، بررسی متون و منابع اخیر آموزش و پرورش تطبیقی علوم سیاسی و سیاست اجتماعی و سایر رشته های تطبیقی نشان می دهد که پژوهش تطبیقی در رشته ما، همپای پیشرفت های مفهومی و روش شناختی مطالعات تطبیقی در سایر رشته های علوم اجتماعی حرکت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کتابداری بین المللی لزوما جنبه تطبیقی ندارد با افزایش تعداد دانشجویان خارجی در دانشکده های کتابداری و اطلاع رسانی می توان در پژوهش های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تطبیقی نیز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افزایش داشت دانشجویان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ادراک دقیقی از موضوع های بین المللی رشته داشته باشند این فهم و آگاهی در تصمیم گیری های مربوط به طرح ریزی و توسعه برنامه های آموزشی مشترک با سایر دانشکده های کتابداری و اطلاع رسانی در زمینه همکاری های توسعه ای و مشورت های بین المللی نیز امری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آن چه مورد توجه است رسیدن به شرایط کاملا مطلوب در کتابداری بین المللی و تطبیقی است این که چگونه در جهت رسیدن به پژوهش و آموزش معتبر و قابل اعتماد پیش برویم از همین رو مقاله را با چند پیشنهاد به پایان می 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کتابداری بین المللی و تطبیقی به ویژه دانشجویان کارشناسی ارشد و دکتری، باید تشویق شوند که از طریق تفحص در بینش های نظری آثار پیشین کتابداری و اطلاع رسانی و نظریه های سایر رشته ها و ارزیابی آن ها، در توسعه نظریه در رشته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به استفاده از این نظریه ها در توسعه چارچوب های نظری و طرح ریزی مطالعات و تفسیر نتایج پژوهش های خود تشویق شوند برای مثال به نظر من زمانی شروع به پیشرفت خواهیم کرد که کمیته های بررسی رساله ها و پایان نامه ها از دانشجویان بخواهند که برای انتخاب کشور یا کشورهایی که قصد مطالعه آن ها را دارند استدلال منطقی ارائه دهند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حوزه ها، منابع کافی به شکل مطالعات کشوری، پیمایش های منطقه ای پایگاه های اطلاعات آماری بین المللی و سایر منابع گردآوری شده است این منابع امکان فراتحلیل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منابع مذکور از دیدگاه نظری مرور و تفسیر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 سازد؛ به طوری که در </w:t>
      </w:r>
    </w:p>
    <w:p>
      <w:pPr>
        <w:pStyle w:val="BookText"/>
        <w:rPr/>
      </w:pPr>
      <w:r>
        <w:rPr>
          <w:rFonts w:ascii="IRNazanin" w:hAnsi="IRNazanin" w:eastAsia="IRNazanin"/>
          <w:color w:val="111111"/>
          <w:sz w:val="28"/>
          <w:sz w:val="28"/>
          <w:szCs w:val="28"/>
          <w:rtl w:val="true"/>
          <w:lang w:bidi="fa-IR"/>
        </w:rPr>
        <w:t>این پژوهش های فراتحلیل، نظریه ای از حوزه کتابداری می تواند ارزیابی شود و یا نظریه ای از سایر رشته ها گرفته شده با این منابع انطباق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احتمالا به ما امکان خواهد داد به ساختن آن چه مِرتن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آن را نظریه های حدوسط می خواند نزدیک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های روش تحقیق، باید در مورد مفروضاتی که مبنای تصمیمات پژوهشی هستند، و توالی و ترتیبی که طی آن تصمیمات پژوهش باید اتخاذ شوند، آگاهی لازم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کتابداری و اطلاع رسانی پیش از آن که به روش شناسی و روش برسند، باید مفروضات فرانظریه 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مفروضات بیان نشده غایت شناختی، هستی شناختی و معرفت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تصمیمات مربوط به فرانظریه باید بر تصمیمات روش شناختی سبقت گیرد و تصمیمات مربوط به روش از این ها نشأت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البته بدان معنی نیست که ترتیب باید خطی ،باشد بلکه برخی تکرارها و بازگشت ها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این نکات به دانشجویان همواره دشوار بوده است و حال این دشواری، با وجود ابزارهای وسوسه انگیز برای پیمایش های کم هزینه و بی، حتی بیشتر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روش تحقیق در کتابداری و اطلاع رسانی باید مطالب مقدماتی در مورد فرانظریه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مبحث در دروس روش تحقیق کتابداری و اطلاع رسانی متداول نیست، اما باید از این امر، اطمینان پیدا کنیم که دانشجویان ما به صورت پیش فرض اثبات گرا بار نیایند و اگر قرار است اثبات گرا باشند آن نیز باید آگاهانه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آمادگی برای مطالعه تطبیقی پژوهشگران باید زمانی را صرف آشنایی با روش شناسی تطبیقی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دکتری که قصد انجام مطالعه بین المللی بین ملی یا بین فرهنگی را دارند باید قویا تشویق به گذراندن واحد درسی روش شناسی تطبیقی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دانشکده های کتابداری و اطلاع رسانی این را آموزش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حتی اگر آموزش هم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دانشجویان را به گذراندن این درس در یک رشته تطبیقی دیگر تشویق نمایند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بیشتری در زمینه پیچیدگی ها و مخاطرات زمینه های پژوهشی چند زبانی و چند فرهنگی لازم است</w:t>
      </w:r>
      <w:r>
        <w:rPr>
          <w:rFonts w:eastAsia="IRNazanin" w:cs="IRNazanin"/>
          <w:color w:val="111111"/>
          <w:sz w:val="28"/>
          <w:szCs w:val="28"/>
          <w:rtl w:val="true"/>
          <w:lang w:bidi="fa-IR"/>
        </w:rPr>
        <w:t xml:space="preserve">. </w:t>
      </w:r>
      <w:bookmarkStart w:id="525" w:name="pg9653_81901"/>
    </w:p>
    <w:p>
      <w:pPr>
        <w:pStyle w:val="Heading3"/>
        <w:numPr>
          <w:ilvl w:val="2"/>
          <w:numId w:val="1"/>
        </w:numPr>
        <w:rPr/>
      </w:pPr>
      <w:bookmarkStart w:id="526" w:name="__RefHeading___Toc7766632_2870459653"/>
      <w:bookmarkStart w:id="527" w:name="_Toc191"/>
      <w:bookmarkEnd w:id="525"/>
      <w:bookmarkEnd w:id="526"/>
      <w:r>
        <w:rPr>
          <w:rtl w:val="true"/>
        </w:rPr>
        <w:t>منابع</w:t>
      </w:r>
      <w:bookmarkEnd w:id="527"/>
    </w:p>
    <w:p>
      <w:pPr>
        <w:pStyle w:val="BookText"/>
        <w:rPr/>
      </w:pPr>
      <w:r>
        <w:rPr>
          <w:rFonts w:eastAsia="Times New Roman" w:cs="Times New Roman" w:ascii="Times New Roman" w:hAnsi="Times New Roman"/>
          <w:color w:val="111111"/>
          <w:sz w:val="28"/>
          <w:szCs w:val="28"/>
          <w:lang w:val="en-US" w:bidi="en-US"/>
        </w:rPr>
        <w:t>Aarek, H.E., Järvelin, K., Kajberg, L, Klasson, M. &amp;Vakkari, P. (1992), "Library and information science research in Nordic countries 1965-1989", in Vakkari, P. and Cronin, B. (Eds.), Conceptions of Library and Information Science, Taylor &amp; Francis, London, pp. 28- 49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Anyon, J. (1982), "Adequate social science, curriculum investigations and theory", Theory into Practice, Vol. 21, No. 1, pp. 34-37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Bernstein, Richard J. (1976), The Restructuring of Social and Political Theory, Basil Blackwell,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Bliss, N. J. (1993), "International librarianship: a bibliometric analysis of the field", International Information &amp; Library Review, Vol. 25, No. 2, pp. 93-107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Collings, D.G. (1971), "Comparative librarianship", in Kent, A. and Lancour, H. (Eds.) Encyclopedia of Library and Information science, Marcel Dekker, New York, Vol. 5, pp. 492-502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Connaway, L.S. and Powell, R.R. (2010), Basic Research Methods for Librarians, 5th ed., Libraries Unlimited, Santa Barbara, 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Cowen, R. (2006), "Acting comparatively upon the educational world: puzzles and possibilities", Oxford Review of Education, Vol. 32, No. 5, pp. 561-573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Creswell, J.W. (2009), Research Design: Qualitative, Quantitative, and Mixed Method Approaches, Sage Publications, Los Angeles, 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Crossley, M. (2002), "Comparative and international education: contemporary challenges, reconceptualization and new directions for the field", Current Issues in Contemporary Education, Vol. 4, No. 2, pp. 81-86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Dalbello, M. (2008), “Cultural dimensions of digital library development, Part I: Theory and methodological framework for a comparative study of the cultures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innovation in five European national libraries", Library Quarterly, Vol. 78, No. 4, pp. 355-395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Dalbello, M. (2009), "Cultural dimensions of digital library development, Part II: The cultures of innovation in five European national libraries (narratives of development)", Library Quarterly, Vol. 79, No. 1, pp. 1-72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Danton, J. P. (1973), The Dimensions of Comparative Librarianship, American Library Association, Chicago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Danton, J. P. (1977), "Definitions of comparative and international library science", in Harvey, J.F. (Ed.), Comparative and International Library Science, Scarecrow Press, Metuchen, NJ, pp. 3-14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Dervin, B. (2003), "Sense-making's journey from metatheory to methodology to method: an example using information seeking and use as research focus", in: Dervin, B., Foreman- Wernet, L., and Lauterbach, E. (Eds.), Sense-Making Methodology Reader: Selected Writings of Brenda Dervin, Hampton Press, Cresskill, NJ, pp. 133-163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Foskett, D.J. (Ed.) (1976), Reader in Comparative Librarianship, Information Handling Services, Englewood, 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Foskett, D.J. (1977), "Recent comparative and international studies in non- library fields", in Harvey, J.F. (Ed.), Comparative and International Library Science, Scarecrow Press, Metuchen, NJ, pp. 15-30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Guba, E. G. and Lincoln, Y. S. (1994), "Competing paradigms in qualitative research", in Denzin, N.K. and Lincoln, YS. (Eds.) Handbook of Qualitative Research, SAGE Publications, Thousand Oaks, CA, pp. 105-117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Guba, E. G. and Lincoln, Y. S. (2005), "Paradigmatic controversies, contradictions, and emerging confluences", in Denzin, N.K. and Lincoln, YS</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SAGE Handbook of Qualitative Research, 3rd ed., SAGE Publications, Thousand Oaks, CA, pp. 191-215. Hamilton, D. (2004), "Information systems theory as cultural capital",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Information Systems Foundations; Papers Presented at the Information Systems Foundations: Constructing and Criticising Workshop, Canberra, 16-17 July 2004, n.p., available at http://epress.anu.edu.au/info_systems/mobile_devices/pr01.html (accessed 27 April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Hantrais, L. (2009), International Comparative Research: Theory, Methods and Practice, Palgrave Macmillan, Basingstoke, England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Harvey, J. F. (Ed.) (1977), Comparative and International Library Science, Scarecrow Press, Metuchen, NJ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Hjørland, B. (1998), “Theory and metatheory of information science: a new interpretation", Journal of Documentation, Vol. 54, No. 5, pp. 606-621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Hjørland, B. (2000), "Library and information science: practice, theory, and philosophical basis", Information Processing and Management, Vol. 36, No. 3, pp. 501-531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Kelly, G.P., Altbach, P.G. and Arnove, R.F. (1982), "Trends in comparative education: a critical analysis", in Altbach, P.G., Arnove, R.F. and Kelly, G.P (Eds.), Comparative Education, Macmillan, New York, pp. 505-535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Keresztesi, M. (1981), "Prolegomena to the history of international librarianship", Journal of Library History, Vol. 16, No. 2, pp. 435-448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Knuth, R. (1999), "On a spectrum: international models of school librarianship", Library Quarterly, Vol. 69, No. 1, pp. 33-56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Krzys, R. and Litton, G. (1983), World Librarianship: a Comparative Study, Marcel Dekker,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Landman, T. (2008), Issues and Methods in Comparative Politics: an Introduction, 3rd ed., Routledge,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 P.J. (2010), "International and comparative librarianship", in Bates, M.J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Maack, M.N. (Eds.), Encyclopedia of library and information science, 3rd ed., Taylor and Francis, London, Vol. 4, pp. 2847-2855</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Lor, P.J. (In prep.), "Metatheoretical assumptions in international comparative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studies in library and information science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 P.J. and Britz, J.J. (2010), "Internationalization of LIS education: practical</w:t>
      </w:r>
    </w:p>
    <w:p>
      <w:pPr>
        <w:pStyle w:val="BookText"/>
        <w:rPr/>
      </w:pPr>
      <w:r>
        <w:rPr>
          <w:rFonts w:eastAsia="Times New Roman" w:cs="Times New Roman" w:ascii="Times New Roman" w:hAnsi="Times New Roman"/>
          <w:color w:val="111111"/>
          <w:sz w:val="28"/>
          <w:szCs w:val="28"/>
          <w:lang w:val="en-US" w:bidi="en-US"/>
        </w:rPr>
        <w:t>partnerships and conceptual challenges", Paper presented at the IFLA-ALISE- EWUCLID Pre-conference on Cooperation and Collaboration in Teaching and Research: Trends in Library and Information Studies Education, Swedish School of Library and Information Science, Borås, Sweden, 8-9 August 2010, available at http://conf.euclidlis. eu/index.php/IFLA2010/IFLA2010/paper/view/1/6 (accessed on 3 May 2012). Lor, P.J. and Huang, C. (in prep.), "Naive empiricism in comparative LIS? Evaluation of some recent comparative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Maack, M.N. (1985), "Comparative methodology as a means for assessing the impact of feminization and professionalization in librarianship", International Library Review, Vol. 17, No. 1, pp. 5-16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McKechnie, L.E.F. and Pettigrew, K.E. (2002), "Surveying the use of theory in library and information science research: a disciplinary perspective", Library Trends, Vol. 50, No. 3, pp. 406-417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Mertens, D.M. (1998), Research Methods in Education and Psychology: Integrating Diversity with Quantitative and Qualitative Approaches, Sage, Thousand Oaks, 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Merton, R.K. (1968), Social Theory and Social Structure, enlarged ed., Free Press,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Mouton, J. and Marais, H.C. (1990), Basic Concepts in the Methodology of the Social Science, rev. ed., Human Sciences Research Council, Pretoria, South Africa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Parker, J.S. (1974), "International librarianship - a reconnaissance", Journal of Librarianship, Vol. 6, No. 4, pp. 219-232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Pennings, P., Keman, H. and Kleinnijenhuis, J. (2006), Doing Research in Political Science,, 2nd ed., Sage Publications, London and Thousand Oaks (CA)</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Pickard, A.J. (2007), Research Methods in Information, Facet Publishing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Ragin, C.C. (1987), The Comparative Method: Moving Beyond Qualitative and Quantitative Strategies, University of California Press, Berkeley, 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Raivola, R. (1986), "What is comparison? Methodological and philosophical considerations", inAltbach, P.G. and Kelly, G.P. (Eds.), New Approaches to Comparative Education, University of Chicago Press, Chicago, pp. 261-273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Sartori, G. (1991), "Comparing and miscomparing", Journal of Theoretical Politics, Vol. 3, No. 3, pp. 243-257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Schriewer, J. (2006), "Comparative social science: characteristic problems and changing problem solutions", Comparative Education, Vol. 42, No. 3, pp. 299-336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Simsova, S. and MacKee, M. (1970), A Handbook of Comparative Librarianship, Bingley,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Simsova, S. and MacKee, M. (1975), A Handbook of Comparative Librarianship, 2nd rev. ed., Bingley,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Streatfield, D. and Markless, S. (2011), "Impact evaluation, advocacy and ethical research: some issues for national strategy development?", Library Review, Vol. 60, No. 4, pp. 312-327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Sweeting, A. (2005), "The historical dimension: a contribution to conversation</w:t>
      </w:r>
    </w:p>
    <w:p>
      <w:pPr>
        <w:pStyle w:val="BookText"/>
        <w:rPr/>
      </w:pPr>
      <w:r>
        <w:rPr>
          <w:rFonts w:eastAsia="Times New Roman" w:cs="Times New Roman" w:ascii="Times New Roman" w:hAnsi="Times New Roman"/>
          <w:color w:val="111111"/>
          <w:sz w:val="28"/>
          <w:szCs w:val="28"/>
          <w:lang w:val="en-US" w:bidi="en-US"/>
        </w:rPr>
        <w:t>about theory and methods in comparative education", Comparative Education, Vol. 41, No. 1, pp. 25-44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Twining, W. (2004), "Diffusion of law: a global perspective", Journal of Legal Pluralism, No. 49, pp. 1-45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Yu, P.C. (2008), "History of modern librarianship in East Asia", Library History, Vol. 24, No. 1, pp. 64-77</w:t>
      </w:r>
      <w:r>
        <w:rPr>
          <w:rFonts w:eastAsia="Times New Roman" w:cs="Times New Roman" w:ascii="Times New Roman" w:hAnsi="Times New Roman"/>
          <w:color w:val="111111"/>
          <w:sz w:val="28"/>
          <w:szCs w:val="28"/>
          <w:rtl w:val="true"/>
          <w:lang w:val="en-US" w:bidi="en-US"/>
        </w:rPr>
        <w:t xml:space="preserve">. </w:t>
      </w:r>
      <w:bookmarkStart w:id="528" w:name="pg9653_81906"/>
    </w:p>
    <w:p>
      <w:pPr>
        <w:pStyle w:val="Heading2"/>
        <w:numPr>
          <w:ilvl w:val="1"/>
          <w:numId w:val="1"/>
        </w:numPr>
        <w:rPr/>
      </w:pPr>
      <w:bookmarkStart w:id="529" w:name="__RefHeading___Toc7766634_2870459653"/>
      <w:bookmarkStart w:id="530" w:name="_Toc192"/>
      <w:bookmarkEnd w:id="528"/>
      <w:bookmarkEnd w:id="529"/>
      <w:r>
        <w:rPr>
          <w:rtl w:val="true"/>
        </w:rPr>
        <w:t>چکیده</w:t>
      </w:r>
      <w:bookmarkEnd w:id="530"/>
    </w:p>
    <w:p>
      <w:pPr>
        <w:pStyle w:val="BookText"/>
        <w:rPr/>
      </w:pPr>
      <w:r>
        <w:rPr>
          <w:rFonts w:ascii="IRNazanin" w:hAnsi="IRNazanin" w:eastAsia="IRNazanin"/>
          <w:color w:val="111111"/>
          <w:sz w:val="28"/>
          <w:sz w:val="28"/>
          <w:szCs w:val="28"/>
          <w:rtl w:val="true"/>
          <w:lang w:bidi="fa-IR"/>
        </w:rPr>
        <w:t xml:space="preserve">کتابخانه ها و مراکز اسناد از نیمه دهه 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رقومی سازی روزنامه ها را با هدف حفظ و نگهداری و دسترس پذیری آغاز کرده اند در طول این دوره زمانی استانداردهای استفاده شده به طور اساسی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رقومی شده نوین از فنون رقومی سازی، استخراج و استانداردهای فراداده و قالب های فایل بهره می گیرند که در مقایسه با مجموعه های رقومی شده اولیه بسیار متفاوت هستند افزون بر این کتابخانه ها و مراکز اسناد به طور روز افزونی منابع اطلاعاتی ایجاد شده در قالب رقومی را نیز به مجموعه خودشان افزوده اند این گونه منابع اطلاعاتی که به صورت مستقیم با همکاری ناشران روزنامه ها و انتقال منبع اصلی اطلاعات گردآوری شده اند یا از طریق وب سایت های روزنامه ها گردآوری شده اند از نظر شیوه گردآوری نوع فراداده و سایر ویژگی ها با مجموعه های سنتی به طور اساسی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روزنامه ها به عنوان منبع اصلی اطلاعات تاریخی اهمیت ویژه دارند کتابخانه ها و مراکز اسناد باید مجموعه های رقومی شده و ایجاد شده در قالب رقومی خودشان را با دقت تمام، حفظ و نگهداری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ملی علوم انسانی</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با هدف بررسی وضعیت حفظ و نگهداری مجموعه های روزنامه های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پشتیبانی و اجرا کرده است این برنامه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اِجو کوپیا</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و مشارکت هفت کتابخانه دانشگاهی ایالات متحده و سه سامانه ی توزیعی حفظ و نگهداری منابع رقومی </w:t>
      </w:r>
      <w:r>
        <w:rPr>
          <w:rStyle w:val="FootnoteAnchor"/>
          <w:rtl w:val="true"/>
        </w:rPr>
        <w:footnoteReference w:id="762"/>
      </w:r>
      <w:r>
        <w:rPr>
          <w:rFonts w:ascii="IRNazanin" w:hAnsi="IRNazanin" w:eastAsia="IRNazanin"/>
          <w:color w:val="111111"/>
          <w:sz w:val="28"/>
          <w:sz w:val="28"/>
          <w:szCs w:val="28"/>
          <w:rtl w:val="true"/>
          <w:lang w:bidi="fa-IR"/>
        </w:rPr>
        <w:t xml:space="preserve">شامل متا آرکایو، کرونوپلس و مخزن کودا دانشگاه تگزاس شمالی </w:t>
      </w:r>
      <w:r>
        <w:rPr>
          <w:rStyle w:val="FootnoteAnchor"/>
          <w:rtl w:val="true"/>
        </w:rPr>
        <w:footnoteReference w:id="763"/>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موسسه های مشارکت کننده بخشی از کار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استانداردها، ویژگی ها و عملیات های مربوط به مجموعه های روزنامه های رقومی را بررسی کردند و سپس این اطلاعات را در قالب یک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حفظ و نگهداری روزنامه های رقومی</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نشر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رهنمودها جهت اظهار نظر برای عموم قابل دسترس است بجز این، تبادل محتواهای اطلاعاتی، انتقال مجموعه های کتابخانه ها و قرار دادن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 های توزیعی حفظ و نگهداری منابع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 های توزیعی حفظ و نگهداری منابع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مستند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تطبیقی چارچوب های سامانه های توزیعی حفظ و نگهداری منابع رقومی</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بررسی شدند سر انجام این برنامه ابزارهای موجود حفظ و نگهداری منابع رقومی را کامل کرد و بسته بندی و تبادل مجموعه های روزنامه های رقومی را آسان ساخت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صورت گام به گام ساختار و محتوای رهنمودهای حفظ و نگهداری روزنامه های رقومی را بررسی می کند، سنجه های ارزیابی کننده برای تحلیل تطبیقی سامانه های توزیعی حفظ و نگهداری منابع رقومی را پیشنهاد می دهد و در باره اجرای ابزارهای میان کنش پذیر بحث می کند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نگهداری توزیعی منابع رقومی، روزنامه های رقومی، گردآوری و نگهداری منابع رقومی </w:t>
      </w:r>
      <w:r>
        <w:rPr>
          <w:rStyle w:val="FootnoteAnchor"/>
          <w:rtl w:val="true"/>
        </w:rPr>
        <w:footnoteReference w:id="766"/>
      </w:r>
      <w:bookmarkStart w:id="531" w:name="pg9653_81907"/>
    </w:p>
    <w:p>
      <w:pPr>
        <w:pStyle w:val="Heading2"/>
        <w:numPr>
          <w:ilvl w:val="1"/>
          <w:numId w:val="1"/>
        </w:numPr>
        <w:rPr/>
      </w:pPr>
      <w:bookmarkStart w:id="532" w:name="__RefHeading___Toc7766636_2870459653"/>
      <w:bookmarkStart w:id="533" w:name="_Toc193"/>
      <w:bookmarkEnd w:id="531"/>
      <w:bookmarkEnd w:id="532"/>
      <w:r>
        <w:rPr>
          <w:rtl w:val="true"/>
        </w:rPr>
        <w:t>برنامه حفظ و نگهداری رویدادنامه ها</w:t>
      </w:r>
      <w:r>
        <w:rPr>
          <w:rtl w:val="true"/>
        </w:rPr>
        <w:t xml:space="preserve">: </w:t>
      </w:r>
      <w:r>
        <w:rPr>
          <w:rtl w:val="true"/>
        </w:rPr>
        <w:t>حفظ و نگهداری اخبار و روزنامه های رقومی</w:t>
      </w:r>
      <w:bookmarkEnd w:id="533"/>
    </w:p>
    <w:p>
      <w:pPr>
        <w:pStyle w:val="Heading3"/>
        <w:numPr>
          <w:ilvl w:val="2"/>
          <w:numId w:val="1"/>
        </w:numPr>
        <w:rPr/>
      </w:pPr>
      <w:bookmarkStart w:id="534" w:name="__RefHeading___Toc7766638_2870459653"/>
      <w:bookmarkStart w:id="535" w:name="_Toc194"/>
      <w:bookmarkEnd w:id="534"/>
      <w:r>
        <w:rPr>
          <w:rtl w:val="true"/>
        </w:rPr>
        <w:t>اشاره</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نگهداری اخبار و روزنامه های رقومی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نوشته نیک کرابنهوفت، </w:t>
      </w:r>
      <w:r>
        <w:rPr>
          <w:rStyle w:val="FootnoteAnchor"/>
          <w:rtl w:val="true"/>
        </w:rPr>
        <w:footnoteReference w:id="768"/>
      </w:r>
      <w:r>
        <w:rPr>
          <w:rFonts w:ascii="IRNazanin" w:hAnsi="IRNazanin" w:eastAsia="IRNazanin"/>
          <w:color w:val="111111"/>
          <w:sz w:val="28"/>
          <w:sz w:val="28"/>
          <w:szCs w:val="28"/>
          <w:rtl w:val="true"/>
          <w:lang w:bidi="fa-IR"/>
        </w:rPr>
        <w:t xml:space="preserve">کاترین اسکینر </w:t>
      </w:r>
      <w:r>
        <w:rPr>
          <w:rStyle w:val="FootnoteAnchor"/>
          <w:rtl w:val="true"/>
        </w:rPr>
        <w:footnoteReference w:id="769"/>
      </w:r>
      <w:r>
        <w:rPr>
          <w:rFonts w:ascii="IRNazanin" w:hAnsi="IRNazanin" w:eastAsia="IRNazanin"/>
          <w:color w:val="111111"/>
          <w:sz w:val="28"/>
          <w:sz w:val="28"/>
          <w:szCs w:val="28"/>
          <w:rtl w:val="true"/>
          <w:lang w:bidi="fa-IR"/>
        </w:rPr>
        <w:t xml:space="preserve">، مت شولتس </w:t>
      </w:r>
      <w:r>
        <w:rPr>
          <w:rStyle w:val="FootnoteAnchor"/>
          <w:rtl w:val="true"/>
        </w:rPr>
        <w:footnoteReference w:id="770"/>
      </w:r>
      <w:r>
        <w:rPr>
          <w:rFonts w:ascii="IRNazanin" w:hAnsi="IRNazanin" w:eastAsia="IRNazanin"/>
          <w:color w:val="111111"/>
          <w:sz w:val="28"/>
          <w:sz w:val="28"/>
          <w:szCs w:val="28"/>
          <w:rtl w:val="true"/>
          <w:lang w:bidi="fa-IR"/>
        </w:rPr>
        <w:t xml:space="preserve">و فر در یک زانت </w:t>
      </w:r>
      <w:r>
        <w:rPr>
          <w:rStyle w:val="FootnoteAnchor"/>
          <w:rtl w:val="true"/>
        </w:rPr>
        <w:footnoteReference w:id="771"/>
      </w:r>
      <w:r>
        <w:rPr>
          <w:rFonts w:ascii="IRNazanin" w:hAnsi="IRNazanin" w:eastAsia="IRNazanin"/>
          <w:color w:val="111111"/>
          <w:sz w:val="28"/>
          <w:sz w:val="28"/>
          <w:szCs w:val="28"/>
          <w:rtl w:val="true"/>
          <w:lang w:bidi="fa-IR"/>
        </w:rPr>
        <w:t xml:space="preserve">ترجمه مهدی خادمیان </w:t>
      </w:r>
      <w:r>
        <w:rPr>
          <w:rStyle w:val="FootnoteAnchor"/>
          <w:rtl w:val="true"/>
        </w:rPr>
        <w:footnoteReference w:id="772"/>
      </w:r>
    </w:p>
    <w:p>
      <w:pPr>
        <w:pStyle w:val="Heading3"/>
        <w:numPr>
          <w:ilvl w:val="2"/>
          <w:numId w:val="1"/>
        </w:numPr>
        <w:rPr/>
      </w:pPr>
      <w:bookmarkStart w:id="536" w:name="__RefHeading___Toc7766640_2870459653"/>
      <w:bookmarkStart w:id="537" w:name="_Toc195"/>
      <w:bookmarkEnd w:id="536"/>
      <w:r>
        <w:rPr/>
        <w:t>1</w:t>
      </w:r>
      <w:r>
        <w:rPr>
          <w:rtl w:val="true"/>
        </w:rPr>
        <w:t xml:space="preserve">- </w:t>
      </w:r>
      <w:r>
        <w:rPr>
          <w:rtl w:val="true"/>
        </w:rPr>
        <w:t>مقدمه</w:t>
      </w:r>
      <w:bookmarkEnd w:id="53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دو دهه ی قبل، کتابخانه ها و مراکز اسناد، انجمن های تاریخ و سایر موسسه ها، روزنامه هایی را که در قالب قیاسی بودند، رقومی کرده اند و روزنامه های رقومی زاد </w:t>
      </w:r>
      <w:r>
        <w:rPr>
          <w:rStyle w:val="FootnoteAnchor"/>
          <w:rtl w:val="true"/>
        </w:rPr>
        <w:footnoteReference w:id="773"/>
      </w:r>
      <w:r>
        <w:rPr>
          <w:rFonts w:ascii="IRNazanin" w:hAnsi="IRNazanin" w:eastAsia="IRNazanin"/>
          <w:color w:val="111111"/>
          <w:sz w:val="28"/>
          <w:sz w:val="28"/>
          <w:szCs w:val="28"/>
          <w:rtl w:val="true"/>
          <w:lang w:bidi="fa-IR"/>
        </w:rPr>
        <w:t>را نیز گرد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زمانی رویه های اجرای کار به طور تدریجی بهبود یافته است بنابراین گردآورندگان مجموعه های رقومی باید انواع مختلف استانداردها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روزنامه ها با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تیف</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و برخی دیگر با استاندارد جی پی ایی جی </w:t>
      </w:r>
      <w:r>
        <w:rPr>
          <w:rStyle w:val="FootnoteAnchor"/>
          <w:rtl w:val="true"/>
        </w:rPr>
        <w:footnoteReference w:id="775"/>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پویش شده اند فراداده توصیفی 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دابلین </w:t>
      </w:r>
    </w:p>
    <w:p>
      <w:pPr>
        <w:pStyle w:val="BookText"/>
        <w:rPr/>
      </w:pP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سالتو</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است یا هیچ ابر داده ای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اطلاعاتی قومی، توسط روزنامه ها تحویل داده می شود یا کتابخانه ها گردآوری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گردآوری و حفظ و نگهداری مجموعه های روزنامه های رقومی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با پشتیبانی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ملی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مشارکت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 توزیعی حفظ و نگهداری منابع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کتابخانه ایالات متحده قصد دارد مجموعه های روزنامه های رقومی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سامانه ی توزیعی حفظ و نگهداری منابع رقومی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متاآر کایو، کرونوپلس و کودا دانشگاه تگزاس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سامانه ها از طریق گردآوری ذخیره و اعتباریابی اشیاء رقومی در مکان های امن متعدد به حفظ و نگهداری بلندمدت آن ها کمک می کنند برای انجام این کار، می توان از فناوری های مختلف و متعددی استفاده کرد برای مثال در بین مشارکت کنندگان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متاآرکایو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لوكس</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کرونوپلس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فناوری آیرودز </w:t>
      </w:r>
      <w:r>
        <w:rPr>
          <w:rStyle w:val="FootnoteAnchor"/>
          <w:rtl w:val="true"/>
        </w:rPr>
        <w:footnoteReference w:id="7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فناوری خاصی که دانشگاه تگزاس شمالی توسعه داده است بهره می گیرد با اجرای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سامانه می توانند مزایا و معایب نسبی فناوری های مورد استفاده شان را از نظر نوع محتوا و چارچوب مخازن مقایسه کنند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های تگزاس شمالی، پن استیت، ویرجینیاتک، اوتاه جورجیا تک، کالج بوستون و دانشگاه کلمسون</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با مجموعه های متنوعی از روزنامه های رقومی در این برنامه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مجموعه ها در قالب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ملی روزنامه های رقومی</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رقومی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ملی روزنامه های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بسیار موفقی است که بنیاد ملی علوم انسانی و کتابخانه کنگره آن را اجرا می کنند و هدف آن رقومی سازی و گردآوری مجموعه های روزنامه ها و دسترس پذیر کردن آن ها با استفاده از مجموعه خاصی از استانداردها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 از این استانداردها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ملی روزنامه های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رقومی سازی دیگر نیز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تعدادی از کتابخانه ها رقومی سازی مجموعه هایشان را قبل از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ملی روزنامه های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اند و امکان دستیابی به استانداردهای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ملی روزنامه های </w:t>
      </w:r>
      <w:bookmarkStart w:id="538" w:name="pg9653_81909"/>
    </w:p>
    <w:p>
      <w:pPr>
        <w:pStyle w:val="BookText"/>
        <w:rPr/>
      </w:pPr>
      <w:bookmarkEnd w:id="538"/>
      <w:r>
        <w:rPr>
          <w:rFonts w:ascii="IRNazanin" w:hAnsi="IRNazanin" w:eastAsia="IRNazanin"/>
          <w:color w:val="111111"/>
          <w:sz w:val="28"/>
          <w:sz w:val="28"/>
          <w:szCs w:val="28"/>
          <w:rtl w:val="true"/>
          <w:lang w:bidi="fa-IR"/>
        </w:rPr>
        <w:t>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منابع اطلاعاتی ایجاد شده به صورت رقومی نیز کتابخانه ها مجموعه هایی دارند که دامنه آن ها از صفحه های وب اولیه تا صفحه های پی دی اف </w:t>
      </w:r>
      <w:r>
        <w:rPr>
          <w:rStyle w:val="FootnoteAnchor"/>
          <w:rtl w:val="true"/>
        </w:rPr>
        <w:footnoteReference w:id="782"/>
      </w:r>
      <w:r>
        <w:rPr>
          <w:rFonts w:ascii="IRNazanin" w:hAnsi="IRNazanin" w:eastAsia="IRNazanin"/>
          <w:color w:val="111111"/>
          <w:sz w:val="28"/>
          <w:sz w:val="28"/>
          <w:szCs w:val="28"/>
          <w:rtl w:val="true"/>
          <w:lang w:bidi="fa-IR"/>
        </w:rPr>
        <w:t>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تنوع مجموعه 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 که دامنه گسترده ای از چالش های مربوط به حفظ و نگهداری منابع رقومی را بررسی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دستاورد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حفظ و نگهداری منابع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رهنمودها توصیه های کاربردی هستند به سازمان هایی که می خواهند روزنامه های رقومی را گردآوری و نگهداری کنند رهنمودها بر مبنای مصاحبه های انجام شده با دارندگان مجموعه های روزنامه های رقومی تجربه های بدست آمده در طول انجام برنامه حفظ و نگهداری منابع رقومی و یافته ها و توصیه های ارائه شده در گزارش ها و استانداردهایی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ملی روزنامه های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تطبیقی چارچوب های سامانه های توزیعی حفظ و نگهداری منابع رقومی سامانه های توزیعی حفظ و نگهداری منابع رقومی با بهره گیری از مجموعه مشترکی از سنجه های عینی و رویه های کاری، تجربه های خودشان را با آزمایش های انجام شده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منابع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تحلیل این است که مشخص کند هر سامانه توزیعی حفظ و نگهداری منابع رقومی و زیرساخت مربوط به آن، تا چه حدی می تواند مجموعه خاصی از محتوای اطلاعاتی را در سطوح مختلف حفظ و نگهداری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میان کنش 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حفظ و نگهداری منابع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ابزارهای موجود گردآوری و حفظ و نگهداری منابع رقومی را ،آزمایش مستندسازی و بسته بندی می کند و بدین طریق، موجب تسهیل بیشتر درک و اجرای آن ها در دامنه وسیعی از محیط های فنی محلی می شود</w:t>
      </w:r>
      <w:r>
        <w:rPr>
          <w:rFonts w:eastAsia="IRNazanin" w:cs="IRNazanin"/>
          <w:color w:val="111111"/>
          <w:sz w:val="28"/>
          <w:szCs w:val="28"/>
          <w:rtl w:val="true"/>
          <w:lang w:bidi="fa-IR"/>
        </w:rPr>
        <w:t>.</w:t>
      </w:r>
    </w:p>
    <w:p>
      <w:pPr>
        <w:pStyle w:val="Heading3"/>
        <w:numPr>
          <w:ilvl w:val="2"/>
          <w:numId w:val="1"/>
        </w:numPr>
        <w:rPr/>
      </w:pPr>
      <w:bookmarkStart w:id="539" w:name="__RefHeading___Toc7766642_2870459653"/>
      <w:bookmarkStart w:id="540" w:name="_Toc196"/>
      <w:bookmarkEnd w:id="539"/>
      <w:r>
        <w:rPr/>
        <w:t>2</w:t>
      </w:r>
      <w:r>
        <w:rPr>
          <w:rtl w:val="true"/>
        </w:rPr>
        <w:t xml:space="preserve">- </w:t>
      </w:r>
      <w:r>
        <w:rPr>
          <w:rtl w:val="true"/>
        </w:rPr>
        <w:t>رهنمودهای حفظ و نگهداری روزنامه های رقومی</w:t>
      </w:r>
      <w:bookmarkEnd w:id="540"/>
    </w:p>
    <w:p>
      <w:pPr>
        <w:pStyle w:val="Heading4"/>
        <w:numPr>
          <w:ilvl w:val="3"/>
          <w:numId w:val="1"/>
        </w:numPr>
        <w:rPr/>
      </w:pPr>
      <w:bookmarkStart w:id="541" w:name="__RefHeading___Toc7766644_2870459653"/>
      <w:bookmarkStart w:id="542" w:name="_Toc197"/>
      <w:bookmarkEnd w:id="541"/>
      <w:r>
        <w:rPr>
          <w:rtl w:val="true"/>
        </w:rPr>
        <w:t>اشاره</w:t>
      </w:r>
      <w:bookmarkEnd w:id="54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هایی مانند برنامه ملی روزنامه های رقومی رهنمودهایی را برای کتابخانه ها، مراکز اسناد انجمن های تاریخ و سایر موسسه هایی که می خواهند مجموعه هایشان را رقومی کنند،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موسسه ها منبعی در اختیار ندارند که با استفاده از رهنمودهای آن بتوانند حفظ و نگهداری مجموعه های موجود ایجاد شده با استانداردهای متنوع را مدیریت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رهنمودهای حفظ و نگهداری روزنامه های رقومی را برای این گروه از مخاطبان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گردآمده در این رهنمود از منابع متعددی به دست آمده است با دست اندرکاران صنعت روزنامه، کتابخانه ها، گردآورندگان منابع رقومی مصاحبه هایی انجام شد کتابخانه های مشارکت کننده در برنامه نیز به صورت مورد پژوهی، نرم افزارهای مورد استفاده شان را از جنبه های خاصی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استانداردهایی مانند اُ ای آی اس </w:t>
      </w:r>
      <w:r>
        <w:rPr>
          <w:rStyle w:val="FootnoteAnchor"/>
          <w:rtl w:val="true"/>
        </w:rPr>
        <w:footnoteReference w:id="783"/>
      </w:r>
      <w:r>
        <w:rPr>
          <w:rFonts w:ascii="Amiri" w:hAnsi="Amiri" w:eastAsia="Amiri" w:cs="Amiri"/>
          <w:color w:val="111111"/>
          <w:sz w:val="28"/>
          <w:sz w:val="28"/>
          <w:szCs w:val="28"/>
          <w:rtl w:val="true"/>
          <w:lang w:bidi="ar-SA"/>
        </w:rPr>
        <w:t xml:space="preserve">و مِتس </w:t>
      </w:r>
      <w:r>
        <w:rPr>
          <w:rStyle w:val="FootnoteAnchor"/>
          <w:rtl w:val="true"/>
        </w:rPr>
        <w:footnoteReference w:id="7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ملی روزنامه های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منابع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پیش نویس این رهنمودها را جهت اظهار نظر در دسترس عموم قرار داده است</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هدف از این، کار این است که دارندگان مجموعه های روزنامه های رقومی، آن ها را ارزیابی کنند و اصلاح ها و حذف و اضافه های لازم را انجام دهند قبل از این که این رهنمودها به عنوان یک منبع رسمی در پایان سال منتشر شود بازخوردهای به دست آمده از جامعه در آن منعکس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رهنمودها شامل شش بخش اصلی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سیاهه برداری از روزنامه های رقومی که باید حفظ و نگهداری </w:t>
      </w:r>
      <w:r>
        <w:rPr>
          <w:rStyle w:val="FootnoteAnchor"/>
          <w:rtl w:val="true"/>
        </w:rPr>
        <w:footnoteReference w:id="786"/>
      </w:r>
      <w:r>
        <w:rPr>
          <w:rFonts w:ascii="IRNazanin" w:hAnsi="IRNazanin" w:eastAsia="IRNazanin"/>
          <w:color w:val="111111"/>
          <w:sz w:val="28"/>
          <w:sz w:val="28"/>
          <w:szCs w:val="28"/>
          <w:rtl w:val="true"/>
          <w:lang w:bidi="fa-IR"/>
        </w:rPr>
        <w:t>شوند شامل چگونگی ثبت آن ها میزان محتواهایی که یک سازمان دارد و چگونگی ذخیره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قالب برای روزنامه های رقومی </w:t>
      </w:r>
      <w:r>
        <w:rPr>
          <w:rStyle w:val="FootnoteAnchor"/>
          <w:rtl w:val="true"/>
        </w:rPr>
        <w:footnoteReference w:id="787"/>
      </w:r>
      <w:r>
        <w:rPr>
          <w:rFonts w:ascii="IRNazanin" w:hAnsi="IRNazanin" w:eastAsia="IRNazanin"/>
          <w:color w:val="111111"/>
          <w:sz w:val="28"/>
          <w:sz w:val="28"/>
          <w:szCs w:val="28"/>
          <w:rtl w:val="true"/>
          <w:lang w:bidi="fa-IR"/>
        </w:rPr>
        <w:t>شامل چگونگی شناسایی، اعتباریابی و تغییر قالب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بندی فراداده برای روزنامه های رقومی </w:t>
      </w:r>
      <w:r>
        <w:rPr>
          <w:rStyle w:val="FootnoteAnchor"/>
          <w:rtl w:val="true"/>
        </w:rPr>
        <w:footnoteReference w:id="788"/>
      </w:r>
      <w:r>
        <w:rPr>
          <w:rFonts w:ascii="IRNazanin" w:hAnsi="IRNazanin" w:eastAsia="IRNazanin"/>
          <w:color w:val="111111"/>
          <w:sz w:val="28"/>
          <w:sz w:val="28"/>
          <w:szCs w:val="28"/>
          <w:rtl w:val="true"/>
          <w:lang w:bidi="fa-IR"/>
        </w:rPr>
        <w:t>شامل چگونگی انتخاب قالب فراداده انتقال فراداده از مخازن اطلاعاتی و مدیریت ذخیره فراداده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کنترل </w:t>
      </w:r>
      <w:r>
        <w:rPr>
          <w:rStyle w:val="FootnoteAnchor"/>
          <w:rtl w:val="true"/>
        </w:rPr>
        <w:footnoteReference w:id="789"/>
      </w:r>
      <w:r>
        <w:rPr>
          <w:rFonts w:ascii="IRNazanin" w:hAnsi="IRNazanin" w:eastAsia="IRNazanin"/>
          <w:color w:val="111111"/>
          <w:sz w:val="28"/>
          <w:sz w:val="28"/>
          <w:szCs w:val="28"/>
          <w:rtl w:val="true"/>
          <w:lang w:bidi="fa-IR"/>
        </w:rPr>
        <w:t>برای روزنامه های رقومی، شامل چگونگی تولید و پایش اطلاعات ثبت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روزنامه های رقومی </w:t>
      </w:r>
      <w:r>
        <w:rPr>
          <w:rStyle w:val="FootnoteAnchor"/>
          <w:rtl w:val="true"/>
        </w:rPr>
        <w:footnoteReference w:id="790"/>
      </w:r>
      <w:r>
        <w:rPr>
          <w:rFonts w:ascii="IRNazanin" w:hAnsi="IRNazanin" w:eastAsia="IRNazanin"/>
          <w:color w:val="111111"/>
          <w:sz w:val="28"/>
          <w:sz w:val="28"/>
          <w:szCs w:val="28"/>
          <w:rtl w:val="true"/>
          <w:lang w:bidi="fa-IR"/>
        </w:rPr>
        <w:t>که باید حفظ و نگهداری شوند، شامل چگونگی ساختارمندی پوشه ها و نام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بندی روزنامه های رقومی </w:t>
      </w:r>
      <w:r>
        <w:rPr>
          <w:rStyle w:val="FootnoteAnchor"/>
          <w:rtl w:val="true"/>
        </w:rPr>
        <w:footnoteReference w:id="791"/>
      </w:r>
      <w:r>
        <w:rPr>
          <w:rFonts w:ascii="IRNazanin" w:hAnsi="IRNazanin" w:eastAsia="IRNazanin"/>
          <w:color w:val="111111"/>
          <w:sz w:val="28"/>
          <w:sz w:val="28"/>
          <w:szCs w:val="28"/>
          <w:rtl w:val="true"/>
          <w:lang w:bidi="fa-IR"/>
        </w:rPr>
        <w:t>که باید حفظ و نگهداری شوند، شامل چگونگی سازماندهی مجموعه و وارد کردن آن به یک نظام حفظ و نگهداری منابع رقومی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بخش های بالا را می توان مستقل از بخش های دیگر، خواند و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bookmarkStart w:id="543" w:name="pg9653_81911"/>
    </w:p>
    <w:p>
      <w:pPr>
        <w:pStyle w:val="BookText"/>
        <w:rPr/>
      </w:pPr>
      <w:bookmarkEnd w:id="543"/>
      <w:r>
        <w:rPr>
          <w:rFonts w:ascii="IRNazanin" w:hAnsi="IRNazanin" w:eastAsia="IRNazanin"/>
          <w:color w:val="111111"/>
          <w:sz w:val="28"/>
          <w:sz w:val="28"/>
          <w:szCs w:val="28"/>
          <w:rtl w:val="true"/>
          <w:lang w:bidi="fa-IR"/>
        </w:rPr>
        <w:t>این بخش ها، شش بخش فرعی دیگر نیز وجود دارد مطالعه منابع و مآخذ ارائه شده می تواند برای بررسی عمیق تر موضوع هایی مانند فراهم آوری مجموعه و مدیریت تغییر،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رهنمودها به مدیران برنامه ها این امکان را می دهد که با توجه به علایق خاص ،خودشان فقط به بخش های مورد نیازشان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رهنمودها یک واقعیت مهم را درباره حفظ و نگهداری منابع رقومی مد نظر داشته است و آن این که هر سازمان از نظر مالی مهارتی ابزارها و غیره منابع متفاوتی در اختیار دارد سازمان های متفاوت نمی توانند فعالیت های مشابهی برای حفظ و نگهداری منابع رقومی داشته باشند بنابراین رهنمودها به صورت طیفی از اطلاعات ضروری تا اختیاری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ضروری حداقل عملیاتی هستند که برای حفظ و نگهداری یک شیء رقومی باید انجام شوند اجرای این فعالیت ها با منابع محدود نیز 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اختیاری، عملیاتی هستند که با انجام آن ها به بهترین وجه ممکن شیء رقومی حفظ و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فعالیت ها فقط با داشتن منابع زیاد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این رویکرد برای نمونه، مطالبی از بخش مربوط به سیاهه برداری روزنامه های رقومی که باید حفظ و نگهداری شوند در زیر ارائه می شود</w:t>
      </w:r>
      <w:r>
        <w:rPr>
          <w:rFonts w:eastAsia="IRNazanin" w:cs="IRNazanin"/>
          <w:color w:val="111111"/>
          <w:sz w:val="28"/>
          <w:szCs w:val="28"/>
          <w:rtl w:val="true"/>
          <w:lang w:bidi="fa-IR"/>
        </w:rPr>
        <w:t>.</w:t>
      </w:r>
    </w:p>
    <w:p>
      <w:pPr>
        <w:pStyle w:val="Heading4"/>
        <w:numPr>
          <w:ilvl w:val="3"/>
          <w:numId w:val="1"/>
        </w:numPr>
        <w:rPr/>
      </w:pPr>
      <w:bookmarkStart w:id="544" w:name="__RefHeading___Toc7766646_2870459653"/>
      <w:bookmarkStart w:id="545" w:name="_Toc198"/>
      <w:bookmarkEnd w:id="544"/>
      <w:r>
        <w:rPr/>
        <w:t>2-1</w:t>
      </w:r>
      <w:r>
        <w:rPr>
          <w:rtl w:val="true"/>
        </w:rPr>
        <w:t xml:space="preserve">- </w:t>
      </w:r>
      <w:r>
        <w:rPr>
          <w:rtl w:val="true"/>
        </w:rPr>
        <w:t>نمونه ای از مطالب رهنمودهای حفظ و نگهداری منابع رقومی</w:t>
      </w:r>
      <w:bookmarkEnd w:id="545"/>
    </w:p>
    <w:p>
      <w:pPr>
        <w:pStyle w:val="BookText"/>
        <w:rPr/>
      </w:pPr>
      <w:r>
        <w:rPr>
          <w:rFonts w:ascii="IRNazanin" w:hAnsi="IRNazanin" w:eastAsia="IRNazanin"/>
          <w:color w:val="111111"/>
          <w:sz w:val="28"/>
          <w:sz w:val="28"/>
          <w:szCs w:val="28"/>
          <w:rtl w:val="true"/>
          <w:lang w:bidi="fa-IR"/>
        </w:rPr>
        <w:t>شناخت محتوای مجموعه های روزنامه های رقومی نخستین قدم برای افزایش آمادگی برای حفظ و نگهداری آن ها است این مجموعه ها در طول زمان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زمانی ممکن است مدیران مجموعه ها راهبردهای فراهم آوری محمل ها و قالب های ذخیره سازی را تغییر دهند با سیاهه کردن این گونه اطلاعات مدیران برنامه می توانند به سرعت وضعیت موجود مجموعه و مخاطرات مربوط به حفظ و نگهداری مجموعه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برای برنامه ریزی های آینده ضرورت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این سیاهه اطلاعات برای مدیران برنامه تهیه می شود پس باید به صورت انسان خوان </w:t>
      </w:r>
      <w:r>
        <w:rPr>
          <w:rStyle w:val="FootnoteAnchor"/>
          <w:rtl w:val="true"/>
        </w:rPr>
        <w:footnoteReference w:id="79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سیاهه انسان خوان، سیاهه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رقومی کالیفرنیا</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به صورت جزوه و در قالب آر تی اف </w:t>
      </w:r>
      <w:r>
        <w:rPr>
          <w:rStyle w:val="FootnoteAnchor"/>
          <w:rtl w:val="true"/>
        </w:rPr>
        <w:footnoteReference w:id="794"/>
      </w:r>
      <w:r>
        <w:rPr>
          <w:rFonts w:ascii="IRNazanin" w:hAnsi="IRNazanin" w:eastAsia="IRNazanin"/>
          <w:color w:val="111111"/>
          <w:sz w:val="28"/>
          <w:sz w:val="28"/>
          <w:szCs w:val="28"/>
          <w:rtl w:val="true"/>
          <w:lang w:bidi="fa-IR"/>
        </w:rPr>
        <w:t>تهیه کرده است</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با این حال، مجموعه های روزنامه های رقومی ممکن </w:t>
      </w:r>
    </w:p>
    <w:p>
      <w:pPr>
        <w:pStyle w:val="BookText"/>
        <w:rPr/>
      </w:pPr>
      <w:r>
        <w:rPr>
          <w:rFonts w:ascii="IRNazanin" w:hAnsi="IRNazanin" w:eastAsia="IRNazanin"/>
          <w:color w:val="111111"/>
          <w:sz w:val="28"/>
          <w:sz w:val="28"/>
          <w:szCs w:val="28"/>
          <w:rtl w:val="true"/>
          <w:lang w:bidi="fa-IR"/>
        </w:rPr>
        <w:t>است ده ها هزار فایل رایانه ای را در بر گیرد بنابراین یک سیاهه ماشین خوان شامل یک متن استاندارد شده یک صفحه گسترده رایانه ای یا یک پایگاه داده نیز می تواند برای دسترسی مدیریت و تعامل بهتر با آن ها مفید باشد اطلاعات ارائه شده در سیاهه می تواند تعداد فایل ها حجم فایل ها سیاهه فایل ها مسیر فایل ها قالب ها، سیاهه های کنترل و شناسگرهای اشیاء رقومی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لازم برای ایجاد یک سیاهه به منابع قابل دسترس در سازمان بستگی دارد با استفاده از نرم افزارهای مدیریت فایل در سیستم های عامل مانند نوتیلوس در لینوکس، </w:t>
      </w:r>
      <w:r>
        <w:rPr>
          <w:rStyle w:val="FootnoteAnchor"/>
          <w:rtl w:val="true"/>
        </w:rPr>
        <w:footnoteReference w:id="796"/>
      </w:r>
      <w:r>
        <w:rPr>
          <w:rFonts w:ascii="IRNazanin" w:hAnsi="IRNazanin" w:eastAsia="IRNazanin"/>
          <w:color w:val="111111"/>
          <w:sz w:val="28"/>
          <w:sz w:val="28"/>
          <w:szCs w:val="28"/>
          <w:rtl w:val="true"/>
          <w:lang w:bidi="fa-IR"/>
        </w:rPr>
        <w:t xml:space="preserve">فایندر در مک </w:t>
      </w:r>
      <w:r>
        <w:rPr>
          <w:rStyle w:val="FootnoteAnchor"/>
          <w:rtl w:val="true"/>
        </w:rPr>
        <w:footnoteReference w:id="797"/>
      </w:r>
      <w:r>
        <w:rPr>
          <w:rFonts w:ascii="IRNazanin" w:hAnsi="IRNazanin" w:eastAsia="IRNazanin"/>
          <w:color w:val="111111"/>
          <w:sz w:val="28"/>
          <w:sz w:val="28"/>
          <w:szCs w:val="28"/>
          <w:rtl w:val="true"/>
          <w:lang w:bidi="fa-IR"/>
        </w:rPr>
        <w:t xml:space="preserve">و ویندوز اکسپلورر </w:t>
      </w:r>
      <w:r>
        <w:rPr>
          <w:rStyle w:val="FootnoteAnchor"/>
          <w:rtl w:val="true"/>
        </w:rPr>
        <w:footnoteReference w:id="798"/>
      </w:r>
      <w:r>
        <w:rPr>
          <w:rFonts w:ascii="IRNazanin" w:hAnsi="IRNazanin" w:eastAsia="IRNazanin"/>
          <w:color w:val="111111"/>
          <w:sz w:val="28"/>
          <w:sz w:val="28"/>
          <w:szCs w:val="28"/>
          <w:rtl w:val="true"/>
          <w:lang w:bidi="fa-IR"/>
        </w:rPr>
        <w:t xml:space="preserve">می توان تعداد فایل ها حجم مجموعه و قالب های آن را شناسایی کرد آن گروه از مدیران برنامه که از رابطه ای کاربری خط فرمان در یونیکس بهره می برند، می توانند با استفاده از فرمان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 یافتن، جایابی و فایل</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ساختار دایرکتوری مجموعه را صادر کنند ابزارهای ساخته شده برای حفظ و نگهداری منابع رقومی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ممکن است برای آموزش، مستندسازی و پشتیبانی به منابع بیشتری نیاز داشته باشند، اما این ابزارها نیز اطلاعات سازماندهی شده مناسبی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فایل و سیاهه کنترل هر شیء رقومی را ثبت می کند</w:t>
      </w:r>
    </w:p>
    <w:p>
      <w:pPr>
        <w:pStyle w:val="BookText"/>
        <w:rPr/>
      </w:pPr>
      <w:r>
        <w:rPr>
          <w:rFonts w:ascii="IRNazanin" w:hAnsi="IRNazanin" w:eastAsia="IRNazanin"/>
          <w:color w:val="111111"/>
          <w:sz w:val="28"/>
          <w:sz w:val="28"/>
          <w:szCs w:val="28"/>
          <w:rtl w:val="true"/>
          <w:lang w:bidi="fa-IR"/>
        </w:rPr>
        <w:t>در سطح ضرورت، برای تهیه سیاهه فقط آشنایی با نرم افزار مدیریت فایل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نرم افزار می توان اطلاعاتی مانند شناسایی مجموعه سیاهه عنوان های روزنامه های موجود تعداد فایل ها محل فیزیکی فایل ها سیاهه نامهای فایل ها و تاریخ سیاهه کردن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برای توصیف مجموعه کافی است و مدیر برنامه می تواند بر مبنای آن ها ویژگی های مجموعه را شناسایی کند و بر مبنای آن ها برنامه ریزیهای آینده را انجام 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اختیاری، برای تهیه سیاهه به یک رایانه خاص نیاز است تا برای حفظ یکدستی کنترل های لازم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اطلاعات به دست آمده برای تهیه سیاهه در سطح ضروری رایانه برنامه هایی دارد که با استفاده از آن ها می توان تغییرات فایل ها از جمله تغییر قالب را کنترل کرد، قالب های فایل و کاربردهای مربوط به آن را شناسایی کرد، سیاهه های کنترل را ایجاد کرد و شناسگرهای شیء رقومی را ثبت کرد برای تهیه سیاهه در سطح اختیاری، سازمان به این موارد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افزارهای پردازشگر مناسب افرادی ماهر که با ابزارهایی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پرونوم</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w:t>
      </w:r>
      <w:bookmarkStart w:id="546" w:name="pg9653_81913"/>
    </w:p>
    <w:p>
      <w:pPr>
        <w:pStyle w:val="BookText"/>
        <w:rPr/>
      </w:pPr>
      <w:bookmarkEnd w:id="546"/>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802"/>
      </w:r>
      <w:r>
        <w:rPr>
          <w:rFonts w:ascii="IRNazanin" w:hAnsi="IRNazanin" w:eastAsia="IRNazanin"/>
          <w:color w:val="111111"/>
          <w:sz w:val="28"/>
          <w:sz w:val="28"/>
          <w:szCs w:val="28"/>
          <w:rtl w:val="true"/>
          <w:lang w:bidi="fa-IR"/>
        </w:rPr>
        <w:t>و سیاهه های کنترل آشنایی داشته باشند و همچنین زمان کافی برای پردازش عمیق و تهیه سیاهه های مناسب برای هر مجموعه تامین این منابع در آغاز کار موجب تسهیل کارها در مراحل بعدی مانند بسته بندی فراداده و مدیریت کنترل خواهد شد</w:t>
      </w:r>
      <w:r>
        <w:rPr>
          <w:rFonts w:eastAsia="IRNazanin" w:cs="IRNazanin"/>
          <w:color w:val="111111"/>
          <w:sz w:val="28"/>
          <w:szCs w:val="28"/>
          <w:rtl w:val="true"/>
          <w:lang w:bidi="fa-IR"/>
        </w:rPr>
        <w:t>.</w:t>
      </w:r>
    </w:p>
    <w:p>
      <w:pPr>
        <w:pStyle w:val="Heading3"/>
        <w:numPr>
          <w:ilvl w:val="2"/>
          <w:numId w:val="1"/>
        </w:numPr>
        <w:rPr/>
      </w:pPr>
      <w:bookmarkStart w:id="547" w:name="__RefHeading___Toc7766648_2870459653"/>
      <w:bookmarkStart w:id="548" w:name="_Toc199"/>
      <w:bookmarkEnd w:id="547"/>
      <w:r>
        <w:rPr/>
        <w:t>3</w:t>
      </w:r>
      <w:r>
        <w:rPr>
          <w:rtl w:val="true"/>
        </w:rPr>
        <w:t xml:space="preserve">- </w:t>
      </w:r>
      <w:r>
        <w:rPr>
          <w:rtl w:val="true"/>
        </w:rPr>
        <w:t>آزمایش رهنمودهای حفظ و نگهداری منابع رقومی</w:t>
      </w:r>
      <w:bookmarkEnd w:id="548"/>
    </w:p>
    <w:p>
      <w:pPr>
        <w:pStyle w:val="BookText"/>
        <w:rPr/>
      </w:pPr>
      <w:r>
        <w:rPr>
          <w:rFonts w:ascii="IRNazanin" w:hAnsi="IRNazanin" w:eastAsia="IRNazanin"/>
          <w:color w:val="111111"/>
          <w:sz w:val="28"/>
          <w:sz w:val="28"/>
          <w:szCs w:val="28"/>
          <w:rtl w:val="true"/>
          <w:lang w:bidi="fa-IR"/>
        </w:rPr>
        <w:t xml:space="preserve">قبل از نوشتن رهنمودها،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آمادگی برای حفظ نگهداری منابع رقومی را بر مبنای مجموعه های هر کتابخانه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 پس از اجرای فعالیت های مقدماتی ذکر شده در طرح آمادگی، مجموعه های خودشان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توزیعی حفظ و نگهداری منابع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 طی این فرایند بازخوردهای ارزشمندی درباره موادّ مورد نیاز به دست آمد و نقاط قوت و ضعف هر شبکه توزیعی شناسایی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آماده سازی مجموعه های کتابخانه ها به صورت مرحله بندی شده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کتابخانه برای پردازش مجموعه هایشان،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ابزار بسته بندی انتخاب شده برای برنامه است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هدف آماده سازی، هر کتابخانه مجموعه هایشان را به یک رایانه خدمت دهنده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نمایندگان کتابخانه ها و شبکه های توزیعی حفظ و نگهداری منابع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هماهنگی در باره ارتباط هایشان، توافق درباره فرایند انجام کار و گرفتن اجازه های لازم برای رایانه خدمت دهنده با هم جلسه هایی برگزار کردند پس از این نشست ها، کتابخانه ها فرایند گردآوری داده ها را آغاز کردند که عبارتند از تهیه سیاهه ارزیابی پایداری قالب های فایل ها در مجموعه تولید سیاهه های کنترل، تامین ساختار مجموعه و نام های فایلی که ثبات داشته اند، اعتباریابی فراداده و بسته بندی مجموعه در بسته های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ارزشمندترین نتایج بدست آمده از اجرای فرایند این بود که گزینه های مختلف ارزیابی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حفظ و نگهداری انتخاب شد چگونگی بسته بندی مجموعه ها در یک نظام ذخیره محلی مشخص شد و چگونگی تخصیص منابع برای فعالیت های نیازمند به منابع زیاد مانند تولید چک سام ها مشخص شد</w:t>
      </w:r>
      <w:r>
        <w:rPr>
          <w:rFonts w:eastAsia="IRNazanin" w:cs="IRNazanin"/>
          <w:color w:val="111111"/>
          <w:sz w:val="28"/>
          <w:szCs w:val="28"/>
          <w:rtl w:val="true"/>
          <w:lang w:bidi="fa-IR"/>
        </w:rPr>
        <w:t>.</w:t>
      </w:r>
    </w:p>
    <w:p>
      <w:pPr>
        <w:pStyle w:val="Heading3"/>
        <w:numPr>
          <w:ilvl w:val="2"/>
          <w:numId w:val="1"/>
        </w:numPr>
        <w:rPr/>
      </w:pPr>
      <w:bookmarkStart w:id="549" w:name="__RefHeading___Toc7766650_2870459653"/>
      <w:bookmarkStart w:id="550" w:name="_Toc200"/>
      <w:bookmarkEnd w:id="549"/>
      <w:r>
        <w:rPr/>
        <w:t>4</w:t>
      </w:r>
      <w:r>
        <w:rPr>
          <w:rtl w:val="true"/>
        </w:rPr>
        <w:t xml:space="preserve">- </w:t>
      </w:r>
      <w:r>
        <w:rPr>
          <w:rtl w:val="true"/>
        </w:rPr>
        <w:t>تحلیل تطبیقی چارچوب های سامانه های توزیعی حفظ و نگهداری منابع رقمی</w:t>
      </w:r>
      <w:bookmarkEnd w:id="55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های تبادل مجموعه ها این فرصت را برای شبکه های توزیعی حفظ و نگهداری منابع </w:t>
      </w:r>
      <w:bookmarkStart w:id="551" w:name="pg9653_81915"/>
    </w:p>
    <w:p>
      <w:pPr>
        <w:pStyle w:val="BookText"/>
        <w:rPr/>
      </w:pPr>
      <w:bookmarkEnd w:id="551"/>
      <w:r>
        <w:rPr>
          <w:rFonts w:ascii="IRNazanin" w:hAnsi="IRNazanin" w:eastAsia="IRNazanin"/>
          <w:color w:val="111111"/>
          <w:sz w:val="28"/>
          <w:sz w:val="28"/>
          <w:szCs w:val="28"/>
          <w:rtl w:val="true"/>
          <w:lang w:bidi="fa-IR"/>
        </w:rPr>
        <w:t>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کند تا چارچوب های سامانه های خودشان را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ارزیابی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تطبیقی چارچوب های سامانه های توزیعی حفظ و نگهداری منابع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تحلیل در زیر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متاآرکایو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کرونوپلس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کودا دانشگاه تگزاس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فناوری های متفاوتی برای حفظ و نگهداری توزیعی منابع رقومی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متاآرکایو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لوکس</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نسخه هایی از مجموعه را بر هفت رایانه خدمت دهنده توزیعی که از نظر جغرافیایی در سطح جهان پراکنده هستند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یکپارچگی مجموعه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کانسپکتوس</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پایش می شود و مجموعه ها به طور مکرر بازبینی می شوند تا اشیاء رقومی جدید یا تغییر یافته شناسایی شود رایانه های خدمت دهنده به طور منظم نسخه هایشان را با هم مقایسه می کنند و داده های خراب شده را شناسایی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کرونوپلس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آیرودز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 را در سه مکان جغرافیایی پراکنده در ایالات متحده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اعتباریابی داده ها با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 ایی</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پایش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ی کودای دانشگاه تگزاس شمالی با استفاده از نرم افزار خاص خودش، نسخه برداری داده ها در سطح محلی، بررسی ثبات داده ها و عملیات های حفظ و نگهداری گزارش های رایانه ای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 توزیعی حفظ و نگهداری منابع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 نگهداری مجموعه اش در شبکه رویه کاری خاصی دارد برای مثال چونکه فرایند مقایسه نسخه ها به رایانه های خدمت دهنده قوی نیاز دارد سامانه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 آرکایو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آرشیوی</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در سامانه اش را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گیگابایت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کتابخانه ها روزنامه های رقومی را در بسته هایی با حجم بیشتر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گیگابایت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سامانه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متاآرکایو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های حجیم را به صورت مجموعه ای از بسته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گیگابایتی تفکیک می کند و بعدا بسته اصلی را باز تکثیر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تبادل های آزمایشی، هر کتابخانه بسته های بازترکیب شده شان را اعتباریابی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سامانه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کرونوپلس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می کند تا امکان دستکاری در بسته ها را به صورت منبع باز برای استفاده عموم فراهم کند</w:t>
      </w:r>
      <w:r>
        <w:rPr>
          <w:rFonts w:eastAsia="IRNazanin" w:cs="IRNazanin"/>
          <w:color w:val="111111"/>
          <w:sz w:val="28"/>
          <w:szCs w:val="28"/>
          <w:rtl w:val="true"/>
          <w:lang w:bidi="fa-IR"/>
        </w:rPr>
        <w:t>.</w:t>
      </w:r>
    </w:p>
    <w:p>
      <w:pPr>
        <w:pStyle w:val="Heading3"/>
        <w:numPr>
          <w:ilvl w:val="2"/>
          <w:numId w:val="1"/>
        </w:numPr>
        <w:rPr/>
      </w:pPr>
      <w:bookmarkStart w:id="552" w:name="__RefHeading___Toc7766652_2870459653"/>
      <w:bookmarkStart w:id="553" w:name="_Toc201"/>
      <w:bookmarkEnd w:id="552"/>
      <w:r>
        <w:rPr/>
        <w:t>5</w:t>
      </w:r>
      <w:r>
        <w:rPr>
          <w:rtl w:val="true"/>
        </w:rPr>
        <w:t xml:space="preserve">- </w:t>
      </w:r>
      <w:r>
        <w:rPr>
          <w:rtl w:val="true"/>
        </w:rPr>
        <w:t>ابزارهای میان کنش پذیری</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ابزارهای میان کنش پذیری </w:t>
      </w:r>
      <w:r>
        <w:rPr>
          <w:rStyle w:val="FootnoteAnchor"/>
          <w:rtl w:val="true"/>
        </w:rPr>
        <w:footnoteReference w:id="80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دستاورد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ابزارهایی است که سازمان ها </w:t>
      </w:r>
    </w:p>
    <w:p>
      <w:pPr>
        <w:pStyle w:val="BookText"/>
        <w:rPr/>
      </w:pPr>
      <w:r>
        <w:rPr>
          <w:rFonts w:ascii="IRNazanin" w:hAnsi="IRNazanin" w:eastAsia="IRNazanin"/>
          <w:color w:val="111111"/>
          <w:sz w:val="28"/>
          <w:sz w:val="28"/>
          <w:szCs w:val="28"/>
          <w:rtl w:val="true"/>
          <w:lang w:bidi="fa-IR"/>
        </w:rPr>
        <w:t>می توانند با استفاده از آن ها عملیات ارائه شده در رهنمودها را اجرایی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تعدادی از ابزارهای موجود حفظ و نگهداری منابع رقومی می توانند توصیه های ارائه شده در رهنمودها را اجرا کنند، اما به دلیل فقدان مستند شدن و تعمیم پذیری، برای حفظ و نگهداری منابع رقومی در سطوح گسترده تر مفید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ارائه ابزارهای میان کنش پذیر تدوین منبع مهمی است که بر مبنای آن، میزان استفاده از برنامه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ارائه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توصیفی دیتس</w:t>
      </w:r>
      <w:r>
        <w:rPr>
          <w:rFonts w:eastAsia="IRNazanin" w:cs="IRNazanin"/>
          <w:color w:val="111111"/>
          <w:sz w:val="28"/>
          <w:szCs w:val="28"/>
          <w:rtl w:val="true"/>
          <w:lang w:bidi="fa-IR"/>
        </w:rPr>
        <w:t xml:space="preserve">»: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خودکارسازی کتابخانه فلوریدا</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این برنامه را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 این خدمت برای شناسایی و اعتباریابی قالب ها از نرم افزار دروید </w:t>
      </w:r>
      <w:r>
        <w:rPr>
          <w:rStyle w:val="FootnoteAnchor"/>
          <w:rtl w:val="true"/>
        </w:rPr>
        <w:footnoteReference w:id="810"/>
      </w:r>
      <w:r>
        <w:rPr>
          <w:rFonts w:ascii="IRNazanin" w:hAnsi="IRNazanin" w:eastAsia="IRNazanin"/>
          <w:color w:val="111111"/>
          <w:sz w:val="28"/>
          <w:sz w:val="28"/>
          <w:szCs w:val="28"/>
          <w:rtl w:val="true"/>
          <w:lang w:bidi="fa-IR"/>
        </w:rPr>
        <w:t>و جِی هُو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بدست آمده برای هر فایل، به عنوان یک شیء رقومی ایکس ام ال در فراداده پریمس </w:t>
      </w:r>
      <w:r>
        <w:rPr>
          <w:rStyle w:val="FootnoteAnchor"/>
          <w:rtl w:val="true"/>
        </w:rPr>
        <w:footnoteReference w:id="811"/>
      </w:r>
      <w:r>
        <w:rPr>
          <w:rFonts w:ascii="IRNazanin" w:hAnsi="IRNazanin" w:eastAsia="IRNazanin"/>
          <w:color w:val="111111"/>
          <w:sz w:val="28"/>
          <w:sz w:val="28"/>
          <w:szCs w:val="28"/>
          <w:rtl w:val="true"/>
          <w:lang w:bidi="fa-IR"/>
        </w:rPr>
        <w:t>ثبت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باگر</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کتابخانه کنگره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 این ابزار یک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زبان برنامه نویسی جاوا </w:t>
      </w:r>
      <w:r>
        <w:rPr>
          <w:rStyle w:val="FootnoteAnchor"/>
          <w:rtl w:val="true"/>
        </w:rPr>
        <w:footnoteReference w:id="813"/>
      </w:r>
      <w:r>
        <w:rPr>
          <w:rFonts w:ascii="IRNazanin" w:hAnsi="IRNazanin" w:eastAsia="IRNazanin"/>
          <w:color w:val="111111"/>
          <w:sz w:val="28"/>
          <w:sz w:val="28"/>
          <w:szCs w:val="28"/>
          <w:rtl w:val="true"/>
          <w:lang w:bidi="fa-IR"/>
        </w:rPr>
        <w:t xml:space="preserve">است که دارای رابط کاربری گرافیکی </w:t>
      </w:r>
      <w:r>
        <w:rPr>
          <w:rStyle w:val="FootnoteAnchor"/>
          <w:rtl w:val="true"/>
        </w:rPr>
        <w:footnoteReference w:id="814"/>
      </w:r>
      <w:r>
        <w:rPr>
          <w:rFonts w:ascii="IRNazanin" w:hAnsi="IRNazanin" w:eastAsia="IRNazanin"/>
          <w:color w:val="111111"/>
          <w:sz w:val="28"/>
          <w:sz w:val="28"/>
          <w:szCs w:val="28"/>
          <w:rtl w:val="true"/>
          <w:lang w:bidi="fa-IR"/>
        </w:rPr>
        <w:t xml:space="preserve">است و تقریبا بر روی هر رایانه ای قابل اجرا است و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نرم افزار مبتنی برخط فرمان است به آموزش بسیار کمتری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 پی وای</w:t>
      </w:r>
      <w:r>
        <w:rPr>
          <w:rFonts w:eastAsia="IRNazanin" w:cs="IRNazanin"/>
          <w:color w:val="111111"/>
          <w:sz w:val="28"/>
          <w:szCs w:val="28"/>
          <w:rtl w:val="true"/>
          <w:lang w:bidi="fa-IR"/>
        </w:rPr>
        <w:t xml:space="preserve">»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سامرز</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کارمند کتابخانه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ابزار مبتنی بر خط فرمان، به آسانی می تواند با نرم افزارهای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 آرکایو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کنش پذیری داشته باشد افزون بر این ممکن است مدیران برنامه ها این ابزار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دارای رابط کاربری مبتنی بر خط فرمان است و استفاده از آن راحت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پریمس رویدا یو ان تی</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این ابزار به عنوان بخشی از نرم افزار کودای دانشگاه تگزاس شمالی، عملیات های انجام شده بر روی فایل های ذخیره شده در رایانه خدمت دهنده را پایش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رایانه خدمت دهنده از یک فایل نسخه برداری می کند، چک سام هایش را بررسی می کند یا عملیات دیگری بر روی آن انجام می دهد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پریمس ایونت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عملیات انجام شده را در قالب یک شیء رقومی پریمس که با فایل پیوند خورده است، تهیه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توصیفی دیتس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بخشی از برنامه های آمادگی برای حفظ و نگهداری منابع رقومی آزمایش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به تکمیل توصیه های ارائه شده در رهنمودها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و مکان های فایل ها</w:t>
      </w:r>
    </w:p>
    <w:p>
      <w:pPr>
        <w:pStyle w:val="BookText"/>
        <w:rPr/>
      </w:pP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کامل و نام فایل هر شی رقومی در هر بسته را در بر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قالب های فایل</w:t>
      </w:r>
    </w:p>
    <w:p>
      <w:pPr>
        <w:pStyle w:val="BookText"/>
        <w:rPr/>
      </w:pPr>
      <w:r>
        <w:rPr>
          <w:rFonts w:ascii="IRNazanin" w:hAnsi="IRNazanin" w:eastAsia="IRNazanin"/>
          <w:color w:val="111111"/>
          <w:sz w:val="28"/>
          <w:sz w:val="28"/>
          <w:szCs w:val="28"/>
          <w:rtl w:val="true"/>
          <w:lang w:bidi="fa-IR"/>
        </w:rPr>
        <w:t>خدمت شناسایی قالب دِیتس قالب های فایل را در پیشینه پریمس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سیاهه مدیران برنامه می توانند درباره بهنجار سازی و تغییر قالب ها برنامه ریزی های لازم را انجام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کنترل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سیاهه های کنترل</w:t>
      </w:r>
    </w:p>
    <w:p>
      <w:pPr>
        <w:pStyle w:val="BookText"/>
        <w:rPr/>
      </w:pPr>
      <w:r>
        <w:rPr>
          <w:rFonts w:ascii="IRNazanin" w:hAnsi="IRNazanin" w:eastAsia="IRNazanin"/>
          <w:color w:val="111111"/>
          <w:sz w:val="28"/>
          <w:sz w:val="28"/>
          <w:szCs w:val="28"/>
          <w:rtl w:val="true"/>
          <w:lang w:bidi="fa-IR"/>
        </w:rPr>
        <w:t xml:space="preserve">همه ابزارهای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سیاهه های کنترل را برای هر شیء رقومی و در پوشه داده خودش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کارهای اجرائی ضروری می تواند به صورت دستی یا با ابزارهای ساده ای مانند شمارش فایل و سازماندهی دایرکتوری تکمیل شود اما برخی از این آن ها مانند ایجاد سیاهه های کنترل نیازمند امور اجرائی مکرر و پیچیده هستند مدیران برنامه ها می توانند با استفاده از ابزارها و خدمات ،خودکار اطلاعات مورد نیازشان را گردآورند و درباره مسائل مجموعه های بزرگ تر مانند سیاست های مربوط به قالب ها تصمیم بگیرند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استفاده از نرم افزارهای منبع باز در مجموعه ابزارهای کاربردی اهمیت دارد مجوزهای داده شده به مرکز خودکارسازی کتابخانه فلوریدا برای استفاده از نرم افزارهای منبع باز جهت ساخت برنامه های وب برای دروید و پریمس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هایی را برای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باگت پی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 است که در کد منبع آن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ایونت پریمس یو ان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آن با مجوزهای منبع باز را انجام داده است امید این است که مخازن دیگر از آن استفاده کنند و بهره گیری از این ابزار را گسترش بیشتری بدهند</w:t>
      </w:r>
      <w:r>
        <w:rPr>
          <w:rFonts w:eastAsia="IRNazanin" w:cs="IRNazanin"/>
          <w:color w:val="111111"/>
          <w:sz w:val="28"/>
          <w:szCs w:val="28"/>
          <w:rtl w:val="true"/>
          <w:lang w:bidi="fa-IR"/>
        </w:rPr>
        <w:t xml:space="preserve">. </w:t>
      </w:r>
      <w:bookmarkStart w:id="554" w:name="pg9653_81922"/>
    </w:p>
    <w:p>
      <w:pPr>
        <w:pStyle w:val="Heading3"/>
        <w:numPr>
          <w:ilvl w:val="2"/>
          <w:numId w:val="1"/>
        </w:numPr>
        <w:rPr/>
      </w:pPr>
      <w:bookmarkStart w:id="555" w:name="__RefHeading___Toc7766654_2870459653"/>
      <w:bookmarkStart w:id="556" w:name="_Toc202"/>
      <w:bookmarkEnd w:id="554"/>
      <w:bookmarkEnd w:id="555"/>
      <w:r>
        <w:rPr/>
        <w:t>6</w:t>
      </w:r>
      <w:r>
        <w:rPr>
          <w:rtl w:val="true"/>
        </w:rPr>
        <w:t xml:space="preserve">- </w:t>
      </w:r>
      <w:r>
        <w:rPr>
          <w:rtl w:val="true"/>
        </w:rPr>
        <w:t>نتیجه گیری</w:t>
      </w:r>
      <w:bookmarkEnd w:id="55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منابع را برای کمک به مدیران برنامه ها و مدیریت ،روزنامه های رقومی توسعه داده است منابع به گونه ای تدوین شده است که برای همه سازمان ها مفید باشند خوشبختانه، در آینده برنامه های حفظ و نگهداری روزنامه های رقومی یک منبع راهنما برای چگونگی انجام رویه های کاری در اختیار خواهند داشت همچنین برنامه های تصویب شده برای حفظ و نگهداری روزنامه های رقومی ابزارهای مفیدی برای بهبود جریان های کاریشان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یک برنامه مبتنی بر نظرات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خوشحال می شویم اگر پیشنهادهایی برای بهبود برنامه از جامعه دریافت کنیم</w:t>
      </w:r>
      <w:r>
        <w:rPr>
          <w:rFonts w:eastAsia="IRNazanin" w:cs="IRNazanin"/>
          <w:color w:val="111111"/>
          <w:sz w:val="28"/>
          <w:szCs w:val="28"/>
          <w:rtl w:val="true"/>
          <w:lang w:bidi="fa-IR"/>
        </w:rPr>
        <w:t xml:space="preserve">. </w:t>
      </w:r>
      <w:bookmarkStart w:id="557" w:name="pg9653_81924"/>
    </w:p>
    <w:p>
      <w:pPr>
        <w:pStyle w:val="Heading2"/>
        <w:numPr>
          <w:ilvl w:val="1"/>
          <w:numId w:val="1"/>
        </w:numPr>
        <w:rPr/>
      </w:pPr>
      <w:bookmarkStart w:id="558" w:name="__RefHeading___Toc7766656_2870459653"/>
      <w:bookmarkStart w:id="559" w:name="_Toc203"/>
      <w:bookmarkEnd w:id="557"/>
      <w:bookmarkEnd w:id="558"/>
      <w:r>
        <w:rPr>
          <w:rtl w:val="true"/>
        </w:rPr>
        <w:t>چکیده</w:t>
      </w:r>
      <w:bookmarkEnd w:id="559"/>
    </w:p>
    <w:p>
      <w:pPr>
        <w:pStyle w:val="BookText"/>
        <w:rPr/>
      </w:pPr>
      <w:r>
        <w:rPr>
          <w:rFonts w:ascii="IRNazanin" w:hAnsi="IRNazanin" w:eastAsia="IRNazanin"/>
          <w:color w:val="111111"/>
          <w:sz w:val="28"/>
          <w:sz w:val="28"/>
          <w:szCs w:val="28"/>
          <w:rtl w:val="true"/>
          <w:lang w:bidi="fa-IR"/>
        </w:rPr>
        <w:t>این مقاله درباره این که چگونه کتابخانه دانشگاه تورنتو پدیده تنوع را پذیرفته و این که مسئله چند فرهنگی را برای جامعه مخاطبانش تسهیل کرده است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کانادا موضوع چند فرهنگی را برای حل مشکلات تنوع فرهنگی و قومی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بعد از قریب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اجرای این روش، این سیاست چه اثرات اجتماعی بر دانشگاه و کتابخانه 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اطلاعات پژوهش تنوع قومی کانادا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نتایج سرشماری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بررسی زمینه جمعیت شناختی توصیف کرده است همچنین با استفاده از نتایج مصاحبه های انفرادی با جامعه دانشگاهی و کارکنان کتابخانه در مورد تنوع در کتابخانه اعتبار یا عدم اعتبار مطالعات پیش گفته درباره تلاش کتابخانه دانشگاهی تورنتو در حمایت از تنوع و شمول آن بحث می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قومی، کتابداران اقلیت نمایان، </w:t>
      </w:r>
      <w:r>
        <w:rPr>
          <w:rStyle w:val="FootnoteAnchor"/>
          <w:rtl w:val="true"/>
        </w:rPr>
        <w:footnoteReference w:id="818"/>
      </w:r>
      <w:r>
        <w:rPr>
          <w:rFonts w:ascii="IRNazanin" w:hAnsi="IRNazanin" w:eastAsia="IRNazanin"/>
          <w:color w:val="111111"/>
          <w:sz w:val="28"/>
          <w:sz w:val="28"/>
          <w:szCs w:val="28"/>
          <w:rtl w:val="true"/>
          <w:lang w:bidi="fa-IR"/>
        </w:rPr>
        <w:t xml:space="preserve">کتابخانه دانشگاه تورنتو </w:t>
      </w:r>
      <w:bookmarkStart w:id="560" w:name="pg9653_81926"/>
    </w:p>
    <w:p>
      <w:pPr>
        <w:pStyle w:val="Heading2"/>
        <w:numPr>
          <w:ilvl w:val="1"/>
          <w:numId w:val="1"/>
        </w:numPr>
        <w:rPr/>
      </w:pPr>
      <w:bookmarkStart w:id="561" w:name="__RefHeading___Toc7766658_2870459653"/>
      <w:bookmarkStart w:id="562" w:name="_Toc204"/>
      <w:bookmarkEnd w:id="560"/>
      <w:bookmarkEnd w:id="561"/>
      <w:r>
        <w:rPr>
          <w:rtl w:val="true"/>
        </w:rPr>
        <w:t>تنوع فرهنگی در کتابخانه های دانشگاه تورنتو</w:t>
      </w:r>
      <w:bookmarkEnd w:id="562"/>
    </w:p>
    <w:p>
      <w:pPr>
        <w:pStyle w:val="Heading3"/>
        <w:numPr>
          <w:ilvl w:val="2"/>
          <w:numId w:val="1"/>
        </w:numPr>
        <w:rPr/>
      </w:pPr>
      <w:bookmarkStart w:id="563" w:name="__RefHeading___Toc7766660_2870459653"/>
      <w:bookmarkStart w:id="564" w:name="_Toc205"/>
      <w:bookmarkEnd w:id="563"/>
      <w:r>
        <w:rPr>
          <w:rtl w:val="true"/>
        </w:rPr>
        <w:t>اشاره</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تنوع فرهنگی در کتابخانه های دانشگاه تورنتو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نوشته جک هانگ تات لئونگ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رضا خانی پور </w:t>
      </w:r>
      <w:r>
        <w:rPr>
          <w:rStyle w:val="FootnoteAnchor"/>
          <w:rtl w:val="true"/>
        </w:rPr>
        <w:footnoteReference w:id="821"/>
      </w:r>
    </w:p>
    <w:p>
      <w:pPr>
        <w:pStyle w:val="Heading3"/>
        <w:numPr>
          <w:ilvl w:val="2"/>
          <w:numId w:val="1"/>
        </w:numPr>
        <w:rPr/>
      </w:pPr>
      <w:bookmarkStart w:id="565" w:name="__RefHeading___Toc7766662_2870459653"/>
      <w:bookmarkStart w:id="566" w:name="_Toc206"/>
      <w:bookmarkEnd w:id="565"/>
      <w:r>
        <w:rPr>
          <w:rtl w:val="true"/>
        </w:rPr>
        <w:t>مقدمه</w:t>
      </w:r>
      <w:bookmarkEnd w:id="566"/>
    </w:p>
    <w:p>
      <w:pPr>
        <w:pStyle w:val="BookText"/>
        <w:rPr/>
      </w:pPr>
      <w:r>
        <w:rPr>
          <w:rFonts w:ascii="IRNazanin" w:hAnsi="IRNazanin" w:eastAsia="IRNazanin"/>
          <w:color w:val="111111"/>
          <w:sz w:val="28"/>
          <w:sz w:val="28"/>
          <w:szCs w:val="28"/>
          <w:rtl w:val="true"/>
          <w:lang w:bidi="fa-IR"/>
        </w:rPr>
        <w:t>کتابخانه های دانشگاه تورنتو، احتمالاً بیشترین تنوع جمعیت را در شمال آمریکا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تعداد </w:t>
      </w:r>
      <w:r>
        <w:rPr>
          <w:rFonts w:eastAsia="IRNazanin" w:cs="IRNazanin"/>
          <w:color w:val="111111"/>
          <w:sz w:val="28"/>
          <w:szCs w:val="28"/>
          <w:lang w:bidi="fa-IR"/>
        </w:rPr>
        <w:t>80899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تورنتو، گزارش سریع</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در میان آن ها، </w:t>
      </w:r>
      <w:r>
        <w:rPr>
          <w:rFonts w:eastAsia="IRNazanin" w:cs="IRNazanin"/>
          <w:color w:val="111111"/>
          <w:sz w:val="28"/>
          <w:szCs w:val="28"/>
          <w:lang w:bidi="fa-IR"/>
        </w:rPr>
        <w:t>11309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بین المللی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دانشجویان بومی دانشگاه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تشکیل شده اند که حدود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کشور و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ایالت اُنتاریو را شامل می شوند که فعالیت های دانشگاه تورنتو را تأمین مالی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 کانادا،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تحقیق پیمایشی انجام شده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 که شهر تورنتو، مرکز ایالت اُنتاریو، بالاترین تعداد اقلیت ها در میان شهرهای کانادا را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یا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شهری که متعلق به گروه های اقلیت نمایان </w:t>
      </w:r>
      <w:r>
        <w:rPr>
          <w:rStyle w:val="FootnoteAnchor"/>
          <w:rtl w:val="true"/>
        </w:rPr>
        <w:footnoteReference w:id="824"/>
      </w:r>
      <w:r>
        <w:rPr>
          <w:rFonts w:ascii="IRNazanin" w:hAnsi="IRNazanin" w:eastAsia="IRNazanin"/>
          <w:color w:val="111111"/>
          <w:sz w:val="28"/>
          <w:sz w:val="28"/>
          <w:szCs w:val="28"/>
          <w:rtl w:val="true"/>
          <w:lang w:bidi="fa-IR"/>
        </w:rPr>
        <w:t xml:space="preserve">در کانادا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 کانادا،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3"/>
        <w:numPr>
          <w:ilvl w:val="2"/>
          <w:numId w:val="1"/>
        </w:numPr>
        <w:rPr/>
      </w:pPr>
      <w:bookmarkStart w:id="567" w:name="__RefHeading___Toc7766664_2870459653"/>
      <w:bookmarkStart w:id="568" w:name="_Toc207"/>
      <w:bookmarkEnd w:id="567"/>
      <w:r>
        <w:rPr>
          <w:rtl w:val="true"/>
        </w:rPr>
        <w:t>مفهوم سیاست مهاجرت و چند فرهنگی در کانادا</w:t>
      </w:r>
      <w:bookmarkEnd w:id="56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مفهوم سیاست مهاجرت و چند فرهنگی کانادا یقینا تسهیل کننده بحث بنده در خصوص تعدد نژادی در کتابخانه های دانشگاه تورنتو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منابع تاریخی، بخش زیادی از مهاجران کانادا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ورودی های جدید تا قبل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شدند از کشورهای اروپایی بوده اند،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به منظور انتخاب مهاجران با توجه به پیشینه تحصیلی، مهارت های شغلی و دیگر معیارهای مرتبط با اقتصاد و موارد لازم جهت کار و فعالیت کانادا آغاز به اقتباس یک نظام امتیازدهی جهانی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درصد مهاجران غیر اروپایی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از مهاجران اروپایی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قانون مهاجرت به منظور تقسیم بندی نمودن تجار در دو دسته مجزا آن ها را از مهاجران غیر تجاری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کارآفرینان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مهاجرتی تجاری کانادا 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کارآفرینان را برای سرمایه گذاری در کانادا جذب کرد با توجه به را آمار سال های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وارد شده به کانادا از مهاجران آسیایی بودند که بزرگ ترین گروه ورودی های جدید را تشکیل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 کانادا،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سرشماری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جمعیت خود را به عنوان عضوی از گروه های اقلیت نمایان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گروه های اقلیت نمایان شامل آسیای جنوبی، چینی ها سیاه پوستان فیلیپینی ها آمریکای لاتین عرب ها ساکنان آسیای غربی کره ای ها و ژاپنی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مهاجرت کانادا در جذب نژادهای متنوع بسیار موفق عمل کرد نظام امتیازدهی و برنامه مهاجرت تجار برای بسیاری از مهاجران حرفه ای یا کارآفرین غیر اروپایی فرصتی برای مهاجرت به کانادا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مشکلات و موانع بسیاری در زمینه اقامت مهاجران و ادغام و مشارکت آنان در جامعه مانند استخدام ،زبان فرهنگ و مذهب برای مهاجران غیر اروپایی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پیش بینی این مسائل،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توردو </w:t>
      </w:r>
      <w:r>
        <w:rPr>
          <w:rStyle w:val="FootnoteAnchor"/>
          <w:rtl w:val="true"/>
        </w:rPr>
        <w:footnoteReference w:id="825"/>
      </w:r>
      <w:r>
        <w:rPr>
          <w:rFonts w:ascii="IRNazanin" w:hAnsi="IRNazanin" w:eastAsia="IRNazanin"/>
          <w:color w:val="111111"/>
          <w:sz w:val="28"/>
          <w:sz w:val="28"/>
          <w:szCs w:val="28"/>
          <w:rtl w:val="true"/>
          <w:lang w:bidi="fa-IR"/>
        </w:rPr>
        <w:t>نخست وزیر وقت کانادا اقتباس سیاست چند فرهنگی را پیشنهاد داد وی در سخنرانی خود در مجلس جهت اعمال رسمی سیاست چند فرهنگی در کانادا، تاکید نمود که این سیاست به دنبال از بین بردن موانع مهاجران برای ادغام کامل در جامعه و حصول اطمینان از برقراری عدالت در سازمان های بزرگ است سیاست چند فرهنگی با پیشنهاد به رسمیت شناسی و حمایت گروه های اقلیت نژادی به عنوان نهادهای اجتماعی به تنهایی منجر به ساخت کشوری منسجم می گردد به شرط آنکه از سطح قابل قبولی از شمول اجتماعی و حضور مساوی همه اقلیت ها اطمینان حاصل گردد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تصویب قانون چند فرهنگی، این سیاست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قانون اساسی کانادا شد و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ویوین پوی،</w:t>
      </w:r>
      <w:r>
        <w:rPr>
          <w:rStyle w:val="FootnoteAnchor"/>
          <w:rtl w:val="true"/>
        </w:rPr>
        <w:footnoteReference w:id="826"/>
      </w:r>
      <w:r>
        <w:rPr>
          <w:rFonts w:ascii="IRNazanin" w:hAnsi="IRNazanin" w:eastAsia="IRNazanin"/>
          <w:color w:val="111111"/>
          <w:sz w:val="28"/>
          <w:sz w:val="28"/>
          <w:szCs w:val="28"/>
          <w:rtl w:val="true"/>
          <w:lang w:bidi="fa-IR"/>
        </w:rPr>
        <w:t>در کتاب خود به سمت 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مهاجران </w:t>
      </w:r>
    </w:p>
    <w:p>
      <w:pPr>
        <w:pStyle w:val="BookText"/>
        <w:rPr/>
      </w:pPr>
      <w:r>
        <w:rPr>
          <w:rFonts w:ascii="IRNazanin" w:hAnsi="IRNazanin" w:eastAsia="IRNazanin"/>
          <w:color w:val="111111"/>
          <w:sz w:val="28"/>
          <w:sz w:val="28"/>
          <w:szCs w:val="28"/>
          <w:rtl w:val="true"/>
          <w:lang w:bidi="fa-IR"/>
        </w:rPr>
        <w:t>زن چینی به کانادا</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به بهترین نحو ارتباط این قانون را با اقلیت های قومی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با حضور مساوی افراد و جوامع از همه ملیت ها آزادی انتخاب را تصدیق کرده است و چند فرهنگی را ارتقا می دهد سیاست چند فرهنگی در حالی که به تنوع قومی و نژادی احترام می گذارد سبب برخورد عادلانه و محافظت از تمامی افراد جامعه می شود و تعاملات درون گروهی را ارتقا می بخشد؛ همچنین باعث شناخت و درک فرهنگ های مختلف کانادایی از یکدیگر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در حالی که زبان رسمی کانادا را قدرت می بخشد زبان های غیر رسمی را نیز حفظ می نماید و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چند فرهنگی نه تنها به عنوان یک سیاست در سطح فدرال، بلکه در سطوح ایالتی و شهری دولت نیز اقتباس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در بسیاری از نهادهای اجتماعی اقلیت ها و برنامه های مدارس به عنوان برنامه راهبردی و بیانیه گوناگونی ترجمه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بسیاری از سازمان های خصوصی و دولتی، ادارات و کمیته هایی تأسیس شدند تا موضوعاتی نظیر شمولیت قومی، تنوع و برابری را مورد توجه قرار دهند برای مثال، در اُنتاریو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خدمات عمومی انتاریو</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اُ پی اس باهدف اطمینان از تجهیز این اداره به تنوع در سیاست ها برنامه ها و خدماتش راهبرد خاصی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راهبردی برای این اداره به قرار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تنوع در تمامی سیاست ها و برنامه های اُ پی 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یک محل کار سالم و فارغ از آزار و تبعیض نژادی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نیازهای جمعیت متنوع نژادی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تمامی اقشاری که در همه سطوح پی اس با آن ها سروکار داریم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ابزارهایی مانند </w:t>
      </w:r>
      <w:r>
        <w:rPr>
          <w:rFonts w:eastAsia="Times New Roman" w:cs="Times New Roman" w:ascii="Times New Roman" w:hAnsi="Times New Roman"/>
          <w:color w:val="111111"/>
          <w:sz w:val="28"/>
          <w:szCs w:val="28"/>
          <w:lang w:val="en-US" w:bidi="en-US"/>
        </w:rPr>
        <w:t>OPS Inclusion Lens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منظور ارائه توصیه هایی در شمولیت، تنوع و برابری ایجاد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ارتباطی کارمندان سیاه پوست آسیای شرقی و آسیای جنوبی مورد حمایت قرار گرفتند تا محیطی را پرورش دهند که از استعدادها مهارت ها توانایی ها چشم اندازها و گونه های رهبری در انواع گروه های قومی استفاده نماید و آن ها را تشویق و همراهی کند همه این اقدامات نشان می دهند که دولت انتاریو در کنار سازمان های دیگر تنوع جمعیتی موجود در کشور را به رسمیت می شناسد و به شدت تلاش می کند تا دولتی با شمولیت قومی و نژادی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چند فرهنگی در میان گروه های مردمی بسیار گسترده و عمیق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انتخابات کانادایی، مایکل آدامز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بیان می کند که پیاده سازی سیاست چند فرهنگی یک آزمایش و خطا نیست این یک </w:t>
      </w:r>
      <w:bookmarkStart w:id="569" w:name="pg9653_81933"/>
    </w:p>
    <w:p>
      <w:pPr>
        <w:pStyle w:val="BookText"/>
        <w:rPr/>
      </w:pPr>
      <w:bookmarkEnd w:id="569"/>
      <w:r>
        <w:rPr>
          <w:rFonts w:ascii="IRNazanin" w:hAnsi="IRNazanin" w:eastAsia="IRNazanin"/>
          <w:color w:val="111111"/>
          <w:sz w:val="28"/>
          <w:sz w:val="28"/>
          <w:szCs w:val="28"/>
          <w:rtl w:val="true"/>
          <w:lang w:bidi="fa-IR"/>
        </w:rPr>
        <w:t>آرزوی ملی در صدر ایده آل های جامعه کانادا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رویای کانادایی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در ریتز </w:t>
      </w:r>
      <w:r>
        <w:rPr>
          <w:rStyle w:val="FootnoteAnchor"/>
          <w:rtl w:val="true"/>
        </w:rPr>
        <w:footnoteReference w:id="830"/>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این رویا که به روشنی و وضوح در سیاست های شمولیت قومی و گوناگونی نشان داده شد اهداف و برنامه های کمیسیون برای مهاجران به واقعیت پیوست</w:t>
      </w:r>
    </w:p>
    <w:p>
      <w:pPr>
        <w:pStyle w:val="Heading3"/>
        <w:numPr>
          <w:ilvl w:val="2"/>
          <w:numId w:val="1"/>
        </w:numPr>
        <w:rPr/>
      </w:pPr>
      <w:bookmarkStart w:id="570" w:name="__RefHeading___Toc7766666_2870459653"/>
      <w:bookmarkStart w:id="571" w:name="_Toc208"/>
      <w:bookmarkEnd w:id="570"/>
      <w:r>
        <w:rPr>
          <w:rtl w:val="true"/>
        </w:rPr>
        <w:t xml:space="preserve">نکات برجسته بررسی تنوع قومی کانادا </w:t>
      </w:r>
      <w:r>
        <w:rPr>
          <w:rtl w:val="true"/>
        </w:rPr>
        <w:t>(</w:t>
      </w:r>
      <w:r>
        <w:rPr/>
        <w:t>2002</w:t>
      </w:r>
      <w:r>
        <w:rPr>
          <w:rtl w:val="true"/>
        </w:rPr>
        <w:t>)</w:t>
      </w:r>
      <w:bookmarkEnd w:id="57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سازمان آمار کانادا که توسط اداره میراث فرهنگی کانادا راه اندازی شد نتایج یک ارزیابی انجام شده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قومیت ها منتشر نمود که آخرین داده دقیق موجود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آن دسته از داده های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گوناگونی قومی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برجسته کنم که با کمک به نمایش چگونگی تأثیر پیش زمینه قومی کانادایی ها در ادغام آن ها در جامعه زندگی فرهنگی و اقتصادی به درک بهتر گروه مخاطب کتابخانه منجر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آمار کانادا ارزیابی انجام داد که در خلال مصاحبه های آن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تلفنی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اقلیت های نمایان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گروه با </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متعلق به چینی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آسیای جنوبی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سیاهان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دریافت شده از گروه های اقلیت نمایان بیان نمودند که علی رغم وضع قانون چند فرهنگی و اجرای آن کشور کانادا هنوز با تبدیل شدن به یک کشور چند فرهنگی کامل فاصله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چند فرهنگی تنها در مورد تنوع قومی نیست بلکه این سیاست در خصوص یکپارچه سازی اقلیت های قومی در جامعه ای بزرگتر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گوناگونی قومی از پاسخ دهندگان هفت سوال پرسیده می شود که هر کدام مربوط به یکی از شاخص های یکپارچگی جامعه اعم از اعتماد رضایت از زندگی، تعلق شرکت در رأی گیری دولت فدرال داوطلبی گرایی هویت کانادایی و شهروندی کانادا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مجموع اوزان، اقلیت های نمایان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درصدهای پایینی را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شکاف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هویت کانادایی است، پس از آن شهروندی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در رأی گیری دولت فدرال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داوطلبی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رضایت از زندگی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تنها شاخصی است که گروه های اقلیت نمایان ارزشی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گزارش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کانادا یکپارچگی اقلیت های نمایان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موضوع هر از چند گاهی در سر تیتر خبرها قرار می گرفت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برنامه تلویزیونی شبکه سیاتی وی کانادا سریالی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 های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 که در خصوص دانشگاه های کانادا سوءتفاهمی را در جدایی دانشجویان خارجی به خصوص شرقی ها از بومی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افراد چینی کانادایی و دیگر اقلیت های نمایان را به عنوان افراد خارجی نشان داده است که دانشجویان سفید و بومی را از منابع تحصیلات تکمیلی محروم می کنند؛ اما پس از اعتراضات صورت گرفته توسط جامعه چینی ها مورای چرکوور، </w:t>
      </w:r>
      <w:r>
        <w:rPr>
          <w:rStyle w:val="FootnoteAnchor"/>
          <w:rtl w:val="true"/>
        </w:rPr>
        <w:footnoteReference w:id="831"/>
      </w:r>
      <w:r>
        <w:rPr>
          <w:rFonts w:ascii="IRNazanin" w:hAnsi="IRNazanin" w:eastAsia="IRNazanin"/>
          <w:color w:val="111111"/>
          <w:sz w:val="28"/>
          <w:sz w:val="28"/>
          <w:szCs w:val="28"/>
          <w:rtl w:val="true"/>
          <w:lang w:bidi="fa-IR"/>
        </w:rPr>
        <w:t xml:space="preserve">رئیس و مدیر عامل سی اتی وی در آن زمان،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عذرخواهی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مجله مکلین </w:t>
      </w:r>
      <w:r>
        <w:rPr>
          <w:rStyle w:val="FootnoteAnchor"/>
          <w:rtl w:val="true"/>
        </w:rPr>
        <w:footnoteReference w:id="832"/>
      </w:r>
      <w:r>
        <w:rPr>
          <w:rFonts w:ascii="IRNazanin" w:hAnsi="IRNazanin" w:eastAsia="IRNazanin"/>
          <w:color w:val="111111"/>
          <w:sz w:val="28"/>
          <w:sz w:val="28"/>
          <w:szCs w:val="28"/>
          <w:rtl w:val="true"/>
          <w:lang w:bidi="fa-IR"/>
        </w:rPr>
        <w:t xml:space="preserve">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 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دانشجویان جدیدالورود نمی خواهند در یک دانشگاه آسیایی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 که دانشجویان آسیایی را به عنوان افرادی سخت کوش و دارای مراتب بالای علمی نشان می دهد که تمایلی به ادغام با دانشجویان سفید پوست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ها و انتقادهای بسیار عنوان مقاله تغییر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جنجال ثبت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هایی در خصوص تلاش های صورت گرفته در آمریکا جهت محدود نمودن ثبت نام دانشجویان آسیایی در دانشگاه های معتبر که ممکن است منجر به مهاجرت به کانادا گردد</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گوناگونی قومیتی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هایی فراهم نمود که نشان از نابرابری های نژادی و تبعیض برای اقلیت های نمایان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نسل های دوم و بعدی اقلیت های نمایان در مقایسه با گروه های نژادی اروپایی الاصل درآمد پایین تر فقر بیشتر و تجربه بیشتری از تبعیض و آسیب پذیری را گزارش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موانع موجود بر سر راه اشتغال ،مناسب قوانین ،حرفه ای زبان و تبعیض نژادی به نابرابری های اقتصادی دامن می زنند درآمد سالانه اقلیت های نمایان به طور متوسط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کمتر </w:t>
      </w:r>
      <w:bookmarkStart w:id="572" w:name="pg9653_81938"/>
    </w:p>
    <w:p>
      <w:pPr>
        <w:pStyle w:val="BookText"/>
        <w:rPr/>
      </w:pPr>
      <w:bookmarkEnd w:id="572"/>
      <w:r>
        <w:rPr>
          <w:rFonts w:ascii="IRNazanin" w:hAnsi="IRNazanin" w:eastAsia="IRNazanin"/>
          <w:color w:val="111111"/>
          <w:sz w:val="28"/>
          <w:sz w:val="28"/>
          <w:szCs w:val="28"/>
          <w:rtl w:val="true"/>
          <w:lang w:bidi="fa-IR"/>
        </w:rPr>
        <w:t>از گروه های دیگر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فقر اقلیت های نمایان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بوده و آن 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دیگر تجربه تبعیض داشته اند آسیب پذیری این افراد به دلیل پیشینه قومیشان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افراد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های قومی نژادی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اجرای سیاست چند فرهنگی و راهبردهای گوناگونی قومی در سازمان های خصوصی و دولتی مد نظر قرار گرفت شناسایی و مرتفع ساختن موانع و نابرابری های اجتماعی اقلیت های نمایان مستلزم تعهد مستمر تمامی سطوح دولتی و خصوصی است</w:t>
      </w:r>
      <w:r>
        <w:rPr>
          <w:rFonts w:eastAsia="IRNazanin" w:cs="IRNazanin"/>
          <w:color w:val="111111"/>
          <w:sz w:val="28"/>
          <w:szCs w:val="28"/>
          <w:rtl w:val="true"/>
          <w:lang w:bidi="fa-IR"/>
        </w:rPr>
        <w:t>.</w:t>
      </w:r>
    </w:p>
    <w:p>
      <w:pPr>
        <w:pStyle w:val="Heading3"/>
        <w:numPr>
          <w:ilvl w:val="2"/>
          <w:numId w:val="1"/>
        </w:numPr>
        <w:rPr/>
      </w:pPr>
      <w:bookmarkStart w:id="573" w:name="__RefHeading___Toc7766668_2870459653"/>
      <w:bookmarkStart w:id="574" w:name="_Toc209"/>
      <w:bookmarkEnd w:id="573"/>
      <w:r>
        <w:rPr>
          <w:rtl w:val="true"/>
        </w:rPr>
        <w:t>دانشگاه تورنتو</w:t>
      </w:r>
      <w:bookmarkEnd w:id="574"/>
    </w:p>
    <w:p>
      <w:pPr>
        <w:pStyle w:val="BookText"/>
        <w:rPr/>
      </w:pPr>
      <w:r>
        <w:rPr>
          <w:rFonts w:ascii="IRNazanin" w:hAnsi="IRNazanin" w:eastAsia="IRNazanin"/>
          <w:color w:val="111111"/>
          <w:sz w:val="28"/>
          <w:sz w:val="28"/>
          <w:szCs w:val="28"/>
          <w:rtl w:val="true"/>
          <w:lang w:bidi="fa-IR"/>
        </w:rPr>
        <w:t>در مقایسه با گوناگونی قومی در سطوح شهری، استانی و ملی قومیت دانشجویان در دانشگاه تورنتو بسیار متنوع است دانشگاه تورنتو به منظور اطمینان از پذیرش دانشجویان بر اساس شایستگی های دانشگاهی هیچ گونه اطلاعاتی از پیشینه قومی دانشجویان جمع آوری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دانشگاه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برابری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پیش رو در تمامی پست های دانشگاهی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تورنتو قویا متعهد به ایجاد تنوع در جامعه دانشجویانش شده است و در این راستا به تازه واردان گروه های اقلیت نمایان، بانوان، افراد غیربومی، افراد با ناتوانی های جسمی، افراد گروه های اقلیت جنسی و تمامی افرادی که به نوعی به تنوع ایده ها کمک می کنند خوش آمد می گوید</w:t>
      </w:r>
    </w:p>
    <w:p>
      <w:pPr>
        <w:pStyle w:val="BookText"/>
        <w:rPr/>
      </w:pPr>
      <w:r>
        <w:rPr>
          <w:rFonts w:ascii="IRNazanin" w:hAnsi="IRNazanin" w:eastAsia="IRNazanin"/>
          <w:color w:val="111111"/>
          <w:sz w:val="28"/>
          <w:sz w:val="28"/>
          <w:szCs w:val="28"/>
          <w:rtl w:val="true"/>
          <w:lang w:bidi="fa-IR"/>
        </w:rPr>
        <w:t>دانشگاه سیاست برابری شغلی را در دستور کار خود داشته که به صورت مداوم اقدامات زیر را حکم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اطمینان از این که سیاست ها و اعمال دانشگاه بر مشارکت و پیشرفت اعضای گروه های اقلیت تأثیر نامطلوب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اهداف سازگار با این سیاست و تهیه جدول زمانبندی و طرح هایی برای دستیابی به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برنامه هایی جهت تسهیل مشارکت و پیشرفت گروه های اقلیت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گیری مساعدت های مناسب و معقول برای تفاوت های موجود به افراد گروه های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منابع انسانی و برابری دانشگاه گزارش سالانه برابری شغلی ای تهیه می کند که نشان دهنده انجام تعهدات وی در خصوص برابری و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جدیدترین گزارشی که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دانشگاه تورنتو برای شش سال متوالی به عنوان یکی از بهترین مکان های دارای تنوع قومیتی انتخاب گردید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اطلاعات گوناگونی قومی سال 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میزان بازنمایی اقلیت های نمایان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میزان بازنمایی همواره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در سال جاری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نرخ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نرخ اقلیت نمایان در تورنتو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برابر نرخ ایالتی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نرخ ملی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نهاد سطح ایالتی، این بازنمایی عادلانه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جزئیات نمودارهای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مقوله کارمندان نشان می دهند که گروه های اقلیت نمایان به شیوه کارمندی اتحادیه ای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 اتحادیه ای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نرخ های بازنمایی برای هیئت علمی دانشگاه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کتابداران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منشی ها و مدیران به ترتیب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از نرخ بازنمایی ایالتی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نرخ های بازنمایی برای اقلیت های نمایان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کارمندان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75" w:name="pg9653_81942"/>
    </w:p>
    <w:p>
      <w:pPr>
        <w:pStyle w:val="Heading3"/>
        <w:numPr>
          <w:ilvl w:val="2"/>
          <w:numId w:val="1"/>
        </w:numPr>
        <w:rPr/>
      </w:pPr>
      <w:bookmarkStart w:id="576" w:name="__RefHeading___Toc7766670_2870459653"/>
      <w:bookmarkStart w:id="577" w:name="_Toc210"/>
      <w:bookmarkEnd w:id="575"/>
      <w:bookmarkEnd w:id="576"/>
      <w:r>
        <w:rPr>
          <w:rtl w:val="true"/>
        </w:rPr>
        <w:t>حرفه کتابداری و اطلاع رسانی</w:t>
      </w:r>
      <w:bookmarkEnd w:id="577"/>
    </w:p>
    <w:p>
      <w:pPr>
        <w:pStyle w:val="BookText"/>
        <w:rPr/>
      </w:pPr>
      <w:r>
        <w:rPr>
          <w:rFonts w:ascii="IRNazanin" w:hAnsi="IRNazanin" w:eastAsia="IRNazanin"/>
          <w:color w:val="111111"/>
          <w:sz w:val="28"/>
          <w:sz w:val="28"/>
          <w:szCs w:val="28"/>
          <w:rtl w:val="true"/>
          <w:lang w:bidi="fa-IR"/>
        </w:rPr>
        <w:t xml:space="preserve">نرخ بازنمایی کتابداران اقلیت نمایان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در میان تمامی گروه های کارمندان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اطلاعات سرشماری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در کانادا هست که تنها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اقلیت نمایان شناسایی شده اند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Statistics Canada Census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ارزیابی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 کندیک </w:t>
      </w:r>
      <w:r>
        <w:rPr>
          <w:rStyle w:val="FootnoteAnchor"/>
          <w:rtl w:val="true"/>
        </w:rPr>
        <w:footnoteReference w:id="834"/>
      </w:r>
      <w:r>
        <w:rPr>
          <w:rFonts w:ascii="IRNazanin" w:hAnsi="IRNazanin" w:eastAsia="IRNazanin"/>
          <w:color w:val="111111"/>
          <w:sz w:val="28"/>
          <w:sz w:val="28"/>
          <w:szCs w:val="28"/>
          <w:rtl w:val="true"/>
          <w:lang w:bidi="fa-IR"/>
        </w:rPr>
        <w:t xml:space="preserve">که در میان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در کانادا انجام شد، بیان می کند که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اقلیت نمایان شناسایی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گروه های قومی مختلف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نشان می دهد که داده های بسیار جالب و موثقی را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جالب می نماید که درصد کتابداران چینی حدودا دو برابر بوده که با جمعیت کلشان در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دانشگاه تورنتو در زمینه اطلاعات گروه های قومی وارد جزئیات نمی شود پیکربندی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اقلیت نمایان کم و بیش از الگوی مشاهده شده در سرشماری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ارزیابی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یک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گرفته شده از دفتر راهنمای کندیک کارمندان نشان می دهد از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نمایان کتابدار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چینی ،هستند یا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اقلیت های قومی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در سرشماری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گروه های اقلیت نمایان طبقه بندی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سرشماری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پژوهش کندیک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78" w:name="pg9653_81943"/>
    </w:p>
    <w:p>
      <w:pPr>
        <w:pStyle w:val="BookText"/>
        <w:rPr/>
      </w:pPr>
      <w:bookmarkEnd w:id="578"/>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کندیک دیدگاه كتابداران را در خصوص موانع استخدام اقلیت های نمایان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تعداد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 به این سؤال پاسخ داده اند و بیشتر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نمودند که مشکل اصلی در تحصیلات اندک متقاضیان واجد شرایط بوده است؛ پس از آن مکان قرارگیری موسسه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متقاضیانی که هویت خود را بازگو نکرده اند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عدم استخدام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Heading3"/>
        <w:numPr>
          <w:ilvl w:val="2"/>
          <w:numId w:val="1"/>
        </w:numPr>
        <w:rPr/>
      </w:pPr>
      <w:bookmarkStart w:id="579" w:name="__RefHeading___Toc7766672_2870459653"/>
      <w:bookmarkStart w:id="580" w:name="_Toc211"/>
      <w:bookmarkEnd w:id="579"/>
      <w:r>
        <w:rPr>
          <w:rtl w:val="true"/>
        </w:rPr>
        <w:t>کتابخانه های دانشگاه تورنتو</w:t>
      </w:r>
      <w:bookmarkEnd w:id="580"/>
    </w:p>
    <w:p>
      <w:pPr>
        <w:pStyle w:val="BookText"/>
        <w:rPr/>
      </w:pPr>
      <w:r>
        <w:rPr>
          <w:rFonts w:ascii="IRNazanin" w:hAnsi="IRNazanin" w:eastAsia="IRNazanin"/>
          <w:color w:val="111111"/>
          <w:sz w:val="28"/>
          <w:sz w:val="28"/>
          <w:szCs w:val="28"/>
          <w:rtl w:val="true"/>
          <w:lang w:bidi="fa-IR"/>
        </w:rPr>
        <w:t xml:space="preserve">مباحثات من با اداره منابع انسانی کتابخانه با تمامی یافته های ارزیابی کندیک در خصوص موانع استخدام کتابداران گروه های اقلیت نژادی به جز عامل مکان هم راستا است همان طور که داده های سرشماری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دهند تورنتو دارای بیشترین چند زبانی و چند فرهنگی در کانادا است و دانشگاه تورنتو نیز در مرکز این شهر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محدودیت تحصیلی متقاضیان مشکلات گرفتن اطلاعات از متقاضیان با توجه به هویت های نژادی و عدم استخدام عوامل اصلی در مصاحبه های بنده با روسای دپارتمان ها در کتابخانه های دانشگاه تورنتو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شغل های کتابداری در کتابخانه های دانشگاه تورنتو مستلزم یک </w:t>
      </w:r>
      <w:r>
        <w:rPr>
          <w:rFonts w:eastAsia="Times New Roman" w:cs="Times New Roman" w:ascii="Times New Roman" w:hAnsi="Times New Roman"/>
          <w:color w:val="111111"/>
          <w:sz w:val="28"/>
          <w:szCs w:val="28"/>
          <w:lang w:val="en-US" w:bidi="en-US"/>
        </w:rPr>
        <w:t>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کارشناسی ارشد کتابداری یا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معادل آن ها بسیاری از کتابداران تحصیل کرده در کشورهای خارج از ایالات متحده و بعضی از کشورهای اروپایی را از فهرست واجدین شرایط خارج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احتمالاً بازنمایی بالای غیر معمول کتابداران چینی را در میان اقلیت های نمایان توضیح می دهد تحصیل کرده ها و مهاجران چینی احتمالا اشتیاق بیشتری دارند که پس از مهاجرت به کانادا یک مدرک فوق لیسانس دیگر را در زمینه کتابداری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بسیاری از کشورهای دیگر که گوناگونی قومی را در محیط کار ترویج می کنند تقاضای شغل در کانادا مستلزم بودن در یکی از گروه های اقلیت نمایان نیست بیانیه ای جهت خوش آمد گویی به متقاضیان کار وجود دارد اما بسیاری از متقاضیان هویت خود را بیان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دهه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های دانشگاه تورنتو یک سیاست غیر رسمی عدم استخدام نژادی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موقعیت های شغلی بعد از بازنشستگی کتابداران دوباره اشغال نمی شدند برای مثال در این دوران تعداد فهرست نویسان در نظام مرکزی از بیشترین مقدارش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دوره و پس از آن کاهش پیدا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کتابخانه های دانشگاه تورنتو از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برای نیازهای متنوع آموزش و تحقیق تشکیل می شود که مستلزم استخدام کارمندانی است که به یک یا بیش از یک زبان تسلط داشته باشند تا دانشگاه بتواند خدمات اطلاعاتی مناسب را فراهم آورد و مجموعه ها را توسعه دهد و مدیریت </w:t>
      </w:r>
      <w:bookmarkStart w:id="581" w:name="pg9653_81945"/>
    </w:p>
    <w:p>
      <w:pPr>
        <w:pStyle w:val="BookText"/>
        <w:rPr/>
      </w:pPr>
      <w:bookmarkEnd w:id="581"/>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زبان های گروه های اقلیت عبارت اند از چینی، ژاپنی، عربی، کره ای، هندی، ترکی، اردو، بنگالی، فارسی، سانسکریت، مراتی، پنجابی و تمیل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صحبت من با روسای دپارتمان ها حوزه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و توسعه مجموعه ها زبان هایی که کتابداران کتابخانه های دانشگاه تورنتو آن ها را در حد زبان بومی می دانند چهار زبان اول است چینی، ژاپنی، عربی و کره ای شکاف های به وجود آمده با مشارکت گروه های مختلف مانند کتابخانه کنگره و دانشگاه کلمبیا و اسپاری فهرست نویسی ها به اسی</w:t>
      </w:r>
    </w:p>
    <w:p>
      <w:pPr>
        <w:pStyle w:val="BookText"/>
        <w:rPr/>
      </w:pPr>
      <w:r>
        <w:rPr>
          <w:rFonts w:ascii="IRNazanin" w:hAnsi="IRNazanin" w:eastAsia="IRNazanin"/>
          <w:color w:val="111111"/>
          <w:sz w:val="28"/>
          <w:sz w:val="28"/>
          <w:szCs w:val="28"/>
          <w:rtl w:val="true"/>
          <w:lang w:bidi="fa-IR"/>
        </w:rPr>
        <w:t>ال سی و کمک های مالی گروه های اقلیت نمایان و مؤسسات خیریه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تمامی افرادی که با من کار می کنند علاقه خود را به داشتن یک تیم متنوع نژادی اعلام کردند که نیاز مجموعه ها و کاربران را هر زمان که یک فرصت استخدام جدید باشد پاسخ می گوید هنوز در دسترس بودن متقاضیان واجد شرایط دغدغه اصلی آن ها محسوب می شود</w:t>
      </w:r>
      <w:r>
        <w:rPr>
          <w:rFonts w:eastAsia="IRNazanin" w:cs="IRNazanin"/>
          <w:color w:val="111111"/>
          <w:sz w:val="28"/>
          <w:szCs w:val="28"/>
          <w:rtl w:val="true"/>
          <w:lang w:bidi="fa-IR"/>
        </w:rPr>
        <w:t>.</w:t>
      </w:r>
    </w:p>
    <w:p>
      <w:pPr>
        <w:pStyle w:val="Heading3"/>
        <w:numPr>
          <w:ilvl w:val="2"/>
          <w:numId w:val="1"/>
        </w:numPr>
        <w:rPr/>
      </w:pPr>
      <w:bookmarkStart w:id="582" w:name="__RefHeading___Toc7766674_2870459653"/>
      <w:bookmarkStart w:id="583" w:name="_Toc212"/>
      <w:bookmarkEnd w:id="582"/>
      <w:r>
        <w:rPr>
          <w:rtl w:val="true"/>
        </w:rPr>
        <w:t>نتیجه گیری</w:t>
      </w:r>
      <w:bookmarkEnd w:id="58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من با استفاده از داده های قومی موجود در سطوح ملی حرفه ای و سازمانی گوناگونی قومی را در میان کتابداران دانشگاه تورنتو بررسی نمودم همچنین با استدلال بیان نمودم که کتابداری در کتابخانه های دانشگاه تورنتو، مستلزم سیاست های دولت و فرمان ها و حکم های سازمانی است و با آغوش باز پذیرای گوناگونی هستند و چند فرهنگی را در سیاست های سازمانی، بیانیه ها و برنامه های راهبردی تسهیل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منافع و لزوم داشتن یک گروه با گوناگونی قومی را به منظور انعکاس جامعه ای که در آن قرار دارند شناسایی می کنند و این امر را برای مدیریت مجموعه های متنوع لازم می دانند؛ اما عموما در بیشتر گروه های اقلیت نژادی شکاف قابل ملاحظه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مجموعه مذکور نشان داده شد این امر به علت نبود متقاضیان واجد شرایط در این گروه ها و استخدام های غیر ضروری صورت گرفته در دو دهه گذشته است؛ اما برای افزایش بازنمایی گروه های اقلیت و ارتقا فعالیت های آن ها در آینده فرصتی وجود دارد به علاوه مواردی همچون بهبود و ارتقا سیاست های اخیر تهیه برنامه راهبردی راهنماها و انجام تحقیقات بیشتر بر روی تجارب کتابداران گروه های اقلیت با احترام به نابرابری های نژادی و تبعیض ضروری می نماید کمک به این گروه ها به منظور ارتقا حرفه کتابداری و تحصیل در این رشته برای دستیابی به نیروی کار متنوع در این حرفه بسیار مهم است</w:t>
      </w:r>
      <w:r>
        <w:rPr>
          <w:rFonts w:eastAsia="IRNazanin" w:cs="IRNazanin"/>
          <w:color w:val="111111"/>
          <w:sz w:val="28"/>
          <w:szCs w:val="28"/>
          <w:rtl w:val="true"/>
          <w:lang w:bidi="fa-IR"/>
        </w:rPr>
        <w:t xml:space="preserve">. </w:t>
      </w:r>
      <w:bookmarkStart w:id="584" w:name="pg9653_81947"/>
    </w:p>
    <w:p>
      <w:pPr>
        <w:pStyle w:val="Heading3"/>
        <w:numPr>
          <w:ilvl w:val="2"/>
          <w:numId w:val="1"/>
        </w:numPr>
        <w:rPr/>
      </w:pPr>
      <w:bookmarkStart w:id="585" w:name="__RefHeading___Toc7766676_2870459653"/>
      <w:bookmarkStart w:id="586" w:name="_Toc213"/>
      <w:bookmarkEnd w:id="584"/>
      <w:bookmarkEnd w:id="585"/>
      <w:r>
        <w:rPr>
          <w:rtl w:val="true"/>
        </w:rPr>
        <w:t>منابع</w:t>
      </w:r>
      <w:bookmarkEnd w:id="586"/>
    </w:p>
    <w:p>
      <w:pPr>
        <w:pStyle w:val="BookText"/>
        <w:rPr/>
      </w:pPr>
      <w:r>
        <w:rPr>
          <w:rFonts w:eastAsia="Times New Roman" w:cs="Times New Roman" w:ascii="Times New Roman" w:hAnsi="Times New Roman"/>
          <w:color w:val="111111"/>
          <w:sz w:val="28"/>
          <w:szCs w:val="28"/>
          <w:lang w:val="en-US" w:bidi="en-US"/>
        </w:rPr>
        <w:t>Kandiuk, M. 2014. "Promoting Racial and Ethnic Diversity among Canadian Academic Librarians" forthcoming in College &amp; Research Libraries. URL: http://crl.acrl.org/content/early/2013/04/05/crl13-465.full.pdf+html [Viewed on 1 May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Maclean's Magazine. 2010. URL: http://www2.macleans.ca/2010/11/10/too- asian/ [Viewed on 15 May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Poy, Vivienne. 2013. Passage to Promise Land: Voices of Chinese Immigrant Women to Canada. Montreal: McGill-Queen's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Reitz, J. et al. 2009. Multiculturalism and social cohesion: potentials and challenges of diversity. Dordrecht; London: Springer. 8</w:t>
      </w:r>
    </w:p>
    <w:p>
      <w:pPr>
        <w:pStyle w:val="BookText"/>
        <w:rPr/>
      </w:pPr>
      <w:r>
        <w:rPr>
          <w:rFonts w:eastAsia="Times New Roman" w:cs="Times New Roman" w:ascii="Times New Roman" w:hAnsi="Times New Roman"/>
          <w:color w:val="111111"/>
          <w:sz w:val="28"/>
          <w:szCs w:val="28"/>
          <w:lang w:val="en-US" w:bidi="en-US"/>
        </w:rPr>
        <w:t>Statistics Canada. 2013a. Immigration and Ethnocultural Diversity in Canada: National Household Survey,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Statistics Canada. 2013b. National Household Survey, 2011, Focus on Geography Series - Toronto. URL: http://www12.statcan.gc.ca/nhs-enm/2011/ as-sa/fogsspg/ Pages/FOG.cfm?lang=E&amp;level=3&amp;GeoCode=535 [Viewed on 16 May 2013]</w:t>
      </w:r>
    </w:p>
    <w:p>
      <w:pPr>
        <w:pStyle w:val="BookText"/>
        <w:rPr/>
      </w:pPr>
      <w:r>
        <w:rPr>
          <w:rFonts w:eastAsia="Times New Roman" w:cs="Times New Roman" w:ascii="Times New Roman" w:hAnsi="Times New Roman"/>
          <w:color w:val="111111"/>
          <w:sz w:val="28"/>
          <w:szCs w:val="28"/>
          <w:lang w:val="en-US" w:bidi="en-US"/>
        </w:rPr>
        <w:t>University of Toronto. 2011 Employment Equity Report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of Toronto. 2012 Employment Equity Report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of Toronto, Human Resources and Equity. Employment Equity</w:t>
      </w:r>
    </w:p>
    <w:p>
      <w:pPr>
        <w:pStyle w:val="BookText"/>
        <w:rPr/>
      </w:pPr>
      <w:r>
        <w:rPr>
          <w:rFonts w:eastAsia="Times New Roman" w:cs="Times New Roman" w:ascii="Times New Roman" w:hAnsi="Times New Roman"/>
          <w:color w:val="111111"/>
          <w:sz w:val="28"/>
          <w:szCs w:val="28"/>
          <w:lang w:val="en-US" w:bidi="en-US"/>
        </w:rPr>
        <w:t>Statement. URL: http://www.hrandequity.utoronto.ca/about-hrequity/ reports/employmentequityreport/University_of_Toronto_Employment Equity_Statement.htm [Viewed on 9 May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of Toronto, Office of the Governing Council. Employment Equity</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Policy. URL: http://www.governingcouncil.utoronto.ca/policies/emequity.htm [Viewed on 16 May 2013]</w:t>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University of Toronto. Quick Facts. URL: http://www.utoronto.ca/about-uoft/ [quickfacts.htm [Viewed on 8 May 2013]</w:t>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9653_81953"/>
      <w:bookmarkStart w:id="588" w:name="pg9653_81953"/>
      <w:bookmarkEnd w:id="588"/>
    </w:p>
    <w:p>
      <w:pPr>
        <w:pStyle w:val="Heading2"/>
        <w:numPr>
          <w:ilvl w:val="1"/>
          <w:numId w:val="1"/>
        </w:numPr>
        <w:rPr/>
      </w:pPr>
      <w:bookmarkStart w:id="589" w:name="pg9653_81953"/>
      <w:bookmarkStart w:id="590" w:name="__RefHeading___Toc7766678_2870459653"/>
      <w:bookmarkStart w:id="591" w:name="_Toc214"/>
      <w:bookmarkEnd w:id="589"/>
      <w:bookmarkEnd w:id="590"/>
      <w:r>
        <w:rPr>
          <w:rtl w:val="true"/>
        </w:rPr>
        <w:t>چکیده</w:t>
      </w:r>
      <w:bookmarkEnd w:id="591"/>
    </w:p>
    <w:p>
      <w:pPr>
        <w:pStyle w:val="BookText"/>
        <w:rPr/>
      </w:pPr>
      <w:r>
        <w:rPr>
          <w:rFonts w:ascii="IRNazanin" w:hAnsi="IRNazanin" w:eastAsia="IRNazanin"/>
          <w:color w:val="111111"/>
          <w:sz w:val="28"/>
          <w:sz w:val="28"/>
          <w:szCs w:val="28"/>
          <w:rtl w:val="true"/>
          <w:lang w:bidi="fa-IR"/>
        </w:rPr>
        <w:t>در این مقاله محیط های گوناگون جدید آموزشی موجود در سراسر دنیا و اثر آن ها بر آن چه به عنوان سواد اطلاعاتی شناخته شده و همچنین تغییرات اساسی که در نحوه آموزش مدرسان و نیز یادگیری دانشجویان به وجود آمده مورد بحث و بررسی قرار گرفته است ظهور و رشد محیط های آموزشی در کنار رشد انفجاری اطلاعات رقومی مستلزم این است که همۀ معلمان و دانشجویان، تجدید نظر در مورد هر آن چه برای آموزش یادگیری و یادگیری چگونگی آموختن وجود دارد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این موضوع به خوانندگان در برخی از تصمیم گیری های مربوط به استفاده از محیط های آموزش مجازی درونی آن با سواد اطلاعاتی کمک خواهد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مجازی، سواد اطلاعاتی، آموزش الکترونیک </w:t>
      </w:r>
      <w:bookmarkStart w:id="592" w:name="pg9653_81955"/>
    </w:p>
    <w:p>
      <w:pPr>
        <w:pStyle w:val="Heading2"/>
        <w:numPr>
          <w:ilvl w:val="1"/>
          <w:numId w:val="1"/>
        </w:numPr>
        <w:rPr/>
      </w:pPr>
      <w:bookmarkStart w:id="593" w:name="__RefHeading___Toc7766680_2870459653"/>
      <w:bookmarkStart w:id="594" w:name="_Toc215"/>
      <w:bookmarkEnd w:id="592"/>
      <w:bookmarkEnd w:id="593"/>
      <w:r>
        <w:rPr>
          <w:rtl w:val="true"/>
        </w:rPr>
        <w:t>روابط درونی سواد اطلاعاتی با استفاده از محیط های آموزش مجازی</w:t>
      </w:r>
      <w:bookmarkEnd w:id="594"/>
    </w:p>
    <w:p>
      <w:pPr>
        <w:pStyle w:val="Heading3"/>
        <w:numPr>
          <w:ilvl w:val="2"/>
          <w:numId w:val="1"/>
        </w:numPr>
        <w:rPr/>
      </w:pPr>
      <w:bookmarkStart w:id="595" w:name="__RefHeading___Toc7766682_2870459653"/>
      <w:bookmarkStart w:id="596" w:name="_Toc216"/>
      <w:bookmarkEnd w:id="595"/>
      <w:r>
        <w:rPr>
          <w:rtl w:val="true"/>
        </w:rPr>
        <w:t>اشاره</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درونی سواد اطلاعاتی با استفاده از محیط های آموزش مجازی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نوشته دیوید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لورتشا </w:t>
      </w:r>
      <w:r>
        <w:rPr>
          <w:rStyle w:val="FootnoteAnchor"/>
          <w:rtl w:val="true"/>
        </w:rPr>
        <w:footnoteReference w:id="836"/>
      </w:r>
      <w:r>
        <w:rPr>
          <w:rFonts w:ascii="IRNazanin" w:hAnsi="IRNazanin" w:eastAsia="IRNazanin"/>
          <w:color w:val="111111"/>
          <w:sz w:val="28"/>
          <w:sz w:val="28"/>
          <w:szCs w:val="28"/>
          <w:rtl w:val="true"/>
          <w:lang w:bidi="fa-IR"/>
        </w:rPr>
        <w:t xml:space="preserve">و بلانچ وولز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فریبرز درودی </w:t>
      </w:r>
      <w:r>
        <w:rPr>
          <w:rStyle w:val="FootnoteAnchor"/>
          <w:rtl w:val="true"/>
        </w:rPr>
        <w:footnoteReference w:id="838"/>
      </w:r>
    </w:p>
    <w:p>
      <w:pPr>
        <w:pStyle w:val="Heading3"/>
        <w:numPr>
          <w:ilvl w:val="2"/>
          <w:numId w:val="1"/>
        </w:numPr>
        <w:rPr/>
      </w:pPr>
      <w:bookmarkStart w:id="597" w:name="__RefHeading___Toc7766684_2870459653"/>
      <w:bookmarkStart w:id="598" w:name="_Toc217"/>
      <w:bookmarkEnd w:id="597"/>
      <w:r>
        <w:rPr>
          <w:rtl w:val="true"/>
        </w:rPr>
        <w:t>مقدمه</w:t>
      </w:r>
      <w:bookmarkEnd w:id="59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دسته از افرادی که سواد اطلاعاتی را آموزش می دهند؛ رشد محیط های آموزشی جدید در دهه گذشته معجزه آسا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در دوران سریع دگرگونی و تغییرات دهشت زا، زندگی کرده ایم زمان چندانی از دوره های مکاتبه ای که از طریق پست الکترونیک بین اساتید و دانشجویان رد و بدل می شد نمی گذرد کاربرد تلفن و تلویزیون مداربسته دسترسی ما را به اطلاعات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آن زمان، این نظام ها </w:t>
      </w:r>
      <w:r>
        <w:rPr>
          <w:rStyle w:val="FootnoteAnchor"/>
          <w:rtl w:val="true"/>
        </w:rPr>
        <w:footnoteReference w:id="839"/>
      </w:r>
      <w:r>
        <w:rPr>
          <w:rFonts w:ascii="IRNazanin" w:hAnsi="IRNazanin" w:eastAsia="IRNazanin"/>
          <w:color w:val="111111"/>
          <w:sz w:val="28"/>
          <w:sz w:val="28"/>
          <w:szCs w:val="28"/>
          <w:rtl w:val="true"/>
          <w:lang w:bidi="fa-IR"/>
        </w:rPr>
        <w:t xml:space="preserve">بسیار جالب و شگفت انگیز بودند، امروزه آن ها در مقایسه با محیط های آموزشی با فناوری بالا </w:t>
      </w:r>
      <w:r>
        <w:rPr>
          <w:rStyle w:val="FootnoteAnchor"/>
          <w:rtl w:val="true"/>
        </w:rPr>
        <w:footnoteReference w:id="840"/>
      </w:r>
      <w:r>
        <w:rPr>
          <w:rFonts w:ascii="IRNazanin" w:hAnsi="IRNazanin" w:eastAsia="IRNazanin"/>
          <w:color w:val="111111"/>
          <w:sz w:val="28"/>
          <w:sz w:val="28"/>
          <w:szCs w:val="28"/>
          <w:rtl w:val="true"/>
          <w:lang w:bidi="fa-IR"/>
        </w:rPr>
        <w:t>بسیار عجیب به نظر می رسند برای مولفان این مقاله حرکت به سمت محیط های آموزش مجازی با تشکیل جلسه های کلاس تلویزیونی در دو مکان همراه با امکان تغییر فضای استاد، جهت آموزش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 و توسعه فناوری دسترسی به نرم افزار و اداره کلاس درس آسان شده است؛ تعداد کلاس های تلویزیونی کاهش یافته تا هنگامی که کلاس ها به طور </w:t>
      </w:r>
      <w:bookmarkStart w:id="599" w:name="pg9653_81957"/>
    </w:p>
    <w:p>
      <w:pPr>
        <w:pStyle w:val="BookText"/>
        <w:rPr/>
      </w:pPr>
      <w:bookmarkEnd w:id="599"/>
      <w:r>
        <w:rPr>
          <w:rFonts w:ascii="IRNazanin" w:hAnsi="IRNazanin" w:eastAsia="IRNazanin"/>
          <w:color w:val="111111"/>
          <w:sz w:val="28"/>
          <w:sz w:val="28"/>
          <w:szCs w:val="28"/>
          <w:rtl w:val="true"/>
          <w:lang w:bidi="fa-IR"/>
        </w:rPr>
        <w:t xml:space="preserve">کامل به صورت برخط </w:t>
      </w:r>
      <w:r>
        <w:rPr>
          <w:rStyle w:val="FootnoteAnchor"/>
          <w:rtl w:val="true"/>
        </w:rPr>
        <w:footnoteReference w:id="841"/>
      </w:r>
      <w:r>
        <w:rPr>
          <w:rFonts w:ascii="IRNazanin" w:hAnsi="IRNazanin" w:eastAsia="IRNazanin"/>
          <w:color w:val="111111"/>
          <w:sz w:val="28"/>
          <w:sz w:val="28"/>
          <w:szCs w:val="28"/>
          <w:rtl w:val="true"/>
          <w:lang w:bidi="fa-IR"/>
        </w:rPr>
        <w:t>برگزار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های تحقیقاتی زیادی در زمینهٔ مزایای آموزش برخط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اغلب به دلیل آنکه فرصت دارند در خانه درس بخوانند به جای این که مجبور شوند به مکان های مختلفی برای تحصیل نقل مکان ،کنند رضایت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اعتقاد به قدرت انتخاب بیشتر برای دوره هایی که می گذرانند ،دارند و درک مفیدی از دانش به دست آمده دارند؛ همچنین از قابلیت انتخاب زمان آموزش و پاسخ گویی به کارهای کلاسی که امکان می دهد هر فرد با سرعت و توان خود کار کند لذت می برند آن ها متوجه می شوند که این ،آموزش هم فعال و هم معتبر است و این نوع کلاس امکان بهبود دانش رایانه ای را نیز فراهم می آورد بسیاری می گویند قابلیت نامریی بودن </w:t>
      </w:r>
      <w:r>
        <w:rPr>
          <w:rStyle w:val="FootnoteAnchor"/>
          <w:rtl w:val="true"/>
        </w:rPr>
        <w:footnoteReference w:id="842"/>
      </w:r>
      <w:r>
        <w:rPr>
          <w:rFonts w:ascii="IRNazanin" w:hAnsi="IRNazanin" w:eastAsia="IRNazanin"/>
          <w:color w:val="111111"/>
          <w:sz w:val="28"/>
          <w:sz w:val="28"/>
          <w:szCs w:val="28"/>
          <w:rtl w:val="true"/>
          <w:lang w:bidi="fa-IR"/>
        </w:rPr>
        <w:t>باعث می شود قضاوت در مورد ویژگی های آن ها نژاد، اندازه بدن، یا ناتوانی جسمانی برای همه به صورت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نیز احساس می کنند این نوع تدریس، امکان پاسخگویی به همۀ دانشجویان کلاس را نسبت به آن دسته که در کلاس های رو در رو برای پاسخ داوطلب حاضر می شوند فراهم می آورد در حالی که هر نیم سال باید درس های گذشته را مرور کنند بسیاری از آن چه که برای کلاس آماده کرده اند در کلاس بعدی نیز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معایب محیط برخط آن است که دانشجویان اساتید و همکلاسی های خود را نمی بینند تمامی تماس ها مستقیم است پست الکترونیکی پست به سیستم مدیر دوره و یا نظر سنجی الکترونیک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آنان تمایل زیادی برای آن که یک اجتماع باشند، ندارند و اگر داشته باشند باید یک اجتماع مجازی از طریق رسانه های اجتماعی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موقعیت ها، دانشجویان ممکن است سخت افزار رایانه ای شخصی، یا نرم افزار مناسب و یا ارتباط سریع اینترنتی نداشته باشند علاوه بر آن اگر مهارت آن ها در امور رایانه کم ،باشد آموزش کافی برای انجام تکالیف خود نخواهند داشت</w:t>
      </w:r>
      <w:r>
        <w:rPr>
          <w:rFonts w:eastAsia="IRNazanin" w:cs="IRNazanin"/>
          <w:color w:val="111111"/>
          <w:sz w:val="28"/>
          <w:szCs w:val="28"/>
          <w:rtl w:val="true"/>
          <w:lang w:bidi="fa-IR"/>
        </w:rPr>
        <w:t>.</w:t>
      </w:r>
    </w:p>
    <w:p>
      <w:pPr>
        <w:pStyle w:val="Heading3"/>
        <w:numPr>
          <w:ilvl w:val="2"/>
          <w:numId w:val="1"/>
        </w:numPr>
        <w:rPr/>
      </w:pPr>
      <w:bookmarkStart w:id="600" w:name="__RefHeading___Toc7766686_2870459653"/>
      <w:bookmarkStart w:id="601" w:name="_Toc218"/>
      <w:bookmarkEnd w:id="600"/>
      <w:r>
        <w:rPr>
          <w:rtl w:val="true"/>
        </w:rPr>
        <w:t>تولد سواد اطلاعاتی</w:t>
      </w:r>
      <w:bookmarkEnd w:id="6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تعریف سواد اطلاعاتی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 هنگامی که پل زوکوفسکی </w:t>
      </w:r>
      <w:r>
        <w:rPr>
          <w:rStyle w:val="FootnoteAnchor"/>
          <w:rtl w:val="true"/>
        </w:rPr>
        <w:footnoteReference w:id="843"/>
      </w:r>
      <w:r>
        <w:rPr>
          <w:rFonts w:ascii="IRNazanin" w:hAnsi="IRNazanin" w:eastAsia="IRNazanin"/>
          <w:color w:val="111111"/>
          <w:sz w:val="28"/>
          <w:sz w:val="28"/>
          <w:szCs w:val="28"/>
          <w:rtl w:val="true"/>
          <w:lang w:bidi="fa-IR"/>
        </w:rPr>
        <w:t xml:space="preserve">به کمیسیون ملی کتابخانه و علوم اطلاع رسانی </w:t>
      </w:r>
      <w:r>
        <w:rPr>
          <w:rStyle w:val="FootnoteAnchor"/>
          <w:rtl w:val="true"/>
        </w:rPr>
        <w:footnoteReference w:id="844"/>
      </w:r>
      <w:r>
        <w:rPr>
          <w:rFonts w:ascii="IRNazanin" w:hAnsi="IRNazanin" w:eastAsia="IRNazanin"/>
          <w:color w:val="111111"/>
          <w:sz w:val="28"/>
          <w:sz w:val="28"/>
          <w:szCs w:val="28"/>
          <w:rtl w:val="true"/>
          <w:lang w:bidi="fa-IR"/>
        </w:rPr>
        <w:t xml:space="preserve">توصیه کرد که برنامه ملی با محصول نهایی تهیه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را که با کاربرد منابع اطلاعاتی برای شغلشان آموزش می بینند می توان دارای سواد اطلاعاتی نامید آن ها مهارت ها و فنونی برای بهره برداری از تنوع گسترده ای از ابزارهای اطلاعاتی، و همچنین منابع اولیه </w:t>
      </w:r>
      <w:bookmarkStart w:id="602" w:name="pg9653_81959"/>
    </w:p>
    <w:p>
      <w:pPr>
        <w:pStyle w:val="BookText"/>
        <w:rPr/>
      </w:pPr>
      <w:bookmarkEnd w:id="602"/>
      <w:r>
        <w:rPr>
          <w:rFonts w:ascii="IRNazanin" w:hAnsi="IRNazanin" w:eastAsia="IRNazanin"/>
          <w:color w:val="111111"/>
          <w:sz w:val="28"/>
          <w:sz w:val="28"/>
          <w:szCs w:val="28"/>
          <w:rtl w:val="true"/>
          <w:lang w:bidi="fa-IR"/>
        </w:rPr>
        <w:t>برای مدل سازی راه حل های اطلاعاتی در رفع مشکلاتشان را آموخته اند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او پیش بینی کرد که یک ششم جمعیت ایالات متحده هیچ اطلاعی از انفجار اطلاعاتی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همچنین امکان دسترسی به اطلاعات و نحوه ای که این موضوع زندگی اقتصادی و اجتماعی آن ها را تحت تاثیر قرار خواهد داد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سازمان ها و موسسه های آموزشی می کوشند به مشتریان خود سواد اطلاعاتی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 های کتابخانه ای برای کتابداران دانشگاهی و آموزشگاهی تغییر یافته تا سواد اطلاعاتی را نیز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اطلاعاتی بیشتر به عنوان سواد دیداری تعریف شد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آموختن و بیان به صورت تصاویر برای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رسانه ای به نحوی تدریس شد که دانشجویان فراتر از دسترسی توانایی تحلیل و در نهایت تولید اطلاعات برای ارایه نتایج جدید را دارا باشند در نهایت سواد رایانه ای به صورت توانایی ایجاد و ویرایش اسناد و مدارک و یا هرگونه کار با برنامه های واژه پرداز کار با صفحات گسترده دسترسی به پایگاه های داده و استفاده از طیف گسترده ای از دیگر نرم افزارهای موجود آغاز شد در حال حاضر، اصطلاح فراسوادی </w:t>
      </w:r>
      <w:r>
        <w:rPr>
          <w:rStyle w:val="FootnoteAnchor"/>
          <w:rtl w:val="true"/>
        </w:rPr>
        <w:footnoteReference w:id="846"/>
      </w:r>
      <w:r>
        <w:rPr>
          <w:rFonts w:ascii="IRNazanin" w:hAnsi="IRNazanin" w:eastAsia="IRNazanin"/>
          <w:color w:val="111111"/>
          <w:sz w:val="28"/>
          <w:sz w:val="28"/>
          <w:szCs w:val="28"/>
          <w:rtl w:val="true"/>
          <w:lang w:bidi="fa-IR"/>
        </w:rPr>
        <w:t>توسط برخی، برای نشان دادن گسترش مهارت های مورد نیاز، برای مشارکت در دنیای فناوری امروز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وب جهان گستر، توانایی بازیابی، بررسی و مدیریت اطلاعات و استفاده از آن برای بهبود کلی کیفیت زندگی افراد باسواد ضرورت یافت</w:t>
      </w:r>
      <w:r>
        <w:rPr>
          <w:rFonts w:eastAsia="IRNazanin" w:cs="IRNazanin"/>
          <w:color w:val="111111"/>
          <w:sz w:val="28"/>
          <w:szCs w:val="28"/>
          <w:rtl w:val="true"/>
          <w:lang w:bidi="fa-IR"/>
        </w:rPr>
        <w:t>.</w:t>
      </w:r>
    </w:p>
    <w:p>
      <w:pPr>
        <w:pStyle w:val="Heading3"/>
        <w:numPr>
          <w:ilvl w:val="2"/>
          <w:numId w:val="1"/>
        </w:numPr>
        <w:rPr/>
      </w:pPr>
      <w:bookmarkStart w:id="603" w:name="__RefHeading___Toc7766688_2870459653"/>
      <w:bookmarkStart w:id="604" w:name="_Toc219"/>
      <w:bookmarkEnd w:id="603"/>
      <w:r>
        <w:rPr>
          <w:rtl w:val="true"/>
        </w:rPr>
        <w:t>رشد تحصیلات برخط</w:t>
      </w:r>
      <w:bookmarkEnd w:id="604"/>
    </w:p>
    <w:p>
      <w:pPr>
        <w:pStyle w:val="BookText"/>
        <w:rPr/>
      </w:pPr>
      <w:r>
        <w:rPr>
          <w:rFonts w:ascii="IRNazanin" w:hAnsi="IRNazanin" w:eastAsia="IRNazanin"/>
          <w:color w:val="111111"/>
          <w:sz w:val="28"/>
          <w:sz w:val="28"/>
          <w:szCs w:val="28"/>
          <w:rtl w:val="true"/>
          <w:lang w:bidi="fa-IR"/>
        </w:rPr>
        <w:t>برای مولفان این مقاله پیشرفت از تدریس به وسیله کلاس های تلویزیونی با امکان پیوست مدارک به پیام های پستی الکترونیکی محقق شد و اولین نظام مدیریت آموزشی رایگان که با آن روبرو می شویم تخته سیاه است روزی که هر دو بدون نیاز به کاغذ با شاگردان خود ارتباط یابند، دنیا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کتابخانه نظام دسترسی به مجلات رقومی را نصب ،کند تمام نظام های قبلی تدریس و آموختن محوشده و به تاریخ کهن می پیوندد</w:t>
      </w:r>
      <w:r>
        <w:rPr>
          <w:rFonts w:eastAsia="IRNazanin" w:cs="IRNazanin"/>
          <w:color w:val="111111"/>
          <w:sz w:val="28"/>
          <w:szCs w:val="28"/>
          <w:rtl w:val="true"/>
          <w:lang w:bidi="fa-IR"/>
        </w:rPr>
        <w:t>.</w:t>
      </w:r>
    </w:p>
    <w:p>
      <w:pPr>
        <w:pStyle w:val="Heading3"/>
        <w:numPr>
          <w:ilvl w:val="2"/>
          <w:numId w:val="1"/>
        </w:numPr>
        <w:rPr/>
      </w:pPr>
      <w:bookmarkStart w:id="605" w:name="__RefHeading___Toc7766690_2870459653"/>
      <w:bookmarkStart w:id="606" w:name="_Toc220"/>
      <w:bookmarkEnd w:id="605"/>
      <w:r>
        <w:rPr>
          <w:rtl w:val="true"/>
        </w:rPr>
        <w:t>نظام های مدیریت آموزشی</w:t>
      </w:r>
      <w:bookmarkEnd w:id="60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گذشته تعدادی نظام مدیریت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ام اس</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در دسترس قرار گرفت، و سال به سال </w:t>
      </w:r>
    </w:p>
    <w:p>
      <w:pPr>
        <w:pStyle w:val="BookText"/>
        <w:rPr/>
      </w:pPr>
      <w:r>
        <w:rPr>
          <w:rFonts w:ascii="IRNazanin" w:hAnsi="IRNazanin" w:eastAsia="IRNazanin"/>
          <w:color w:val="111111"/>
          <w:sz w:val="28"/>
          <w:sz w:val="28"/>
          <w:szCs w:val="28"/>
          <w:rtl w:val="true"/>
          <w:lang w:bidi="fa-IR"/>
        </w:rPr>
        <w:t>کامل تر و پیچیده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های رایانه ای خانگی رقومی، درج متون، تکالیف و مباحث درسی مدرسان را تحقق بخشیده و وظایف مدیریتی، نظارت، ارزیابی و کنترل هر یک از دوره ها یا کلاس های درسی به صورت غیر همزمان را فراهم آوردند بنابراین یک جلسه کلاس درس یا یک دوره می تواند در دسترس هر دانشجو در سراسر دنیا باشد، که در هر زمانی از شبانه روز بتواند فعالیت متقابل داشته و کار کند اگر دانشجو بتواند در مهلت مقرر کار خود را ارائه دهد مکان و زمان عوامل بی اهمیتی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تدریس، راحتی و آسودگی حاکم است و می تواند موفقیت آمیز باشد تا زمانی که دانشجو و استاد ارتباط خوبی با اینترنت و رایانه داشته باشند تمام اساتید برخط کارشناس ارشد رشته علوم کتابداری و اطلاع رسانی دانشگاه ایالتی سن خوزه </w:t>
      </w:r>
      <w:r>
        <w:rPr>
          <w:rStyle w:val="FootnoteAnchor"/>
          <w:rtl w:val="true"/>
        </w:rPr>
        <w:footnoteReference w:id="848"/>
      </w:r>
      <w:r>
        <w:rPr>
          <w:rFonts w:ascii="IRNazanin" w:hAnsi="IRNazanin" w:eastAsia="IRNazanin"/>
          <w:color w:val="111111"/>
          <w:sz w:val="28"/>
          <w:sz w:val="28"/>
          <w:szCs w:val="28"/>
          <w:rtl w:val="true"/>
          <w:lang w:bidi="fa-IR"/>
        </w:rPr>
        <w:t xml:space="preserve">از کتابخانه رقومی به عنوان گزینه ال ام اس استفاده می کنند و دانشکده در حال حاضر دانشجویانی از تمام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بیشتر استان های کانادا و بسیاری از کشورهای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 ام اس محیط اطلاع رسانی می تواند جامع بوده و یا مستلزم این باشد که دانشجو برای متون مورد نیاز دوره به اینترنت و یا کتابخانه رجوع کند به طور معمول معلم یا استاد می تواند هر آن چه را که دانشجو نیاز دارد در محتوای سخنرانی های برخط متون ،الکترونیک و دسترسی رقومی به مقاله های ادواری فراهم آورد؛ یا استاد می تواند طرح ساده ای از محتوا ترسیم کند و از دانشجویان بخواهد بیرون از ال ام اس اطلاعات مناسب را پیدا کنند در وهله اول در حالی که اندکی از مهارت های سواد اطلاعاتی تدریس می شود هرگونه آموزشی فراتر از آن مقدار کم، با افزایش دسترسی به اطلاعات بیرون امکان پذیر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در دانشگاه ایالتی سن خوزه پیوند به کتابخانه از کتابخانه مارتین لوترکینگ </w:t>
      </w:r>
      <w:r>
        <w:rPr>
          <w:rStyle w:val="FootnoteAnchor"/>
          <w:rtl w:val="true"/>
        </w:rPr>
        <w:footnoteReference w:id="849"/>
      </w:r>
      <w:r>
        <w:rPr>
          <w:rFonts w:ascii="IRNazanin" w:hAnsi="IRNazanin" w:eastAsia="IRNazanin"/>
          <w:color w:val="111111"/>
          <w:sz w:val="28"/>
          <w:sz w:val="28"/>
          <w:szCs w:val="28"/>
          <w:rtl w:val="true"/>
          <w:lang w:bidi="fa-IR"/>
        </w:rPr>
        <w:t xml:space="preserve">اغلب تعبیه شده </w:t>
      </w:r>
      <w:r>
        <w:rPr>
          <w:rStyle w:val="FootnoteAnchor"/>
          <w:rtl w:val="true"/>
        </w:rPr>
        <w:footnoteReference w:id="850"/>
      </w:r>
      <w:r>
        <w:rPr>
          <w:rFonts w:ascii="IRNazanin" w:hAnsi="IRNazanin" w:eastAsia="IRNazanin"/>
          <w:color w:val="111111"/>
          <w:sz w:val="28"/>
          <w:sz w:val="28"/>
          <w:szCs w:val="28"/>
          <w:rtl w:val="true"/>
          <w:lang w:bidi="fa-IR"/>
        </w:rPr>
        <w:t>و دسترسی، آموزش ها و برخی از مشاوره ها را به درخواست اساتید مختلف،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جایگزینی کتابدار در یک دوره خاص به عنوان مرجعی در زمان واقعی در حالی امکان پذیر است که یک عمل عادی در روابط مشارکتی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ال ام اس ها، بخش فرآیند تحقیق سواد اطلاعاتی باید توسعه یافته و شامل مهارت های فناوری، فنونی برای گفتگوهای کیفی در تالارهای گفتگو و مهارت های تشریک مساعی گروهی شود؛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هنگامی که گروه در سراسر جهان پخش شده باشند و باید تمام کارهای خود را از طریق رسانه های اجتماعی و یا اتاق های درون ال ام اس انجام دهند تولید محصولات مشترک نحوه ای که تولید شده اند و همچنین مثال هایی از نحوه اشتراک گذاری ،آن در میان سایر مهارت های نوین در </w:t>
      </w:r>
      <w:bookmarkStart w:id="607" w:name="pg9653_81963"/>
    </w:p>
    <w:p>
      <w:pPr>
        <w:pStyle w:val="BookText"/>
        <w:rPr/>
      </w:pPr>
      <w:bookmarkEnd w:id="607"/>
      <w:r>
        <w:rPr>
          <w:rFonts w:ascii="IRNazanin" w:hAnsi="IRNazanin" w:eastAsia="IRNazanin"/>
          <w:color w:val="111111"/>
          <w:sz w:val="28"/>
          <w:sz w:val="28"/>
          <w:szCs w:val="28"/>
          <w:rtl w:val="true"/>
          <w:lang w:bidi="fa-IR"/>
        </w:rPr>
        <w:t>بسیاری از کلاس های درون ال ام اس، عادی و رایج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معایب ال ام اس، رفتار از بالا به پایین در روش تدریس است، با این روش فرض بر این است که مدرس، مسئولیت کامل دوره را به عهده دارد تکالیف را دیکته می کند سرفصل ها را ایجاد کرده در فواصل زمانی مختلف آزمون برگزار می کند و به طور کلی فرماندهی کل دوره تحصیلی را بر عهده دارد این ساختار، از لحظه ای که مدرس با نظام رو در رو می شود، با انتخاب آن چه باید در صفحه اول وبگاه نشان داد،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که مزیت های اصلی مکان و زمان محو شده اند روش آموزش و تربیت سنتی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مدرس خلاق باشد امید است با روش سازنده تر به دانشجویان اجازه دهد تا دانش جدید را آزموده و به دست آورند بنابراین هر که با نظام کار کند لازم است طرح های آموزشی تجربی انجام دهد برای دانشجویان در محیط ال ام اس خودانگیزشی رفتاری کلیدی است دانشجویان معمولا ارتباط رو در رو در کلاس درس را با ساختار اجتماعی متفاوتی در فضای مجازی جایگزین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دوست دارند و برخی به خاطر راحتی با این محدودیت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گذشته، محیط های آموزشی جدید همراه با چالش ها و فرصت هایی برای بهتر آموختن به وجود آمدند و محتوای دانش از طریق آموزش ها و کاربرد ابزارهای نوین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گذشته دورانی که آموزش و آموختن فقط به صورت رودررو بود، مؤلفان این مقاله همانند بسیاری دیگر، در ارتقاء ابزارهای رقومی و آموزش مستقیم مشارکت کرده اند، مدل های سواد اطلاعاتی که در دهه 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Loertscher, David V. and Blanche Woolls. Information Literacy: a review of the Research. HiWillow Research *Publishing, 2002. Available from http://lmcsource.com</w:t>
      </w:r>
    </w:p>
    <w:p>
      <w:pPr>
        <w:pStyle w:val="BookText"/>
        <w:rPr/>
      </w:pPr>
      <w:r>
        <w:rPr>
          <w:rFonts w:ascii="IRNazanin" w:hAnsi="IRNazanin" w:eastAsia="IRNazanin"/>
          <w:color w:val="111111"/>
          <w:sz w:val="28"/>
          <w:sz w:val="28"/>
          <w:szCs w:val="28"/>
          <w:rtl w:val="true"/>
          <w:lang w:bidi="fa-IR"/>
        </w:rPr>
        <w:t>ظهور کردند در اشکال مختلفی به اجرا گذاشته شد جایی که توسعه در دنیای اطلاعات می تواند به ایجاد درک عمیق تر کمک کند، زیرا دانشجویان مهارت ها و فنون جدیدی را می آموزند همان گونه که زوکوفسکی پیش بینی کرده است این طیف گسترده از ابزارهای اطلاعاتی و کاربرد منابع اولیه به آنان کمک کرد تا راه حل های اطلاعاتی مناسبی برای مشکلاتشان طرح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اصلی استعداد موجب حرکت به سوی سازندگی شد</w:t>
      </w:r>
      <w:r>
        <w:rPr>
          <w:rFonts w:eastAsia="IRNazanin" w:cs="IRNazanin"/>
          <w:color w:val="111111"/>
          <w:sz w:val="28"/>
          <w:szCs w:val="28"/>
          <w:rtl w:val="true"/>
          <w:lang w:bidi="fa-IR"/>
        </w:rPr>
        <w:t>.</w:t>
      </w:r>
    </w:p>
    <w:p>
      <w:pPr>
        <w:pStyle w:val="Heading3"/>
        <w:numPr>
          <w:ilvl w:val="2"/>
          <w:numId w:val="1"/>
        </w:numPr>
        <w:rPr/>
      </w:pPr>
      <w:bookmarkStart w:id="608" w:name="__RefHeading___Toc7766692_2870459653"/>
      <w:bookmarkStart w:id="609" w:name="_Toc221"/>
      <w:bookmarkEnd w:id="608"/>
      <w:r>
        <w:rPr>
          <w:rtl w:val="true"/>
        </w:rPr>
        <w:t>حرکت به سوی سازندگی با استفاده از ال ام اس و ابزارهای ابداعی</w:t>
      </w:r>
      <w:bookmarkEnd w:id="60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های سازنده آموزشی موجب هدایت مدرسان و دانشجویان به سمت جوامع آموزشی همگون و </w:t>
      </w:r>
    </w:p>
    <w:p>
      <w:pPr>
        <w:pStyle w:val="BookText"/>
        <w:rPr/>
      </w:pPr>
      <w:r>
        <w:rPr>
          <w:rFonts w:ascii="IRNazanin" w:hAnsi="IRNazanin" w:eastAsia="IRNazanin"/>
          <w:color w:val="111111"/>
          <w:sz w:val="28"/>
          <w:sz w:val="28"/>
          <w:szCs w:val="28"/>
          <w:rtl w:val="true"/>
          <w:lang w:bidi="fa-IR"/>
        </w:rPr>
        <w:t>آموزش مبتنی بر اجرای طرح گردید با استفاده از این راهبرد مدرسان بیشتر وظیفه هدایت دارند تا دیکته کردن آن چه باید انجام شود؛ دانشجویان برای مطالبی که باید بیاموزند در اختیار خود هستند تا این که تکالیف را که توسط مدرس طراحی شده است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حل در زمینه این مسیر آموزش و آموختن نوین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اول استفاده از فناوری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سیاه همکار</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به جلسه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ادوب</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است که برای برگزاری جلسه های همزمان و طرح کاری که توسط ال ام اس،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نظارت و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طرح هایی که توسط دانشجویان ایجاد می شود چنین آمیزه ای از فناوری امکان می دهد تا مدرسان و دانشجویان ساختار کلاس بالا به پایین را به نفع کارگاه های گروهی کوچک و بزرگ کنار گذارند؛ کارگاه هایی که در حال برنامه ریزی تولید گفتگو و مباحثه حل مسایل و ساخت هوش مشارکتی در زمان واقعی هستند، در حالی که از لحاظ جغرافیایی بسیار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آموزش گزینه های مختلفی را ارائه می دهد که حل مشکلات خاص یا طرحی را که باید انجام شود تسهیل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اصلی برنامه زمانی عدم انعطاف پذیری آن است هنگامی که دانشجویان شرکت کننده از اروپا، آمریکای شمالی و کشورهای آسیایی باشند، برگزاری کلاس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وقت اقیانوس آرام در ایالات متحده امکان برگزاری جلسات در زمان مناسبی در سراسر آمریکای شمالی و ساعات صبحگاهی در آسیا فراهم می کند اما آن دسته که در اروپا هستند در صورتی که بخواهند در کلاس شرکت ،کنند رنج ساعت های غیر عادی درس در نیمه های شب را باید تحمل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تجربه ما، نخستین رویکرد ترکیبی، سهم یادگیری هر فرد یا کل گروه همکار را در یک ترم همسان سه ماهه افزایش می دهد هم زمان، سطح یادگیری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مهارت ها</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با مواجهه دانشجویان با فنون جدید، مهارت های نوین همکاری گروهی، و امکان انجام طرح های مشارکتی پیچیده تر باید ارتقاء یابد آموزش مبتنی بر طرح به طور خودکار دانشجو را به سوی دنیای اطلاعات هدایت می کند به نحوی که مهارت های سواد اطلاعاتی مورد نیاز به صورت نمایی رشد می یابد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روش دوم رویکرد ترکیبی که استفاده کرده ایم، فناوری ال ام اس کنار گذاشته شده و به جای آن، ابزار مشارکتی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رایگان است جایگزین می شود استفاده از ال ام اس ها گران قیمت است و این روش جایگزین، هزینه ها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سناریو کارگاهی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تخته </w:t>
      </w:r>
    </w:p>
    <w:p>
      <w:p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یا سایر فناوری ها برگزار می گردد که همراه با برخی از ابزارهای مورد استفاده برای ایجاد طرح مورد درخواست بوده، و دیگر مرکز و قلب دوره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استفاده از مجموعه کامل ابزارها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آموزش گوگل</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در وبگاه گوگل یا ابزارهای سازنده وب که ساختار دوره و برنامه رتبه بندی رایگان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جهت دسترسی به طرح های گوناگون که نیازهای دوره را تشکیل می دهد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در این محیط آموزشی استفاده از طیف گسترده ای از ارتباطات، همکاری سازندگی و مدیریت منابع را برای هدایت خود و هم کلاسی هایشان به سمت ایجاد تجربه شخصی و هوش مشارکتی می آموزند این جاست که دنیای سنتی اطلاعاتی به چالش کشیده می شود؛ ناگهان وفور ابزارهای فناوری برای محیط اطلاعاتی اینترنت جهان گستر در دسترس است که انجام موثر وظایف را مهیّا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محیط شبکه برخی از دانشجویان را وحشت زده کند، اما فرصت هایی برای رشد مهارت های یادگیری فراهم می آورد؛ همچنین درک محتوا به روش های از بالا به پایین در پیکره بندی ال ام اس های فعلی امکان پذیر نیست این موضوع در بخش بعدی مورد بحث و بررسی قرار می گیرد لکن شاید این مثال ها دو احتمال را روشن سازد نخستین مثال در سطح کلاس های دانشگاه است محلی که دانشجویان در برنامه آموزشی به مدارس کتابداری می روند و روش های جدید آموزش را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مثال، کتابدار دانشگاهی را توصیف می کند که در کلاس درس انگلیسی دانشکده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کلاس آموزش طراحی، گروه های دانشجویی آماده بررسی مطالعه وضعیت تحول از مقطع کودکستان، به واسطه تجربیات آموزش دبیرستانی، به طرح های در سطح عالی هستند که در آن مهارت های سواد اطلاعاتی برای قرن بیست و یک به نحوی جای گرفته که آموزش محتوا را عمیق تر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های مربوط به واحدهای همکاری را معلم کلاس درس و معلم کتابدار طراحی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یکی از نیازمندی های دانشجویان خبره، تشریک مساعی در طراحی ارزیابی است که به یادگیری محتوایی بپردازند همچنین مهارت های سواد اطلاعاتی تعیین شده قرن بیست و یک را ارزیابی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تمام واحدها تشکیل و رتبه بندی ،گردید کلیه کلاس ها با استفاده از کارگاه تخته سیاه همکار ، تمام ارزیابی های مربوط به یادگیری محتوایی را در ستونی از صفحه گوگل کپی </w:t>
      </w:r>
    </w:p>
    <w:p>
      <w:pPr>
        <w:pStyle w:val="BookText"/>
        <w:rPr/>
      </w:pPr>
      <w:r>
        <w:rPr>
          <w:rFonts w:ascii="IRNazanin" w:hAnsi="IRNazanin" w:eastAsia="IRNazanin"/>
          <w:color w:val="111111"/>
          <w:sz w:val="28"/>
          <w:sz w:val="28"/>
          <w:szCs w:val="28"/>
          <w:rtl w:val="true"/>
          <w:lang w:bidi="fa-IR"/>
        </w:rPr>
        <w:t>کردند، و تمام ارزیابی های مهارت های سواد اطلاعاتی را نیز در ستون دوم صفحه گوگل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کلاس، معیارهایی در زمینه مقیاس رتبه بندی برای ارزیابی عمق درک محتوا و فهرست معیارهای رتبه بندی دیگری برای تنوع و سطح پیچیدگی مهارت های سوادی که آموزش داده شده ایجاد کرد رتبه بندی برای تمام تغییر و تحول های مدارس ابتدایی راهنمایی و دبیرستان ارائه گشته و با آن معیارها دسته 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کلاس تجزیه و تحلیلی از تمام سه مورد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ارزیابیها در سطوح مختلف درک محتوا از مبتدی تا خبره را در بر می گرفت آن ها همچنین مهارت های جاسازی شده اطلاعاتی را از طرح سؤال تا تجزیه و تحلیل مهارت های سطح بالا پوشش می داد در پایه های مختلف الگوی جالبی از پیشرفت به سمت پیشرفت از سطح مبتدی در مدارس راهنمایی است اما به نظر می رسد که در ارزیابی دبیرستان تمایل بر این است که دوباره از پایه شروع شود و به سمت سطوح بالاتر و کامل تر پیش رود کاربرد صفحه گسترده امکان جمع آوری ارزیابی های مختلف تجارب یادگیری در زمان مناسب قضاوت هر ارزیابی براساس معیارها و در نهایت تجزیه و تحلیل داده ها در زمان واقعی را فراهم می آورد چنین فعالیت واقعی، تأمل مربی و هر فردی در کلاس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گروه، متوجه می شوند که تغییر و تحول ها خصوصیات نمونه ای از یادگیری محتوا را منعکس می کند که توسط سواد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به موقع</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تقویت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واحدهایی همانند این طراحی شده اند تا تضمین کنند دانش آموزانی که در کلاس های ابتدایی و راهنمایی درس می خوانند مهارت های ضروری برای موفقیت در دانشکده و دوران بزرگسالی را کسب می کنند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https://sites.google.com/site/school learningcommons</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کتابدار دانشگاهی، مارشا هادلی </w:t>
      </w:r>
      <w:r>
        <w:rPr>
          <w:rStyle w:val="FootnoteAnchor"/>
          <w:rtl w:val="true"/>
        </w:rPr>
        <w:footnoteReference w:id="861"/>
      </w:r>
      <w:r>
        <w:rPr>
          <w:rFonts w:ascii="IRNazanin" w:hAnsi="IRNazanin" w:eastAsia="IRNazanin"/>
          <w:color w:val="111111"/>
          <w:sz w:val="28"/>
          <w:sz w:val="28"/>
          <w:szCs w:val="28"/>
          <w:rtl w:val="true"/>
          <w:lang w:bidi="fa-IR"/>
        </w:rPr>
        <w:t>وظیفه کتابدار راهنما را در كتابخانه دانشگاه پذیرفته و به نحوه قراردادن خود در دانشکده های مختلف فکر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سالن کافه، تریا وی رئیس دانشکده زبان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 را می بیند و از او درخواست نشستی با یک عضو هیات علمی دیگر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صرف نهار، او متوجه شد که تمام دانشجویان تازه وارد زبان انگلیسی باید مقاله ای در زمینه موضوعی به دلخواه خود تهیه کنند هادلی تلاش های قبلی خود در زمینه آموزش و آشنایی دانشجویان تازه وارد با پایگاه های داده را بسیار زمان بر و بی فایده عنوان کرد وی علاقه مند بود که اگر ممکن است تلاش های خود را با مدرسانی که در مورد مقاله اختیاری دانشجویان فعالیت دارند هماهنگ کند رئیس گروه زبان انگلیسی از وی خواست طرحی را تهیه کند و برای هفته آینده همین موقع، زمان نهار ارائه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نشان داد به دلیل تعداد زیاد دانشجویانی که زبان انگلیسی زبان مادری آن ها نیست نرخ مردودی در این درس بسیار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بحث و بررسی های هفته بعد، تصمیم بر آن شد تا مطالعات تجربی در این زمینه انجام شده تا نتایج برای انتشار ارائه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ترجمه و ارتقاء مؤسسه های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دانشجوی زبان انگلیسی تازه وارد به دو گروه تجربی و کنترل تقسیم شدند چهار مربی هر کدام با چهار بخش داوطلب قرار گرفتن در گروه تجربی شدند مارشا برای هر مربی یک مرکز تولید دانش </w:t>
      </w:r>
      <w:r>
        <w:rPr>
          <w:rStyle w:val="FootnoteAnchor"/>
          <w:rtl w:val="true"/>
        </w:rPr>
        <w:footnoteReference w:id="862"/>
      </w:r>
      <w:r>
        <w:rPr>
          <w:rFonts w:ascii="IRNazanin" w:hAnsi="IRNazanin" w:eastAsia="IRNazanin"/>
          <w:color w:val="111111"/>
          <w:sz w:val="28"/>
          <w:sz w:val="28"/>
          <w:szCs w:val="28"/>
          <w:rtl w:val="true"/>
          <w:lang w:bidi="fa-IR"/>
        </w:rPr>
        <w:t>ایجاد کرد به جای آن که به همه دانشجویان اجازه داده شود موضوع های مختلفی را انتخاب کنند سه موضوع فراگیر اصلی که اغلب دانشجویان به آن علاقه مند هستند انتخاب شد هر کلاس، چه گروه تجربی و چه گروه کنترل، گروه هایی برای کار در هر یک از این سه موضوع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مارشا موارد زیر را انجام داد او سه ویدیوی کوتاه در زمینه نحوه جست وجو در پایگاه های داده مختلف و اینترنت برای سه موضوع و ویدیوی آموزشی کوتاهی در زمینه شیوۀ قضاوت کیفیت مقاله های بازیابی شده در اینترنت توسط دانشجویان تهیه کرد مارشا این ویدیوها را در مراکز تولید دانش برای هر مربی قرار داد؛ و میز گفتگوی مستقیم برای پاسخ گویی به پرسش های مطرح شده توسط دانشجویان در زمان مناسب در ساعت هایی که امکان پاسخ گویی داشتند ایجاد نمود و این جلسه های کمکی هفت روز هفته و بیست و چهار ساعته به عنوان صفحه های راهنما </w:t>
      </w:r>
      <w:r>
        <w:rPr>
          <w:rStyle w:val="FootnoteAnchor"/>
          <w:rtl w:val="true"/>
        </w:rPr>
        <w:footnoteReference w:id="863"/>
      </w:r>
      <w:r>
        <w:rPr>
          <w:rFonts w:ascii="IRNazanin" w:hAnsi="IRNazanin" w:eastAsia="IRNazanin"/>
          <w:color w:val="111111"/>
          <w:sz w:val="28"/>
          <w:sz w:val="28"/>
          <w:szCs w:val="28"/>
          <w:rtl w:val="true"/>
          <w:lang w:bidi="fa-IR"/>
        </w:rPr>
        <w:t>در دسترس قرار گرفت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کلاس در بخش گروه تجربی به گروه های موضوعی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تولید دانش هر گروه پرسش هایی را مطرح کرد و سپس مخزنی از ده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بلاگ یا ویدیو با استفاده از ویدئوهای کمکی و معیارهای کیفی مارشا تهیه کرد این مقاله ها در اسناد گوگل قرار گرفت تا این که هر عضو گروه بتواند نظرات، تعریف واژگان، ذکر مشکلات واقعی و هرگونه پیشنهاد دیگری را برای دیگر اعضای تیم خود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داده</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هر دانشجو مقالهٔ خود را نگاشته و برای هر مقاله حداقل دو دانشجوی دیگر نظرات خود را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علمی و مارشا به صورت تصادفی برای مقاله های تعدادی از دانشجویان نظرات خود را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زمان کلاس، هر گروه مقاله های فردی خود را با استفاده از مستندات سایت گوگل </w:t>
      </w:r>
      <w:r>
        <w:rPr>
          <w:rStyle w:val="FootnoteAnchor"/>
          <w:rtl w:val="true"/>
        </w:rPr>
        <w:footnoteReference w:id="865"/>
      </w:r>
      <w:r>
        <w:rPr>
          <w:rFonts w:ascii="IRNazanin" w:hAnsi="IRNazanin" w:eastAsia="IRNazanin"/>
          <w:color w:val="111111"/>
          <w:sz w:val="28"/>
          <w:sz w:val="28"/>
          <w:szCs w:val="28"/>
          <w:rtl w:val="true"/>
          <w:lang w:bidi="fa-IR"/>
        </w:rPr>
        <w:t>به یک مقاله گروهی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مربی قادر است تهیه هر سه مقاله را مشاهده و دیدگاه ها و توصیه های خود را در زمینه مقاله در زمان </w:t>
      </w:r>
      <w:bookmarkStart w:id="610" w:name="pg9653_81973"/>
    </w:p>
    <w:p>
      <w:pPr>
        <w:pStyle w:val="BookText"/>
        <w:rPr/>
      </w:pPr>
      <w:bookmarkEnd w:id="610"/>
      <w:r>
        <w:rPr>
          <w:rFonts w:ascii="IRNazanin" w:hAnsi="IRNazanin" w:eastAsia="IRNazanin"/>
          <w:color w:val="111111"/>
          <w:sz w:val="28"/>
          <w:sz w:val="28"/>
          <w:szCs w:val="28"/>
          <w:rtl w:val="true"/>
          <w:lang w:bidi="fa-IR"/>
        </w:rPr>
        <w:t>واقعی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 ویدیوی دیگری در زمینهٔ روش استناد منابع مختلف مورد استفاده دانشجویان برای مقاله های فردی و گروهی تهیه کرد سپس مربیان به مقاله های گروهی، از نظر محتوا نمره دادند و مارشا ارزیابی تصادفی از نحوه استناد آن 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مارشا و رئیس گروه به صورت تصادفی ده مقاله از گروه تجربی و ده مقاله از گروه کنترل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یک ارزیاب بیرونی برای ارزیابی مقاله ها از لحاظ کیفیت، استدلال کاربرد زبان انگلیسی و استنادها به کار گرفت در جلسه بعدی هیات علمی گروه محقق نتایج آزمایش را ارائه کرد در این جا، شما خوانندگان باید پایان داستان را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چه اتفاقی ممکن است افتاده باشد؟ آیا فکر می کنید ممکن است این روند در نیم سال بعدی نیز تکرار شود؟ فکر می کنید دانشجویانی که زبان مادریشان انگلیسی نیست، چگونه واکنش نشان می دهند؟</w:t>
      </w:r>
    </w:p>
    <w:p>
      <w:pPr>
        <w:pStyle w:val="Heading3"/>
        <w:numPr>
          <w:ilvl w:val="2"/>
          <w:numId w:val="1"/>
        </w:numPr>
        <w:rPr/>
      </w:pPr>
      <w:bookmarkStart w:id="611" w:name="__RefHeading___Toc7766694_2870459653"/>
      <w:bookmarkStart w:id="612" w:name="_Toc222"/>
      <w:bookmarkEnd w:id="611"/>
      <w:r>
        <w:rPr>
          <w:rtl w:val="true"/>
        </w:rPr>
        <w:t>بازتاب ها در زمینه اثرات فناوری بر آموزش محتوا و آموزش چگونه آموختن</w:t>
      </w:r>
      <w:bookmarkEnd w:id="612"/>
    </w:p>
    <w:p>
      <w:pPr>
        <w:pStyle w:val="BookText"/>
        <w:rPr/>
      </w:pPr>
      <w:r>
        <w:rPr>
          <w:rFonts w:ascii="IRNazanin" w:hAnsi="IRNazanin" w:eastAsia="IRNazanin"/>
          <w:color w:val="111111"/>
          <w:sz w:val="28"/>
          <w:sz w:val="28"/>
          <w:szCs w:val="28"/>
          <w:rtl w:val="true"/>
          <w:lang w:bidi="fa-IR"/>
        </w:rPr>
        <w:t xml:space="preserve">در دنیای کنونی، ابزارهای رایگان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مربیان فرصت های زیادی برای انتقال تجربه های آموزشی، از بالا به پایین به صورت سطحی یا شبکه ای فراهم می آورد و نیز فرصت های سازندگی در مکانی که مفهوم توسعه یافته سواد اطلاعاتی قرار داده شده آموزش در سطح عالی را که در محتوای قبلی امکان پذیر نبوده مهیا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در سمت چپ، مربی از بالا به پایین به عنوان طراح یا رهبر قرار دارد و در سمت راست فرصت های سازندگی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محیط های آموزشی از بالا به پایین به محیط های آموزشی شبکه ای </w:t>
      </w:r>
    </w:p>
    <w:p>
      <w:pPr>
        <w:pStyle w:val="BookText"/>
        <w:rPr/>
      </w:pPr>
      <w:r>
        <w:rPr>
          <w:rFonts w:ascii="IRNazanin" w:hAnsi="IRNazanin" w:eastAsia="IRNazanin"/>
          <w:color w:val="111111"/>
          <w:sz w:val="28"/>
          <w:sz w:val="28"/>
          <w:szCs w:val="28"/>
          <w:rtl w:val="true"/>
          <w:lang w:bidi="fa-IR"/>
        </w:rPr>
        <w:t xml:space="preserve">فرصت های بی شماری وجود دارد لورتشا و کشلن </w:t>
      </w:r>
      <w:r>
        <w:rPr>
          <w:rStyle w:val="FootnoteAnchor"/>
          <w:rtl w:val="true"/>
        </w:rPr>
        <w:footnoteReference w:id="866"/>
      </w:r>
      <w:r>
        <w:rPr>
          <w:rFonts w:ascii="IRNazanin" w:hAnsi="IRNazanin" w:eastAsia="IRNazanin"/>
          <w:color w:val="111111"/>
          <w:sz w:val="28"/>
          <w:sz w:val="28"/>
          <w:szCs w:val="28"/>
          <w:rtl w:val="true"/>
          <w:lang w:bidi="fa-IR"/>
        </w:rPr>
        <w:t xml:space="preserve">سه محیط برای استفاده در دنیای مجازی یا مادی برای آموزش عمومی و آموزش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شکل 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 عمومی آموزشی</w:t>
      </w:r>
    </w:p>
    <w:p>
      <w:pPr>
        <w:pStyle w:val="BookText"/>
        <w:rPr/>
      </w:pPr>
      <w:r>
        <w:rPr>
          <w:rFonts w:ascii="IRNazanin" w:hAnsi="IRNazanin" w:eastAsia="IRNazanin"/>
          <w:color w:val="111111"/>
          <w:sz w:val="28"/>
          <w:sz w:val="28"/>
          <w:szCs w:val="28"/>
          <w:rtl w:val="true"/>
          <w:lang w:bidi="fa-IR"/>
        </w:rPr>
        <w:t>همان گونه که در شکل فوق نشان داده شده است، در محیط های آموزش کوچک، مرکز تولید دانش که در بالا تعریف شده به عنوان و بگاهی به صورت محیط همکاری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محیط بوک تی کلاود </w:t>
      </w:r>
      <w:r>
        <w:rPr>
          <w:rStyle w:val="FootnoteAnchor"/>
          <w:rtl w:val="true"/>
        </w:rPr>
        <w:footnoteReference w:id="867"/>
      </w:r>
      <w:r>
        <w:rPr>
          <w:rFonts w:ascii="IRNazanin" w:hAnsi="IRNazanin" w:eastAsia="IRNazanin"/>
          <w:color w:val="111111"/>
          <w:sz w:val="28"/>
          <w:sz w:val="28"/>
          <w:szCs w:val="28"/>
          <w:rtl w:val="true"/>
          <w:lang w:bidi="fa-IR"/>
        </w:rPr>
        <w:t>متون پیچیده، ادبیات، هنر، یا اسناد در اتاق بازی قرارداده می شوند مکانی که دانشجویان توسط اساتید خود راهنمایی کتابداران و از طریق اینترنت، مطالبی را که نشانگر مفهوم موضوع مورد بررسی است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مهارت های سواد اطلاعاتی دانشجویان به عنوان تحقیقات خلاقانه درک عمیقی را ایجاد تسهیم و توسعه می دهند در محیط آموزشی شخصی </w:t>
      </w:r>
      <w:r>
        <w:rPr>
          <w:rStyle w:val="FootnoteAnchor"/>
          <w:rtl w:val="true"/>
        </w:rPr>
        <w:footnoteReference w:id="868"/>
      </w:r>
      <w:r>
        <w:rPr>
          <w:rFonts w:ascii="IRNazanin" w:hAnsi="IRNazanin" w:eastAsia="IRNazanin"/>
          <w:color w:val="111111"/>
          <w:sz w:val="28"/>
          <w:sz w:val="28"/>
          <w:szCs w:val="28"/>
          <w:rtl w:val="true"/>
          <w:lang w:bidi="fa-IR"/>
        </w:rPr>
        <w:t xml:space="preserve">فراگیران می آموزند که از آموزش های خود فرمان گیرند ابتدا از طریق ساختن یک درگاه به اینترنت، </w:t>
      </w:r>
    </w:p>
    <w:p>
      <w:pPr>
        <w:pStyle w:val="BookText"/>
        <w:rPr/>
      </w:pPr>
      <w:r>
        <w:rPr>
          <w:rFonts w:ascii="IRNazanin" w:hAnsi="IRNazanin" w:eastAsia="IRNazanin"/>
          <w:color w:val="111111"/>
          <w:sz w:val="28"/>
          <w:sz w:val="28"/>
          <w:szCs w:val="28"/>
          <w:rtl w:val="true"/>
          <w:lang w:bidi="fa-IR"/>
        </w:rPr>
        <w:t xml:space="preserve">سپس ساختن شبکه آموزش شخصی خود و بالاخره ساختن سبد </w:t>
      </w:r>
      <w:r>
        <w:rPr>
          <w:rStyle w:val="FootnoteAnchor"/>
          <w:rtl w:val="true"/>
        </w:rPr>
        <w:footnoteReference w:id="869"/>
      </w:r>
      <w:r>
        <w:rPr>
          <w:rFonts w:ascii="IRNazanin" w:hAnsi="IRNazanin" w:eastAsia="IRNazanin"/>
          <w:color w:val="111111"/>
          <w:sz w:val="28"/>
          <w:sz w:val="28"/>
          <w:szCs w:val="28"/>
          <w:rtl w:val="true"/>
          <w:lang w:bidi="fa-IR"/>
        </w:rPr>
        <w:t>شخصی و عمومی به عنوان نمایش اصلی از آن چه می دانند و آن چه به صورت مشارکتی با دیگران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یافته های لورتشا و کشلن، با توسعه محیط های آموزشی فوق، باید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مهارت های مورد نیاز در مشارکت کامل در چنین محیط هایی 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مؤلفه ها را که بحرانی تشخیص داده شده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مولفه های اصلی محیط های آموزشی</w:t>
      </w:r>
    </w:p>
    <w:p>
      <w:pPr>
        <w:pStyle w:val="BookText"/>
        <w:rPr/>
      </w:pPr>
      <w:r>
        <w:rPr>
          <w:rFonts w:ascii="IRNazanin" w:hAnsi="IRNazanin" w:eastAsia="IRNazanin"/>
          <w:color w:val="111111"/>
          <w:sz w:val="28"/>
          <w:sz w:val="28"/>
          <w:szCs w:val="28"/>
          <w:rtl w:val="true"/>
          <w:lang w:bidi="fa-IR"/>
        </w:rPr>
        <w:t>این محیط های جدید آموزشی در سراسر جهان به سرعت در حال رشد، اشتراک و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 كِلَس روم</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و کتابی که به تازگی در زمینه این طرح منتشر شده است</w:t>
      </w:r>
      <w:r>
        <w:rPr>
          <w:rFonts w:eastAsia="IRNazanin" w:cs="IRNazanin"/>
          <w:color w:val="111111"/>
          <w:sz w:val="28"/>
          <w:szCs w:val="28"/>
          <w:rtl w:val="true"/>
          <w:lang w:bidi="fa-IR"/>
        </w:rPr>
        <w:t xml:space="preserve">. </w:t>
      </w:r>
      <w:r>
        <w:rPr>
          <w:rStyle w:val="FootnoteAnchor"/>
          <w:rtl w:val="true"/>
        </w:rPr>
        <w:footnoteReference w:id="87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مرکز این تجربه های آموزشی فناوری های نوین مشارکتی قرار دارد که موجب پیشرفت آموزش می شود به روش هایی که قبلاً در کلاس های درسی سنتی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مثال می تواند آن چه را در مورد آن سخن می گوییم روشن سازد سند گوگل صفحهٔ سفیدی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است که چند دانشجو همزمان می توانند به روی آن بنویسند صفحه گستردۀ گوگل را می توان به عنوان داده هایی در زمان واقعی یا ابزار گردآوری نظرات به نحوی که تحلیل نظرات و داده ها در زمان واقعی، هنگامی که همگی همزمان نگاه، کار و فکر می کنند و می سازند امکان پذیر است ارائه مطلب گوگل را می توان </w:t>
      </w:r>
    </w:p>
    <w:p>
      <w:pPr>
        <w:pStyle w:val="BookText"/>
        <w:rPr/>
      </w:pPr>
      <w:r>
        <w:rPr>
          <w:rFonts w:ascii="IRNazanin" w:hAnsi="IRNazanin" w:eastAsia="IRNazanin"/>
          <w:color w:val="111111"/>
          <w:sz w:val="28"/>
          <w:sz w:val="28"/>
          <w:szCs w:val="28"/>
          <w:rtl w:val="true"/>
          <w:lang w:bidi="fa-IR"/>
        </w:rPr>
        <w:t xml:space="preserve">به صورت مشارکتی توسط افراد مختلف تا هفت نفر در زمان واقعی تهیه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مایند مایستر</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ابزار مشارکتی ساخت ذهنی نقشه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 ويشر </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نیز ابزار مشارکتی برای توفان مغزی </w:t>
      </w:r>
      <w:r>
        <w:rPr>
          <w:rStyle w:val="FootnoteAnchor"/>
          <w:rtl w:val="true"/>
        </w:rPr>
        <w:footnoteReference w:id="874"/>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گلوستر</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مثالی از ابزارهای مشارکتی برای پوسترها و تصاویر اطلاع رسانی </w:t>
      </w:r>
      <w:r>
        <w:rPr>
          <w:rStyle w:val="FootnoteAnchor"/>
          <w:rtl w:val="true"/>
        </w:rPr>
        <w:footnoteReference w:id="8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طیف گسترده ای از ابزارهای نوین به صورت جهانی در دسترس قرار می گیرند که رایگان و یا بسیار ارزان قیمت هستند بسیاری از سازمان های تخصصی یا تجاری، فهرست سالانه ای از انواع این ابزارها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در محیط نوین خلاقیت همه را به چالش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های آموزشی پیوسته در حال توسعه و رشد هستند و با هر فرصت نمایی جدید، آن چه کتابداران به عنوان سواد اطلاعاتی می شناسند گسترش می یابد نه تنها جوانان از مدارس گرفته تا دانشگاه و سپس به عنوان بزرگسال لازم است مهارت های تحقیقاتی خود را در مدل های رایج پرورش دهند بلکه لازم است سواد رسانه ای تفکر نقادانه </w:t>
      </w:r>
      <w:r>
        <w:rPr>
          <w:rStyle w:val="FootnoteAnchor"/>
          <w:rtl w:val="true"/>
        </w:rPr>
        <w:footnoteReference w:id="877"/>
      </w:r>
      <w:r>
        <w:rPr>
          <w:rFonts w:ascii="IRNazanin" w:hAnsi="IRNazanin" w:eastAsia="IRNazanin"/>
          <w:color w:val="111111"/>
          <w:sz w:val="28"/>
          <w:sz w:val="28"/>
          <w:szCs w:val="28"/>
          <w:rtl w:val="true"/>
          <w:lang w:bidi="fa-IR"/>
        </w:rPr>
        <w:t>عادت های ذهنی، خلاقیت، سواد اطلاعاتی و ارتباطی ارتباطات و مهارت های مشارکتی را جهت رقابت با دانش اقتصاد در سراسر جهان، رشد و بهبود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پیتر اچ دیاموندز و استیون کاتلر </w:t>
      </w:r>
      <w:r>
        <w:rPr>
          <w:rStyle w:val="FootnoteAnchor"/>
          <w:rtl w:val="true"/>
        </w:rPr>
        <w:footnoteReference w:id="878"/>
      </w:r>
      <w:r>
        <w:rPr>
          <w:rFonts w:ascii="IRNazanin" w:hAnsi="IRNazanin" w:eastAsia="IRNazanin"/>
          <w:color w:val="111111"/>
          <w:sz w:val="28"/>
          <w:sz w:val="28"/>
          <w:szCs w:val="28"/>
          <w:rtl w:val="true"/>
          <w:lang w:bidi="fa-IR"/>
        </w:rPr>
        <w:t xml:space="preserve">در کتابشان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آن چه تفکر می کنید</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بهتر است در زمینه استعداد آموزش شبکه ای بحث می کنند که می تواند مشکلات بزرگ جهانی را حل کند اگر تعداد کافی از مردم تخصص های خود را از طریق شبکه جهانی که اکنون به صورت نمایی در حال رشد هستند به اشتراک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احتمالات، سخنرانی های متعدد دایماندیس را در یوتیوب </w:t>
      </w:r>
      <w:r>
        <w:rPr>
          <w:rStyle w:val="FootnoteAnchor"/>
          <w:rtl w:val="true"/>
        </w:rPr>
        <w:footnoteReference w:id="880"/>
      </w:r>
      <w:r>
        <w:rPr>
          <w:rFonts w:ascii="IRNazanin" w:hAnsi="IRNazanin" w:eastAsia="IRNazanin"/>
          <w:color w:val="111111"/>
          <w:sz w:val="28"/>
          <w:sz w:val="28"/>
          <w:szCs w:val="28"/>
          <w:rtl w:val="true"/>
          <w:lang w:bidi="fa-IR"/>
        </w:rPr>
        <w:t>را نگاه کنید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توسعه سریع اطلاعات و فناوری های نوین محیط های سنتی کلاس های درس تحت تهاجم و حمله هستند روش های مرسوم آموزش و متون از پیش تعیین شده؛ جای خود را به فناوری های نوین، از قبیل کلاس های تلنگر زننده </w:t>
      </w:r>
      <w:r>
        <w:rPr>
          <w:rStyle w:val="FootnoteAnchor"/>
          <w:rtl w:val="true"/>
        </w:rPr>
        <w:footnoteReference w:id="881"/>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تمام کتابخانه ها روش های سنتی و از مد افتادۀ آموزش مهارت های سواد اطلاعاتی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معمول نامرتبط، خسته کننده، و در این محیط های نوین آموزش مجازی بی فایده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گذارند</w:t>
      </w:r>
      <w:r>
        <w:rPr>
          <w:rFonts w:eastAsia="IRNazanin" w:cs="IRNazanin"/>
          <w:color w:val="111111"/>
          <w:sz w:val="28"/>
          <w:szCs w:val="28"/>
          <w:rtl w:val="true"/>
          <w:lang w:bidi="fa-IR"/>
        </w:rPr>
        <w:t xml:space="preserve">. </w:t>
      </w:r>
      <w:bookmarkStart w:id="613" w:name="pg9653_81981"/>
    </w:p>
    <w:p>
      <w:pPr>
        <w:pStyle w:val="BookText"/>
        <w:rPr/>
      </w:pPr>
      <w:bookmarkEnd w:id="613"/>
      <w:r>
        <w:rPr>
          <w:rFonts w:ascii="IRNazanin" w:hAnsi="IRNazanin" w:eastAsia="IRNazanin"/>
          <w:color w:val="111111"/>
          <w:sz w:val="28"/>
          <w:sz w:val="28"/>
          <w:szCs w:val="28"/>
          <w:rtl w:val="true"/>
          <w:lang w:bidi="fa-IR"/>
        </w:rPr>
        <w:t>در هیچ زمانی برای کتابداران، تمام انواع کتابخانه ها چنین چالش برانگیز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دیوید لنکس </w:t>
      </w:r>
      <w:r>
        <w:rPr>
          <w:rStyle w:val="FootnoteAnchor"/>
          <w:rtl w:val="true"/>
        </w:rPr>
        <w:footnoteReference w:id="882"/>
      </w:r>
      <w:r>
        <w:rPr>
          <w:rFonts w:ascii="IRNazanin" w:hAnsi="IRNazanin" w:eastAsia="IRNazanin"/>
          <w:color w:val="111111"/>
          <w:sz w:val="28"/>
          <w:sz w:val="28"/>
          <w:szCs w:val="28"/>
          <w:rtl w:val="true"/>
          <w:lang w:bidi="fa-IR"/>
        </w:rPr>
        <w:t xml:space="preserve">در اطلس کتابداران نوین انتشارات ام آی تی،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چنین عنوان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کتابداران جديد خلق دانش است </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توجه کنید که نگفته ذخیره و بازیابی اطلاعات نقش اصلی را بر عهده دارد استادان علوم کتابداری و اطلاع رسانی امروزه با چالش آماده سازی دانشجویان دوره لیسانس، فوق لیسانس و حتی دکترا برای آینده ای که اساتیدشان هرگز در آن تحصیل نکرده اند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حرفه باید به سرعت حرکت کند، و گرنه به سرنوشت کالسکه های اسب کش که توسط وسائط نقلیه موتوری جایگزین و ناپدید شدند دچار خواهند شد اگر واکنشی از خود نشان ندهیم سایرین همانند فونیکس مرغ افسانه ای، در نقشی جدید برای عصر نوین به پا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در این حرفه باید بلافاصله تصمیم گیرد چگونه مرتبط باقی بماند همان گونه که وای ها رادا </w:t>
      </w:r>
      <w:r>
        <w:rPr>
          <w:rStyle w:val="FootnoteAnchor"/>
          <w:rtl w:val="true"/>
        </w:rPr>
        <w:footnoteReference w:id="88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است که ارزش رهبری دارد</w:t>
      </w:r>
      <w:r>
        <w:rPr>
          <w:rFonts w:eastAsia="IRNazanin" w:cs="IRNazanin"/>
          <w:color w:val="111111"/>
          <w:sz w:val="28"/>
          <w:szCs w:val="28"/>
          <w:rtl w:val="true"/>
          <w:lang w:bidi="fa-IR"/>
        </w:rPr>
        <w:t xml:space="preserve">". </w:t>
      </w:r>
      <w:r>
        <w:rPr>
          <w:rStyle w:val="FootnoteAnchor"/>
          <w:rtl w:val="true"/>
        </w:rPr>
        <w:footnoteReference w:id="886"/>
      </w:r>
    </w:p>
    <w:p>
      <w:pPr>
        <w:pStyle w:val="Heading3"/>
        <w:numPr>
          <w:ilvl w:val="2"/>
          <w:numId w:val="1"/>
        </w:numPr>
        <w:rPr/>
      </w:pPr>
      <w:bookmarkStart w:id="614" w:name="__RefHeading___Toc7766696_2870459653"/>
      <w:bookmarkStart w:id="615" w:name="_Toc223"/>
      <w:bookmarkEnd w:id="614"/>
      <w:r>
        <w:rPr>
          <w:rtl w:val="true"/>
        </w:rPr>
        <w:t>منابع</w:t>
      </w:r>
      <w:bookmarkEnd w:id="615"/>
    </w:p>
    <w:p>
      <w:pPr>
        <w:pStyle w:val="BookText"/>
        <w:rPr/>
      </w:pPr>
      <w:r>
        <w:rPr>
          <w:rFonts w:eastAsia="Times New Roman" w:cs="Times New Roman" w:ascii="Times New Roman" w:hAnsi="Times New Roman"/>
          <w:color w:val="111111"/>
          <w:sz w:val="28"/>
          <w:szCs w:val="28"/>
          <w:lang w:val="en-US" w:bidi="en-US"/>
        </w:rPr>
        <w:t>Diamandis, Peter H. and Steven Kotler.Abundance: The Future is Better than You Think. Free Press,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Lankes, R. David. Atlas of New Librarianship, MIT Press,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Lindsay, Julie and Vicki A. Davis. Flattening Classrooms, Engaging Minds: Move to Global</w:t>
      </w:r>
    </w:p>
    <w:p>
      <w:pPr>
        <w:pStyle w:val="BookText"/>
        <w:rPr/>
      </w:pPr>
      <w:r>
        <w:rPr>
          <w:rFonts w:eastAsia="Times New Roman" w:cs="Times New Roman" w:ascii="Times New Roman" w:hAnsi="Times New Roman"/>
          <w:color w:val="111111"/>
          <w:sz w:val="28"/>
          <w:szCs w:val="28"/>
          <w:lang w:val="en-US" w:bidi="en-US"/>
        </w:rPr>
        <w:t>Collaboration One Step at a Time. Allyn&amp; Bacon,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Loertscher, David V. and Blanche Woolls. Information Literacy: a review of the Research. Hi Willow Research Publishing, 2002. Available from http://lmcsource.com</w:t>
      </w:r>
    </w:p>
    <w:p>
      <w:pPr>
        <w:pStyle w:val="BookText"/>
        <w:rPr/>
      </w:pPr>
      <w:r>
        <w:rPr>
          <w:rFonts w:eastAsia="Times New Roman" w:cs="Times New Roman" w:ascii="Times New Roman" w:hAnsi="Times New Roman"/>
          <w:color w:val="111111"/>
          <w:sz w:val="28"/>
          <w:szCs w:val="28"/>
          <w:lang w:val="en-US" w:bidi="en-US"/>
        </w:rPr>
        <w:t>Loertscher, David V., Carol Koechlin, Sandi Zwaan, and Esther Rosenfeld. The New Learning</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Commons Where Learners Win.2nd ed., Learning Commons Press, 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Available from http://lmcsource.com</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Zurkowski, Paul G. The Information Service Environment Relationships and Priorities. National Commission on Libraries and Information Science, 1974, p. 6</w:t>
      </w:r>
      <w:r>
        <w:rPr>
          <w:rFonts w:eastAsia="Times New Roman" w:cs="Times New Roman" w:ascii="Times New Roman" w:hAnsi="Times New Roman"/>
          <w:color w:val="111111"/>
          <w:sz w:val="28"/>
          <w:szCs w:val="28"/>
          <w:rtl w:val="true"/>
          <w:lang w:val="en-US" w:bidi="en-US"/>
        </w:rPr>
        <w:t xml:space="preserve">. </w:t>
      </w:r>
      <w:bookmarkStart w:id="616" w:name="pg9653_81985"/>
    </w:p>
    <w:p>
      <w:pPr>
        <w:pStyle w:val="Heading2"/>
        <w:numPr>
          <w:ilvl w:val="1"/>
          <w:numId w:val="1"/>
        </w:numPr>
        <w:rPr/>
      </w:pPr>
      <w:bookmarkStart w:id="617" w:name="__RefHeading___Toc7766698_2870459653"/>
      <w:bookmarkStart w:id="618" w:name="_Toc224"/>
      <w:bookmarkEnd w:id="616"/>
      <w:bookmarkEnd w:id="617"/>
      <w:r>
        <w:rPr>
          <w:rtl w:val="true"/>
        </w:rPr>
        <w:t>چکیده</w:t>
      </w:r>
      <w:bookmarkEnd w:id="618"/>
    </w:p>
    <w:p>
      <w:pPr>
        <w:pStyle w:val="BookText"/>
        <w:rPr/>
      </w:pPr>
      <w:r>
        <w:rPr>
          <w:rFonts w:ascii="IRNazanin" w:hAnsi="IRNazanin" w:eastAsia="IRNazanin"/>
          <w:color w:val="111111"/>
          <w:sz w:val="28"/>
          <w:sz w:val="28"/>
          <w:szCs w:val="28"/>
          <w:rtl w:val="true"/>
          <w:lang w:bidi="fa-IR"/>
        </w:rPr>
        <w:t>مقاله حاضر در پی شرح مفهوم مدیریت چالاکی و نمایان ساختن چندین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های قابل ملاحظه و توسعه و پیشرفت در کتابخانه های دانشگاهی استرالیایی نشانگر هوشیاری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بکارگیری فنون مدیریت چابکی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مطالعه ی موردی، تغییرات در کتابخانه ی دانشگاهی نیوسات ولز </w:t>
      </w:r>
      <w:r>
        <w:rPr>
          <w:rStyle w:val="FootnoteAnchor"/>
          <w:rtl w:val="true"/>
        </w:rPr>
        <w:footnoteReference w:id="887"/>
      </w:r>
      <w:r>
        <w:rPr>
          <w:rFonts w:ascii="IRNazanin" w:hAnsi="IRNazanin" w:eastAsia="IRNazanin"/>
          <w:color w:val="111111"/>
          <w:sz w:val="28"/>
          <w:sz w:val="28"/>
          <w:szCs w:val="28"/>
          <w:rtl w:val="true"/>
          <w:lang w:bidi="fa-IR"/>
        </w:rPr>
        <w:t>از لحاظ مفاهیم مدیریت چالاکی مورد آزمایش قرار گرفت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چالاکی، مدیریت تغییر کتابخانه های دانشگاهی، خلاقیت یا نوآوری، کتابخانه های رقومی </w:t>
      </w:r>
      <w:bookmarkStart w:id="619" w:name="pg9653_81987"/>
    </w:p>
    <w:p>
      <w:pPr>
        <w:pStyle w:val="Heading2"/>
        <w:numPr>
          <w:ilvl w:val="1"/>
          <w:numId w:val="1"/>
        </w:numPr>
        <w:rPr/>
      </w:pPr>
      <w:bookmarkStart w:id="620" w:name="__RefHeading___Toc7766700_2870459653"/>
      <w:bookmarkStart w:id="621" w:name="_Toc225"/>
      <w:bookmarkEnd w:id="619"/>
      <w:bookmarkEnd w:id="620"/>
      <w:r>
        <w:rPr>
          <w:rtl w:val="true"/>
        </w:rPr>
        <w:t>مدیریت چالاکی</w:t>
      </w:r>
      <w:r>
        <w:rPr>
          <w:rtl w:val="true"/>
        </w:rPr>
        <w:t xml:space="preserve">: </w:t>
      </w:r>
      <w:r>
        <w:rPr>
          <w:rtl w:val="true"/>
        </w:rPr>
        <w:t xml:space="preserve">راهبردهایی برای موفقیت در مدت زمان تغییرات سریع </w:t>
      </w:r>
      <w:r>
        <w:rPr>
          <w:rtl w:val="true"/>
        </w:rPr>
        <w:t>(</w:t>
      </w:r>
      <w:r>
        <w:rPr>
          <w:rtl w:val="true"/>
        </w:rPr>
        <w:t>مطالعه موردی</w:t>
      </w:r>
      <w:r>
        <w:rPr>
          <w:rtl w:val="true"/>
        </w:rPr>
        <w:t xml:space="preserve">) </w:t>
      </w:r>
      <w:r>
        <w:rPr>
          <w:rtl w:val="true"/>
        </w:rPr>
        <w:t>یک کتابخانه دانشگاهی استرالیایی</w:t>
      </w:r>
      <w:bookmarkEnd w:id="621"/>
    </w:p>
    <w:p>
      <w:pPr>
        <w:pStyle w:val="Heading3"/>
        <w:numPr>
          <w:ilvl w:val="2"/>
          <w:numId w:val="1"/>
        </w:numPr>
        <w:rPr/>
      </w:pPr>
      <w:bookmarkStart w:id="622" w:name="__RefHeading___Toc7766702_2870459653"/>
      <w:bookmarkStart w:id="623" w:name="_Toc226"/>
      <w:bookmarkEnd w:id="622"/>
      <w:r>
        <w:rPr>
          <w:rtl w:val="true"/>
        </w:rPr>
        <w:t>اشاره</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چالاکی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راهبردهایی برای موفقیت در مدت زمان تغییرات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کتابخانه دانشگاهی استرالیایی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نوشته اندرو ولز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محبوبه ربیعی </w:t>
      </w:r>
      <w:r>
        <w:rPr>
          <w:rStyle w:val="FootnoteAnchor"/>
          <w:rtl w:val="true"/>
        </w:rPr>
        <w:footnoteReference w:id="890"/>
      </w:r>
    </w:p>
    <w:p>
      <w:pPr>
        <w:pStyle w:val="Heading3"/>
        <w:numPr>
          <w:ilvl w:val="2"/>
          <w:numId w:val="1"/>
        </w:numPr>
        <w:rPr/>
      </w:pPr>
      <w:bookmarkStart w:id="624" w:name="__RefHeading___Toc7766704_2870459653"/>
      <w:bookmarkStart w:id="625" w:name="_Toc227"/>
      <w:bookmarkEnd w:id="624"/>
      <w:r>
        <w:rPr>
          <w:rtl w:val="true"/>
        </w:rPr>
        <w:t>مقدمه</w:t>
      </w:r>
      <w:bookmarkEnd w:id="625"/>
    </w:p>
    <w:p>
      <w:pPr>
        <w:pStyle w:val="BookText"/>
        <w:rPr/>
      </w:pPr>
      <w:r>
        <w:rPr>
          <w:rFonts w:ascii="IRNazanin" w:hAnsi="IRNazanin" w:eastAsia="IRNazanin"/>
          <w:color w:val="111111"/>
          <w:sz w:val="28"/>
          <w:sz w:val="28"/>
          <w:szCs w:val="28"/>
          <w:rtl w:val="true"/>
          <w:lang w:bidi="fa-IR"/>
        </w:rPr>
        <w:t>مدیریت چالاکی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چالاکی عبارتی است که بیشتر در دنیای تجارت به کار می رود تا کتابخانه ها این عبارت بیشتر در محیط های تجاری و صنعتی برای تاکید بر نیاز به حرکت سریع و آسان در پاسخ به تغییرات در موارد اقتصادی و عوامل و نیروهای رقابتی به کار می رود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معانی لغت نامه انگلیسی آکسفورد برای کلمه چابکی توانایی یک شرکت یا فعالیت تغییر سریع در پاسخگویی به نیاز مشتری یا عوامل بازار است دیگر صفات مرتبط با چالاکی،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پذیری</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پذیری</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دهی</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اول بعید است که مدیریت چالاکی برای دانشگاه ها و کتابخانه هایشان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ها نوعا به لحاظ تغییر، چالاک به نظر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اغلب آن ها بوروکراتیک، محافظه کار و سنتی به نظر می رسند از دید بسیاری این ثبات حسن محسوب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می کوشند انطباق پذیر، انعطاف پذیر و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آن ها ناچارند که با احتیاط و منطبق با رویکردهای تکامل تدریجی که حالت منقلب و متغیر دارند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تحقیق در مفهوم مدیریت چالاکی، در تشخیص این که آیا این مفهوم مناسب است یا خیر، به 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دو کنگره ایفلا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حول محور مفهوم مدیریت چالاکی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و دسترسی موثر به کاربران</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نشان می دهد که کتابخانه ها به تطابق با رویکرد پاسخ دهی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ایده ها، نوآوری ها پیش بینی و انتظارات جدید در دنیای تجارت، در تاثیر رقابت در تولید محصولات و خدمات جدید منعکس شده است زمانی که کتابخانه ها تاریخچه ی مفتخری از نوآوری دارند، آزمودن این که آیا رویکردهای چالاکی همانند انعطاف پذیری پاسخ دهی و سرعت را منعکس می کنند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کوتاهی که اخیرا در نشریه مدیریت منتشر شده، پنج روش پیشنهاد می دهد برای این که تجارت چابک تر و نیرومندتر در مقابل چالش های اوضاع سخت و بد اقتصادی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برکین شاو </w:t>
      </w:r>
      <w:r>
        <w:rPr>
          <w:rFonts w:eastAsia="IRNazanin" w:cs="IRNazanin"/>
          <w:color w:val="111111"/>
          <w:sz w:val="28"/>
          <w:szCs w:val="28"/>
          <w:lang w:bidi="fa-IR"/>
        </w:rPr>
        <w:t>2012</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بکارگیری دیدگاه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 به مساله نگریستن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سازمان ها باید به طور فعالی بر مبادلات و نوآوری ها نظارت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به نظر می رسد که خیلی مناسب باشد برنامه ریزی ابزار مفیدی برای کمک به تشخیص و ارزیابی تغییرات صنعتی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یا پروراندن عقاید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پذیری</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مشاوران یا راهنمایان سازمان ها زمانی موفق خواهند بود که مناظره و مباحثه را تشویق کنند و آمادگی پذیرش و باور چالش 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ها مغرور و بی تفاوت نسبت به تغییرات ،شوند خطرناک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بسیار پراهمیت است که سازمان ها فعالیت های جدید را امتحان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یا تجربه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اگر این امر متضمّن راهنمایی و بازنشانی مجدد منابع به فعالیت های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حتی اگر نتیجه کار تکراری بود، باز هم نیاز به تجربه هست</w:t>
      </w:r>
      <w:r>
        <w:rPr>
          <w:rFonts w:eastAsia="IRNazanin" w:cs="IRNazanin"/>
          <w:color w:val="111111"/>
          <w:sz w:val="28"/>
          <w:szCs w:val="28"/>
          <w:rtl w:val="true"/>
          <w:lang w:bidi="fa-IR"/>
        </w:rPr>
        <w:t xml:space="preserve">) </w:t>
      </w:r>
      <w:bookmarkStart w:id="626" w:name="pg9653_81991"/>
    </w:p>
    <w:p>
      <w:pPr>
        <w:pStyle w:val="BookText"/>
        <w:rPr/>
      </w:pPr>
      <w:bookmarkEnd w:id="62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سادگی و یکنواختی</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برکین شاو تلاش برای تصمیم گیری با هدف توانایی در پاسخگو بودن به مثابه رشد فرصت ها را در خط مشی اولیه توصیه و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تاکید می کند که شرکت های چالاک از نوع بسیار ساده و یکنواخت با خط مشی های روشن و واضحی از وظایف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می کند که در این شرکت ها، اغلب کاربران اصلی خارج از منابع به آن ها اجازه می دهند که ظرفیت نیازشان را کاهش یا افزایش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سریع</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برعکس، گاهی اوقات منتظر ماندن، آماده کردن و ذخیره منابع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فرصتی به دست می آید سازمان می تواند به سرعت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روش برکین شاو در مدیریت چالاکی، در حیطه ی اوضاع اقتصادی بازارهای رقابتی مطرح شده است این حیطه ی موضوعی، همچنین در کتابخانه های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با کمبود بودجه و یا سایر فشارهای اقتصادی همانند افزایش قیمت منابع اطلاعاتی مواجه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محیطی دیگر، تغییر سریع محیط اطلاعاتی محققانه است زمانی که کاربران ترجیح می دهند و انتظار دارند که به محتوای محققانه یا ابزار متحرک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اصلی باعث القای عدم اطمینان به نقش آفرینان صنعت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 تهیه کنندگان، فروشندگان نظام های کتابخانه ای، ناشران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رقومی به سرعت فرارسیده و نیازمند پاسخ های چابکی بیشتری است آیا این اتفاق رخ داده است؟</w:t>
      </w:r>
    </w:p>
    <w:p>
      <w:pPr>
        <w:pStyle w:val="Heading3"/>
        <w:numPr>
          <w:ilvl w:val="2"/>
          <w:numId w:val="1"/>
        </w:numPr>
        <w:rPr/>
      </w:pPr>
      <w:bookmarkStart w:id="627" w:name="__RefHeading___Toc7766706_2870459653"/>
      <w:bookmarkStart w:id="628" w:name="_Toc228"/>
      <w:bookmarkEnd w:id="627"/>
      <w:r>
        <w:rPr>
          <w:rtl w:val="true"/>
        </w:rPr>
        <w:t>تغییرات در دبیرستان ها و کتابخانه های دانشگاهی استرالیایی</w:t>
      </w:r>
      <w:bookmarkEnd w:id="628"/>
    </w:p>
    <w:p>
      <w:pPr>
        <w:pStyle w:val="Heading4"/>
        <w:numPr>
          <w:ilvl w:val="3"/>
          <w:numId w:val="1"/>
        </w:numPr>
        <w:rPr/>
      </w:pPr>
      <w:bookmarkStart w:id="629" w:name="__RefHeading___Toc7766708_2870459653"/>
      <w:bookmarkStart w:id="630" w:name="_Toc229"/>
      <w:bookmarkEnd w:id="629"/>
      <w:r>
        <w:rPr>
          <w:rtl w:val="true"/>
        </w:rPr>
        <w:t>پیش زمینه</w:t>
      </w:r>
      <w:bookmarkEnd w:id="630"/>
    </w:p>
    <w:p>
      <w:pPr>
        <w:pStyle w:val="BookText"/>
        <w:rPr/>
      </w:pPr>
      <w:r>
        <w:rPr>
          <w:rFonts w:ascii="IRNazanin" w:hAnsi="IRNazanin" w:eastAsia="IRNazanin"/>
          <w:color w:val="111111"/>
          <w:sz w:val="28"/>
          <w:sz w:val="28"/>
          <w:szCs w:val="28"/>
          <w:rtl w:val="true"/>
          <w:lang w:bidi="fa-IR"/>
        </w:rPr>
        <w:t xml:space="preserve">بهتر است ابتدا پیشینه ای درباره نظام آموزشی دبیرستان های استرالیایی بیان کنیم منابع اطلاعاتی این بخش، برگرفته از آمارهای رسمی منتشر شده توسط بخش صنعت، </w:t>
      </w:r>
      <w:r>
        <w:rPr>
          <w:rStyle w:val="FootnoteAnchor"/>
          <w:rtl w:val="true"/>
        </w:rPr>
        <w:footnoteReference w:id="901"/>
      </w:r>
      <w:r>
        <w:rPr>
          <w:rFonts w:ascii="IRNazanin" w:hAnsi="IRNazanin" w:eastAsia="IRNazanin"/>
          <w:color w:val="111111"/>
          <w:sz w:val="28"/>
          <w:sz w:val="28"/>
          <w:szCs w:val="28"/>
          <w:rtl w:val="true"/>
          <w:lang w:bidi="fa-IR"/>
        </w:rPr>
        <w:t xml:space="preserve">نوآوری، </w:t>
      </w:r>
      <w:r>
        <w:rPr>
          <w:rStyle w:val="FootnoteAnchor"/>
          <w:rtl w:val="true"/>
        </w:rPr>
        <w:footnoteReference w:id="902"/>
      </w:r>
      <w:r>
        <w:rPr>
          <w:rFonts w:ascii="IRNazanin" w:hAnsi="IRNazanin" w:eastAsia="IRNazanin"/>
          <w:color w:val="111111"/>
          <w:sz w:val="28"/>
          <w:sz w:val="28"/>
          <w:szCs w:val="28"/>
          <w:rtl w:val="true"/>
          <w:lang w:bidi="fa-IR"/>
        </w:rPr>
        <w:t xml:space="preserve">تغییر آب وهوا، </w:t>
      </w:r>
      <w:r>
        <w:rPr>
          <w:rStyle w:val="FootnoteAnchor"/>
          <w:rtl w:val="true"/>
        </w:rPr>
        <w:footnoteReference w:id="903"/>
      </w:r>
      <w:r>
        <w:rPr>
          <w:rFonts w:ascii="IRNazanin" w:hAnsi="IRNazanin" w:eastAsia="IRNazanin"/>
          <w:color w:val="111111"/>
          <w:sz w:val="28"/>
          <w:sz w:val="28"/>
          <w:szCs w:val="28"/>
          <w:rtl w:val="true"/>
          <w:lang w:bidi="fa-IR"/>
        </w:rPr>
        <w:t xml:space="preserve">علوم، </w:t>
      </w:r>
      <w:r>
        <w:rPr>
          <w:rStyle w:val="FootnoteAnchor"/>
          <w:rtl w:val="true"/>
        </w:rPr>
        <w:footnoteReference w:id="904"/>
      </w:r>
      <w:r>
        <w:rPr>
          <w:rFonts w:ascii="IRNazanin" w:hAnsi="IRNazanin" w:eastAsia="IRNazanin"/>
          <w:color w:val="111111"/>
          <w:sz w:val="28"/>
          <w:sz w:val="28"/>
          <w:szCs w:val="28"/>
          <w:rtl w:val="true"/>
          <w:lang w:bidi="fa-IR"/>
        </w:rPr>
        <w:t xml:space="preserve">تحقیقات </w:t>
      </w:r>
      <w:r>
        <w:rPr>
          <w:rStyle w:val="FootnoteAnchor"/>
          <w:rtl w:val="true"/>
        </w:rPr>
        <w:footnoteReference w:id="905"/>
      </w:r>
      <w:r>
        <w:rPr>
          <w:rFonts w:ascii="IRNazanin" w:hAnsi="IRNazanin" w:eastAsia="IRNazanin"/>
          <w:color w:val="111111"/>
          <w:sz w:val="28"/>
          <w:sz w:val="28"/>
          <w:szCs w:val="28"/>
          <w:rtl w:val="true"/>
          <w:lang w:bidi="fa-IR"/>
        </w:rPr>
        <w:t xml:space="preserve">و آموزش سوم </w:t>
      </w:r>
      <w:r>
        <w:rPr>
          <w:rStyle w:val="FootnoteAnchor"/>
          <w:rtl w:val="true"/>
        </w:rPr>
        <w:footnoteReference w:id="906"/>
      </w:r>
      <w:r>
        <w:rPr>
          <w:rFonts w:ascii="IRNazanin" w:hAnsi="IRNazanin" w:eastAsia="IRNazanin"/>
          <w:color w:val="111111"/>
          <w:sz w:val="28"/>
          <w:sz w:val="28"/>
          <w:szCs w:val="28"/>
          <w:rtl w:val="true"/>
          <w:lang w:bidi="fa-IR"/>
        </w:rPr>
        <w:t xml:space="preserve">و شورای کتابخانه های دانشگاهی استرالیا </w:t>
      </w:r>
      <w:r>
        <w:rPr>
          <w:rStyle w:val="FootnoteAnchor"/>
          <w:rtl w:val="true"/>
        </w:rPr>
        <w:footnoteReference w:id="9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استرالیایی وجود دارد که از این میان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خصوصی اند که </w:t>
      </w:r>
      <w:bookmarkStart w:id="631" w:name="pg9653_81993"/>
    </w:p>
    <w:p>
      <w:pPr>
        <w:pStyle w:val="BookText"/>
        <w:rPr/>
      </w:pPr>
      <w:bookmarkEnd w:id="631"/>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ارائه خدمات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ها از طریق منابع دولتی و غیر دولتی تامین بودجه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به عبارت دیگر دولت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مخارج آن ها را می دهد و از طریق شهریه دانشجویان،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تامین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رشد شهریه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نشانگر رشد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کتابخانه های دانشگاهی نسبت به شهریه دانشگاه در این دوره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کتابخانه های دانشگاهی هزینه ها را کاهش دادند ثبت نام افزایش یافت بین سال 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ثبت نام از </w:t>
      </w:r>
      <w:r>
        <w:rPr>
          <w:rFonts w:eastAsia="IRNazanin" w:cs="IRNazanin"/>
          <w:color w:val="111111"/>
          <w:sz w:val="28"/>
          <w:szCs w:val="28"/>
          <w:lang w:bidi="fa-IR"/>
        </w:rPr>
        <w:t>695485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1111352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 که این افزایش نزدیک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هزینه های کتابخانه برای هر عضو آن به طور چشمگیری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دانشگاهی استرالیایی خود را در مواجهه با افزایش تقاضا برای خدمات و منابع دیدند در حالی که بودجه به تناسب آن افزایش نیافته بود</w:t>
      </w:r>
      <w:r>
        <w:rPr>
          <w:rFonts w:eastAsia="IRNazanin" w:cs="IRNazanin"/>
          <w:color w:val="111111"/>
          <w:sz w:val="28"/>
          <w:szCs w:val="28"/>
          <w:rtl w:val="true"/>
          <w:lang w:bidi="fa-IR"/>
        </w:rPr>
        <w:t>.</w:t>
      </w:r>
    </w:p>
    <w:p>
      <w:pPr>
        <w:pStyle w:val="Heading3"/>
        <w:numPr>
          <w:ilvl w:val="2"/>
          <w:numId w:val="1"/>
        </w:numPr>
        <w:rPr/>
      </w:pPr>
      <w:bookmarkStart w:id="632" w:name="__RefHeading___Toc7766710_2870459653"/>
      <w:bookmarkStart w:id="633" w:name="_Toc230"/>
      <w:bookmarkEnd w:id="632"/>
      <w:r>
        <w:rPr>
          <w:rtl w:val="true"/>
        </w:rPr>
        <w:t>چطور باید این مساله را مدیریت می کردند؟</w:t>
      </w:r>
      <w:bookmarkEnd w:id="633"/>
    </w:p>
    <w:p>
      <w:pPr>
        <w:pStyle w:val="Heading4"/>
        <w:numPr>
          <w:ilvl w:val="3"/>
          <w:numId w:val="1"/>
        </w:numPr>
        <w:rPr/>
      </w:pPr>
      <w:bookmarkStart w:id="634" w:name="__RefHeading___Toc7766712_2870459653"/>
      <w:bookmarkStart w:id="635" w:name="_Toc231"/>
      <w:bookmarkEnd w:id="634"/>
      <w:r>
        <w:rPr>
          <w:rtl w:val="true"/>
        </w:rPr>
        <w:t>خلاقیت و اطلاعات رقومی</w:t>
      </w:r>
      <w:bookmarkEnd w:id="635"/>
    </w:p>
    <w:p>
      <w:pPr>
        <w:pStyle w:val="BookText"/>
        <w:rPr/>
      </w:pPr>
      <w:r>
        <w:rPr>
          <w:rFonts w:ascii="IRNazanin" w:hAnsi="IRNazanin" w:eastAsia="IRNazanin"/>
          <w:color w:val="111111"/>
          <w:sz w:val="28"/>
          <w:sz w:val="28"/>
          <w:szCs w:val="28"/>
          <w:rtl w:val="true"/>
          <w:lang w:bidi="fa-IR"/>
        </w:rPr>
        <w:t>کتابخانه های دانشگاهی استرالیایی فرصت های ارائه شده توسط نشریات الکترونیکی را غنیمت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کتابخانه های دانشگاهی در اوایل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نشریات سیاست های خود را با نشريات الکترونیکی منطبق ساختند اغلب در مقابل مخالفت با کارمندان کتابخانه و دانشگاه آمارها نشان می دهد که مجموعه های چند جلدی که به مجموعه های کتابخانه ی دانشگاهی استرالیایی اضافه ،شد، از رقم </w:t>
      </w:r>
      <w:r>
        <w:rPr>
          <w:rFonts w:eastAsia="IRNazanin" w:cs="IRNazanin"/>
          <w:color w:val="111111"/>
          <w:sz w:val="28"/>
          <w:szCs w:val="28"/>
          <w:lang w:bidi="fa-IR"/>
        </w:rPr>
        <w:t>170889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34498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سال 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 که این معادل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رقم بیانگر میزان نشریاتی است که به قفسه ها اضافه نشده اند کتابخانه های دانشگاهی استرالیایی اشتراک منابع چاپی را متوقف کردند هنگامی که فایل های پشتیبان و جدید مثل جی اس تی اُ آر </w:t>
      </w:r>
      <w:r>
        <w:rPr>
          <w:rStyle w:val="FootnoteAnchor"/>
          <w:rtl w:val="true"/>
        </w:rPr>
        <w:footnoteReference w:id="908"/>
      </w:r>
      <w:r>
        <w:rPr>
          <w:rFonts w:ascii="IRNazanin" w:hAnsi="IRNazanin" w:eastAsia="IRNazanin"/>
          <w:color w:val="111111"/>
          <w:sz w:val="28"/>
          <w:sz w:val="28"/>
          <w:szCs w:val="28"/>
          <w:rtl w:val="true"/>
          <w:lang w:bidi="fa-IR"/>
        </w:rPr>
        <w:t>فراهم و آماده شد، بسیاری از کتابخانه ها نشریات خود را از قفسه ها برداشتند و آن ها را در مخازن گذاشتند یا به کلی از مجموعه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فضاهای خالی به کتابخانه ها این امکان را داد که فرصتی برای تغییر و اصلاح محیط های یادگیری و مطالعه برای دانشجویانی فراهم شود که از رشد مجموعه های چاپی رنج می برند که چرا بخش قابل ملاحظه ای از فضای ساختمان کتابخانه را اشغال </w:t>
      </w:r>
      <w:bookmarkStart w:id="636" w:name="pg9653_81995"/>
    </w:p>
    <w:p>
      <w:pPr>
        <w:pStyle w:val="BookText"/>
        <w:rPr/>
      </w:pPr>
      <w:bookmarkEnd w:id="636"/>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دانشگاهی استرالیایی از دیدن بررسی هایی که در پرسش های کاربران سایر ملیت ها انجام شده بود تعجب کردند که درجه ی رضایتمندی کاربران درباره نسخه های چاپی ادواری ها به نفع ویرایش های الکترونیکی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استرالیا بررسی این مساله دیگر غیر ضروری است که منابع چاپی به طور مداوم همراه کاهش قابل ملاحظه ی پرداخت حق اشتراک، در حال حذف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های دانشگاهی استرالیایی فضاهای مطالعه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یعنی از </w:t>
      </w:r>
      <w:r>
        <w:rPr>
          <w:rFonts w:eastAsia="IRNazanin" w:cs="IRNazanin"/>
          <w:color w:val="111111"/>
          <w:sz w:val="28"/>
          <w:szCs w:val="28"/>
          <w:lang w:bidi="fa-IR"/>
        </w:rPr>
        <w:t>60601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مطالعه به </w:t>
      </w:r>
      <w:r>
        <w:rPr>
          <w:rFonts w:eastAsia="IRNazanin" w:cs="IRNazanin"/>
          <w:color w:val="111111"/>
          <w:sz w:val="28"/>
          <w:szCs w:val="28"/>
          <w:lang w:bidi="fa-IR"/>
        </w:rPr>
        <w:t>76551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رسید این صرفا یک آمار است، و میزان خلاقیت، نوآوری و تجربه ای را که در فراهم ساختن مکان های مطالعه ی جدید بکار رفته است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صرفا در مورد افزودن اتاق های خصوصی برای مطالعه و یا افزودن ردیف های میز مطالعه نیست فضاهای جدید، شامل اتاق های مطالعه ،گروهی محیط های غیررسمی فناوری و انعطاف پذیری که تغییرات اساسی در تمرین های آموزش و یادگیری را حمایت می کند نیز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منعکس کننده ی بعضی روش های مدیریت چالاکی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 سریع نشریات الکترونیکی و جایگزین شدن آن ها 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مثال خوبی برای پیشی گرفتن نوآوری ها و بکارگیری خلاقیت است این انتقال در مواجهه با نظرات مخالف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از تجربه در کار نیز این جا وجود دارد فرصت های ارائه شده بوسیله واگذار کردن فضا کتابخانه های دانشگاهی را در انجام سریعتر و بهبود تجربه ی دانشجو افزودن ارزش خدمات ارائه شده به کاربران قادر می سازد این نخستین اقدامی بود که در انتقال از کتابخانه های چاپی به رقومی انجام شد اقدام بعدی فرصت های جدیدی را به ارمغان آورد</w:t>
      </w:r>
    </w:p>
    <w:p>
      <w:pPr>
        <w:pStyle w:val="Heading3"/>
        <w:numPr>
          <w:ilvl w:val="2"/>
          <w:numId w:val="1"/>
        </w:numPr>
        <w:rPr/>
      </w:pPr>
      <w:bookmarkStart w:id="637" w:name="__RefHeading___Toc7766714_2870459653"/>
      <w:bookmarkStart w:id="638" w:name="_Toc232"/>
      <w:bookmarkEnd w:id="637"/>
      <w:r>
        <w:rPr>
          <w:rtl w:val="true"/>
        </w:rPr>
        <w:t>مخازن رقومی و نقش های جدید</w:t>
      </w:r>
      <w:bookmarkEnd w:id="63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مهم دیگر در دهه ی اخیر، گسترش مخازن است بهتر است که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بکارگیری روش دید بیرونی در مدیریت چالاکی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کوچک از کتابخانه های دانشگاهی استرالیا، از فعالیتی که پلی تکنیک ویرجینیا </w:t>
      </w:r>
      <w:r>
        <w:rPr>
          <w:rStyle w:val="FootnoteAnchor"/>
          <w:rtl w:val="true"/>
        </w:rPr>
        <w:footnoteReference w:id="909"/>
      </w:r>
      <w:r>
        <w:rPr>
          <w:rFonts w:ascii="IRNazanin" w:hAnsi="IRNazanin" w:eastAsia="IRNazanin"/>
          <w:color w:val="111111"/>
          <w:sz w:val="28"/>
          <w:sz w:val="28"/>
          <w:szCs w:val="28"/>
          <w:rtl w:val="true"/>
          <w:lang w:bidi="fa-IR"/>
        </w:rPr>
        <w:t xml:space="preserve">رهبری کرد، آگاهی یافتند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ها و پایان نامه های کتابخانه رقومی شبکه ای </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مهم، انتشار پایان نامه های درجه بالا را توسط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نرم افزار توسعه یافته توسط پلی تکنیک ویرجینیا استفاده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امر نوآوری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کتابخانه ی دانشگاهی تحت نظارت و رهبری کتابخانه دانشگاه نیوسات </w:t>
      </w:r>
    </w:p>
    <w:p>
      <w:pPr>
        <w:pStyle w:val="BookText"/>
        <w:rPr/>
      </w:pPr>
      <w:r>
        <w:rPr>
          <w:rFonts w:ascii="IRNazanin" w:hAnsi="IRNazanin" w:eastAsia="IRNazanin"/>
          <w:color w:val="111111"/>
          <w:sz w:val="28"/>
          <w:sz w:val="28"/>
          <w:szCs w:val="28"/>
          <w:rtl w:val="true"/>
          <w:lang w:bidi="fa-IR"/>
        </w:rPr>
        <w:t xml:space="preserve">ولز، برای طرح تامین بودجه و سرمایه گذاری شورای تحقیقاتی استرالیا </w:t>
      </w:r>
      <w:r>
        <w:rPr>
          <w:rStyle w:val="FootnoteAnchor"/>
          <w:rtl w:val="true"/>
        </w:rPr>
        <w:footnoteReference w:id="911"/>
      </w:r>
      <w:r>
        <w:rPr>
          <w:rFonts w:ascii="IRNazanin" w:hAnsi="IRNazanin" w:eastAsia="IRNazanin"/>
          <w:color w:val="111111"/>
          <w:sz w:val="28"/>
          <w:sz w:val="28"/>
          <w:szCs w:val="28"/>
          <w:rtl w:val="true"/>
          <w:lang w:bidi="fa-IR"/>
        </w:rPr>
        <w:t>برای تکمیل و آزمایش نظام ان دی ال تی دی برنده شدند این یک مثال خوب برای تجربه از روش های دیگر مدیریت چالاکی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انجام شد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برنامه به صورت پایان نامه های رقومی استرالیایی </w:t>
      </w:r>
      <w:r>
        <w:rPr>
          <w:rStyle w:val="FootnoteAnchor"/>
          <w:rtl w:val="true"/>
        </w:rPr>
        <w:footnoteReference w:id="912"/>
      </w:r>
      <w:r>
        <w:rPr>
          <w:rFonts w:ascii="IRNazanin" w:hAnsi="IRNazanin" w:eastAsia="IRNazanin"/>
          <w:color w:val="111111"/>
          <w:sz w:val="28"/>
          <w:sz w:val="28"/>
          <w:szCs w:val="28"/>
          <w:rtl w:val="true"/>
          <w:lang w:bidi="fa-IR"/>
        </w:rPr>
        <w:t>تبدیل شد که شورای کتابخانه های دانشگاهی مدیریت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در این زمان به عنوان یک نوآوری مهم مورد توجه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گنونی،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برنامه پایان نامه های رقومی استرالیایی توسعه یافت به گونه ای که همه کتابخانه های دانشگاهی استرالیا و نیوزلند را در برگرفت و در این برنامه استفاده از نسخه های رقومی پایان نامه ها شرکت کردند پایان نامه های رقومی به شکل فعالیتی استاندارد درآمد و چندین دانشگاه هم اکنون در فرایند انجام و تکمیل پایان نامه های رقومی به عنوان نسخه های پیشینه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چاپی به رقومی برای برونداد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به خوبی در حال انجام است موفقیت برنامه پایان نامه های رقومی منجر به استفاده از دیدگاه بیرونی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های دانشگاهی استرالیا به توسعه و پیشرفت در نرم افزار مخازن سازمانی آگاهی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که پایان نامه های رقومی می توانند مخازن سازمانی را تامین کنند که شامل سایر بروندادهای تحقیقاتی به شکل های مختلف به طور گسترده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دولت در منابع پیوسته تحقیقاتی استرالیایی در سطح جهانی </w:t>
      </w:r>
      <w:r>
        <w:rPr>
          <w:rStyle w:val="FootnoteAnchor"/>
          <w:rtl w:val="true"/>
        </w:rPr>
        <w:footnoteReference w:id="914"/>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بود، تجربه بیشتری داشت این طرح که توسط کتابخانه دانشگاه موناش </w:t>
      </w:r>
      <w:r>
        <w:rPr>
          <w:rStyle w:val="FootnoteAnchor"/>
          <w:rtl w:val="true"/>
        </w:rPr>
        <w:footnoteReference w:id="915"/>
      </w:r>
      <w:r>
        <w:rPr>
          <w:rFonts w:ascii="IRNazanin" w:hAnsi="IRNazanin" w:eastAsia="IRNazanin"/>
          <w:color w:val="111111"/>
          <w:sz w:val="28"/>
          <w:sz w:val="28"/>
          <w:szCs w:val="28"/>
          <w:rtl w:val="true"/>
          <w:lang w:bidi="fa-IR"/>
        </w:rPr>
        <w:t xml:space="preserve">انجام شده بود هدف کلیدی آن شناسایی نرم افزارها و راه حل هایی برای بهترین تمرین برای مخازن سازمانی بود که بتوانند ذخیره ی بروندادهای تحقیقاتی را در هر شکلی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گروئن و گن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برنامه جهشی منابع پیوسته تحقیقاتی استرالیا یکی از تجاربی بود که منجر به استاندارد شدن فعالیت های مخازن سازمانی در کتابخانه های دانشگاهی استرالیا شد عواملی که انجام شد شامل تطبیق دانشگاه ها برای نایل شدن به دسترسی باز بود همانند دانشگاه فناوری کویینزلند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تمرین های ارزیابی تحقیقاتی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تحقیق، عالی بودن در تحقیقات استرالیا</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که نیازمند بود دانشگاه ها مخازن خود را با آثاری که توسط محققان دانشگاه نوشته شده اشباع کنند</w:t>
      </w:r>
      <w:r>
        <w:rPr>
          <w:rFonts w:eastAsia="IRNazanin" w:cs="IRNazanin"/>
          <w:color w:val="111111"/>
          <w:sz w:val="28"/>
          <w:szCs w:val="28"/>
          <w:rtl w:val="true"/>
          <w:lang w:bidi="fa-IR"/>
        </w:rPr>
        <w:t xml:space="preserve">. </w:t>
      </w:r>
      <w:bookmarkStart w:id="639" w:name="pg9653_81999"/>
    </w:p>
    <w:p>
      <w:pPr>
        <w:pStyle w:val="BookText"/>
        <w:rPr/>
      </w:pPr>
      <w:bookmarkEnd w:id="639"/>
      <w:r>
        <w:rPr>
          <w:rFonts w:ascii="IRNazanin" w:hAnsi="IRNazanin" w:eastAsia="IRNazanin"/>
          <w:color w:val="111111"/>
          <w:sz w:val="28"/>
          <w:sz w:val="28"/>
          <w:szCs w:val="28"/>
          <w:rtl w:val="true"/>
          <w:lang w:bidi="fa-IR"/>
        </w:rPr>
        <w:t>این فعالیت ها ادامه یافت تا کتابخانه های دانشگاهی استرالیا مقابل نقش های جدید در حمایت تحقیق قرار گرفتند تکمیل و انجام تمرین های ارزیابی، تحقیق فرصت هایی را برای توسعه خدمات جدید در جهت تحت پوشش قرار دادن کتاب سنجی های دانشگاهی و اندازه گیری تحقیق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کتابخانه ها خدمات مدیریتی داده های تحقیقاتی و سودیابی از فرصت هایی برای تجربه کردن توسط خدمات داده های ملی استرالیا </w:t>
      </w:r>
      <w:r>
        <w:rPr>
          <w:rStyle w:val="FootnoteAnchor"/>
          <w:rtl w:val="true"/>
        </w:rPr>
        <w:footnoteReference w:id="918"/>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مخازن خط مشی را برای توسعه خدمات جدید برای حمایت از تحقیقاتی که در حال انجام است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مدیریت چالاکی در این جا شامل دیدگاه بیرونی است که ناظر بر خلاقیت و تمایل و رضایتمندی تجربه انجام کار است زمانی که بودجه ی دولت برخی منابع را تامین می کند نیاز هست که کتابخانه ها منابع شان را به سمت حمایت از تجربه سوق دهند مشاوران و راهنمایان دریافتند که بودجه ی طرحی خارجی فقط مقداری از هزینه ها را می تواند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طریق منابع داخلی باید پرداخت شود این مثالی برای مدیریت چابکی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بکارگیری پنج روش برکین شاو، ویژگی های مدیریت چالاکی را در میان کتابخانه های دانشگاهی استرالیا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دیگری نیز برای نوآوری و خلاقیت وجود دارد که شامل کیفیت برنامه ها توسعه کارمندان و حمایت از آموزش و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همه کتابخانه ها با خط مشی مشابه می توانند این موارد را انجام دهند به ،هر حال تغییر و تبدیل در همه کتابخانه ها در بیش از یک دهه مشخص است بنابراین آزمایش ملموس از یک کتابخانه ی دانشگاهی که ما انجام دادیم، در ادامه آمده است</w:t>
      </w:r>
      <w:r>
        <w:rPr>
          <w:rFonts w:eastAsia="IRNazanin" w:cs="IRNazanin"/>
          <w:color w:val="111111"/>
          <w:sz w:val="28"/>
          <w:szCs w:val="28"/>
          <w:rtl w:val="true"/>
          <w:lang w:bidi="fa-IR"/>
        </w:rPr>
        <w:t>.</w:t>
      </w:r>
    </w:p>
    <w:p>
      <w:pPr>
        <w:pStyle w:val="Heading3"/>
        <w:numPr>
          <w:ilvl w:val="2"/>
          <w:numId w:val="1"/>
        </w:numPr>
        <w:rPr/>
      </w:pPr>
      <w:bookmarkStart w:id="640" w:name="__RefHeading___Toc7766716_2870459653"/>
      <w:bookmarkStart w:id="641" w:name="_Toc233"/>
      <w:bookmarkEnd w:id="640"/>
      <w:r>
        <w:rPr>
          <w:rtl w:val="true"/>
        </w:rPr>
        <w:t>مدیریت چالاکی در کتابخانه یو اِن اِس دبلیو</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چالاکی در کتابخانه یو ان اس دبلیو </w:t>
      </w:r>
      <w:r>
        <w:rPr>
          <w:rStyle w:val="FootnoteAnchor"/>
          <w:rtl w:val="true"/>
        </w:rPr>
        <w:footnoteReference w:id="91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نیوسات ولز، یکی از مهمترین دانشگاه های تحقیقات محور در سیدنی است که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شده است کتابخانه یوان اس دبلیو در محیط عملیاتی اش در دهه ی اخیر، با تغییرات سریعی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محیط اطلاعاتی چالشی برای همه کتابخانه های دانشگاهی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آیندهی خود را به عنوان یک کتابخانه ی رقومی می بیند و این را به طور منظم برای کاربران و مدیریت ارشد کتابخانه اظهار داشته است دانشگاه نیوسات ولز رشد سریعی در ثبت نام از این طریق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دوره سال 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معادل تمام وقت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28381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37020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دوره زمانی بودجه کتابخانه از این طریق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درخواست های آگاهانه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خیلی هوشیارانه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چالاکی، اهمیت خدمات و منابع را موجب شده است به هر حال پیشنهادات و توصیه های برکین شاو مبنی بر فرهنگ و دستورالعمل ساده سازی و هم سطح سازی سازمانی بسیار مناسب است توانایی کتابخانه در پاسخ دهی و رشد چالاکی، از یک روند برای ساده ساختن ساختار آن است روند ساده سازی به سختی چالاک و چابک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ساختاری اساسی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برونداد و نتیجه ی فرایندی بود 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کار کرده بود این شروع برنامه ریزی سناریویی بود که دیدگاهی را برای کتابخانه یو آن اس دبلیو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یک روند آرام و با حالت مشاوره ای بالا بود فایده ی آن توافق ایجاد شده بود که کتابخانه نیازمند تغییر در مواجهه با تغییرات اساسی در محیط اطلاعاتی داشت دستورالعمل این کتابخانه به صورت یک کتابخانه ی نظم محور ویژه طراحی شده که زمانی که منابع چاپی در آن غالب بود ایجاد شده بود روند برنامه ریزی این طرح نیاز به انتقال را مشخص کرد از یک ساختار و دستورالعمل که برای حمایت خدمات چاپی طراحی شده بود که تاکید بر منابع فیزیکی در تقابل بین کاربران و کارمندان و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مدل خدمات در بین کتابخانه ها هزینه هایی برای محافظت در برداشت که محدود به توانایی کتابخانه بود در بکارگیری منابع در خلاقیت و کسب تجربه که برای انتقال به کتابخانه رقومی شدن لازم است نتیجه ی چنین کاری تغییر اساسی کتابخانه های تخصصی بود که با یک ساختار ساده جایگزین شده بود و تاکید می کرد کتابخانه ی یو ان اس دبلیو، یک کتابخانه است نه چندین کتابخانه مقدار منابع بکار گرفته شده در مدیریت خدمات رقومی به طور مداوم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یکی از سه بخشی بود که خدمات کتابخانه رقومی نامیده می شدند دو بخش دیگر خدمات اطلاعاتی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کاربری و دانشگاهی</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و خدمات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فیزیکی و خدمات تنالگانی</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این ساختار مربوط به کتابخانه ای نیست که عمده منابع اش چاپی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تقسیم بندی به صورت اتاق جلویی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پشتی و بخش خدمات فنی موجود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بودجه، برای منابع اطلاعاتی در منابع پیوسته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که با توجه به غالب بودن خدمات و اطلاعات رقومی ضروری می نماید تاکید بیشتر برای پیشبرد نیازهای ترکیب مختلفی از جمعیت باسواد فنی موجود است این ساده سازی ساختار کتابخانه را برای تغییرات سریع در ثبت نام با منابع کمتر و انجام رفتار و منش چابکی قادر می سازد</w:t>
      </w:r>
    </w:p>
    <w:p>
      <w:pPr>
        <w:pStyle w:val="BookText"/>
        <w:rPr/>
      </w:pPr>
      <w:r>
        <w:rPr>
          <w:rFonts w:ascii="IRNazanin" w:hAnsi="IRNazanin" w:eastAsia="IRNazanin"/>
          <w:color w:val="111111"/>
          <w:sz w:val="28"/>
          <w:sz w:val="28"/>
          <w:szCs w:val="28"/>
          <w:rtl w:val="true"/>
          <w:lang w:bidi="fa-IR"/>
        </w:rPr>
        <w:t>در این جا برخی مثال های قابل توجه را ذکر می نماییم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وجود میز در کتابخانه ما هیچ میزی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کاربران به نحو مناسبی </w:t>
      </w:r>
    </w:p>
    <w:p>
      <w:pPr>
        <w:pStyle w:val="BookText"/>
        <w:rPr/>
      </w:pPr>
      <w:r>
        <w:rPr>
          <w:rFonts w:ascii="IRNazanin" w:hAnsi="IRNazanin" w:eastAsia="IRNazanin"/>
          <w:color w:val="111111"/>
          <w:sz w:val="28"/>
          <w:sz w:val="28"/>
          <w:szCs w:val="28"/>
          <w:rtl w:val="true"/>
          <w:lang w:bidi="fa-IR"/>
        </w:rPr>
        <w:t>طبقه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منبع فرسوده بکار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 از بکارگیری روش دید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الگوهای خدمات مشتری مدار در سایر محیط ها نظیر بانک ها و فرودگاه ها افکار ما را تحت تاثیر قرار می دهد این روش موفق عمل کرد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کارمندان در یک فضا و جو دوستانه تر با هم در برخورد و مراوده بودند این تغییر به سرعت انجام شد در یک دوره سه ماهه این مساله نیاز به ایده ها و مشاوره ی گسترده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خودیاری</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کتابخانه ناچار است مدل خدماتی را گسترش دهد که ثبت نام با یک بودجه ی نسبتا ثابت را افزایش دهد کمک به ،خود راهبردی هوشمندانه است که مناسب محیط های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با جستجو و انجام امور به شکل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 توسط خود کاربران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نرم افزار رایت ناو </w:t>
      </w:r>
      <w:r>
        <w:rPr>
          <w:rStyle w:val="FootnoteAnchor"/>
          <w:rtl w:val="true"/>
        </w:rPr>
        <w:footnoteReference w:id="923"/>
      </w:r>
      <w:r>
        <w:rPr>
          <w:rFonts w:ascii="IRNazanin" w:hAnsi="IRNazanin" w:eastAsia="IRNazanin"/>
          <w:color w:val="111111"/>
          <w:sz w:val="28"/>
          <w:sz w:val="28"/>
          <w:szCs w:val="28"/>
          <w:rtl w:val="true"/>
          <w:lang w:bidi="fa-IR"/>
        </w:rPr>
        <w:t>دانش پایه ای را در پاسخگویی به نیازهای مراجعه کنندگان بوجود آورد این راهبرد کتابخانه را به سوی پیشبرد فهم و بازخورد خدمات برای محیط اطلاعاتی رقومی غالب،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ان اس دبلیو تقریبا نزدیک به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به منظور هماهنگ کردن خدمات این کتابخانه متناسب با بودجه اش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انجام کارها یا انجام آن ها به شیوه ای متفاوت</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کتابداران دریافتند که انجام کار مشکل است اما ارائه هر خدمتی نیازمند آزمون مداوم است عمل کلیدی و مهم این بود که کلاس های رودرروی سواد اطلاعاتی متوقف شده و به محیط آنلاین تبدیل شود که متناسب با کتابخانه ی رقومی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اطلاعاتی را نمی توان با مقیاسی اندازه گیری و درجه بندی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دانشجویان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سواد فنی و فناوری دانشجویان و سبک های آموزشی که غالبا به کار می رود که کهنه شده و به روز نیستند نمی شود اکتفا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انجام کارها به منظور اختصاص منابع برای فعالیت های جدید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تغییر ساختار، ما را در خدمات مرجع و مدل سواد اطلاعاتی در بررسی مجدد منابع حرفه ای قابل ملاحظه کارمندان کمک کرد تا خدمات اطلاعاتی جدید کتابخانه را گسترش دهند که حمایت کننده و پشتیبان تحقیقات باشد همانند میزان تاثیر تحقیق و کتاب سنجی ها همچنین منابع برای تلاش بیشتر به منظور ارتباط با کارمندان دانشگاه مورد توجه مجدد قرار گرفت</w:t>
      </w:r>
      <w:r>
        <w:rPr>
          <w:rFonts w:eastAsia="IRNazanin" w:cs="IRNazanin"/>
          <w:color w:val="111111"/>
          <w:sz w:val="28"/>
          <w:szCs w:val="28"/>
          <w:rtl w:val="true"/>
          <w:lang w:bidi="fa-IR"/>
        </w:rPr>
        <w:t xml:space="preserve">. </w:t>
      </w:r>
      <w:bookmarkStart w:id="642" w:name="pg9653_82006"/>
    </w:p>
    <w:p>
      <w:pPr>
        <w:pStyle w:val="BookText"/>
        <w:rPr/>
      </w:pPr>
      <w:bookmarkEnd w:id="642"/>
      <w:r>
        <w:rPr>
          <w:rFonts w:ascii="IRNazanin" w:hAnsi="IRNazanin" w:eastAsia="IRNazanin"/>
          <w:color w:val="111111"/>
          <w:sz w:val="28"/>
          <w:sz w:val="28"/>
          <w:szCs w:val="28"/>
          <w:rtl w:val="true"/>
          <w:lang w:bidi="fa-IR"/>
        </w:rPr>
        <w:t>زمانی که مدیریت دانشگاه یو ان اس دبلیو به طور هوشمندانه عبارت مدیریت چالاکی را برای شرح رویکرد و خط مشی اش بکار نبرد بسیاری از روش های مدیریتی که توسط برکین شاو شرح داده شد از عهده ی چالش های تغییرات سریع برآمد</w:t>
      </w:r>
      <w:r>
        <w:rPr>
          <w:rFonts w:eastAsia="IRNazanin" w:cs="IRNazanin"/>
          <w:color w:val="111111"/>
          <w:sz w:val="28"/>
          <w:szCs w:val="28"/>
          <w:rtl w:val="true"/>
          <w:lang w:bidi="fa-IR"/>
        </w:rPr>
        <w:t>.</w:t>
      </w:r>
    </w:p>
    <w:p>
      <w:pPr>
        <w:pStyle w:val="Heading3"/>
        <w:numPr>
          <w:ilvl w:val="2"/>
          <w:numId w:val="1"/>
        </w:numPr>
        <w:rPr/>
      </w:pPr>
      <w:bookmarkStart w:id="643" w:name="__RefHeading___Toc7766718_2870459653"/>
      <w:bookmarkStart w:id="644" w:name="_Toc234"/>
      <w:bookmarkEnd w:id="643"/>
      <w:r>
        <w:rPr>
          <w:rtl w:val="true"/>
        </w:rPr>
        <w:t>منابع</w:t>
      </w:r>
      <w:r>
        <w:rPr>
          <w:rtl w:val="true"/>
        </w:rPr>
        <w:t>:</w:t>
      </w:r>
      <w:bookmarkEnd w:id="644"/>
    </w:p>
    <w:p>
      <w:pPr>
        <w:pStyle w:val="BookText"/>
        <w:rPr/>
      </w:pPr>
      <w:r>
        <w:rPr>
          <w:rFonts w:eastAsia="Times New Roman" w:cs="Times New Roman" w:ascii="Times New Roman" w:hAnsi="Times New Roman"/>
          <w:color w:val="111111"/>
          <w:sz w:val="28"/>
          <w:szCs w:val="28"/>
          <w:lang w:val="en-US" w:bidi="en-US"/>
        </w:rPr>
        <w:t>Birkinshaw, J. (2012), "How to stay agile", Management Today, Mar, p. 40</w:t>
      </w:r>
    </w:p>
    <w:p>
      <w:pPr>
        <w:pStyle w:val="BookText"/>
        <w:rPr/>
      </w:pPr>
      <w:r>
        <w:rPr>
          <w:rFonts w:eastAsia="Times New Roman" w:cs="Times New Roman" w:ascii="Times New Roman" w:hAnsi="Times New Roman"/>
          <w:color w:val="111111"/>
          <w:sz w:val="28"/>
          <w:szCs w:val="28"/>
          <w:lang w:val="en-US" w:bidi="en-US"/>
        </w:rPr>
        <w:t>Genoni, P. and Cowan, R. (2003), “Bibliographic Control of Australian Higher Education Theses: the Future Role of the Australian Digital Theses Program", Australian Academic and Research Libraries, Vol. 34 (2), p. 81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Groenewegen, D. and Treloar, A. (2008), "The ARROW Project: a Consortial Institutional Repository Solution, Combining Open Source and Proprietary Software", OCLC Systems &amp; Services, Vol. 24(1), p. 30</w:t>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9653_82010"/>
      <w:bookmarkStart w:id="646" w:name="pg9653_82010"/>
      <w:bookmarkEnd w:id="646"/>
    </w:p>
    <w:p>
      <w:pPr>
        <w:pStyle w:val="Heading2"/>
        <w:numPr>
          <w:ilvl w:val="1"/>
          <w:numId w:val="1"/>
        </w:numPr>
        <w:rPr/>
      </w:pPr>
      <w:bookmarkStart w:id="647" w:name="pg9653_82010"/>
      <w:bookmarkStart w:id="648" w:name="__RefHeading___Toc7766720_2870459653"/>
      <w:bookmarkStart w:id="649" w:name="_Toc235"/>
      <w:bookmarkEnd w:id="647"/>
      <w:bookmarkEnd w:id="648"/>
      <w:r>
        <w:rPr>
          <w:rtl w:val="true"/>
        </w:rPr>
        <w:t>چکیده</w:t>
      </w:r>
      <w:bookmarkEnd w:id="649"/>
    </w:p>
    <w:p>
      <w:pPr>
        <w:pStyle w:val="BookText"/>
        <w:rPr/>
      </w:pPr>
      <w:r>
        <w:rPr>
          <w:rFonts w:ascii="IRNazanin" w:hAnsi="IRNazanin" w:eastAsia="IRNazanin"/>
          <w:color w:val="111111"/>
          <w:sz w:val="28"/>
          <w:sz w:val="28"/>
          <w:szCs w:val="28"/>
          <w:rtl w:val="true"/>
          <w:lang w:bidi="fa-IR"/>
        </w:rPr>
        <w:t xml:space="preserve">ظهور دوره برخط گسترده آزاد یا موک </w:t>
      </w:r>
      <w:r>
        <w:rPr>
          <w:rStyle w:val="FootnoteAnchor"/>
          <w:rtl w:val="true"/>
        </w:rPr>
        <w:footnoteReference w:id="926"/>
      </w:r>
      <w:r>
        <w:rPr>
          <w:rFonts w:ascii="IRNazanin" w:hAnsi="IRNazanin" w:eastAsia="IRNazanin"/>
          <w:color w:val="111111"/>
          <w:sz w:val="28"/>
          <w:sz w:val="28"/>
          <w:szCs w:val="28"/>
          <w:rtl w:val="true"/>
          <w:lang w:bidi="fa-IR"/>
        </w:rPr>
        <w:t>موضوعی قابل توجه برای تجزیه و تحلیل بحث و گفتگو در جوامع دانشگاهی در سال های اخیر است، گرچه فناوری سبب ایجاد اختلال در تحصیلات عالی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دانشگاه استانفورد نقش قابل توجهی در توسعه دوره های برخط گسترده آزاد داشته است، هم دانشگاه و هم کتابخانه های دانشگاه استانفورد علاقه و تمایل زیادی به درک و شناخت پتانسیل ها و تأثیرات این موضوع داشته اند این مقاله طرح کلی از ظهور دوره های برخط گسترده آزاد در بافت ابزارهای یادگیری برخط و آموزش از راه دور ارائه داده است و نشان می دهد چگونه دانشگاه در حالت کلی و کتابخانه های دانشگاه استانفورد به صورت خاص در صدد امتزاج و ترکیب این فناوری ها در آموزش و تعلیم و تربیت بر آمده 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های برخط گسترده آزاد؛ یادگیری برخط؛ کلاس های برخط؛ </w:t>
      </w:r>
      <w:r>
        <w:rPr>
          <w:rStyle w:val="FootnoteAnchor"/>
          <w:rtl w:val="true"/>
        </w:rPr>
        <w:footnoteReference w:id="927"/>
      </w:r>
      <w:r>
        <w:rPr>
          <w:rFonts w:ascii="IRNazanin" w:hAnsi="IRNazanin" w:eastAsia="IRNazanin"/>
          <w:color w:val="111111"/>
          <w:sz w:val="28"/>
          <w:sz w:val="28"/>
          <w:szCs w:val="28"/>
          <w:rtl w:val="true"/>
          <w:lang w:bidi="fa-IR"/>
        </w:rPr>
        <w:t xml:space="preserve">حق چاپ </w:t>
      </w:r>
      <w:bookmarkStart w:id="650" w:name="pg9653_82012"/>
    </w:p>
    <w:p>
      <w:pPr>
        <w:pStyle w:val="Heading2"/>
        <w:numPr>
          <w:ilvl w:val="1"/>
          <w:numId w:val="1"/>
        </w:numPr>
        <w:rPr/>
      </w:pPr>
      <w:bookmarkStart w:id="651" w:name="__RefHeading___Toc7766722_2870459653"/>
      <w:bookmarkStart w:id="652" w:name="_Toc236"/>
      <w:bookmarkEnd w:id="650"/>
      <w:bookmarkEnd w:id="651"/>
      <w:r>
        <w:rPr>
          <w:rtl w:val="true"/>
        </w:rPr>
        <w:t xml:space="preserve">دوره برخط گسترده آزاد </w:t>
      </w:r>
      <w:r>
        <w:rPr>
          <w:rtl w:val="true"/>
        </w:rPr>
        <w:t>(</w:t>
      </w:r>
      <w:r>
        <w:rPr>
          <w:rtl w:val="true"/>
        </w:rPr>
        <w:t>موک</w:t>
      </w:r>
      <w:r>
        <w:rPr>
          <w:rtl w:val="true"/>
        </w:rPr>
        <w:t xml:space="preserve">) </w:t>
      </w:r>
      <w:r>
        <w:rPr>
          <w:rtl w:val="true"/>
        </w:rPr>
        <w:t>و کتابخانه</w:t>
      </w:r>
      <w:r>
        <w:rPr>
          <w:rtl w:val="true"/>
        </w:rPr>
        <w:t xml:space="preserve">: </w:t>
      </w:r>
      <w:r>
        <w:rPr>
          <w:rtl w:val="true"/>
        </w:rPr>
        <w:t>پرداختن به روند تکامل تعلیم و تربیت</w:t>
      </w:r>
      <w:bookmarkEnd w:id="652"/>
    </w:p>
    <w:p>
      <w:pPr>
        <w:pStyle w:val="Heading3"/>
        <w:numPr>
          <w:ilvl w:val="2"/>
          <w:numId w:val="1"/>
        </w:numPr>
        <w:rPr/>
      </w:pPr>
      <w:bookmarkStart w:id="653" w:name="__RefHeading___Toc7766724_2870459653"/>
      <w:bookmarkStart w:id="654" w:name="_Toc237"/>
      <w:bookmarkEnd w:id="653"/>
      <w:r>
        <w:rPr>
          <w:rtl w:val="true"/>
        </w:rPr>
        <w:t>اشاره</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برخط گسترده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روند تکامل تعلیم و تربیت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نوشته ماریلن کالتر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عارف ریاحی </w:t>
      </w:r>
      <w:r>
        <w:rPr>
          <w:rStyle w:val="FootnoteAnchor"/>
          <w:rtl w:val="true"/>
        </w:rPr>
        <w:footnoteReference w:id="930"/>
      </w:r>
    </w:p>
    <w:p>
      <w:pPr>
        <w:pStyle w:val="Heading3"/>
        <w:numPr>
          <w:ilvl w:val="2"/>
          <w:numId w:val="1"/>
        </w:numPr>
        <w:rPr/>
      </w:pPr>
      <w:bookmarkStart w:id="655" w:name="__RefHeading___Toc7766726_2870459653"/>
      <w:bookmarkStart w:id="656" w:name="_Toc238"/>
      <w:bookmarkEnd w:id="655"/>
      <w:r>
        <w:rPr/>
        <w:t>1</w:t>
      </w:r>
      <w:r>
        <w:rPr>
          <w:rtl w:val="true"/>
        </w:rPr>
        <w:t xml:space="preserve">. </w:t>
      </w:r>
      <w:r>
        <w:rPr>
          <w:rtl w:val="true"/>
        </w:rPr>
        <w:t>مرور مطالب</w:t>
      </w:r>
      <w:bookmarkEnd w:id="65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برخط که با پیشرفت اینترنت در حال رشد و تکامل است، با ظهور دوره های برخط گسترده آزاد یا موک، دستخوش تغییراتی اساسی در دو سال اخیر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دوره های برخط گسترده ،آزاد بخشی بسیار جدید در تاریخچه طولانی پیشرفت و توسعه در آموزش از راه دور و آموزش برخط است و مجموعه گسترده ای از روش شناسی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اخیرا توجه بسیار خاصی به دوره های برخط گسترده آزاد نشان داده اند؛ به همین دلیل متمایز از دیگر روش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این بسترها با نام فناوری مختل کننده آموزش یاد می شود؛ علاقه و اشتیاق به این موضوعات تفکر و تعمق بر توانایی آنان در ایجاد تغییر در تحصیلات عالی در حال حاضر مبحثی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تعدادی از منتقدان و متخصصان این حوزه بیان داشته اند که دوره های برخط گسترده آزاد در اواخر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و قله انتظارات در چرخه گارتنر هایپ </w:t>
      </w:r>
      <w:r>
        <w:rPr>
          <w:rStyle w:val="FootnoteAnchor"/>
          <w:rtl w:val="true"/>
        </w:rPr>
        <w:footnoteReference w:id="931"/>
      </w:r>
      <w:r>
        <w:rPr>
          <w:rFonts w:ascii="IRNazanin" w:hAnsi="IRNazanin" w:eastAsia="IRNazanin"/>
          <w:color w:val="111111"/>
          <w:sz w:val="28"/>
          <w:sz w:val="28"/>
          <w:szCs w:val="28"/>
          <w:rtl w:val="true"/>
          <w:lang w:bidi="fa-IR"/>
        </w:rPr>
        <w:t>قرار داشته اند</w:t>
      </w:r>
      <w:r>
        <w:rPr>
          <w:rFonts w:eastAsia="IRNazanin" w:cs="IRNazanin"/>
          <w:color w:val="111111"/>
          <w:sz w:val="28"/>
          <w:szCs w:val="28"/>
          <w:rtl w:val="true"/>
          <w:lang w:bidi="fa-IR"/>
        </w:rPr>
        <w:t xml:space="preserve">. </w:t>
      </w:r>
      <w:bookmarkStart w:id="657" w:name="pg9653_82014"/>
    </w:p>
    <w:p>
      <w:pPr>
        <w:pStyle w:val="BookText"/>
        <w:rPr/>
      </w:pPr>
      <w:bookmarkEnd w:id="65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گارتنرهایپ</w:t>
      </w:r>
    </w:p>
    <w:p>
      <w:pPr>
        <w:pStyle w:val="BookText"/>
        <w:rPr/>
      </w:pPr>
      <w:r>
        <w:rPr>
          <w:rFonts w:ascii="IRNazanin" w:hAnsi="IRNazanin" w:eastAsia="IRNazanin"/>
          <w:color w:val="111111"/>
          <w:sz w:val="28"/>
          <w:sz w:val="28"/>
          <w:szCs w:val="28"/>
          <w:rtl w:val="true"/>
          <w:lang w:bidi="fa-IR"/>
        </w:rPr>
        <w:t>در حال حاضر، دانشگاه ها و کتابخانه های دانشگاهی در حال بررسی شیوه هایی هستند که بتواند به این فناوری در ارائه خدمات برای پیشرفت و پیشبرد اهدافشان کمک کند در حالی که فناوری به این نقطه عطف می رسد و موضوع انتقادات بیشتر ناشی از سرخوردگی است، یافته های واقعی نتایج ناخوشایند و فرصت های تحول روش های آموزشی در آستانه دریافت هستند</w:t>
      </w:r>
      <w:r>
        <w:rPr>
          <w:rFonts w:eastAsia="IRNazanin" w:cs="IRNazanin"/>
          <w:color w:val="111111"/>
          <w:sz w:val="28"/>
          <w:szCs w:val="28"/>
          <w:rtl w:val="true"/>
          <w:lang w:bidi="fa-IR"/>
        </w:rPr>
        <w:t>.</w:t>
      </w:r>
    </w:p>
    <w:p>
      <w:pPr>
        <w:pStyle w:val="Heading3"/>
        <w:numPr>
          <w:ilvl w:val="2"/>
          <w:numId w:val="1"/>
        </w:numPr>
        <w:rPr/>
      </w:pPr>
      <w:bookmarkStart w:id="658" w:name="__RefHeading___Toc7766728_2870459653"/>
      <w:bookmarkStart w:id="659" w:name="_Toc239"/>
      <w:bookmarkEnd w:id="658"/>
      <w:r>
        <w:rPr/>
        <w:t>2</w:t>
      </w:r>
      <w:r>
        <w:rPr>
          <w:rtl w:val="true"/>
        </w:rPr>
        <w:t xml:space="preserve">. </w:t>
      </w:r>
      <w:r>
        <w:rPr>
          <w:rtl w:val="true"/>
        </w:rPr>
        <w:t>یادگیری از راه دور، یادگیری برخط، و دوره های برخط گسترده آزاد</w:t>
      </w:r>
      <w:bookmarkEnd w:id="65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ابزارهای آموزشی به منظور آموزش و تعلیم در فضاهای خارج از کلاس به دهه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دروس مکاتبه ای بر می گردد فهرست طولانی فراهم آورده شده از برنامه های یادگیری از راه دور و ،برخط شامل سریال سانرایز سیمیستر شبکه سی بی اس، </w:t>
      </w:r>
      <w:r>
        <w:rPr>
          <w:rStyle w:val="FootnoteAnchor"/>
          <w:rtl w:val="true"/>
        </w:rPr>
        <w:footnoteReference w:id="932"/>
      </w:r>
      <w:r>
        <w:rPr>
          <w:rFonts w:ascii="IRNazanin" w:hAnsi="IRNazanin" w:eastAsia="IRNazanin"/>
          <w:color w:val="111111"/>
          <w:sz w:val="28"/>
          <w:sz w:val="28"/>
          <w:szCs w:val="28"/>
          <w:rtl w:val="true"/>
          <w:lang w:bidi="fa-IR"/>
        </w:rPr>
        <w:t xml:space="preserve">دانشگاه آزاد انگلستان و گسترش دوره شبکه دانشگاه مؤسسه فناوری ماساچوست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آی تی</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در این مناطق حضوری بسیار فعال داشته اند و فناوری هایی چون دوره برخط گسترده آزاد را گاهگاه در این مراکز و مناطق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استانفورد بعد از آزمایش برنامه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تیونز</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نخستین دانشگاه هایی شد که امکان دسترسی به مواد درسی را از طریق مخازن رقومی فراهم آورد؛ </w:t>
      </w:r>
    </w:p>
    <w:p>
      <w:pPr>
        <w:pStyle w:val="BookText"/>
        <w:rPr/>
      </w:pPr>
      <w:r>
        <w:rPr>
          <w:rFonts w:ascii="IRNazanin" w:hAnsi="IRNazanin" w:eastAsia="IRNazanin"/>
          <w:color w:val="111111"/>
          <w:sz w:val="28"/>
          <w:sz w:val="28"/>
          <w:szCs w:val="28"/>
          <w:rtl w:val="true"/>
          <w:lang w:bidi="fa-IR"/>
        </w:rPr>
        <w:t xml:space="preserve">درست زمانی که ارائه این خدمات به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دوره های برخط گسترده آزاد در تابستان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عرصه و میدان را به دست گرفت همان زمانی که کلاس هوش مصنوعی استانفورد توجه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در سطح جهان را به خود جلب کرده بود و تمام روزنامه ها و مجلات در این مورد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دوره برخط گسترده آزاد بر ابزارهای آموزشی توسعه یافته در برنامه های یادگیری از راه دور تأثیر می گذارند اما آن ها از برنامه های اصلی خود به واسطه حجم انبوه دانش آموزان در کلاس ها و سختگیری های موجود برای حفظ و آزاد بودن برنامه ها فاصله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های برخط گسترده آزاد، اکثر اوقات شامل سخنرانی های ویدئویی، مطالعه برخط و مجموعه مسائلی می شوند که از طریق برنامه های یادگیری از راه دور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سبب افزایش فوروم های تعاملی میان کاربران می شود؛ این عامل به نوبه خود سبب توسعه فوروم های برخط بحث گفتگو همانند ردیت </w:t>
      </w:r>
      <w:r>
        <w:rPr>
          <w:rStyle w:val="FootnoteAnchor"/>
          <w:rtl w:val="true"/>
        </w:rPr>
        <w:footnoteReference w:id="935"/>
      </w:r>
      <w:r>
        <w:rPr>
          <w:rFonts w:ascii="IRNazanin" w:hAnsi="IRNazanin" w:eastAsia="IRNazanin"/>
          <w:color w:val="111111"/>
          <w:sz w:val="28"/>
          <w:sz w:val="28"/>
          <w:szCs w:val="28"/>
          <w:rtl w:val="true"/>
          <w:lang w:bidi="fa-IR"/>
        </w:rPr>
        <w:t>می گردد تا از این طریق امکان ساخت جامعه، به اشتراک گذاشتن پرسش ها یادگیری مشارکتی ارزیابی فعالیت دیگران، و تعلیم و آموزش یکدیگر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 ونه تعاملات برای دوره های برخط گسترده آزاد ضرورت دارد دانش آموزان در صورت نیاز و داشتن سؤال می توانند بیش از آنکه با استاد در ارتباط باشند با دیگر دانش آموزان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دوره های برخط گسترده آزاد، تیتر همه روزنامه هاست بحث و گفتگوهای بسیاری پیرامون کاربرد ابزارهای آموزشی آن ها صورت می گیرد برای مثال مفهوم کلاس های آموزشی برخط موضوع جدیدی نیست اما ظهور دوره های برخط گسترده آزاد سبب شد به این مفاهیم توجه بیشتری نشان داده شود و این وضعیت در داخل و خارج این محیط ها حالتی یکپارچه تر به خود می گیرد نظام اصلی مدیریت کلاس های استانفورد کار کلاسی یا تکالیف </w:t>
      </w:r>
      <w:r>
        <w:rPr>
          <w:rStyle w:val="FootnoteAnchor"/>
          <w:rtl w:val="true"/>
        </w:rPr>
        <w:footnoteReference w:id="936"/>
      </w:r>
      <w:r>
        <w:rPr>
          <w:rFonts w:ascii="IRNazanin" w:hAnsi="IRNazanin" w:eastAsia="IRNazanin"/>
          <w:color w:val="111111"/>
          <w:sz w:val="28"/>
          <w:sz w:val="28"/>
          <w:szCs w:val="28"/>
          <w:rtl w:val="true"/>
          <w:lang w:bidi="fa-IR"/>
        </w:rPr>
        <w:t>، سبب تسهیل برخورداری از کلاس های برخط برای سال های متوالی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پرسش های صورت گرفته بر روی این تیم، میزان تمایل و رغبت به این توانایی ها و امکانات در سال های اخیر را نشان می دهد دانشکده استانفورد در میزگردهایش تمایل و اشتیاق بیشتری به ایجاد محیط های ترکیبی و مختلط در مقایسه با موک ها نشان داده است؛ و این در حالی است که دوره های برخط گسترده آزاد، دانش آموزان بیشتری را تحت پوشش قرار می دهند و تنها دانش آموزان محلی در این فضاها حضور ندارند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های برخط گسترده آزاد، نمره دادن به همکاران را ابزار آموزشی دیگر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 دِولین، </w:t>
      </w:r>
      <w:r>
        <w:rPr>
          <w:rStyle w:val="FootnoteAnchor"/>
          <w:rtl w:val="true"/>
        </w:rPr>
        <w:footnoteReference w:id="937"/>
      </w:r>
      <w:bookmarkStart w:id="660" w:name="pg9653_82019"/>
    </w:p>
    <w:p>
      <w:pPr>
        <w:pStyle w:val="BookText"/>
        <w:rPr/>
      </w:pPr>
      <w:bookmarkEnd w:id="660"/>
      <w:r>
        <w:rPr>
          <w:rFonts w:ascii="IRNazanin" w:hAnsi="IRNazanin" w:eastAsia="IRNazanin"/>
          <w:color w:val="111111"/>
          <w:sz w:val="28"/>
          <w:sz w:val="28"/>
          <w:szCs w:val="28"/>
          <w:rtl w:val="true"/>
          <w:lang w:bidi="fa-IR"/>
        </w:rPr>
        <w:t>استاد دانشگاه استانفورد که دوره های برخط گسترده آزاد برای ریاضی وار اندیشیدن را تدریس می کند نمره دهی به دانش آموزان را اینگونه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یاد گرفتن دوچرخه سواری است؛ تنها یک شیوه برای یادگیری وجود دارد؛ سوارشو بیفت، سوارشو، بیفت تا زمانی که تسمه هایش می چرخد و صدا می دهد در ریاضی، این حالت تنها به هنگام نمره دادن به دیگر دانش آموزان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نمره دادن به هم کلاسی ها و دانش آموزان برای اثبات پایگاه و جایگاه دوره های برخط گسترده آزاد ضروری است و برای شکل دهی بازخورد به کارها و تکالیف بسیار زیاد دانش آموزان شیوه ای کارآمد به شمار می آید این مفهوم به صورتی گسترده در کلاس های برخط یا دروس ترکیبی و مختلط به اجرا درآمده است در آن فضا تمام دانش آموزان تجربه نمره دادن را خواهند داشت جایی که در آن همه چیز به صورت ناگهانی اتفاق می افتد</w:t>
      </w:r>
      <w:r>
        <w:rPr>
          <w:rFonts w:eastAsia="IRNazanin" w:cs="IRNazanin"/>
          <w:color w:val="111111"/>
          <w:sz w:val="28"/>
          <w:szCs w:val="28"/>
          <w:rtl w:val="true"/>
          <w:lang w:bidi="fa-IR"/>
        </w:rPr>
        <w:t>.</w:t>
      </w:r>
    </w:p>
    <w:p>
      <w:pPr>
        <w:pStyle w:val="Heading3"/>
        <w:numPr>
          <w:ilvl w:val="2"/>
          <w:numId w:val="1"/>
        </w:numPr>
        <w:rPr/>
      </w:pPr>
      <w:bookmarkStart w:id="661" w:name="__RefHeading___Toc7766730_2870459653"/>
      <w:bookmarkStart w:id="662" w:name="_Toc240"/>
      <w:bookmarkEnd w:id="661"/>
      <w:r>
        <w:rPr/>
        <w:t>3</w:t>
      </w:r>
      <w:r>
        <w:rPr>
          <w:rtl w:val="true"/>
        </w:rPr>
        <w:t xml:space="preserve">. </w:t>
      </w:r>
      <w:r>
        <w:rPr>
          <w:rtl w:val="true"/>
        </w:rPr>
        <w:t>دوره های برخط گسترده آزاد در دانشکده استانفورد و کتابخانه های آن</w:t>
      </w:r>
      <w:bookmarkEnd w:id="662"/>
    </w:p>
    <w:p>
      <w:pPr>
        <w:pStyle w:val="Heading4"/>
        <w:numPr>
          <w:ilvl w:val="3"/>
          <w:numId w:val="1"/>
        </w:numPr>
        <w:rPr/>
      </w:pPr>
      <w:bookmarkStart w:id="663" w:name="__RefHeading___Toc7766732_2870459653"/>
      <w:bookmarkStart w:id="664" w:name="_Toc241"/>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دانشکده استانفورد و اساتید آن، بخصوص اندرو نگ، </w:t>
      </w:r>
      <w:r>
        <w:rPr>
          <w:rStyle w:val="FootnoteAnchor"/>
          <w:rtl w:val="true"/>
        </w:rPr>
        <w:footnoteReference w:id="938"/>
      </w:r>
      <w:r>
        <w:rPr>
          <w:rFonts w:ascii="IRNazanin" w:hAnsi="IRNazanin" w:eastAsia="IRNazanin"/>
          <w:color w:val="111111"/>
          <w:sz w:val="28"/>
          <w:sz w:val="28"/>
          <w:szCs w:val="28"/>
          <w:rtl w:val="true"/>
          <w:lang w:bidi="fa-IR"/>
        </w:rPr>
        <w:t xml:space="preserve">دفنی کالر </w:t>
      </w:r>
      <w:r>
        <w:rPr>
          <w:rStyle w:val="FootnoteAnchor"/>
          <w:rtl w:val="true"/>
        </w:rPr>
        <w:footnoteReference w:id="939"/>
      </w:r>
      <w:r>
        <w:rPr>
          <w:rFonts w:ascii="IRNazanin" w:hAnsi="IRNazanin" w:eastAsia="IRNazanin"/>
          <w:color w:val="111111"/>
          <w:sz w:val="28"/>
          <w:sz w:val="28"/>
          <w:szCs w:val="28"/>
          <w:rtl w:val="true"/>
          <w:lang w:bidi="fa-IR"/>
        </w:rPr>
        <w:t xml:space="preserve">و سباستیان ترون، </w:t>
      </w:r>
      <w:r>
        <w:rPr>
          <w:rStyle w:val="FootnoteAnchor"/>
          <w:rtl w:val="true"/>
        </w:rPr>
        <w:footnoteReference w:id="940"/>
      </w:r>
      <w:r>
        <w:rPr>
          <w:rFonts w:ascii="IRNazanin" w:hAnsi="IRNazanin" w:eastAsia="IRNazanin"/>
          <w:color w:val="111111"/>
          <w:sz w:val="28"/>
          <w:sz w:val="28"/>
          <w:szCs w:val="28"/>
          <w:rtl w:val="true"/>
          <w:lang w:bidi="fa-IR"/>
        </w:rPr>
        <w:t>نقشی بسیار مهم در توسعه و رشد پایگاه های دوره های برخط گسترده آزاد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 ویدئوهای سخنرانی آزاد دروس مهندسی را پیش از توسعه ابزارهای دوره های برخط گسترده آزاد پست کرد تا از این طریق سبب افزایش و ارتقای این نظام ها گردد؛ کولر </w:t>
      </w:r>
      <w:r>
        <w:rPr>
          <w:rStyle w:val="FootnoteAnchor"/>
          <w:rtl w:val="true"/>
        </w:rPr>
        <w:footnoteReference w:id="941"/>
      </w:r>
      <w:r>
        <w:rPr>
          <w:rFonts w:ascii="IRNazanin" w:hAnsi="IRNazanin" w:eastAsia="IRNazanin"/>
          <w:color w:val="111111"/>
          <w:sz w:val="28"/>
          <w:sz w:val="28"/>
          <w:szCs w:val="28"/>
          <w:rtl w:val="true"/>
          <w:lang w:bidi="fa-IR"/>
        </w:rPr>
        <w:t>علاقه زیادی به کشف و شناخت بیشتر مفهوم کلاس برخط داشت و ترون، که وقتش را در گوگل می گذراند قصد داشت مخاطبانی در سطح جهان داشته باشد با در نظر گرفتن نقش آن ها در شکل گیری دوره های برخط گسترده آزاد، تعجب برانگیز نیست اگر بگوییم استانفورد، آموزشگاهی برای کشف و شناخت پتانسیل ها و توانایی های موجود در ابزارهای یادگیری برخط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آزمایش های صورت گرفته در مورد یادگیری برخط و اینترنتی استانفورد سبب ظهور و شکل گیری دوره های برخط گسترده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ها شامل توسعه و ارتقای برنامه آموزشی استانفورد برای جوانان با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آموزشی برخط تکامل یافته در دبیرستان برخط استانفورد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 استانفورد بر آی تیونز و کانال یوتیوب استانفورد پخش کننده سخنرانی ها و کنفرانس های استانفورد در دانشگاه می شد دیگر آزمایش ها شامل دروس استانفورد پخش دروس </w:t>
      </w:r>
      <w:bookmarkStart w:id="665" w:name="pg9653_82021"/>
    </w:p>
    <w:p>
      <w:pPr>
        <w:pStyle w:val="BookText"/>
        <w:rPr/>
      </w:pPr>
      <w:bookmarkEnd w:id="665"/>
      <w:r>
        <w:rPr>
          <w:rFonts w:ascii="IRNazanin" w:hAnsi="IRNazanin" w:eastAsia="IRNazanin"/>
          <w:color w:val="111111"/>
          <w:sz w:val="28"/>
          <w:sz w:val="28"/>
          <w:szCs w:val="28"/>
          <w:rtl w:val="true"/>
          <w:lang w:bidi="fa-IR"/>
        </w:rPr>
        <w:t xml:space="preserve">مهندسی استانفورد و مجموعه های سخنرانی های تعاملی کلاس ایکس </w:t>
      </w:r>
      <w:r>
        <w:rPr>
          <w:rStyle w:val="FootnoteAnchor"/>
          <w:rtl w:val="true"/>
        </w:rPr>
        <w:footnoteReference w:id="942"/>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بعد از سال ها آزمایش و تحقیق، معاونت مرکز یادگیری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پی اُ ال</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را با هدف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خلاقیت و نوآوری در یادگیری 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حمایت و پشتیبانی از سه حوزه اصلی فرایند یادگیری برخط تأسیس کرده است آموزش و پرورش تولید و طرح یا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پلت فرم</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دستیابی به منبعی اصلی حمایت از یادگیری برخط سبب می شود دانشگاه ها به درک درست تری از مفهوم آموزش و پرورش دست یابند همچنین به برخی مسائل مرتبط با دوره های برخط گسترده آزاد می پردازد در جاهای دیگر در دانشگاه دانشکده آموزش و پرورش به صورت بسیار فعال در حال کاوش و بررسی در مورد آینده رقومی آموزش </w:t>
      </w:r>
      <w:r>
        <w:rPr>
          <w:rStyle w:val="FootnoteAnchor"/>
          <w:rtl w:val="true"/>
        </w:rPr>
        <w:footnoteReference w:id="945"/>
      </w:r>
      <w:r>
        <w:rPr>
          <w:rFonts w:ascii="IRNazanin" w:hAnsi="IRNazanin" w:eastAsia="IRNazanin"/>
          <w:color w:val="111111"/>
          <w:sz w:val="28"/>
          <w:sz w:val="28"/>
          <w:szCs w:val="28"/>
          <w:rtl w:val="true"/>
          <w:lang w:bidi="fa-IR"/>
        </w:rPr>
        <w:t>است و دپارتمان های در حال توسعه علوم رایانه بیشتر و بیشتر به پلتفرم های یادگیری برخط تبدیل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 اُ ال به کتابخانه های استانفورد و دوره های برخط گسترده آزاد، رنگ وبویی دیگر می دهد و کاملا متفاوت از دیگر مؤسسات فاقد این امکانات و منابع اصلی به نظر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کتابخانه ها نقشی بسیار مهم در حمایت از یادگیری برخط دارند این فعالیت ها در چهار مقوله گسترده جای می گیرند حق چاپ، رسانه ها، مدیریت یادگیری و آموزش</w:t>
      </w:r>
    </w:p>
    <w:p>
      <w:pPr>
        <w:pStyle w:val="Heading4"/>
        <w:numPr>
          <w:ilvl w:val="3"/>
          <w:numId w:val="1"/>
        </w:numPr>
        <w:rPr/>
      </w:pPr>
      <w:bookmarkStart w:id="666" w:name="__RefHeading___Toc7766734_2870459653"/>
      <w:bookmarkStart w:id="667" w:name="_Toc242"/>
      <w:bookmarkEnd w:id="666"/>
      <w:r>
        <w:rPr/>
        <w:t>1-3</w:t>
      </w:r>
      <w:r>
        <w:rPr>
          <w:rtl w:val="true"/>
        </w:rPr>
        <w:t xml:space="preserve">- </w:t>
      </w:r>
      <w:r>
        <w:rPr>
          <w:rtl w:val="true"/>
        </w:rPr>
        <w:t>حق چاپ</w:t>
      </w:r>
      <w:bookmarkEnd w:id="66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سول </w:t>
      </w:r>
      <w:r>
        <w:rPr>
          <w:rStyle w:val="FootnoteAnchor"/>
          <w:rtl w:val="true"/>
        </w:rPr>
        <w:footnoteReference w:id="946"/>
      </w:r>
      <w:r>
        <w:rPr>
          <w:rFonts w:ascii="IRNazanin" w:hAnsi="IRNazanin" w:eastAsia="IRNazanin"/>
          <w:color w:val="111111"/>
          <w:sz w:val="28"/>
          <w:sz w:val="28"/>
          <w:szCs w:val="28"/>
          <w:rtl w:val="true"/>
          <w:lang w:bidi="fa-IR"/>
        </w:rPr>
        <w:t xml:space="preserve">نیز همانند بسیاری از کتابخانه های دانشگاهی منبعی برای دستیابی به اطلاعات حق چاپ و آموزش است یادگیری برخط در حالت عام و دوره های برخط گسترده آزاد در حالت خاص موضوعات مرتبط با حق مولف را مطرح می سازد و تحقیقات اسی ال سی </w:t>
      </w:r>
      <w:r>
        <w:rPr>
          <w:rStyle w:val="FootnoteAnchor"/>
          <w:rtl w:val="true"/>
        </w:rPr>
        <w:footnoteReference w:id="947"/>
      </w:r>
      <w:r>
        <w:rPr>
          <w:rFonts w:ascii="IRNazanin" w:hAnsi="IRNazanin" w:eastAsia="IRNazanin"/>
          <w:color w:val="111111"/>
          <w:sz w:val="28"/>
          <w:sz w:val="28"/>
          <w:szCs w:val="28"/>
          <w:rtl w:val="true"/>
          <w:lang w:bidi="fa-IR"/>
        </w:rPr>
        <w:t>نشان می دهد که حق پاک کردن دوره های برخط گسترده آزاد، شاید صدها ساعت در هر دوره طول کشد، که البته بسیاری از کتابخانه های دانشگاه ها چنین کاری را انجام می دهند ویا پی ال در استانفورد، از عملیات پاکسازی حق مؤلف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کتابخانه ها با اس آی پی ایکس </w:t>
      </w:r>
      <w:r>
        <w:rPr>
          <w:rStyle w:val="FootnoteAnchor"/>
          <w:rtl w:val="true"/>
        </w:rPr>
        <w:footnoteReference w:id="948"/>
      </w:r>
      <w:r>
        <w:rPr>
          <w:rFonts w:ascii="IRNazanin" w:hAnsi="IRNazanin" w:eastAsia="IRNazanin"/>
          <w:color w:val="111111"/>
          <w:sz w:val="28"/>
          <w:sz w:val="28"/>
          <w:szCs w:val="28"/>
          <w:rtl w:val="true"/>
          <w:lang w:bidi="fa-IR"/>
        </w:rPr>
        <w:t xml:space="preserve">به صورت گسترده در فرایند پاکسازی همکاری کرده اند اس آی پی ایکس امکان دسترسی به مواد درسی را از طریق اخذ مجوزهای کتابخانه ها و خریداری مواد درسی غیر قابل دسترس از طریق مجوز برای کاربران پلتفرم </w:t>
      </w:r>
    </w:p>
    <w:p>
      <w:pPr>
        <w:pStyle w:val="BookText"/>
        <w:rPr/>
      </w:pPr>
      <w:r>
        <w:rPr>
          <w:rFonts w:ascii="IRNazanin" w:hAnsi="IRNazanin" w:eastAsia="IRNazanin"/>
          <w:color w:val="111111"/>
          <w:sz w:val="28"/>
          <w:sz w:val="28"/>
          <w:szCs w:val="28"/>
          <w:rtl w:val="true"/>
          <w:lang w:bidi="fa-IR"/>
        </w:rPr>
        <w:t>موک و نظام مدیریت یادگیری تکالیف درسی کتابخانه ها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دروس دوره های برخط گسترده آزاد با دوره ها و تکالیف درسی نشان می دهد که آن ها به هنگام انتخاب منابع با محدودیت هایی مواجه هستند و این امر به نظر می رسد محدودیت هایی برای ضرورت باز بودن پلتفرم سبب شود شاید نسخه های دروس دوره های برخط گسترده آزاد، نامرغوب تر و پایین رتبه تر از همتاهای کمتر باز خودشان به نظر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کتابخانه های استانفورد فعالیت چندانی در پاکسازی حق مولف برای دوره های برخط گسترده آزاد ندارند، دیگر مدارس و مراکز آموزشی در این زمینه فعالتر بوده اند؛ این امر در سطحی بسیار گسترده تر صورت می گرفت و موقعیت هایی برای کار و فعالیت در این امر فراهم 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کوین اسمیت </w:t>
      </w:r>
      <w:r>
        <w:rPr>
          <w:rStyle w:val="FootnoteAnchor"/>
          <w:rtl w:val="true"/>
        </w:rPr>
        <w:footnoteReference w:id="949"/>
      </w:r>
      <w:r>
        <w:rPr>
          <w:rFonts w:ascii="IRNazanin" w:hAnsi="IRNazanin" w:eastAsia="IRNazanin"/>
          <w:color w:val="111111"/>
          <w:sz w:val="28"/>
          <w:sz w:val="28"/>
          <w:szCs w:val="28"/>
          <w:rtl w:val="true"/>
          <w:lang w:bidi="fa-IR"/>
        </w:rPr>
        <w:t xml:space="preserve">از دانشگاه دوک </w:t>
      </w:r>
      <w:r>
        <w:rPr>
          <w:rStyle w:val="FootnoteAnchor"/>
          <w:rtl w:val="true"/>
        </w:rPr>
        <w:footnoteReference w:id="950"/>
      </w:r>
      <w:r>
        <w:rPr>
          <w:rFonts w:ascii="IRNazanin" w:hAnsi="IRNazanin" w:eastAsia="IRNazanin"/>
          <w:color w:val="111111"/>
          <w:sz w:val="28"/>
          <w:sz w:val="28"/>
          <w:szCs w:val="28"/>
          <w:rtl w:val="true"/>
          <w:lang w:bidi="fa-IR"/>
        </w:rPr>
        <w:t>به تفسیر مجددی از نمایشگاه ها در دوره های برخط گسترده آزاد و مطالعه برخط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میزگرد برخط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بخش های مشاهدات کلی خود را مطرح ساخته است افراد با نمایشگاه ها در دوره های برخط گسترده آزاد با احتیاط بیشتری برخورد</w:t>
      </w:r>
    </w:p>
    <w:p>
      <w:pPr>
        <w:pStyle w:val="BookText"/>
        <w:rPr/>
      </w:pPr>
      <w:r>
        <w:rPr>
          <w:rFonts w:ascii="IRNazanin" w:hAnsi="IRNazanin" w:eastAsia="IRNazanin"/>
          <w:color w:val="111111"/>
          <w:sz w:val="28"/>
          <w:sz w:val="28"/>
          <w:szCs w:val="28"/>
          <w:rtl w:val="true"/>
          <w:lang w:bidi="fa-IR"/>
        </w:rPr>
        <w:t>می کنند و اندازه کلاس های درسی علت اصلی بروز چنین رفتارهایی است؛ دوره های برخط گسترده آزاد فرصت هایی جدید برای برقراری ارتباط با ناشران و صاحبان حق مولف فراهم می آورد تا از این طریق، ارتباطاتی محدود با ناشران و صاحبان حق مولف داشته باشند علت اصلی چنین رفتارهایی فراهم آوردن شرایطی برای رویت و مشاهده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می کند خود شخص وی در مواردی دیده است که استاد کتابی را به دانشجویان معرفی می کند و ناگهان قیمت کتاب به واسطه دوره های برخط گسترده آزاد افزایش می یابد در واقع ثروتی بادآورده برای ناشر به حساب می آید همان فردی که شاید در ابتدا ایده ساخت محتوا به ویژه باز را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های استانفورد نقشی بسیار فعال در آموزش حق مولف در دانشگاه دارند، زیرا افزایش دوره های برخط گسترده آزاد، نیاز به ابزارهای جدید آموزشی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سول به هنگام یادواره سالانه حق مولف در دانشگاه با دفتر مشاوره عمومی همکاری کرد تا از این طریق ترکیبی یکپارچه به دستورالعمل ها و توصیه های مرتبط با یادگیری برخط دهد در سایت کتابخانه دانشگاه استانفورد می توانید به این دستورالعمل ها دست یابید</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تجربه دوره های برخط گسترده آزاد برای دانشگاه استنفورد بسیار اهمیت دارد آشکارسازی مالکیت مواد و ابزارهای آموزشی در دانشگاه موضوعی نسبتا جدید است گرچه موضوعی متفاوت نیست</w:t>
      </w:r>
      <w:r>
        <w:rPr>
          <w:rFonts w:eastAsia="IRNazanin" w:cs="IRNazanin"/>
          <w:color w:val="111111"/>
          <w:sz w:val="28"/>
          <w:szCs w:val="28"/>
          <w:rtl w:val="true"/>
          <w:lang w:bidi="fa-IR"/>
        </w:rPr>
        <w:t xml:space="preserve">. </w:t>
      </w:r>
      <w:bookmarkStart w:id="668" w:name="pg9653_82026"/>
    </w:p>
    <w:p>
      <w:pPr>
        <w:pStyle w:val="BookText"/>
        <w:rPr/>
      </w:pPr>
      <w:bookmarkEnd w:id="668"/>
      <w:r>
        <w:rPr>
          <w:rFonts w:ascii="IRNazanin" w:hAnsi="IRNazanin" w:eastAsia="IRNazanin"/>
          <w:color w:val="111111"/>
          <w:sz w:val="28"/>
          <w:sz w:val="28"/>
          <w:szCs w:val="28"/>
          <w:rtl w:val="true"/>
          <w:lang w:bidi="fa-IR"/>
        </w:rPr>
        <w:t>استانفورد سیاست های خود را به صورت کاملاً واضح مشخص ساخت تا اطمینان حاصل کند دانشگاه کاملا از حقوق ابزارهای آموزشی آنان مطلع است و توانایی انتشار آنان در دوره های برخط گسترده آزاد و دیگر نظام های یادگیری برخط را دارد درست شبیه به حالتی که حق مولف مقالات پژوهشی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همزمان، این نگرانی وجود داشت که شاید دانشگاه نتواند به ابزارهای آموزشی موجود در پلت فرم دوره های برخط گسترده آزاد به واسطه حق مولف دست یابد</w:t>
      </w:r>
      <w:r>
        <w:rPr>
          <w:rFonts w:eastAsia="IRNazanin" w:cs="IRNazanin"/>
          <w:color w:val="111111"/>
          <w:sz w:val="28"/>
          <w:szCs w:val="28"/>
          <w:rtl w:val="true"/>
          <w:lang w:bidi="fa-IR"/>
        </w:rPr>
        <w:t>.</w:t>
      </w:r>
    </w:p>
    <w:p>
      <w:pPr>
        <w:pStyle w:val="Heading4"/>
        <w:numPr>
          <w:ilvl w:val="3"/>
          <w:numId w:val="1"/>
        </w:numPr>
        <w:rPr/>
      </w:pPr>
      <w:bookmarkStart w:id="669" w:name="__RefHeading___Toc7766736_2870459653"/>
      <w:bookmarkStart w:id="670" w:name="_Toc243"/>
      <w:bookmarkEnd w:id="669"/>
      <w:r>
        <w:rPr/>
        <w:t>2-3</w:t>
      </w:r>
      <w:r>
        <w:rPr>
          <w:rtl w:val="true"/>
        </w:rPr>
        <w:t xml:space="preserve">- </w:t>
      </w:r>
      <w:r>
        <w:rPr>
          <w:rtl w:val="true"/>
        </w:rPr>
        <w:t>ویدئو و رسانه ها</w:t>
      </w:r>
      <w:bookmarkEnd w:id="670"/>
    </w:p>
    <w:p>
      <w:pPr>
        <w:pStyle w:val="BookText"/>
        <w:rPr/>
      </w:pPr>
      <w:r>
        <w:rPr>
          <w:rFonts w:ascii="IRNazanin" w:hAnsi="IRNazanin" w:eastAsia="IRNazanin"/>
          <w:color w:val="111111"/>
          <w:sz w:val="28"/>
          <w:sz w:val="28"/>
          <w:szCs w:val="28"/>
          <w:rtl w:val="true"/>
          <w:lang w:bidi="fa-IR"/>
        </w:rPr>
        <w:t xml:space="preserve">دوره های برخط گسترده آزاد و دیگر ابزارهای یادگیری برخط نیاز به حمایت از رسانه ها در سطحی بسیار گسترده را به واسطه تکیه بر سخنرانی های ویدئویی مطرح می سازند شیوه های ارزیابی متعددی وجود دارد اما به وضوح دیده می شود که ساخت سخنرانی ویدئویی نیاز به ساعت ها ویرایش ویدئو و فیلم دارد و فراهم آوردن کلاس دوره های برخط گسترده آزاد، تقریباً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هایی که قصد دارند کلاس هایشان را به صورت برخط برگزار کنند نیاز به ساخت یا ویرایش ویدئو دارند زیرا این فیلم های ویدئویی برای این کلاس ها بسیار ضرورت دارد معاونت برگزاری یادگیری برخط در استانفورد به صورت بسیار گسترده، از این مهارت ها و توانایی ها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کتابخانه ها فیلم هایی ویدئویی را از طریق تیم محاسبات آکادمیک برای دانش آموزان و دانشکده فراهم می آورند و حمایت از دوره های برخط گسترده آزاد ویدئویی بخشی از این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کتابخانه ها از برنامه تخصصی فناوری علمی حمایت می کنند؛ در این برنامه ها کارمندان دپارتمان ها از طرح های علمی و دانشگاهی از نظر فنی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کارمندان باید حامی پیشرفت و گسترش دوره های برخط گسترده آزاد باشند</w:t>
      </w:r>
      <w:r>
        <w:rPr>
          <w:rFonts w:eastAsia="IRNazanin" w:cs="IRNazanin"/>
          <w:color w:val="111111"/>
          <w:sz w:val="28"/>
          <w:szCs w:val="28"/>
          <w:rtl w:val="true"/>
          <w:lang w:bidi="fa-IR"/>
        </w:rPr>
        <w:t>.</w:t>
      </w:r>
    </w:p>
    <w:p>
      <w:pPr>
        <w:pStyle w:val="Heading4"/>
        <w:numPr>
          <w:ilvl w:val="3"/>
          <w:numId w:val="1"/>
        </w:numPr>
        <w:rPr/>
      </w:pPr>
      <w:bookmarkStart w:id="671" w:name="__RefHeading___Toc7766738_2870459653"/>
      <w:bookmarkStart w:id="672" w:name="_Toc244"/>
      <w:bookmarkEnd w:id="671"/>
      <w:r>
        <w:rPr/>
        <w:t>3-3</w:t>
      </w:r>
      <w:r>
        <w:rPr>
          <w:rtl w:val="true"/>
        </w:rPr>
        <w:t xml:space="preserve">- </w:t>
      </w:r>
      <w:r>
        <w:rPr>
          <w:rtl w:val="true"/>
        </w:rPr>
        <w:t>نظام های مدیریت یادگیری</w:t>
      </w:r>
      <w:bookmarkEnd w:id="67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سول، دوره های تکالیف کلاسی بزرگ ترین نظام مدیریتی دانشکده استانفورد را مدیریت می کند پیش بینی آینده این نظام به هنگام گسترش پلت فرم دوره های برخط گسترده آزاد یکی از موضوع های اصلی مطرح شده در سول است که در حال حاضر یکی از منابع بسیار معتبر و کاربردی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در استانفورد حمایت کرد، در حالی که پلت فرم های دوره های برخط گسترده آزاد و آزمایشگاه ونچر </w:t>
      </w:r>
      <w:r>
        <w:rPr>
          <w:rStyle w:val="FootnoteAnchor"/>
          <w:rtl w:val="true"/>
        </w:rPr>
        <w:footnoteReference w:id="95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حمایت می کردند سال گذشته تکالیف کلاسی از </w:t>
      </w:r>
      <w:r>
        <w:rPr>
          <w:rFonts w:eastAsia="IRNazanin" w:cs="IRNazanin"/>
          <w:color w:val="111111"/>
          <w:sz w:val="28"/>
          <w:szCs w:val="28"/>
          <w:lang w:bidi="fa-IR"/>
        </w:rPr>
        <w:t>4249</w:t>
      </w:r>
      <w:r>
        <w:rPr>
          <w:rFonts w:eastAsia="IRNazanin" w:cs="IRNazanin"/>
          <w:color w:val="111111"/>
          <w:sz w:val="28"/>
          <w:szCs w:val="28"/>
          <w:rtl w:val="true"/>
          <w:lang w:bidi="fa-IR"/>
        </w:rPr>
        <w:t xml:space="preserve"> </w:t>
      </w:r>
      <w:bookmarkStart w:id="673" w:name="pg9653_82028"/>
    </w:p>
    <w:p>
      <w:pPr>
        <w:pStyle w:val="BookText"/>
        <w:rPr/>
      </w:pPr>
      <w:bookmarkEnd w:id="673"/>
      <w:r>
        <w:rPr>
          <w:rFonts w:ascii="IRNazanin" w:hAnsi="IRNazanin" w:eastAsia="IRNazanin"/>
          <w:color w:val="111111"/>
          <w:sz w:val="28"/>
          <w:sz w:val="28"/>
          <w:szCs w:val="28"/>
          <w:rtl w:val="true"/>
          <w:lang w:bidi="fa-IR"/>
        </w:rPr>
        <w:t xml:space="preserve">دوره حمایت می کرد در حالی که چهار پلت فرم دوره های برخط گسترده آزاد در دانشکده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رو به رشد از پلت فرم دوره های برخط گسترده آزاد، علی رغم کاربرد بسیار گسترده آن پیشرفت و گسترش تکالیف کلاسی را نشان می دهد که در واقع به اجرا در آوردن محلی و منطقه ای ساکائی </w:t>
      </w:r>
      <w:r>
        <w:rPr>
          <w:rStyle w:val="FootnoteAnchor"/>
          <w:rtl w:val="true"/>
        </w:rPr>
        <w:footnoteReference w:id="9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سول طرحی جدید برای ارتقای نظام تکالیف کلاسی آغاز کرده است و رشد و پیشرفت دوره های برخط گسترده آزاد به خوبی آن را نشان می دهد</w:t>
      </w:r>
      <w:r>
        <w:rPr>
          <w:rFonts w:eastAsia="IRNazanin" w:cs="IRNazanin"/>
          <w:color w:val="111111"/>
          <w:sz w:val="28"/>
          <w:szCs w:val="28"/>
          <w:rtl w:val="true"/>
          <w:lang w:bidi="fa-IR"/>
        </w:rPr>
        <w:t>.</w:t>
      </w:r>
    </w:p>
    <w:p>
      <w:pPr>
        <w:pStyle w:val="Heading4"/>
        <w:numPr>
          <w:ilvl w:val="3"/>
          <w:numId w:val="1"/>
        </w:numPr>
        <w:rPr/>
      </w:pPr>
      <w:bookmarkStart w:id="674" w:name="__RefHeading___Toc7766740_2870459653"/>
      <w:bookmarkStart w:id="675" w:name="_Toc245"/>
      <w:bookmarkEnd w:id="674"/>
      <w:r>
        <w:rPr/>
        <w:t>3-4</w:t>
      </w:r>
      <w:r>
        <w:rPr>
          <w:rtl w:val="true"/>
        </w:rPr>
        <w:t xml:space="preserve">- </w:t>
      </w:r>
      <w:r>
        <w:rPr>
          <w:rtl w:val="true"/>
        </w:rPr>
        <w:t>آموزش و توسعه</w:t>
      </w:r>
      <w:bookmarkEnd w:id="675"/>
    </w:p>
    <w:p>
      <w:pPr>
        <w:pStyle w:val="BookText"/>
        <w:rPr/>
      </w:pPr>
      <w:r>
        <w:rPr>
          <w:rFonts w:ascii="IRNazanin" w:hAnsi="IRNazanin" w:eastAsia="IRNazanin"/>
          <w:color w:val="111111"/>
          <w:sz w:val="28"/>
          <w:sz w:val="28"/>
          <w:szCs w:val="28"/>
          <w:rtl w:val="true"/>
          <w:lang w:bidi="fa-IR"/>
        </w:rPr>
        <w:t>دوره های برخط گسترده آزاد هم اکنون ابزاری بسیار مهم در جهت حمایت از آموزش عالی در سطحی بسیار، اجرای آموزش مهارت ها ادامه تحصیل و آموزش کاربران تلقی می گردند کارکنان کتابخانه های استانفورد در جستجوی پیشرفته گوگل در دوره های برخط گسترده آزاد شرکت کردند و در وقت ناهار، دانش و اطلاعاتشان را به دیگر کارمندان انتقال می دادند استقبال بسیار خوبی از این مدل صورت گرفته است و انتظار می رود در دیگر برنامه های مبتنی بر مهارت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در محیط های آموزشی به صورت بسیار گسترده قابل اجراست و به نظر می رسد به خوبی بیانگر دوره های برخط گسترده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از دوره های برخط گسترده آزاد، می توان در مدارس یا برنامه ها بعنوان ابزاری موثر برای ارتقا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حاصل شده در علم رایانه استانفورد دوره های برخط گسترده آزاد، سبب شده است که به این دپارتمان توجه خاصی نشان داده شود و به آن ببالند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تنها دروس و دوره های آکادمیک به ایجاد ظرفیت و گنجایش کمک نمی کنند یکی از شرکت کننده ها در پانل حمایت از سول در دوره های برخط گسترده آزاد، به اهمیت ایجاد محتوای دوره های برخط گسترده آزاد اشاره کرده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غرور خاصی به شما به هنگام دیدن آن بر روی پلت فرم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دروس دانشگاهی نباشد، ابزارهای یادگیری بهداشت و سلامت مثال های خوبی برای این مورد خاص به شمار می آید</w:t>
      </w:r>
      <w:r>
        <w:rPr>
          <w:rFonts w:eastAsia="IRNazanin" w:cs="IRNazanin"/>
          <w:color w:val="111111"/>
          <w:sz w:val="28"/>
          <w:szCs w:val="28"/>
          <w:rtl w:val="true"/>
          <w:lang w:bidi="fa-IR"/>
        </w:rPr>
        <w:t>.</w:t>
      </w:r>
    </w:p>
    <w:p>
      <w:pPr>
        <w:pStyle w:val="Heading4"/>
        <w:numPr>
          <w:ilvl w:val="3"/>
          <w:numId w:val="1"/>
        </w:numPr>
        <w:rPr/>
      </w:pPr>
      <w:bookmarkStart w:id="676" w:name="__RefHeading___Toc7766742_2870459653"/>
      <w:bookmarkStart w:id="677" w:name="_Toc246"/>
      <w:bookmarkEnd w:id="676"/>
      <w:r>
        <w:rPr/>
        <w:t>5-3</w:t>
      </w:r>
      <w:r>
        <w:rPr>
          <w:rtl w:val="true"/>
        </w:rPr>
        <w:t xml:space="preserve">- </w:t>
      </w:r>
      <w:r>
        <w:rPr>
          <w:rtl w:val="true"/>
        </w:rPr>
        <w:t>آینده</w:t>
      </w:r>
      <w:bookmarkEnd w:id="67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پلت فرم های دوره های برخط گسترده آزاد بسیار شناخته شده اند سرخوردگی و تنزل در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چشم می خورد و مدل تجاری طراحی شده با هدف حفظ و ابقای سازمان های تأمین کننده حتی در بهترین حالتش آشفته و مختل به نظر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تأثیر این فناوری ها بر چشم انداز آموزشی برای مدت زمانی ناشناخته باقی خواهد ماند اما آن ها پیشتر نیز تأثیراتی داشته اند و توجهی خاص به ابزارهای آموزشی و روش شناسی ها نشان داده اند و به بستری مناسب برای بحث و بررسی این موضوعات از حق مولف گرفته تا استفاده از ابزارهای رسانه ها،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می توانند و باید هر دو نقش شرکت کننده و گرداننده را به هنگام استفاده از ابزارهای یادگیری برخط داشته باشند</w:t>
      </w:r>
      <w:r>
        <w:rPr>
          <w:rFonts w:eastAsia="IRNazanin" w:cs="IRNazanin"/>
          <w:color w:val="111111"/>
          <w:sz w:val="28"/>
          <w:szCs w:val="28"/>
          <w:rtl w:val="true"/>
          <w:lang w:bidi="fa-IR"/>
        </w:rPr>
        <w:t xml:space="preserve">. </w:t>
      </w:r>
      <w:bookmarkStart w:id="678" w:name="pg9653_82032"/>
    </w:p>
    <w:p>
      <w:pPr>
        <w:pStyle w:val="Heading2"/>
        <w:numPr>
          <w:ilvl w:val="1"/>
          <w:numId w:val="1"/>
        </w:numPr>
        <w:rPr/>
      </w:pPr>
      <w:bookmarkStart w:id="679" w:name="__RefHeading___Toc7766744_2870459653"/>
      <w:bookmarkStart w:id="680" w:name="_Toc247"/>
      <w:bookmarkEnd w:id="678"/>
      <w:bookmarkEnd w:id="679"/>
      <w:r>
        <w:rPr>
          <w:rtl w:val="true"/>
        </w:rPr>
        <w:t>چکیده</w:t>
      </w:r>
      <w:bookmarkEnd w:id="680"/>
    </w:p>
    <w:p>
      <w:pPr>
        <w:pStyle w:val="BookText"/>
        <w:rPr/>
      </w:pPr>
      <w:r>
        <w:rPr>
          <w:rFonts w:ascii="IRNazanin" w:hAnsi="IRNazanin" w:eastAsia="IRNazanin"/>
          <w:color w:val="111111"/>
          <w:sz w:val="28"/>
          <w:sz w:val="28"/>
          <w:szCs w:val="28"/>
          <w:rtl w:val="true"/>
          <w:lang w:bidi="fa-IR"/>
        </w:rPr>
        <w:t xml:space="preserve">از مجموعه سرعنوان های موضوعی کتابخانه ملی لهستان </w:t>
      </w:r>
      <w:r>
        <w:rPr>
          <w:rStyle w:val="FootnoteAnchor"/>
          <w:rtl w:val="true"/>
        </w:rPr>
        <w:footnoteReference w:id="954"/>
      </w:r>
      <w:r>
        <w:rPr>
          <w:rFonts w:ascii="IRNazanin" w:hAnsi="IRNazanin" w:eastAsia="IRNazanin"/>
          <w:color w:val="111111"/>
          <w:sz w:val="28"/>
          <w:sz w:val="28"/>
          <w:szCs w:val="28"/>
          <w:rtl w:val="true"/>
          <w:lang w:bidi="fa-IR"/>
        </w:rPr>
        <w:t>در کتابشناسی ملی لهستان، فهرست کتابخانه ملی همچنین تعداد زیادی از دیگر کتابخانه های لهستان استفاده می شود این کتابخانه ها عبارت اند از کتابخانه های عمومی آموزشگاهی کتابخانه های کلیسا و کتابخانه های دانشگاهی جستجوهای موضوعی در کتابخانه ما همچون گذشته عبارت است از تعداد قابل توجهی از انواع شیوه های جستجو، اما درک مفهوم و بازیابی سرعنوان های موضوعی مشکلات زیادی به دنبال دارد مشکلاتی که نه تنها کاربران نهایی، بلکه تعداد زیادی از کتابداران نیز با آن دست به گریبان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احتمالی این مشکل استفاده از یک برنامه کاربردی وب با طراحی دقیق و بی عیب و نقص بر پایه یک نقشه موضوعی و با استفاده از شیوه مصورسازی مناسب است این برنامه باید امکانات لازم را برای نمایه سازی و بازیابی اطلاعات در کتابخانه ملی لهستان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مراحل اصلی اجرای یک طرح برنامه ریزی شده در این زمینه را مطرح می 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عنوان های موضوعی، کتابخانه ملی لهستان، کتابشناسی، جستجو و بازیابی، مصور سازی </w:t>
      </w:r>
      <w:bookmarkStart w:id="681" w:name="pg9653_82034"/>
    </w:p>
    <w:p>
      <w:pPr>
        <w:pStyle w:val="Heading2"/>
        <w:numPr>
          <w:ilvl w:val="1"/>
          <w:numId w:val="1"/>
        </w:numPr>
        <w:rPr/>
      </w:pPr>
      <w:bookmarkStart w:id="682" w:name="__RefHeading___Toc7766746_2870459653"/>
      <w:bookmarkStart w:id="683" w:name="_Toc248"/>
      <w:bookmarkEnd w:id="681"/>
      <w:bookmarkEnd w:id="682"/>
      <w:r>
        <w:rPr>
          <w:rtl w:val="true"/>
        </w:rPr>
        <w:t>کتابخانه مجهز به نقشه موضوعی</w:t>
      </w:r>
      <w:r>
        <w:rPr>
          <w:rtl w:val="true"/>
        </w:rPr>
        <w:t xml:space="preserve">= </w:t>
      </w:r>
      <w:r>
        <w:rPr>
          <w:rtl w:val="true"/>
        </w:rPr>
        <w:t>کتابخانه مطلوب تر</w:t>
      </w:r>
      <w:r>
        <w:rPr>
          <w:rtl w:val="true"/>
        </w:rPr>
        <w:t xml:space="preserve">: </w:t>
      </w:r>
      <w:r>
        <w:rPr>
          <w:rtl w:val="true"/>
        </w:rPr>
        <w:t xml:space="preserve">درآمدی بر طرح </w:t>
      </w:r>
      <w:r>
        <w:rPr>
          <w:rtl w:val="true"/>
        </w:rPr>
        <w:t>"</w:t>
      </w:r>
      <w:r>
        <w:rPr>
          <w:rtl w:val="true"/>
        </w:rPr>
        <w:t>کتابخانه ملی لهستان</w:t>
      </w:r>
      <w:r>
        <w:rPr>
          <w:rtl w:val="true"/>
        </w:rPr>
        <w:t>"</w:t>
      </w:r>
      <w:bookmarkEnd w:id="683"/>
    </w:p>
    <w:p>
      <w:pPr>
        <w:pStyle w:val="Heading3"/>
        <w:numPr>
          <w:ilvl w:val="2"/>
          <w:numId w:val="1"/>
        </w:numPr>
        <w:rPr/>
      </w:pPr>
      <w:bookmarkStart w:id="684" w:name="__RefHeading___Toc7766748_2870459653"/>
      <w:bookmarkStart w:id="685" w:name="_Toc249"/>
      <w:bookmarkEnd w:id="684"/>
      <w:r>
        <w:rPr>
          <w:rtl w:val="true"/>
        </w:rPr>
        <w:t>اشاره</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مجهز به نقشه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مطلوب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لهستان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بارتلومی ولودار چیک </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فیروزان زهادی </w:t>
      </w:r>
      <w:r>
        <w:rPr>
          <w:rStyle w:val="FootnoteAnchor"/>
          <w:rtl w:val="true"/>
        </w:rPr>
        <w:footnoteReference w:id="956"/>
      </w:r>
    </w:p>
    <w:p>
      <w:pPr>
        <w:pStyle w:val="Heading3"/>
        <w:numPr>
          <w:ilvl w:val="2"/>
          <w:numId w:val="1"/>
        </w:numPr>
        <w:rPr/>
      </w:pPr>
      <w:bookmarkStart w:id="686" w:name="__RefHeading___Toc7766750_2870459653"/>
      <w:bookmarkStart w:id="687" w:name="_Toc250"/>
      <w:bookmarkEnd w:id="686"/>
      <w:r>
        <w:rPr>
          <w:rtl w:val="true"/>
        </w:rPr>
        <w:t>پیش درآمد</w:t>
      </w:r>
      <w:bookmarkEnd w:id="68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کتابخانه ملی لهستان دست اندر کار تهیه و تدوین زبان نمایه سازی ویژه خود یعنی سرعنوان های موضوعی کتابخانه ملی لهستان بوده است ابزاری که در کتابشناسی ملی لهستان فهرست کتابخانه ملی و نیز در بسیاری از دیگر کتابخانه های لهستان کاربرد دارد، اعم از کتابخانه های عمومی، آموزشگاهی، کتابخانه های کلیسا و کتابخانه های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کلنتون و استولارتیک،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کلنتون،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این مجموعه پیش همارا و ساختار آن مطابق با استانداردهای موجود امروز است فایل مستند موضوعی که در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 شود مجموعه ای است شامل حدود </w:t>
      </w:r>
      <w:r>
        <w:rPr>
          <w:rFonts w:eastAsia="IRNazanin" w:cs="IRNazanin"/>
          <w:color w:val="111111"/>
          <w:sz w:val="28"/>
          <w:szCs w:val="28"/>
          <w:lang w:bidi="fa-IR"/>
        </w:rPr>
        <w:t>69000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های انتخاب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شامل شکل های متفاوت اصطلاح ها اصطلاح های انتخاب نشده، و </w:t>
      </w:r>
      <w:r>
        <w:rPr>
          <w:rFonts w:eastAsia="IRNazanin" w:cs="IRNazanin"/>
          <w:color w:val="111111"/>
          <w:sz w:val="28"/>
          <w:szCs w:val="28"/>
          <w:lang w:bidi="fa-IR"/>
        </w:rPr>
        <w:t>117000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شامل انواع موارد ارتباط این اصطلاح ها با یکدیگر جستجوهای موضوعی در فهرست کتابخانه ما، همچون گذشته مجموعه قابل توجهی از همه انواع جستجوها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تعداد ورود و خروج در نظام میزان آن را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نشان می دهد و نسبت جستجوهای ناموفق برای بازیابی اطلاعات چندان پر شمار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تحقیقات نشان می دهد که درک مفهوم و بازیابی سرعنوان های موضوعی مشکلات زیادی با خود به همراه می آورد </w:t>
      </w:r>
    </w:p>
    <w:p>
      <w:pPr>
        <w:pStyle w:val="BookText"/>
        <w:rPr/>
      </w:pPr>
      <w:r>
        <w:rPr>
          <w:rFonts w:ascii="IRNazanin" w:hAnsi="IRNazanin" w:eastAsia="IRNazanin"/>
          <w:color w:val="111111"/>
          <w:sz w:val="28"/>
          <w:sz w:val="28"/>
          <w:szCs w:val="28"/>
          <w:rtl w:val="true"/>
          <w:lang w:bidi="fa-IR"/>
        </w:rPr>
        <w:t>که نه تنها کاربران نهایی، بلکه تعداد زیادی از کتابداران نیز با آن درگیر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فرانز، پاول، جود و در ابنستوت،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در ابنستوت، سیمکوکس و فنتون،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آنتل و هوانگ،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یکی از مهمترین مشکلات پیش رو بالا بردن کیفیت و سرعت نمایه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خیال نداریم در این زمینه با موتورهای جستجو رقابت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کاربران نهایی سرعت در اختیار گذاشتن اطلاعات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در عین حال این است که زمان بیشتری را صرف آموزش نمایه سازان تازه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پیچیدگی ساختار دستوری سرعنوان های پیش همارا بی ارتباط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مهم دیگر این است که به نمایه سازان کمک کنیم در شبکه موجود بین انواع و اقسام پیوندهای میان اصطلاح ها مناسب ترین اصطلاح را انتخاب کنند تا از پس نمایه سازی کتاب های خاص و یا سایر منابع برآیند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سرعنوان های موضوعی کنگره، هماهنگی قبل در مقابل بعد،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مشاهدات ما، در کنار اظهار نظرهای کتابداران کتابخانه هایی که از سرعنوان های موضوعی کتابخانه ملی لهستان استفاده می کنند مهر تاییدی بر این نوع برداشت هاست می دانیم که به شیوه موثرتری برای بازیابی اطلاعات نیاز داریم اما نمی خواهیم فرصت استفاده از مجموعه اصطلاحات کنترل شده ای با این کیفیت بالا را از دست بدهیم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پیش روی ما برای بهبود کیفیت بازیابی اطلاعات موضوعی این بود که به گونه ای ساختار نحوی سرعنوان ها ساده تر و خود آن ها نیز خلاصه تر شود تقسیمات فرعی شکلی از زنجیره سرعنوان های موضوعی بیرون کشیده شد و در مرحله بعد به اصطلاح های نمایه سازی نشان دهنده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تبدیل شد این نخستین گام در زمینه چهریزه ای کردن نظام سرعنوان ها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معمول این است که چهریزه ای کردن سرعنوان ها فواید زیادی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کاندیت فاگان،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اما این راه حل یعنی سبک و سیاق ارائه منابع کتابخانه ای در محیط برخط، یکی از حساس ترین مشکلات پیش روی امروز و آینده کتابخانه ها نخواهد بود کتابخانه ملی لهستان همچون گذشته فهرست منابع خود را به صورت متنی در اختیار کاربران می گذارد در حالی که اطلاعاتی را که به شیوه مناسب مصور شده باشد می توان به گونه ای در اختیار کاربر گذاشت که درک مفهوم و ردیابی آن آسان تر انجام شود ما در آینده نیز کار ساده و خلاصه کردن ساختار سرعنوان های موضوعی کتابخانه </w:t>
      </w:r>
    </w:p>
    <w:p>
      <w:pPr>
        <w:pStyle w:val="BookText"/>
        <w:rPr/>
      </w:pPr>
      <w:r>
        <w:rPr>
          <w:rFonts w:ascii="IRNazanin" w:hAnsi="IRNazanin" w:eastAsia="IRNazanin"/>
          <w:color w:val="111111"/>
          <w:sz w:val="28"/>
          <w:sz w:val="28"/>
          <w:szCs w:val="28"/>
          <w:rtl w:val="true"/>
          <w:lang w:bidi="fa-IR"/>
        </w:rPr>
        <w:t>ملی لهستان را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داریم مجموعه اصطلاحات سرعنوان های موضوعی را گسترش دهیم و قواعد دستوری و کاربردی آن را ساده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قصد داریم دست به تحقیقاتی بزنیم که روند نمایه سازی در کتابخانه ملی و سایر کتابخانه های لهستان بهبود یابد هدف دیگر ما این است که نقش های موضوعی از سرعنوان های زبان لهستانی تهیه و آن را بر اساس نشانه های رده بندی دهدهی جهانی رمزگذاری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نظام های شناخت شناسی به اهمیت مصورسازی اطلاعات پی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از همان سال های آغاز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ویلیام پلیفر، </w:t>
      </w:r>
      <w:r>
        <w:rPr>
          <w:rStyle w:val="FootnoteAnchor"/>
          <w:rtl w:val="true"/>
        </w:rPr>
        <w:footnoteReference w:id="964"/>
      </w:r>
      <w:r>
        <w:rPr>
          <w:rFonts w:ascii="IRNazanin" w:hAnsi="IRNazanin" w:eastAsia="IRNazanin"/>
          <w:color w:val="111111"/>
          <w:sz w:val="28"/>
          <w:sz w:val="28"/>
          <w:szCs w:val="28"/>
          <w:rtl w:val="true"/>
          <w:lang w:bidi="fa-IR"/>
        </w:rPr>
        <w:t>مهندس و دانشمند اسکاتلندی رشته اقتصاد سیاسی،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پای ارقام و نسبت ها در میان است بهترین شیوه جلب توجه دیگران این است که با چشم هایشان حرف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پالسکی،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او فقط در مورد اعداد و ارقام چنین نظری داشت اما حرف او در مورد مفاهیم و واژه ها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می تواند کلید راهگشای کتابخانه ها باشد تا مصورسازی اطلاعات را در مرکز توجه خود قرار دهند بنا به گفته ای رایج یک تصویر به هزار کلمه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اوپک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پیوسته به فهرست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با آن شکل سنتی اش که فهرستی از سرعنوان های موضوعی را به صورت یک متن خطی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تواند زمینه لازم را برای استفاده موثر از نقاط بازیابی موضوعی و روابط بین آن ها فراهم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برای انتقال صریح و بی کم و کاست اطلاعات و بهبود کیفیت استفاده از آن باید به شیوه ای بهتر از گذشته آن را به شکل تصویری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فایل مستند موضوعی به منزله مبنایی برای ایجاد یک ابزار جدید به منظور کاوش ردیابی و بازیابی اطلاعات به شیوه ای موثر و کاربر پسند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نمایش سرعنوان های موضوعی در کتابخانه ملی لهستان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http://alpha.bn.org.pl</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های متعددی برای مصورسازی اطلاعات وجود دارد از جمله استفاده از نمودار، نقشه، نمودارهای درختی، جهان های مجازی و مواردی از این قبیل حتی تغییر شکل ساده سرعنوان های موضوعی و نمایش آن ها به صورت نقشه موضوعی می تواند به حال کتابداران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تصویری یک نقشه موضوعی به ما این امکان را می دهد که به ساختار پیچیده اصطلاحات موجود خود به منزله یک کلیت واحد نگاه کنیم این کار راه را برای بهبود کیفیت زبان نمایه سازی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نقشه های موضوعی را می توان به چشم نوعی ابزار ارزشیابی نگاه کرد از این طریق بررسی کلیه ناهماهنگی های موجود با تمام جزییاتش امکان دارد ویر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چیز باید به ارتباط های نادرست بین اصطلاح های موجود یا فقدان هرگونه ارتباط بین آن اشاره کنیم در مورد استفاده از روش مصورسازی اطلاعات روی وبگاه های کتابخانه ها و ناشران، می توانیم به چند نمونه اشاره کنیم یکی از این ها طرح شناسایی ورلدکت </w:t>
      </w:r>
      <w:r>
        <w:rPr>
          <w:rStyle w:val="FootnoteAnchor"/>
          <w:rtl w:val="true"/>
        </w:rPr>
        <w:footnoteReference w:id="966"/>
      </w:r>
      <w:r>
        <w:rPr>
          <w:rFonts w:ascii="IRNazanin" w:hAnsi="IRNazanin" w:eastAsia="IRNazanin"/>
          <w:color w:val="111111"/>
          <w:sz w:val="28"/>
          <w:sz w:val="28"/>
          <w:szCs w:val="28"/>
          <w:rtl w:val="true"/>
          <w:lang w:bidi="fa-IR"/>
        </w:rPr>
        <w:t xml:space="preserve">نام دارد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تک هویت های موجود در پایگاه داده های شناسه های ورلدکت</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 xml:space="preserve">شبکه ای تعاملی از نقشه های مربوط به هویتهای مرتبط با </w:t>
      </w:r>
    </w:p>
    <w:p>
      <w:pPr>
        <w:pStyle w:val="BookText"/>
        <w:rPr/>
      </w:pPr>
      <w:r>
        <w:rPr>
          <w:rFonts w:ascii="IRNazanin" w:hAnsi="IRNazanin" w:eastAsia="IRNazanin"/>
          <w:color w:val="111111"/>
          <w:sz w:val="28"/>
          <w:sz w:val="28"/>
          <w:szCs w:val="28"/>
          <w:rtl w:val="true"/>
          <w:lang w:bidi="fa-IR"/>
        </w:rPr>
        <w:t>هم ایجاد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شبکه شناسه های ورلدکت</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در پلتفرم های وایر </w:t>
      </w:r>
      <w:r>
        <w:rPr>
          <w:rStyle w:val="FootnoteAnchor"/>
          <w:rtl w:val="true"/>
        </w:rPr>
        <w:footnoteReference w:id="969"/>
      </w:r>
      <w:r>
        <w:rPr>
          <w:rFonts w:ascii="IRNazanin" w:hAnsi="IRNazanin" w:eastAsia="IRNazanin"/>
          <w:color w:val="111111"/>
          <w:sz w:val="28"/>
          <w:sz w:val="28"/>
          <w:szCs w:val="28"/>
          <w:rtl w:val="true"/>
          <w:lang w:bidi="fa-IR"/>
        </w:rPr>
        <w:t>نیز از روش نمایش گرافیکی فرا داده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پلتفرم از یک نمودار درختی هذلولی برای مرور موضوعی در اسناد و مدارک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موضوعی درهای وایر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http://highwire.stanford.edu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نرم افزار آکوا براوزر </w:t>
      </w:r>
      <w:r>
        <w:rPr>
          <w:rStyle w:val="FootnoteAnchor"/>
          <w:rtl w:val="true"/>
        </w:rPr>
        <w:footnoteReference w:id="970"/>
      </w:r>
      <w:r>
        <w:rPr>
          <w:rFonts w:ascii="IRNazanin" w:hAnsi="IRNazanin" w:eastAsia="IRNazanin"/>
          <w:color w:val="111111"/>
          <w:sz w:val="28"/>
          <w:sz w:val="28"/>
          <w:szCs w:val="28"/>
          <w:rtl w:val="true"/>
          <w:lang w:bidi="fa-IR"/>
        </w:rPr>
        <w:t>این قابلیت وجود دارد که تنها یک اصطلاح را به همراه اصطلاح های مرتبط با آن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مناسبی به نظر می رسد اما وقتی تنها طیفی کوچک از اصطلاحات مرتبط منظور نظر ما باشد، با مشکل مواجه می شویم از آن گذشته، این نرم افزار به ازای اصطلاحات جستجویی که ما به کار می بریم متن محدودی را در اختیار ما می گذارد در نتیجه یکی از اصلی ترین مزایای استفاده از روش مصورسازی را از دست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 نیاز دارند برای مصورسازی اطلاعات، روش هایی را طراحی کنند که نه تنها برای رایانه های رومیزی بلکه برای ابزارهای سیار مجهز به نمایشگرهای تماسی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نمایشگرهای تماسی، از همین حالا در رایانه های رومیزی تعبیه شده و در دسترس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جدید پرکاربردترین سیستم عامل ،موجود یعنی ویندوز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اینترنت اکسپلورر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به یک صفحه </w:t>
      </w:r>
    </w:p>
    <w:p>
      <w:pPr>
        <w:pStyle w:val="BookText"/>
        <w:rPr/>
      </w:pPr>
      <w:r>
        <w:rPr>
          <w:rFonts w:ascii="IRNazanin" w:hAnsi="IRNazanin" w:eastAsia="IRNazanin"/>
          <w:color w:val="111111"/>
          <w:sz w:val="28"/>
          <w:sz w:val="28"/>
          <w:szCs w:val="28"/>
          <w:rtl w:val="true"/>
          <w:lang w:bidi="fa-IR"/>
        </w:rPr>
        <w:t xml:space="preserve">کلید تماسی خواهد بود و امکانات لازم را برای پیمایش بر اساس حرکات سر و دست فراهم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نمایش توسعه دهنده ویندوز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ویندوز </w:t>
      </w:r>
      <w:r>
        <w:rPr>
          <w:rFonts w:eastAsia="IRNazanin" w:cs="IRNazanin"/>
          <w:color w:val="111111"/>
          <w:sz w:val="28"/>
          <w:szCs w:val="28"/>
          <w:lang w:bidi="fa-IR"/>
        </w:rPr>
        <w:t>2011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این است که شمار آن دسته از کاربران کتابخانه که از طریق ابزار و تجهیزات سیار به فهرست کتابخانه ها دسترسی می یابند در آینده افزوده شود آن چه هم اکنون در لهستان شاهد آن هستیم، صرفا طلیعه بروز چنین گرایشی است تا امروز تنها تعداد اندکی از کاربران از این روش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رقومی ناحیه ویلکوپولسکا </w:t>
      </w:r>
      <w:r>
        <w:rPr>
          <w:rStyle w:val="FootnoteAnchor"/>
          <w:rtl w:val="true"/>
        </w:rPr>
        <w:footnoteReference w:id="972"/>
      </w:r>
      <w:r>
        <w:rPr>
          <w:rFonts w:ascii="IRNazanin" w:hAnsi="IRNazanin" w:eastAsia="IRNazanin"/>
          <w:color w:val="111111"/>
          <w:sz w:val="28"/>
          <w:sz w:val="28"/>
          <w:szCs w:val="28"/>
          <w:rtl w:val="true"/>
          <w:lang w:bidi="fa-IR"/>
        </w:rPr>
        <w:t xml:space="preserve">، تعداد این دسته از کاربران صرف نظر از ابزارها یا سیستم های عاملی که مورد استفاده قرار می گیرد تنها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مجموع کاربران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لا،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استفاده از روش مصورسازی شرایط را برای کاربرد شیوه های طبیعی تر پیمایش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دلایلی است که ما باید روی این مساله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مشکلات پیش روی کتابخانه ملی لهستان این است که از اصطلاح های مرتبطی که توسط گروه مسئول سرعنوان های موضوعی کتابخانه ملی لهستان ساخته و پرداخته می شود به اندازه کافی بهره نمی گیرند ساخت و پرداخت رابطه های سلسله مراتبی و همایند، کار بسیار وقت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اصطلاح های مرتبط ارزشمند است و ما باید کاربرد آن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ما این است که بر تعداد آن ها بیفزاییم تا روند بازیابی اطلاعات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این مساله، طراحی دقیق یک برنامه کاربردی وب مبتنی بر یک نقشه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نقشه موضوعی ایزو </w:t>
      </w:r>
      <w:r>
        <w:rPr>
          <w:rFonts w:eastAsia="IRNazanin" w:cs="IRNazanin"/>
          <w:color w:val="111111"/>
          <w:sz w:val="28"/>
          <w:szCs w:val="28"/>
          <w:lang w:bidi="fa-IR"/>
        </w:rPr>
        <w:t>13250</w:t>
      </w:r>
      <w:r>
        <w:rPr>
          <w:rFonts w:ascii="IRNazanin" w:hAnsi="IRNazanin" w:eastAsia="IRNazanin"/>
          <w:color w:val="111111"/>
          <w:sz w:val="28"/>
          <w:sz w:val="28"/>
          <w:szCs w:val="28"/>
          <w:rtl w:val="true"/>
          <w:lang w:bidi="fa-IR"/>
        </w:rPr>
        <w:t xml:space="preserve">، مزایای فراوانی دارد که پژوهش های متعدد صحت این مدعا را ثابت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ملگار، استرادا،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موضوعی ساختاری ایجاد می کند مستقل از رخدادهایی که مورد ارجاع قرار گرفته است یعنی همه اسناد و مدارک را شامل می شود بنابراین از یک نقشه موضوعی واحد می توان برای پیمایش در تعداد زیادی از منابع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نقشه موضوعی در مقایسه با ساختار اصطلاحنامه، اصطلاح های مرتبط در چارچوب مواردی مثل اصطلاح های همایند سلسله مراتبی و مترادف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بنابراین می توانیم به دلخواه انواع و اقسام ارتباط ها را ایجاد کنیم افزایش تعداد اصطلاح های وابسته این امکان را برای ما فراهم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های پیچیده تر ارتباط بین اصطلاح ها را تعریف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عین حال، ایجاد چنین شبکه پیشرفته ای از ارتباطات، کار چندان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این شبکه ارتباطی </w:t>
      </w:r>
    </w:p>
    <w:p>
      <w:pPr>
        <w:pStyle w:val="BookText"/>
        <w:rPr/>
      </w:pPr>
      <w:r>
        <w:rPr>
          <w:rFonts w:ascii="IRNazanin" w:hAnsi="IRNazanin" w:eastAsia="IRNazanin"/>
          <w:color w:val="111111"/>
          <w:sz w:val="28"/>
          <w:sz w:val="28"/>
          <w:szCs w:val="28"/>
          <w:rtl w:val="true"/>
          <w:lang w:bidi="fa-IR"/>
        </w:rPr>
        <w:t xml:space="preserve">باید به شیوه ای کاملا سنجیده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ساختار یک نقشه موضوعی، یک موضوع مفروض را می توان از چند منظر نگاه کرد و آن را نمایش داد این امکان به لطف وجود عامل دامنه </w:t>
      </w:r>
      <w:r>
        <w:rPr>
          <w:rStyle w:val="FootnoteAnchor"/>
          <w:rtl w:val="true"/>
        </w:rPr>
        <w:footnoteReference w:id="975"/>
      </w:r>
      <w:r>
        <w:rPr>
          <w:rFonts w:ascii="IRNazanin" w:hAnsi="IRNazanin" w:eastAsia="IRNazanin"/>
          <w:color w:val="111111"/>
          <w:sz w:val="28"/>
          <w:sz w:val="28"/>
          <w:szCs w:val="28"/>
          <w:rtl w:val="true"/>
          <w:lang w:bidi="fa-IR"/>
        </w:rPr>
        <w:t>حاصل شده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بافتی که در آن یک نام یا یک رخداد به یک موضوع مفروض اختصاص داده می شود، همچنین بافتی که در آن بین موضوع های مختلف از طریق اصطلاحات وابسته پیوند برقرار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بین المللی استانداردسازی،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وجه مشخصه نقشه های موضوعی است که خصلت واقع نگری و بی طرفی کتابخانه ها را همچنان نگاه می دارد</w:t>
      </w:r>
      <w:r>
        <w:rPr>
          <w:rFonts w:eastAsia="IRNazanin" w:cs="IRNazanin"/>
          <w:color w:val="111111"/>
          <w:sz w:val="28"/>
          <w:szCs w:val="28"/>
          <w:rtl w:val="true"/>
          <w:lang w:bidi="fa-IR"/>
        </w:rPr>
        <w:t xml:space="preserve">. </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سیگل،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های موضوعی را می توان به راحتی تصویری کرد این ویژگی به نقشه های موضوعی جنبه کاربردی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مدد استفاده از توضیح گرهای عمومی سرعنوان های موضوعی که حوزه موضوعی سرعنوان ها را مشخص می کنند تعداد زیادی از نقشه های موضوعی را می توان در یک نقشه موضوعی واحد ادغام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مکانیسم خاصی موسوم به خدمات وب در قالب نقشه های موضوعی وجود دارد که به ما امکان می دهد اجزاء مختلف نقشه های موضوعی را با هم مبادله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سازوکار می توانیم شبکه ای تعاونی از برنامه های کاربردی وب ایجاد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نایتو،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ملگار استرادا </w:t>
      </w:r>
      <w:r>
        <w:rPr>
          <w:rStyle w:val="FootnoteAnchor"/>
          <w:rtl w:val="true"/>
        </w:rPr>
        <w:footnoteReference w:id="97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قابلیت عملکرد متقابل نقشه های موضوعی 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چارچوب توصیف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طرح هایی را که بر مبنای نقشه های موضوعی تهیه و تدوین می شود می توانیم به گونه ای هماهنگ در محیط وب معناشناختی ادغام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ملگار استرادا،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امروز در لهستان، از نقشه های موضوعی در چارچوب سامانه مبادله اسناد بین کشورهای </w:t>
      </w:r>
    </w:p>
    <w:p>
      <w:pPr>
        <w:pStyle w:val="BookText"/>
        <w:rPr/>
      </w:pPr>
      <w:r>
        <w:rPr>
          <w:rFonts w:ascii="IRNazanin" w:hAnsi="IRNazanin" w:eastAsia="IRNazanin"/>
          <w:color w:val="111111"/>
          <w:sz w:val="28"/>
          <w:sz w:val="28"/>
          <w:szCs w:val="28"/>
          <w:rtl w:val="true"/>
          <w:lang w:bidi="fa-IR"/>
        </w:rPr>
        <w:t xml:space="preserve">اروپایی و لهستان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کاربردی پشتوانه لازم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امور مربوط به توضیح توأم با جزئیات دیدگاه رسمی حکومت لهستان در خصوص رفع کاستی های قانونی ایالت های تازه به هم پیوسته لهستان و تطبیق این قوانین با رویه های قانونی و مقررات کشورهای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موموتکو، نوویکی، استریکوفسکی،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 xml:space="preserve">تنها طرحی که در لهستان در چارچوب شورای موزه ها کتابخانه ها و آرشیوها از نقشه های موضوعی استفاده می کند، در حال حاضر در موزه ملی ورشو در حال تهیه و تدوین است و به مبحث هنر در ورشو طی سال های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کوپشاک،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این طرح در پایان راه خود، این نقشه را روی وبگاه خود پیاده خواهد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نمایش سرعنوان های موضوعی در قالب یک نقشه موضوعی، مبحثی است که کار تحقیقاتی موتومو نایتو </w:t>
      </w:r>
      <w:r>
        <w:rPr>
          <w:rStyle w:val="FootnoteAnchor"/>
          <w:rtl w:val="true"/>
        </w:rPr>
        <w:footnoteReference w:id="984"/>
      </w:r>
      <w:r>
        <w:rPr>
          <w:rFonts w:ascii="IRNazanin" w:hAnsi="IRNazanin" w:eastAsia="IRNazanin"/>
          <w:color w:val="111111"/>
          <w:sz w:val="28"/>
          <w:sz w:val="28"/>
          <w:szCs w:val="28"/>
          <w:rtl w:val="true"/>
          <w:lang w:bidi="fa-IR"/>
        </w:rPr>
        <w:t xml:space="preserve">به چند و چون آن می پردازد راهی که او برای این تغییر و تبدیل نشان می دهد، مصورسازی است، و نمونه هایی را در مورد استفاده عملی از سرعنوان های موضوعی ارائه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نایتو،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روش مصورسازی روابط سلسله مراتبی در ابعاد وسیع نیز موضوع مطالعه محققان بوده است به عنوان مثال نیهار شت </w:t>
      </w:r>
      <w:r>
        <w:rPr>
          <w:rStyle w:val="FootnoteAnchor"/>
          <w:rtl w:val="true"/>
        </w:rPr>
        <w:footnoteReference w:id="986"/>
      </w:r>
      <w:r>
        <w:rPr>
          <w:rFonts w:ascii="IRNazanin" w:hAnsi="IRNazanin" w:eastAsia="IRNazanin"/>
          <w:color w:val="111111"/>
          <w:sz w:val="28"/>
          <w:sz w:val="28"/>
          <w:szCs w:val="28"/>
          <w:rtl w:val="true"/>
          <w:lang w:bidi="fa-IR"/>
        </w:rPr>
        <w:t xml:space="preserve">و کین کای </w:t>
      </w:r>
      <w:r>
        <w:rPr>
          <w:rStyle w:val="FootnoteAnchor"/>
          <w:rtl w:val="true"/>
        </w:rPr>
        <w:footnoteReference w:id="987"/>
      </w:r>
      <w:r>
        <w:rPr>
          <w:rFonts w:ascii="IRNazanin" w:hAnsi="IRNazanin" w:eastAsia="IRNazanin"/>
          <w:color w:val="111111"/>
          <w:sz w:val="28"/>
          <w:sz w:val="28"/>
          <w:szCs w:val="28"/>
          <w:rtl w:val="true"/>
          <w:lang w:bidi="fa-IR"/>
        </w:rPr>
        <w:t xml:space="preserve">از یک نمودار درختی شعاعی استفاده کردند تا مجموعه داده های سرعنوان های موضوعی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را تصویری کنند، و مرورگر مش را به گونه ای ارتقا دادند که بتواند نه تنها روابط سلسله مراتبی بلکه در صورت نیاز، روابط غیر سلسله مراتبی را هم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نیهار و کای،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لوانیس پاپاداکیس </w:t>
      </w:r>
      <w:r>
        <w:rPr>
          <w:rStyle w:val="FootnoteAnchor"/>
          <w:rtl w:val="true"/>
        </w:rPr>
        <w:footnoteReference w:id="990"/>
      </w:r>
      <w:r>
        <w:rPr>
          <w:rFonts w:ascii="IRNazanin" w:hAnsi="IRNazanin" w:eastAsia="IRNazanin"/>
          <w:color w:val="111111"/>
          <w:sz w:val="28"/>
          <w:sz w:val="28"/>
          <w:szCs w:val="28"/>
          <w:rtl w:val="true"/>
          <w:lang w:bidi="fa-IR"/>
        </w:rPr>
        <w:t xml:space="preserve">، میخالیس استفانیداکیس </w:t>
      </w:r>
      <w:r>
        <w:rPr>
          <w:rStyle w:val="FootnoteAnchor"/>
          <w:rtl w:val="true"/>
        </w:rPr>
        <w:footnoteReference w:id="991"/>
      </w:r>
      <w:r>
        <w:rPr>
          <w:rFonts w:ascii="IRNazanin" w:hAnsi="IRNazanin" w:eastAsia="IRNazanin"/>
          <w:color w:val="111111"/>
          <w:sz w:val="28"/>
          <w:sz w:val="28"/>
          <w:szCs w:val="28"/>
          <w:rtl w:val="true"/>
          <w:lang w:bidi="fa-IR"/>
        </w:rPr>
        <w:t xml:space="preserve">و آیکاترینی تزالی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 xml:space="preserve">دست به تهیه و طراحی یک برنامه کاربردی وب به منزله الگوی اولیه زدند که بر اساس فناوری آژاکس </w:t>
      </w:r>
      <w:r>
        <w:rPr>
          <w:rStyle w:val="FootnoteAnchor"/>
          <w:rtl w:val="true"/>
        </w:rPr>
        <w:footnoteReference w:id="993"/>
      </w:r>
      <w:r>
        <w:rPr>
          <w:rFonts w:ascii="IRNazanin" w:hAnsi="IRNazanin" w:eastAsia="IRNazanin"/>
          <w:color w:val="111111"/>
          <w:sz w:val="28"/>
          <w:sz w:val="28"/>
          <w:szCs w:val="28"/>
          <w:rtl w:val="true"/>
          <w:lang w:bidi="fa-IR"/>
        </w:rPr>
        <w:t xml:space="preserve">و او دبلیو ال </w:t>
      </w:r>
      <w:r>
        <w:rPr>
          <w:rStyle w:val="FootnoteAnchor"/>
          <w:rtl w:val="true"/>
        </w:rPr>
        <w:footnoteReference w:id="994"/>
      </w:r>
      <w:r>
        <w:rPr>
          <w:rFonts w:ascii="IRNazanin" w:hAnsi="IRNazanin" w:eastAsia="IRNazanin"/>
          <w:color w:val="111111"/>
          <w:sz w:val="28"/>
          <w:sz w:val="28"/>
          <w:szCs w:val="28"/>
          <w:rtl w:val="true"/>
          <w:lang w:bidi="fa-IR"/>
        </w:rPr>
        <w:t>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الگوی اولیه، سرعنوان های موضوعی شکل تصویری به خود گرفته بود و امکانات لازم برای پیمایش در منابع کتابخانه ای به شیوه ای </w:t>
      </w:r>
      <w:bookmarkStart w:id="688" w:name="pg9653_82051"/>
    </w:p>
    <w:p>
      <w:pPr>
        <w:pStyle w:val="BookText"/>
        <w:rPr/>
      </w:pPr>
      <w:bookmarkEnd w:id="688"/>
      <w:r>
        <w:rPr>
          <w:rFonts w:ascii="IRNazanin" w:hAnsi="IRNazanin" w:eastAsia="IRNazanin"/>
          <w:color w:val="111111"/>
          <w:sz w:val="28"/>
          <w:sz w:val="28"/>
          <w:szCs w:val="28"/>
          <w:rtl w:val="true"/>
          <w:lang w:bidi="fa-IR"/>
        </w:rPr>
        <w:t>کاربرپسند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 کئون کیم، </w:t>
      </w:r>
      <w:r>
        <w:rPr>
          <w:rStyle w:val="FootnoteAnchor"/>
          <w:rtl w:val="true"/>
        </w:rPr>
        <w:footnoteReference w:id="995"/>
      </w:r>
      <w:r>
        <w:rPr>
          <w:rFonts w:ascii="IRNazanin" w:hAnsi="IRNazanin" w:eastAsia="IRNazanin"/>
          <w:color w:val="111111"/>
          <w:sz w:val="28"/>
          <w:sz w:val="28"/>
          <w:szCs w:val="28"/>
          <w:rtl w:val="true"/>
          <w:lang w:bidi="fa-IR"/>
        </w:rPr>
        <w:t>تئوک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سئوب سانگ </w:t>
      </w:r>
      <w:r>
        <w:rPr>
          <w:rStyle w:val="FootnoteAnchor"/>
          <w:rtl w:val="true"/>
        </w:rPr>
        <w:footnoteReference w:id="996"/>
      </w:r>
      <w:r>
        <w:rPr>
          <w:rFonts w:ascii="IRNazanin" w:hAnsi="IRNazanin" w:eastAsia="IRNazanin"/>
          <w:color w:val="111111"/>
          <w:sz w:val="28"/>
          <w:sz w:val="28"/>
          <w:szCs w:val="28"/>
          <w:rtl w:val="true"/>
          <w:lang w:bidi="fa-IR"/>
        </w:rPr>
        <w:t xml:space="preserve">، 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چول چوی </w:t>
      </w:r>
      <w:r>
        <w:rPr>
          <w:rStyle w:val="FootnoteAnchor"/>
          <w:rtl w:val="true"/>
        </w:rPr>
        <w:footnoteReference w:id="997"/>
      </w:r>
      <w:r>
        <w:rPr>
          <w:rFonts w:ascii="IRNazanin" w:hAnsi="IRNazanin" w:eastAsia="IRNazanin"/>
          <w:color w:val="111111"/>
          <w:sz w:val="28"/>
          <w:sz w:val="28"/>
          <w:szCs w:val="28"/>
          <w:rtl w:val="true"/>
          <w:lang w:bidi="fa-IR"/>
        </w:rPr>
        <w:t>و 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 بودهاک لیم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در یک محیط مجازی سه بعدی از نقشه موضوعی به عنوان یک ابزار پیمایشی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مصورسازی سرعنوان های موضوعی روشی است که به منظور مرور در واژگان سرعنوان های موضوعی کتابخانه کنگره نیز رایج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مطالعاتی که الهام بخش طرح ما بوده است می توان به آثار موتومو نایتو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مایونگهویی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و یادویگا ووزنیاک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کاسپرک </w:t>
      </w:r>
      <w:r>
        <w:rPr>
          <w:rStyle w:val="FootnoteAnchor"/>
          <w:rtl w:val="true"/>
        </w:rPr>
        <w:footnoteReference w:id="1000"/>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تهیه و طراحی یک برنامه کاربردی وب با استفاده مناسب از روش مصورسازی است که زمینه لازم را برای نمایه سازی و بازیابی اطلاعات در کتابخانه ملی لهستان فراهم کند همچنین در نظر داریم از برنامه کاربردی و ندورا </w:t>
      </w:r>
      <w:r>
        <w:rPr>
          <w:rStyle w:val="FootnoteAnchor"/>
          <w:rtl w:val="true"/>
        </w:rPr>
        <w:footnoteReference w:id="1001"/>
      </w:r>
      <w:r>
        <w:rPr>
          <w:rFonts w:ascii="IRNazanin" w:hAnsi="IRNazanin" w:eastAsia="IRNazanin"/>
          <w:color w:val="111111"/>
          <w:sz w:val="28"/>
          <w:sz w:val="28"/>
          <w:szCs w:val="28"/>
          <w:rtl w:val="true"/>
          <w:lang w:bidi="fa-IR"/>
        </w:rPr>
        <w:t>نیز در این طرح استفاده کنیم پنج نفر از گروه کارکنان سرعنوان های موضوعی کتابخانه ملی لهستان در کنار گروهی از متخصصان فناوری اطلاعات شاغل در همین کتابخانه، در این طرح درگیر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انجام این طرح در حدود دو سال طول بکشد این طرح سه مرحله خواهد داشت</w:t>
      </w:r>
      <w:r>
        <w:rPr>
          <w:rFonts w:eastAsia="IRNazanin" w:cs="IRNazanin"/>
          <w:color w:val="111111"/>
          <w:sz w:val="28"/>
          <w:szCs w:val="28"/>
          <w:rtl w:val="true"/>
          <w:lang w:bidi="fa-IR"/>
        </w:rPr>
        <w:t>:</w:t>
      </w:r>
    </w:p>
    <w:p>
      <w:pPr>
        <w:pStyle w:val="Heading3"/>
        <w:numPr>
          <w:ilvl w:val="2"/>
          <w:numId w:val="1"/>
        </w:numPr>
        <w:rPr/>
      </w:pPr>
      <w:bookmarkStart w:id="689" w:name="__RefHeading___Toc7766752_2870459653"/>
      <w:bookmarkStart w:id="690" w:name="_Toc251"/>
      <w:bookmarkEnd w:id="689"/>
      <w:r>
        <w:rPr/>
        <w:t>1</w:t>
      </w:r>
      <w:r>
        <w:rPr>
          <w:rtl w:val="true"/>
        </w:rPr>
        <w:t xml:space="preserve">. </w:t>
      </w:r>
      <w:r>
        <w:rPr>
          <w:rtl w:val="true"/>
        </w:rPr>
        <w:t>ایجاد یک نقشه موضوعی از سرعنوان های موضوعی کتابخانه ملی لهستان</w:t>
      </w:r>
      <w:bookmarkEnd w:id="690"/>
    </w:p>
    <w:p>
      <w:pPr>
        <w:pStyle w:val="BookText"/>
        <w:rPr/>
      </w:pPr>
      <w:r>
        <w:rPr>
          <w:rFonts w:ascii="IRNazanin" w:hAnsi="IRNazanin" w:eastAsia="IRNazanin"/>
          <w:color w:val="111111"/>
          <w:sz w:val="28"/>
          <w:sz w:val="28"/>
          <w:szCs w:val="28"/>
          <w:rtl w:val="true"/>
          <w:lang w:bidi="fa-IR"/>
        </w:rPr>
        <w:t>در کتابخانه ملی لهستان برای رمزگذاری سرعنوان های موضوعی از استاندارد مارک استفاده 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شکل مجموعه سرعنوان های موضوعی قدم اول است باید شیوه تقسیم و تفکیک سرعنوان ها و طراحی شبکه اصطلاح های وابسته به آن ها در نقشه موضوعی آینده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کار بستگی دارد به نوع طراحی قضایا از بعد هستی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که ما از این اصطلاح می شناسیم عبارت است از مجموعه ای از نوع چینش ماهیت ها در کنار هم، یعنی موضوع ها، نام ها و موارد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ملگار استرادا،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صریح و مشخص قضیه این است که تفکیک را بر اساس فیلدهای موجود در مارک انجام دهیم یعنی نام شامل نام شخص و نام تنالگان همایش، موضوع محل جغرافیایی، عنوان قراردادی و اصطلاح نشان دهنده نوع یا شکل به همین شیوه می توانیم شبکه ای از ارتباطات برقرار کنیم با هر آن چه از پیش در یک فایل مستند موضوعی وجود دارد شامل اصطلاح اعم یا ،اخص اصطلاح مرتبط و اصطلاح انتخاب شده و نشده موتومو نایتو از همین </w:t>
      </w:r>
      <w:bookmarkStart w:id="691" w:name="pg9653_82053"/>
    </w:p>
    <w:p>
      <w:pPr>
        <w:pStyle w:val="BookText"/>
        <w:rPr/>
      </w:pPr>
      <w:bookmarkEnd w:id="691"/>
      <w:r>
        <w:rPr>
          <w:rFonts w:ascii="IRNazanin" w:hAnsi="IRNazanin" w:eastAsia="IRNazanin"/>
          <w:color w:val="111111"/>
          <w:sz w:val="28"/>
          <w:sz w:val="28"/>
          <w:szCs w:val="28"/>
          <w:rtl w:val="true"/>
          <w:lang w:bidi="fa-IR"/>
        </w:rPr>
        <w:t xml:space="preserve">راه حل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نایتو،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کوشیم در آینده تعداد اصطلاح های وابسته به هر سرعنوان را افزایش دهیم و شیوه تقسیم و تفکیک سرعنوان ها را عوض کنیم تا جریان بازیابی اطلاعات در فهرست کتابخانه ملی لهستان بهینه شود کمال مطلوب طراحی شبکه ای از اصطلاح های مرتبط است که از ویژگی خاص تری برخوردار باشند در بدو کار باید یک قلمرو موضوعی خاص را انتخاب کنیم مثلا تاریخ، یا حتی یک دوره تاریخی خاص در نگاه اول کار بسیار دشواری به نظر می رسد یکی از مشکلات متعدد موجود این است که در مجموعه سرعنوان های موضوعی کتابخانه ملی لهستان بین نام شخص و هر یک از رویدادهای تاریخی مشخصی که وی در آن شرکت داشته یا بین نام شخص و نام یک سازمان ارتباط و پیوندی وجود ندارد تنها راه برقرار کردن این پیوند به صورت 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آینده این فرایند به صورت خودکار انجام شود به محض آن که شکل هستی شناسانه کار طراحی شد می توانیم سرعنوان های موضوعی را به قالب ایکس ام ال در آوریم و پیوندهای لازم را به آن اضافه کنیم برای نمایش نفشه موضوعی مبتنی بر سرعنوان های موجود خود از ساختار نحوی نقشه موضوعی ایکس ام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نشانه گذاری گسترش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خواهیم کرد این ساختار به گونه ای طراحی شده 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نحوی مورد استفاده در فرایند مبادله نقشه های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استانداردسازی بین المللی،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92" w:name="__RefHeading___Toc7766754_2870459653"/>
      <w:bookmarkStart w:id="693" w:name="_Toc252"/>
      <w:bookmarkEnd w:id="692"/>
      <w:r>
        <w:rPr/>
        <w:t>2</w:t>
      </w:r>
      <w:r>
        <w:rPr>
          <w:rtl w:val="true"/>
        </w:rPr>
        <w:t xml:space="preserve">. </w:t>
      </w:r>
      <w:r>
        <w:rPr>
          <w:rtl w:val="true"/>
        </w:rPr>
        <w:t>پیدا کردن یک راه حل مناسب برای مصورسازی نقشه موضوعی جهت استفاده در کتابخانه و تهیه و طراحی یک برنامه کاربردی وب</w:t>
      </w:r>
      <w:r>
        <w:rPr>
          <w:rtl w:val="true"/>
        </w:rPr>
        <w:t>.</w:t>
      </w:r>
      <w:bookmarkEnd w:id="693"/>
    </w:p>
    <w:p>
      <w:pPr>
        <w:pStyle w:val="BookText"/>
        <w:rPr/>
      </w:pPr>
      <w:r>
        <w:rPr>
          <w:rFonts w:ascii="IRNazanin" w:hAnsi="IRNazanin" w:eastAsia="IRNazanin"/>
          <w:color w:val="111111"/>
          <w:sz w:val="28"/>
          <w:sz w:val="28"/>
          <w:szCs w:val="28"/>
          <w:rtl w:val="true"/>
          <w:lang w:bidi="fa-IR"/>
        </w:rPr>
        <w:t xml:space="preserve">یکی از شیوه های نمایش نقشه های موضوعی در برنامه کاربردی و ندورا استفاده از نمودار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وندورا ویکی</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بندیکت لوگران </w:t>
      </w:r>
      <w:r>
        <w:rPr>
          <w:rStyle w:val="FootnoteAnchor"/>
          <w:rtl w:val="true"/>
        </w:rPr>
        <w:footnoteReference w:id="1003"/>
      </w:r>
      <w:r>
        <w:rPr>
          <w:rFonts w:ascii="IRNazanin" w:hAnsi="IRNazanin" w:eastAsia="IRNazanin"/>
          <w:color w:val="111111"/>
          <w:sz w:val="28"/>
          <w:sz w:val="28"/>
          <w:szCs w:val="28"/>
          <w:rtl w:val="true"/>
          <w:lang w:bidi="fa-IR"/>
        </w:rPr>
        <w:t>در مورد این شیوه از مصورسازی متوجه یک نکته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افزایش تعداد موضوع ها و متعلقات آن ها احتمال دارد نمایش تصویری آن ها به سرعت دچار اختلال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گراند،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پیشتر اشاره کردم در حال حاضر مجموعه سرعنوان های موضوعی به زبان لهستانی در حدود </w:t>
      </w:r>
      <w:r>
        <w:rPr>
          <w:rFonts w:eastAsia="IRNazanin" w:cs="IRNazanin"/>
          <w:color w:val="111111"/>
          <w:sz w:val="28"/>
          <w:szCs w:val="28"/>
          <w:lang w:bidi="fa-IR"/>
        </w:rPr>
        <w:t>69000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سرعنوان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نموداری که بر اساس این زبان در محیط وندورا ایجاد می شود در حدود </w:t>
      </w:r>
      <w:r>
        <w:rPr>
          <w:rFonts w:eastAsia="IRNazanin" w:cs="IRNazanin"/>
          <w:color w:val="111111"/>
          <w:sz w:val="28"/>
          <w:szCs w:val="28"/>
          <w:lang w:bidi="fa-IR"/>
        </w:rPr>
        <w:t>69000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در یک نقشه موضوعی با این ابعاد وسیع کار چندان آسانی نیست در برنامه و ندورا ، وقتی روی یک گره کلیک می کنیم گره دیگری باز </w:t>
      </w:r>
    </w:p>
    <w:p>
      <w:pPr>
        <w:pStyle w:val="BookText"/>
        <w:rPr/>
      </w:pPr>
      <w:r>
        <w:rPr>
          <w:rFonts w:ascii="IRNazanin" w:hAnsi="IRNazanin" w:eastAsia="IRNazanin"/>
          <w:color w:val="111111"/>
          <w:sz w:val="28"/>
          <w:sz w:val="28"/>
          <w:szCs w:val="28"/>
          <w:rtl w:val="true"/>
          <w:lang w:bidi="fa-IR"/>
        </w:rPr>
        <w:t xml:space="preserve">می شود و سپس یکی دیگر و الی آخر با گذشت زمان، کاربر با ساختاری رو به رو می شود که به طور کامل ناخواناست راه حل احتمالی قضیه این است که برای نمایش همزمان رکوردها محدودیت ایجاد کنیم یا از فنون مصور سازی </w:t>
      </w:r>
      <w:r>
        <w:rPr>
          <w:rStyle w:val="FootnoteAnchor"/>
          <w:rtl w:val="true"/>
        </w:rPr>
        <w:footnoteReference w:id="1005"/>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ما این است که سایر روش های مصورسازی را هم شناسایی کنیم از جمله فنون نمایش سه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های مناسب روش استفاده از طراحی سه بعدی نمایش اطلاعات به کارگیری مرورگر تگ گلکسی </w:t>
      </w:r>
      <w:r>
        <w:rPr>
          <w:rStyle w:val="FootnoteAnchor"/>
          <w:rtl w:val="true"/>
        </w:rPr>
        <w:footnoteReference w:id="10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مرورگر تگ گلکسی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مساله مهم این است که بتوانیم با استفاده از یک شیوه مناسب اصطلاح های وابسته به یک سرعنوان را نمایش دهیم در پایان این مرحله به نتیجه می رسیم که برای نمایش سرعنوان های موضوعی کتابخانه ملی لهستان به شیوه تصویری باید از یک برنامه کاربردی در محیط وب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مصورسازی می تواند با استفاده از ابزارهایی انجام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فلش </w:t>
      </w:r>
      <w:r>
        <w:rPr>
          <w:rStyle w:val="FootnoteAnchor"/>
          <w:rtl w:val="true"/>
        </w:rPr>
        <w:footnoteReference w:id="100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Style w:val="FootnoteAnchor"/>
          <w:rtl w:val="true"/>
        </w:rPr>
        <w:footnoteReference w:id="1009"/>
      </w:r>
      <w:bookmarkStart w:id="694" w:name="pg9653_82058"/>
    </w:p>
    <w:p>
      <w:pPr>
        <w:pStyle w:val="BookText"/>
        <w:rPr/>
      </w:pPr>
      <w:bookmarkEnd w:id="694"/>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و جاوا اسکریپت</w:t>
      </w:r>
      <w:r>
        <w:rPr>
          <w:rFonts w:eastAsia="IRNazanin" w:cs="IRNazanin"/>
          <w:color w:val="111111"/>
          <w:sz w:val="28"/>
          <w:szCs w:val="28"/>
          <w:rtl w:val="true"/>
          <w:lang w:bidi="fa-IR"/>
        </w:rPr>
        <w:t xml:space="preserve">. </w:t>
      </w:r>
      <w:r>
        <w:rPr>
          <w:rStyle w:val="FootnoteAnchor"/>
          <w:rtl w:val="true"/>
        </w:rPr>
        <w:footnoteReference w:id="1011"/>
      </w:r>
    </w:p>
    <w:p>
      <w:pPr>
        <w:pStyle w:val="Heading3"/>
        <w:numPr>
          <w:ilvl w:val="2"/>
          <w:numId w:val="1"/>
        </w:numPr>
        <w:rPr/>
      </w:pPr>
      <w:bookmarkStart w:id="695" w:name="__RefHeading___Toc7766756_2870459653"/>
      <w:bookmarkStart w:id="696" w:name="_Toc253"/>
      <w:bookmarkEnd w:id="695"/>
      <w:r>
        <w:rPr/>
        <w:t>3</w:t>
      </w:r>
      <w:r>
        <w:rPr>
          <w:rtl w:val="true"/>
        </w:rPr>
        <w:t xml:space="preserve">. </w:t>
      </w:r>
      <w:r>
        <w:rPr>
          <w:rtl w:val="true"/>
        </w:rPr>
        <w:t>آزمایش الگوی اولیه</w:t>
      </w:r>
      <w:bookmarkEnd w:id="696"/>
    </w:p>
    <w:p>
      <w:pPr>
        <w:pStyle w:val="BookText"/>
        <w:rPr/>
      </w:pPr>
      <w:r>
        <w:rPr>
          <w:rFonts w:ascii="IRNazanin" w:hAnsi="IRNazanin" w:eastAsia="IRNazanin"/>
          <w:color w:val="111111"/>
          <w:sz w:val="28"/>
          <w:sz w:val="28"/>
          <w:szCs w:val="28"/>
          <w:rtl w:val="true"/>
          <w:lang w:bidi="fa-IR"/>
        </w:rPr>
        <w:t>این آزمایش دو گروه از کاربران را در بر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نهایی</w:t>
      </w:r>
    </w:p>
    <w:p>
      <w:pPr>
        <w:pStyle w:val="BookText"/>
        <w:rPr/>
      </w:pPr>
      <w:r>
        <w:rPr>
          <w:rFonts w:ascii="IRNazanin" w:hAnsi="IRNazanin" w:eastAsia="IRNazanin"/>
          <w:color w:val="111111"/>
          <w:sz w:val="28"/>
          <w:sz w:val="28"/>
          <w:szCs w:val="28"/>
          <w:rtl w:val="true"/>
          <w:lang w:bidi="fa-IR"/>
        </w:rPr>
        <w:t>گروه اول در خصوص نمایه سازی با برنامه کاربردی وب مبتنی بر یک نقشه موضوعی، آزموده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این ،آزمون نمایه سازان کتابخانه ملی و یکی از کتابخانه های عمومی بزرگ شهرهای لهستان مثلا ورشو خواهند بود آزمون ها نشان می دهد که استفاده از این ابزار جدید چه تاثیری بر سرعت و کیفیت کار نمایه سازی خواهد گذاشت و مواردی مثل روند کار نمایه سازی ،مشاهدات و مصاحبه های مختلف در مورد ساختار سنتی سرعنوان های موضوعی و ابزار جدید را در بر خواهد گرفت ما از بابت سرعت و دقت نمایه ،سازی مقایسه ای خواهیم داشت بین نمایه سازی منابع توسط نمایه سازان از یک ،طرف و نمایه سازی همان منابع که پیشتر توسط اعضای گروه سرعنوان های موضوعی کتابخانه ملی لهستان انجام شده است مقایسه این دو رویکرد نشان خواهد داد که آیا استفاده از روش مصورسازی نقشه موضوعی برای کتابخانه ملی لهستان مناسب است یا نه نمایه سازی با این ابزار جدید با روش کار در سرعنوان های موضوعی کتابخانه ملی لهستان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دیگر از زنجیره های سرعنوان های موضوعی و محدودیتشان خبری نخواهد بود در عوض بعضی از قوانین موجود در ابزار قدیم به ابزار جدید منتقل می شوند بی فایده نیست اگر طرح واره هایی ایجاد کنیم و به واسطه آن گروه خاصی از اصطلاح ها را به انواع تعیین شده ای از منابع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دهیم مثلا برای فهرست آثار نمایشگاه ها اصطلاح هایی در نظر بگیریم به ازای شکل نام کالای نمایشگاهی موضوع و محل نمایشگاه و نام سازمانی که مسئول برگزاری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وودارتک،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01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از بابت روند بازیابی اطلاعات در نظام سنتی کتابخانه ملی لهستان موسوم به دسترسی پیوسته به فهرست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بابت مرور و جستجو در محیط جدید مبتنی بر یک نقشه </w:t>
      </w:r>
      <w:bookmarkStart w:id="697" w:name="pg9653_82060"/>
    </w:p>
    <w:p>
      <w:pPr>
        <w:pStyle w:val="BookText"/>
        <w:rPr/>
      </w:pPr>
      <w:bookmarkEnd w:id="697"/>
      <w:r>
        <w:rPr>
          <w:rFonts w:ascii="IRNazanin" w:hAnsi="IRNazanin" w:eastAsia="IRNazanin"/>
          <w:color w:val="111111"/>
          <w:sz w:val="28"/>
          <w:sz w:val="28"/>
          <w:szCs w:val="28"/>
          <w:rtl w:val="true"/>
          <w:lang w:bidi="fa-IR"/>
        </w:rPr>
        <w:t>موضوعی آزموده می شوند این وظیفه به عهده آن ها گذاشته شده که منابع مرتبط به یک موضوع تعیین شده را پیدا کنند علاوه بر مطالعه در مورد سرعنوان های موضوعی مصورسازی شده ، قصد ما این است که روند جستجو بر اساس مجموعه اصطلاحات ایجاد شده در ارتباط با هر سرعنوان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علمی مورد استفاده ما عبارت خواهند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این است که پژوهش حاضر، تفاوت های موجود در حوزه نمایه سازی و مرور اطلاعات را میان روش سنتی اوپک و استفاده از برنامه کاربردی وب بر مبنای مصورسازی نقشه موضوعی نشان خواهد داد در عین ،حال نشان می دهد که بهترین روش مصورسازی سرعنوان های موضوعی برای استفاده در کتابخانه کدام است و این که آیا چنین روشی برای نمایش موارد مرتبط و وابسته با ویژگی های خاصتر کارساز هست یا نه تا به امروز هیچ نوع موتور جستجوی تصویری دیگری از محبوبیت وسیعتری برخوردار نشده است اما این حوزه همچنان برای تحقیقات آینده نویدبخش به نظر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مطالعه بیشتر در این زمینه ضروری است و برای کتابخانه های آینده می تواند بسیار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تازه در آغاز راه اجرای طرح هستیم و مشکلات زیادی وجود دارد که باید آن ها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روند مطالعات در مورد نقشه های موضوعی و مصورسازی اطلاعات پیشرفت قابل ملاحظه ای دارد و ما می توانیم از نتایج آن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طرح ما سرانجام نشان دهد که استفاده از روش مصورسازی نقشه های موضوعی به نیازهای ما پاسخ خواهد داد یا نه</w:t>
      </w:r>
      <w:r>
        <w:rPr>
          <w:rFonts w:eastAsia="IRNazanin" w:cs="IRNazanin"/>
          <w:color w:val="111111"/>
          <w:sz w:val="28"/>
          <w:szCs w:val="28"/>
          <w:rtl w:val="true"/>
          <w:lang w:bidi="fa-IR"/>
        </w:rPr>
        <w:t>.</w:t>
      </w:r>
    </w:p>
    <w:p>
      <w:pPr>
        <w:pStyle w:val="Heading3"/>
        <w:numPr>
          <w:ilvl w:val="2"/>
          <w:numId w:val="1"/>
        </w:numPr>
        <w:rPr/>
      </w:pPr>
      <w:bookmarkStart w:id="698" w:name="__RefHeading___Toc7766758_2870459653"/>
      <w:bookmarkStart w:id="699" w:name="_Toc254"/>
      <w:bookmarkEnd w:id="698"/>
      <w:r>
        <w:rPr>
          <w:rtl w:val="true"/>
        </w:rPr>
        <w:t>منابع</w:t>
      </w:r>
      <w:bookmarkEnd w:id="699"/>
    </w:p>
    <w:p>
      <w:pPr>
        <w:pStyle w:val="BookText"/>
        <w:rPr/>
      </w:pPr>
      <w:r>
        <w:rPr>
          <w:rFonts w:eastAsia="Times New Roman" w:cs="Times New Roman" w:ascii="Times New Roman" w:hAnsi="Times New Roman"/>
          <w:color w:val="111111"/>
          <w:sz w:val="28"/>
          <w:szCs w:val="28"/>
          <w:lang w:val="en-US" w:bidi="en-US"/>
        </w:rPr>
        <w:t>Antell, K. &amp; Huang, J. (2008). Subject Searching Success Transaction Logs, Patron Perceptions, and Implications for Library Instruction. Reference &amp; User Services Quarterly, 48 (1), 68–76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Authorities &amp; Vocabularies (Library of Congress)]. Retrieved from: http:// id.loc.gov/search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Condit Fagan, J. (2010). Usability Studies of faceted browning: a literature review. Information Technology and Libraries, 29 (2), 58-66</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Drabenstott, K. M., Simcox, S. &amp; Fenton, E. G. (1999). End-user understanding of subject headings in library catalogs. Library Resources &amp; Technical Services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Franz, L, Powell, J., Jude, S., &amp;Drabenstott, K. M. (1994). End user understanding of subdivided subject headings. Library Resources &amp; Technical Services, 38 (3), 213-226. Highwire. Retrieved from http://highwire.stanford.edu</w:t>
      </w:r>
    </w:p>
    <w:p>
      <w:pPr>
        <w:pStyle w:val="BookText"/>
        <w:rPr/>
      </w:pPr>
      <w:r>
        <w:rPr>
          <w:rFonts w:eastAsia="Times New Roman" w:cs="Times New Roman" w:ascii="Times New Roman" w:hAnsi="Times New Roman"/>
          <w:color w:val="111111"/>
          <w:sz w:val="28"/>
          <w:szCs w:val="28"/>
          <w:lang w:val="en-US" w:bidi="en-US"/>
        </w:rPr>
        <w:t>International Organization for Standardization.(2003). ISO/IEC 13250 Information Technology SGML Applications Topic Maps. Geneva, Switzerland: Author. International Organization for Standardization.(2007). ISO/IEC 13250-3 Information Technology -Topic Maps - XML syntax. Geneva, Switzerland: Author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 H.-K., Song, T.-S., Choy, Y.-Ch. &amp; Lim, S.-B. (2005). Guided navigation techniques for 3D virtual environment based on topic map. In O. Gervasi, M. 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Gavrilova, V. Kumar, A. Laganà&amp; H. P. Lee (2005), ICCSA'05 Proceedings of the 2005 international conference on Computational Science and its Applications - Volume Part I (pp. 847-856). Berlin, Germany: Springer-Verlag</w:t>
      </w:r>
    </w:p>
    <w:p>
      <w:pPr>
        <w:pStyle w:val="BookText"/>
        <w:rPr/>
      </w:pPr>
      <w:r>
        <w:rPr>
          <w:rFonts w:eastAsia="Times New Roman" w:cs="Times New Roman" w:ascii="Times New Roman" w:hAnsi="Times New Roman"/>
          <w:color w:val="111111"/>
          <w:sz w:val="28"/>
          <w:szCs w:val="28"/>
          <w:lang w:val="en-US" w:bidi="en-US"/>
        </w:rPr>
        <w:t>Klenczon, W. (2011). Język Haseł PrzedmiotowychBibliotekiNarodowej (National Library of Poland Subject Headings) - from Card Catalogues to Digital Library: Some Questions about the Future of a Local Subject Headings System in the Changing Word of Information Retrieval. In P. Landry [et al.], Subject Access: Preparing for the Future (pp. 169-179). Berlin, Germany: Walter de Gruyter GmbH &amp; Co. Klenczon, W., &amp;Stolarczyk, A. (2007). Subject Headings of the Polish National Library (JHP BN). Polish Libraries Today, 7, 60-64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Kopszak, P. (2011, January 11). Sztuka w Warszawie w latach 1901-1920 szkicmapytopik [Video file]. Retrieved from http://wiedzaiedukacja.eu/ archives/47948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Grand, B. (2003). Topic map visualization. In J. Park &amp; S. Hunting (Eds.), XML Topic Maps: Creating and Using Topic Maps for the Web (pp. 267-282). Boston, United States: Addison-Wesley Professional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Library of Congress Subject Headings Pre- vs. Post-Coordination and Related</w:t>
      </w:r>
    </w:p>
    <w:p>
      <w:pPr>
        <w:pStyle w:val="BookText"/>
        <w:rPr/>
      </w:pPr>
      <w:r>
        <w:rPr>
          <w:rFonts w:eastAsia="Times New Roman" w:cs="Times New Roman" w:ascii="Times New Roman" w:hAnsi="Times New Roman"/>
          <w:color w:val="111111"/>
          <w:sz w:val="28"/>
          <w:szCs w:val="28"/>
          <w:lang w:val="en-US" w:bidi="en-US"/>
        </w:rPr>
        <w:t>Issues. (2007). Retrieved from http://www.loc.gov/catdir/cpso/pre_vs_post.pdf</w:t>
      </w:r>
    </w:p>
    <w:p>
      <w:pPr>
        <w:pStyle w:val="BookText"/>
        <w:rPr/>
      </w:pPr>
      <w:r>
        <w:rPr>
          <w:rFonts w:eastAsia="Times New Roman" w:cs="Times New Roman" w:ascii="Times New Roman" w:hAnsi="Times New Roman"/>
          <w:color w:val="111111"/>
          <w:sz w:val="28"/>
          <w:szCs w:val="28"/>
          <w:lang w:val="en-US" w:bidi="en-US"/>
        </w:rPr>
        <w:t>Melgar Estrada, L. M. (2011). Topic Maps from a Knowledge Organization Perspective. Knowledge Organization, 38 (1), 43-61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Momotko, M., Nowicki, B., &amp;Strychowski J. (2004). The EWD-P system. Polish government - European Commission Interoperability Achieved, accepted to The 4th European Conference on E-Government, 17-18 June 2004, Trinity College Dublin, Ireland, Retrieved from http://www.rodan.pl/editor-cm-web- portlet/content/NzI1.pdf</w:t>
      </w:r>
    </w:p>
    <w:p>
      <w:pPr>
        <w:pStyle w:val="BookText"/>
        <w:rPr/>
      </w:pPr>
      <w:r>
        <w:rPr>
          <w:rFonts w:eastAsia="Times New Roman" w:cs="Times New Roman" w:ascii="Times New Roman" w:hAnsi="Times New Roman"/>
          <w:color w:val="111111"/>
          <w:sz w:val="28"/>
          <w:szCs w:val="28"/>
          <w:lang w:val="en-US" w:bidi="en-US"/>
        </w:rPr>
        <w:t>Naito, M. (2010). Subject Headings make information to be topic maps. In L. Maicher&amp; L.M. Garshol (Eds.), Information Wants to be a Topic Map Sixth International Conference on Topic Maps Research and Applications, TMRA 2010, Leipzig, Germany, September 29 - October 01, 2010, Revised Selected Papers (pp. 43-51), Leipzig, Germany: LeipzigerInformatik-Verbund. Retrieved from http://tmra.de/2010/documents/TMRA2010_proceedings.pdf</w:t>
      </w:r>
    </w:p>
    <w:p>
      <w:pPr>
        <w:pStyle w:val="BookText"/>
        <w:rPr/>
      </w:pPr>
      <w:r>
        <w:rPr>
          <w:rFonts w:eastAsia="Times New Roman" w:cs="Times New Roman" w:ascii="Times New Roman" w:hAnsi="Times New Roman"/>
          <w:color w:val="111111"/>
          <w:sz w:val="28"/>
          <w:szCs w:val="28"/>
          <w:lang w:val="en-US" w:bidi="en-US"/>
        </w:rPr>
        <w:t>Naito, M. (2009) Topic Maps Web Service: Case Examples and General Structure. In L. Maicher&amp; L.M. Garshol (Eds.), Linked Topic Maps. Fifth International Conference on Topic Maps Research and Applications, TMRA 2009, Leipzig, Germany, November 12-13, 2009, Revised Selected Papers (pp. 179- 184). Leipzig, Germany: Leipziger Informatik-Verbund. Retrieved from http:// tmra.de/2009/documents/TMRA2009 Proceedings.pdf</w:t>
      </w:r>
    </w:p>
    <w:p>
      <w:pPr>
        <w:pStyle w:val="BookText"/>
        <w:rPr/>
      </w:pPr>
      <w:r>
        <w:rPr>
          <w:rFonts w:eastAsia="Times New Roman" w:cs="Times New Roman" w:ascii="Times New Roman" w:hAnsi="Times New Roman"/>
          <w:color w:val="111111"/>
          <w:sz w:val="28"/>
          <w:szCs w:val="28"/>
          <w:lang w:val="en-US" w:bidi="en-US"/>
        </w:rPr>
        <w:t>Nihar, S. &amp;Cai, Q. (2003) Visualizing mesh data-set using radial tree layout. Retrieved from http://iv.slis.indiana.edu/sw/papers/radialtree.pdf</w:t>
      </w:r>
    </w:p>
    <w:p>
      <w:pPr>
        <w:pStyle w:val="BookText"/>
        <w:rPr/>
      </w:pPr>
      <w:r>
        <w:rPr>
          <w:rFonts w:eastAsia="Times New Roman" w:cs="Times New Roman" w:ascii="Times New Roman" w:hAnsi="Times New Roman"/>
          <w:color w:val="111111"/>
          <w:sz w:val="28"/>
          <w:szCs w:val="28"/>
          <w:lang w:val="en-US" w:bidi="en-US"/>
        </w:rPr>
        <w:t>Palsky, G. (1999). The debate on the standardization of statistical maps and diagrams (1857- 1901).elements for the history of graphical language. Cybergeo: European Journal of Geography. doi: 10.4000/cybergeo. 148</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Papadakis, I., Stefanidakis, M., &amp;Tzali, A. (2008). Visualizing OPAC subject headings. Library Hi Tech, 26 (1), 19-23. doi: 10.1108/07378830810857762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Polish Librarians Association (2006).Code of Ethics for Librarians and Information Professionals. Retrieved from http://archive.ifla.org/faife/ethics/ poland code of ethics.htm</w:t>
      </w:r>
    </w:p>
    <w:p>
      <w:pPr>
        <w:pStyle w:val="BookText"/>
        <w:rPr/>
      </w:pPr>
      <w:r>
        <w:rPr>
          <w:rFonts w:eastAsia="Times New Roman" w:cs="Times New Roman" w:ascii="Times New Roman" w:hAnsi="Times New Roman"/>
          <w:color w:val="111111"/>
          <w:sz w:val="28"/>
          <w:szCs w:val="28"/>
          <w:lang w:val="en-US" w:bidi="en-US"/>
        </w:rPr>
        <w:t>Sigel, A. (2003). Topic maps in Knowledge Organization. In J. Park &amp; S. Hunting (Eds.), XML Topic Maps: Creating and Using Topic Maps for the Web (pp. 383-476). Boston, United States: Addison-Wesley Professional. Tag Galaxy. Retrieved from: http://taggalaxy.de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Wandora - WandoraWiki. Retrieved from http://www.wandora.org/wandora/ wiki/index.php?title=Main_Page</w:t>
      </w:r>
    </w:p>
    <w:p>
      <w:pPr>
        <w:pStyle w:val="BookText"/>
        <w:rPr/>
      </w:pPr>
      <w:r>
        <w:rPr>
          <w:rFonts w:eastAsia="Times New Roman" w:cs="Times New Roman" w:ascii="Times New Roman" w:hAnsi="Times New Roman"/>
          <w:color w:val="111111"/>
          <w:sz w:val="28"/>
          <w:szCs w:val="28"/>
          <w:lang w:val="en-US" w:bidi="en-US"/>
        </w:rPr>
        <w:t>Ware, C. (2004). Information visualization perception for design. San Francisco, United States: Morgan Kaufman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Werla, M. (2011, October 4 Użytkownicyurządzeńmobilnych W . Wielkopolskiej Bibliotece Cyfrowej [Web blog]. Retrieved from http://dl.psnc. pl/2011/10/04/uzytkownicy-urzadzen- mobilnych-w-wielkopolskiej-bibliotece- cyfrowej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Windows Developer Preview: Windows 8 guide. (2011). Retrieved from http:// windows.microsoft.com/pl-PL/windows-8/preview</w:t>
      </w:r>
    </w:p>
    <w:p>
      <w:pPr>
        <w:pStyle w:val="BookText"/>
        <w:rPr/>
      </w:pPr>
      <w:r>
        <w:rPr>
          <w:rFonts w:eastAsia="Times New Roman" w:cs="Times New Roman" w:ascii="Times New Roman" w:hAnsi="Times New Roman"/>
          <w:color w:val="111111"/>
          <w:sz w:val="28"/>
          <w:szCs w:val="28"/>
          <w:lang w:val="en-US" w:bidi="en-US"/>
        </w:rPr>
        <w:t>Włodarczyk, B. (2012). Mapatematówjako system reprezentacjiwiedzy. ZagadnieniaInformacjiNaukowej, 2 (98), (in press). WorldCat Identities Network. Retrieved from http://experimental.worldcat. org/idnetwork</w:t>
      </w:r>
    </w:p>
    <w:p>
      <w:pPr>
        <w:pStyle w:val="BookText"/>
        <w:rPr/>
      </w:pPr>
      <w:r>
        <w:rPr>
          <w:rFonts w:eastAsia="Times New Roman" w:cs="Times New Roman" w:ascii="Times New Roman" w:hAnsi="Times New Roman"/>
          <w:color w:val="111111"/>
          <w:sz w:val="28"/>
          <w:szCs w:val="28"/>
          <w:lang w:val="en-US" w:bidi="en-US"/>
        </w:rPr>
        <w:t>Woźniak-Kasperek, J. (2011). Wiedza i językinformacyjny w paradygmaciesieciowym. Warszawa, Poland: Wydawnictwo SBP</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Yi, M. (2008). Information organization and retrieval using a topic maps- based ontology. Journal of the American Society for Information Science and Technology, 59 (12), 1898-1911</w:t>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9653_82070"/>
      <w:bookmarkStart w:id="701" w:name="pg9653_82070"/>
      <w:bookmarkEnd w:id="701"/>
    </w:p>
    <w:p>
      <w:pPr>
        <w:pStyle w:val="Heading2"/>
        <w:numPr>
          <w:ilvl w:val="1"/>
          <w:numId w:val="1"/>
        </w:numPr>
        <w:rPr/>
      </w:pPr>
      <w:bookmarkStart w:id="702" w:name="pg9653_82070"/>
      <w:bookmarkStart w:id="703" w:name="__RefHeading___Toc7766760_2870459653"/>
      <w:bookmarkStart w:id="704" w:name="_Toc255"/>
      <w:bookmarkEnd w:id="702"/>
      <w:bookmarkEnd w:id="703"/>
      <w:r>
        <w:rPr>
          <w:rtl w:val="true"/>
        </w:rPr>
        <w:t>چکیده</w:t>
      </w:r>
      <w:bookmarkEnd w:id="704"/>
    </w:p>
    <w:p>
      <w:pPr>
        <w:pStyle w:val="BookText"/>
        <w:rPr/>
      </w:pPr>
      <w:r>
        <w:rPr>
          <w:rFonts w:ascii="IRNazanin" w:hAnsi="IRNazanin" w:eastAsia="IRNazanin"/>
          <w:color w:val="111111"/>
          <w:sz w:val="28"/>
          <w:sz w:val="28"/>
          <w:szCs w:val="28"/>
          <w:rtl w:val="true"/>
          <w:lang w:bidi="fa-IR"/>
        </w:rPr>
        <w:t>کتابخانه ها نیز همچون دیگر سازمان های عمومی گاهی با گسیختگی مواجه می شوند علاوه بر این که بحران های مالی منجر به کاهش بودجه و ایجاد عدم اطمینان در کتابخانه ها می شوند، همزمان کتابخانه ها در حال سنجش دوباره موقعیت خود در جامعه اطلاعاتی هستند موفقیت و نجات کتابخانه ها بستگی به سازگاری نوآوری و انعطاف پذیری دارد لازمه این امر به نوبه خود ، مستلزم تغییر مداوم فرد و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فنلاندی علم کتابداری و اطلاع رسانی به خوبی آموزش دیده اند و در طی دوره تخصصی، برنامه های آموزشی فراوانی برای آن ها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فنلاندی ظرفیت خوبی برای آزمایش ها و توسعه ایده های جدید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افراد خلاق و پیشتازی هستند که ایده های جدید را امتحان می کنند همچنین افرادی هستند که برای یادگیری موارد جدید چندان مشتاق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یادگیری همتراز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یادگیری آن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برای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برای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این است که این دستورالعمل های آموزشی برای یادگیری مشارکت و یادگیری هم تراز را ارتقا دهد؛ همان گونه که مردم به مبادله دستورالعمل غذاها علاقه مند هستند دستورالعمل های یادگیری را نیز می توانند مبادله کنند اتخاذ دستورالعملی که یک فرد آن را بوجود آورده آسان خواهد بود و به روندهای سازمانی دیگر مرتبط خواهد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هم تراز، حمایت همتراز مشارکت دانش، یادگیری سازمانی </w:t>
      </w:r>
      <w:bookmarkStart w:id="705" w:name="pg9653_82072"/>
    </w:p>
    <w:p>
      <w:pPr>
        <w:pStyle w:val="Heading2"/>
        <w:numPr>
          <w:ilvl w:val="1"/>
          <w:numId w:val="1"/>
        </w:numPr>
        <w:rPr/>
      </w:pPr>
      <w:bookmarkStart w:id="706" w:name="__RefHeading___Toc7766762_2870459653"/>
      <w:bookmarkStart w:id="707" w:name="_Toc256"/>
      <w:bookmarkEnd w:id="705"/>
      <w:bookmarkEnd w:id="706"/>
      <w:r>
        <w:rPr>
          <w:rtl w:val="true"/>
        </w:rPr>
        <w:t>مشارکت و آموزش</w:t>
      </w:r>
      <w:r>
        <w:rPr>
          <w:rtl w:val="true"/>
        </w:rPr>
        <w:t xml:space="preserve">: </w:t>
      </w:r>
      <w:r>
        <w:rPr>
          <w:rtl w:val="true"/>
        </w:rPr>
        <w:t>یک دستور العمل برای آموزش</w:t>
      </w:r>
      <w:bookmarkEnd w:id="707"/>
    </w:p>
    <w:p>
      <w:pPr>
        <w:pStyle w:val="Heading3"/>
        <w:numPr>
          <w:ilvl w:val="2"/>
          <w:numId w:val="1"/>
        </w:numPr>
        <w:rPr/>
      </w:pPr>
      <w:bookmarkStart w:id="708" w:name="__RefHeading___Toc7766764_2870459653"/>
      <w:bookmarkStart w:id="709" w:name="_Toc257"/>
      <w:bookmarkEnd w:id="708"/>
      <w:r>
        <w:rPr>
          <w:rtl w:val="true"/>
        </w:rPr>
        <w:t>اشاره</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دستور العمل برای آموزش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نوشته تیمو روحلا، </w:t>
      </w:r>
      <w:r>
        <w:rPr>
          <w:rStyle w:val="FootnoteAnchor"/>
          <w:rtl w:val="true"/>
        </w:rPr>
        <w:footnoteReference w:id="1014"/>
      </w:r>
      <w:r>
        <w:rPr>
          <w:rFonts w:ascii="IRNazanin" w:hAnsi="IRNazanin" w:eastAsia="IRNazanin"/>
          <w:color w:val="111111"/>
          <w:sz w:val="28"/>
          <w:sz w:val="28"/>
          <w:szCs w:val="28"/>
          <w:rtl w:val="true"/>
          <w:lang w:bidi="fa-IR"/>
        </w:rPr>
        <w:t xml:space="preserve">ماریتا هارجونپا، </w:t>
      </w:r>
      <w:r>
        <w:rPr>
          <w:rStyle w:val="FootnoteAnchor"/>
          <w:rtl w:val="true"/>
        </w:rPr>
        <w:footnoteReference w:id="1015"/>
      </w:r>
      <w:r>
        <w:rPr>
          <w:rFonts w:ascii="IRNazanin" w:hAnsi="IRNazanin" w:eastAsia="IRNazanin"/>
          <w:color w:val="111111"/>
          <w:sz w:val="28"/>
          <w:sz w:val="28"/>
          <w:szCs w:val="28"/>
          <w:rtl w:val="true"/>
          <w:lang w:bidi="fa-IR"/>
        </w:rPr>
        <w:t xml:space="preserve">آنکی مولاری </w:t>
      </w:r>
      <w:r>
        <w:rPr>
          <w:rStyle w:val="FootnoteAnchor"/>
          <w:rtl w:val="true"/>
        </w:rPr>
        <w:footnoteReference w:id="1016"/>
      </w:r>
      <w:r>
        <w:rPr>
          <w:rFonts w:ascii="IRNazanin" w:hAnsi="IRNazanin" w:eastAsia="IRNazanin"/>
          <w:color w:val="111111"/>
          <w:sz w:val="28"/>
          <w:sz w:val="28"/>
          <w:szCs w:val="28"/>
          <w:rtl w:val="true"/>
          <w:lang w:bidi="fa-IR"/>
        </w:rPr>
        <w:t xml:space="preserve">ترجمه حمید سلیم گندمی </w:t>
      </w:r>
      <w:r>
        <w:rPr>
          <w:rStyle w:val="FootnoteAnchor"/>
          <w:rtl w:val="true"/>
        </w:rPr>
        <w:footnoteReference w:id="1017"/>
      </w:r>
    </w:p>
    <w:p>
      <w:pPr>
        <w:pStyle w:val="Heading3"/>
        <w:numPr>
          <w:ilvl w:val="2"/>
          <w:numId w:val="1"/>
        </w:numPr>
        <w:rPr/>
      </w:pPr>
      <w:bookmarkStart w:id="710" w:name="__RefHeading___Toc7766766_2870459653"/>
      <w:bookmarkStart w:id="711" w:name="_Toc258"/>
      <w:bookmarkEnd w:id="710"/>
      <w:r>
        <w:rPr/>
        <w:t>1</w:t>
      </w:r>
      <w:r>
        <w:rPr>
          <w:rtl w:val="true"/>
        </w:rPr>
        <w:t xml:space="preserve">. </w:t>
      </w:r>
      <w:r>
        <w:rPr>
          <w:rtl w:val="true"/>
        </w:rPr>
        <w:t>معرفی</w:t>
      </w:r>
      <w:bookmarkEnd w:id="711"/>
    </w:p>
    <w:p>
      <w:pPr>
        <w:pStyle w:val="BookText"/>
        <w:rPr/>
      </w:pPr>
      <w:r>
        <w:rPr>
          <w:rFonts w:ascii="IRNazanin" w:hAnsi="IRNazanin" w:eastAsia="IRNazanin"/>
          <w:color w:val="111111"/>
          <w:sz w:val="28"/>
          <w:sz w:val="28"/>
          <w:szCs w:val="28"/>
          <w:rtl w:val="true"/>
          <w:lang w:bidi="fa-IR"/>
        </w:rPr>
        <w:t xml:space="preserve">این مقاله نگاهی به طرح توسعه ملی فنلاند می اندازد که طی آن کتابخانه شهر هلسینکی </w:t>
      </w:r>
      <w:r>
        <w:rPr>
          <w:rStyle w:val="FootnoteAnchor"/>
          <w:rtl w:val="true"/>
        </w:rPr>
        <w:footnoteReference w:id="1018"/>
      </w:r>
      <w:r>
        <w:rPr>
          <w:rFonts w:ascii="IRNazanin" w:hAnsi="IRNazanin" w:eastAsia="IRNazanin"/>
          <w:color w:val="111111"/>
          <w:sz w:val="28"/>
          <w:sz w:val="28"/>
          <w:szCs w:val="28"/>
          <w:rtl w:val="true"/>
          <w:lang w:bidi="fa-IR"/>
        </w:rPr>
        <w:t xml:space="preserve">و کتابخانه شهر کووالا </w:t>
      </w:r>
      <w:r>
        <w:rPr>
          <w:rStyle w:val="FootnoteAnchor"/>
          <w:rtl w:val="true"/>
        </w:rPr>
        <w:footnoteReference w:id="1019"/>
      </w:r>
      <w:r>
        <w:rPr>
          <w:rFonts w:ascii="IRNazanin" w:hAnsi="IRNazanin" w:eastAsia="IRNazanin"/>
          <w:color w:val="111111"/>
          <w:sz w:val="28"/>
          <w:sz w:val="28"/>
          <w:szCs w:val="28"/>
          <w:rtl w:val="true"/>
          <w:lang w:bidi="fa-IR"/>
        </w:rPr>
        <w:t xml:space="preserve">با هم و با مدرسه دانش اطلاعات در دانشگاه تمپر </w:t>
      </w:r>
      <w:r>
        <w:rPr>
          <w:rStyle w:val="FootnoteAnchor"/>
          <w:rtl w:val="true"/>
        </w:rPr>
        <w:footnoteReference w:id="1020"/>
      </w:r>
      <w:r>
        <w:rPr>
          <w:rFonts w:ascii="IRNazanin" w:hAnsi="IRNazanin" w:eastAsia="IRNazanin"/>
          <w:color w:val="111111"/>
          <w:sz w:val="28"/>
          <w:sz w:val="28"/>
          <w:szCs w:val="28"/>
          <w:rtl w:val="true"/>
          <w:lang w:bidi="fa-IR"/>
        </w:rPr>
        <w:t xml:space="preserve">به توسعه روشی برای ارتقای یادگیری سازمان ها می پردازند ما به روش های چگونگی به اشتراک گذاشتن مهارت های یک شخص دانش و چگونگی مهارت اشتراک با همترازها در درون سازمان ها و یا حتی بین سازمان ها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یک مورد از اشتراک گذاری را بررسی می کند که ما آن را دستور العمل اشتراک گذاری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در حال حاضر در کتابخانه های هلسینکی و کووالا در حال طراحی و اجرا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دستورالعمل اشتراک گذاری روشی ساده برای به اشتراک گذاشتن مهارت دانش و دانش فنی شده شما با همکارانتان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این امر شامل دستورالعمل های گام به گام بر پایه چگونگی ترتیب دادن یک کنسرت با جوانان محلی است این دستورالعمل می تواند درباره مجموعه مهارت های </w:t>
      </w:r>
    </w:p>
    <w:p>
      <w:pPr>
        <w:pStyle w:val="BookText"/>
        <w:rPr/>
      </w:pPr>
      <w:r>
        <w:rPr>
          <w:rFonts w:ascii="IRNazanin" w:hAnsi="IRNazanin" w:eastAsia="IRNazanin"/>
          <w:color w:val="111111"/>
          <w:sz w:val="28"/>
          <w:sz w:val="28"/>
          <w:szCs w:val="28"/>
          <w:rtl w:val="true"/>
          <w:lang w:bidi="fa-IR"/>
        </w:rPr>
        <w:t>خاص و ویژه ای باشد که شخصی در کتابخانه دارد و به دیگران آموزش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به معرفی دستوری برای اشتراک گذاری می پردازد و تجارب به دست آمده هنگام اجرای مفهوم در کتابخانه های شهر هلسینکی و کووالا را شرح و توضیح می دهد این مفهوم در طرح صندوق اجتماعی اروپا </w:t>
      </w:r>
      <w:r>
        <w:rPr>
          <w:rStyle w:val="FootnoteAnchor"/>
          <w:rtl w:val="true"/>
        </w:rPr>
        <w:footnoteReference w:id="1021"/>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اساوات و رکوستات</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در حال اجراست ترجمه انگلیسی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مهارت</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دارای استاندارد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طرح، هدف ما، به اشتراک گذاشتن آن چیزی است که در کتابخانه شهر هلسینکی و کتابخانه شهر کووالا آموزش داده شده است در هر دو کتابخانه، طرح های توسعه بسیاری در طی سال ها وجود داشته و مفاهیم خدمات جدید، توسعه یافته است دو مورد آن ها دفتر شهری و انجمن رسانه </w:t>
      </w:r>
      <w:r>
        <w:rPr>
          <w:rStyle w:val="FootnoteAnchor"/>
          <w:rtl w:val="true"/>
        </w:rPr>
        <w:footnoteReference w:id="10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شهری در کتابخانه شهر هلسینکی توسعه یافت و بخشی از عملکرد آن کتابخانه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طرح ما ایجاد یک دفتر شهری در کتابخانه شهر کووالا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در این امر باید بدانیم که دفتر شهری در هلسینکی چگونه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دانش متراکم شده ای بین کارکنان هلسینکی و کوالا به اشتراک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رسانه در کتابخانه شهر کووالا پایه گذاری شد این انجمن مکانی است که در آن تمامی رویدادها از قبیل کنسرت ها، بازی های شبانه و نمایشگاه های هنری توسط کتابخانه سازماندهی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نه تنها با همکاری با دیگر سازمان ها، بلکه با جوانان محل سازماندهی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رسانه تمامی امکانات را دارد و این جوانان هستند که در طراحی و سازماندهی این رویدادها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شهری و انجمن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کارکنان، دانش و مهارت های خاصی را به وجود آورده اند که قابل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دانش و مهارت ها برای توسعه خدمات و فعالیت های مشابه در دیگر کتابخانه ها باید با آن ها به اشتراک گذاشته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 یادگیری همتراز، اشتراک گذاری، انتقال دانش ضمنی، و ساخت جامعه عملی، عناصر اصلی طرح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یاد می گیرند و در طی روند یادگیری آن ها سازمان ها نیز می آموزند نمی گوییم که یادگیری قبلا اتفاق نیفتاده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آن چه تلاش داریم انجام دهیم توسعه ابزارهای ساده </w:t>
      </w:r>
      <w:bookmarkStart w:id="712" w:name="pg9653_82076"/>
    </w:p>
    <w:p>
      <w:pPr>
        <w:pStyle w:val="BookText"/>
        <w:rPr/>
      </w:pPr>
      <w:bookmarkEnd w:id="712"/>
      <w:r>
        <w:rPr>
          <w:rFonts w:ascii="IRNazanin" w:hAnsi="IRNazanin" w:eastAsia="IRNazanin"/>
          <w:color w:val="111111"/>
          <w:sz w:val="28"/>
          <w:sz w:val="28"/>
          <w:szCs w:val="28"/>
          <w:rtl w:val="true"/>
          <w:lang w:bidi="fa-IR"/>
        </w:rPr>
        <w:t>برای استفاده و آسان برای سازگاری در اشتراک گذاری و یادگیری همتراز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خواهیم این اشتراک گذاری را با دیگر فرایندها و نظام های سازمان، برای مثال اچ آر مرتبط کنیم</w:t>
      </w:r>
      <w:r>
        <w:rPr>
          <w:rFonts w:eastAsia="IRNazanin" w:cs="IRNazanin"/>
          <w:color w:val="111111"/>
          <w:sz w:val="28"/>
          <w:szCs w:val="28"/>
          <w:rtl w:val="true"/>
          <w:lang w:bidi="fa-IR"/>
        </w:rPr>
        <w:t>.</w:t>
      </w:r>
    </w:p>
    <w:p>
      <w:pPr>
        <w:pStyle w:val="Heading3"/>
        <w:numPr>
          <w:ilvl w:val="2"/>
          <w:numId w:val="1"/>
        </w:numPr>
        <w:rPr/>
      </w:pPr>
      <w:bookmarkStart w:id="713" w:name="__RefHeading___Toc7766768_2870459653"/>
      <w:bookmarkStart w:id="714" w:name="_Toc259"/>
      <w:bookmarkEnd w:id="713"/>
      <w:r>
        <w:rPr/>
        <w:t>2</w:t>
      </w:r>
      <w:r>
        <w:rPr>
          <w:rtl w:val="true"/>
        </w:rPr>
        <w:t xml:space="preserve">. </w:t>
      </w:r>
      <w:r>
        <w:rPr>
          <w:rtl w:val="true"/>
        </w:rPr>
        <w:t>سازمان یادگیرنده</w:t>
      </w:r>
      <w:bookmarkEnd w:id="714"/>
    </w:p>
    <w:p>
      <w:pPr>
        <w:pStyle w:val="Heading4"/>
        <w:numPr>
          <w:ilvl w:val="3"/>
          <w:numId w:val="1"/>
        </w:numPr>
        <w:rPr/>
      </w:pPr>
      <w:bookmarkStart w:id="715" w:name="__RefHeading___Toc7766770_2870459653"/>
      <w:bookmarkStart w:id="716" w:name="_Toc260"/>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قبل از توجه به دستورالعمل ها باید نگاه کوتاهی به مضمون هایی بیندازیم که به موضوع ما مرتبط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دانستن چگونگی به اشتراک گذاری آن چیزی علاقه داریم که آموزش داده شده است مهارت ها، دانش، دانش ضمنی، دروس آموخته شده و غیره نه تنها افراد می آموزند بلکه گروه ها جامعه ها و سازمان ها نیز یاد خواهند گرفت در واقع ما درباره یادگیری سازمانی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اشتراک گذاری در افکار ما نشان از یادگیری هم تراز است این امر در سازمان هایی که یادگیری هم تر از را پرورش می دهند بیشتر و بیشتر حیاتی شده است، به ویژه در سازمان های دانش بنیان یادگیری هم تراز در کنار حمایت همتراز شدید، عنصر مهمی از یادگیری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اشتراک گذاری و یادگیری همتراز، راه هایی برای ساخت و پرورش جامعه عملی هستند به اشتراک گذاری یادگیری و یادگیری تغییر، هم برای سازمان ها و هم برای افراد به کار می رود</w:t>
      </w:r>
      <w:r>
        <w:rPr>
          <w:rFonts w:eastAsia="IRNazanin" w:cs="IRNazanin"/>
          <w:color w:val="111111"/>
          <w:sz w:val="28"/>
          <w:szCs w:val="28"/>
          <w:rtl w:val="true"/>
          <w:lang w:bidi="fa-IR"/>
        </w:rPr>
        <w:t>.</w:t>
      </w:r>
    </w:p>
    <w:p>
      <w:pPr>
        <w:pStyle w:val="Heading4"/>
        <w:numPr>
          <w:ilvl w:val="3"/>
          <w:numId w:val="1"/>
        </w:numPr>
        <w:rPr/>
      </w:pPr>
      <w:bookmarkStart w:id="717" w:name="__RefHeading___Toc7766772_2870459653"/>
      <w:bookmarkStart w:id="718" w:name="_Toc261"/>
      <w:bookmarkEnd w:id="717"/>
      <w:r>
        <w:rPr/>
        <w:t>1-2</w:t>
      </w:r>
      <w:r>
        <w:rPr>
          <w:rtl w:val="true"/>
        </w:rPr>
        <w:t xml:space="preserve">. </w:t>
      </w:r>
      <w:r>
        <w:rPr>
          <w:rtl w:val="true"/>
        </w:rPr>
        <w:t>یادگیری سازمان</w:t>
      </w:r>
      <w:bookmarkEnd w:id="718"/>
    </w:p>
    <w:p>
      <w:pPr>
        <w:pStyle w:val="BookText"/>
        <w:rPr/>
      </w:pPr>
      <w:r>
        <w:rPr>
          <w:rFonts w:ascii="IRNazanin" w:hAnsi="IRNazanin" w:eastAsia="IRNazanin"/>
          <w:color w:val="111111"/>
          <w:sz w:val="28"/>
          <w:sz w:val="28"/>
          <w:szCs w:val="28"/>
          <w:rtl w:val="true"/>
          <w:lang w:bidi="fa-IR"/>
        </w:rPr>
        <w:t xml:space="preserve">مفهوم یادگیری سازمان از زمانی که پیتر سنج </w:t>
      </w:r>
      <w:r>
        <w:rPr>
          <w:rStyle w:val="FootnoteAnchor"/>
          <w:rtl w:val="true"/>
        </w:rPr>
        <w:footnoteReference w:id="1026"/>
      </w:r>
      <w:r>
        <w:rPr>
          <w:rFonts w:ascii="IRNazanin" w:hAnsi="IRNazanin" w:eastAsia="IRNazanin"/>
          <w:color w:val="111111"/>
          <w:sz w:val="28"/>
          <w:sz w:val="28"/>
          <w:szCs w:val="28"/>
          <w:rtl w:val="true"/>
          <w:lang w:bidi="fa-IR"/>
        </w:rPr>
        <w:t xml:space="preserve">آن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پنجم</w:t>
      </w:r>
      <w:r>
        <w:rPr>
          <w:rFonts w:eastAsia="IRNazanin" w:cs="IRNazanin"/>
          <w:color w:val="111111"/>
          <w:sz w:val="28"/>
          <w:szCs w:val="28"/>
          <w:rtl w:val="true"/>
          <w:lang w:bidi="fa-IR"/>
        </w:rPr>
        <w:t>»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معرفی کرد به طور گسترده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نظری محکمی وجود دارد، مبنی بر این که یادگیری سازمانی برای موفقیت و ادامه حیات سازمانی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دیکسون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فرایدین </w:t>
      </w:r>
      <w:r>
        <w:rPr>
          <w:rStyle w:val="FootnoteAnchor"/>
          <w:rtl w:val="true"/>
        </w:rPr>
        <w:footnoteReference w:id="1029"/>
      </w:r>
      <w:r>
        <w:rPr>
          <w:rFonts w:ascii="IRNazanin" w:hAnsi="IRNazanin" w:eastAsia="IRNazanin"/>
          <w:color w:val="111111"/>
          <w:sz w:val="28"/>
          <w:sz w:val="28"/>
          <w:szCs w:val="28"/>
          <w:rtl w:val="true"/>
          <w:lang w:bidi="fa-IR"/>
        </w:rPr>
        <w:t xml:space="preserve">، لیپشیز </w:t>
      </w:r>
      <w:r>
        <w:rPr>
          <w:rStyle w:val="FootnoteAnchor"/>
          <w:rtl w:val="true"/>
        </w:rPr>
        <w:footnoteReference w:id="1030"/>
      </w:r>
      <w:r>
        <w:rPr>
          <w:rFonts w:ascii="IRNazanin" w:hAnsi="IRNazanin" w:eastAsia="IRNazanin"/>
          <w:color w:val="111111"/>
          <w:sz w:val="28"/>
          <w:sz w:val="28"/>
          <w:szCs w:val="28"/>
          <w:rtl w:val="true"/>
          <w:lang w:bidi="fa-IR"/>
        </w:rPr>
        <w:t xml:space="preserve">و پاپر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سنج </w:t>
      </w:r>
      <w:r>
        <w:rPr>
          <w:rFonts w:eastAsia="IRNazanin" w:cs="IRNazanin"/>
          <w:color w:val="111111"/>
          <w:sz w:val="28"/>
          <w:szCs w:val="28"/>
          <w:lang w:bidi="fa-IR"/>
        </w:rPr>
        <w:t>1990</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پیتر سنج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های آموزشی سازمان هایی هستند که در آن ها مردم به طور پیوسته به گسترش توانایی های خود در ایجاد نتایجی که حقیقتا مستحق آنند می پردازند جایی که الگوهای فکری جدید و توسعه پذیر پرورش داده می شوند، جایی که آرمان مشترک تحقق می یابد، و جایی که مردم پیوسته یاد می گیرند که همه چیز را با هم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منطقی چنین سازمان هایی این است که در موقعیت های تغییر ناگهانی تنها آن هایی که انعطاف پذیر سازگار و سازنده اند پیشی </w:t>
      </w:r>
      <w:bookmarkStart w:id="719" w:name="pg9653_82078"/>
    </w:p>
    <w:p>
      <w:pPr>
        <w:pStyle w:val="BookText"/>
        <w:rPr/>
      </w:pPr>
      <w:bookmarkEnd w:id="719"/>
      <w:r>
        <w:rPr>
          <w:rFonts w:ascii="IRNazanin" w:hAnsi="IRNazanin" w:eastAsia="IRNazanin"/>
          <w:color w:val="111111"/>
          <w:sz w:val="28"/>
          <w:sz w:val="28"/>
          <w:szCs w:val="28"/>
          <w:rtl w:val="true"/>
          <w:lang w:bidi="fa-IR"/>
        </w:rPr>
        <w:t xml:space="preserve">خواهند گرفت برای وقوع این امر گفته شده که سازمان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چگونگی کنترل تعهدات مردم و توانایی یادگیری در تمام 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720" w:name="__RefHeading___Toc7766774_2870459653"/>
      <w:bookmarkStart w:id="721" w:name="_Toc262"/>
      <w:bookmarkEnd w:id="720"/>
      <w:r>
        <w:rPr/>
        <w:t>2-2</w:t>
      </w:r>
      <w:r>
        <w:rPr>
          <w:rtl w:val="true"/>
        </w:rPr>
        <w:t xml:space="preserve">. </w:t>
      </w:r>
      <w:r>
        <w:rPr>
          <w:rtl w:val="true"/>
        </w:rPr>
        <w:t>اهمیت به اشتراک گذاری دانش شما</w:t>
      </w:r>
      <w:bookmarkEnd w:id="721"/>
    </w:p>
    <w:p>
      <w:pPr>
        <w:pStyle w:val="BookText"/>
        <w:rPr/>
      </w:pPr>
      <w:r>
        <w:rPr>
          <w:rFonts w:ascii="IRNazanin" w:hAnsi="IRNazanin" w:eastAsia="IRNazanin"/>
          <w:color w:val="111111"/>
          <w:sz w:val="28"/>
          <w:sz w:val="28"/>
          <w:szCs w:val="28"/>
          <w:rtl w:val="true"/>
          <w:lang w:bidi="fa-IR"/>
        </w:rPr>
        <w:t xml:space="preserve">تیتی آمایا </w:t>
      </w:r>
      <w:r>
        <w:rPr>
          <w:rStyle w:val="FootnoteAnchor"/>
          <w:rtl w:val="true"/>
        </w:rPr>
        <w:footnoteReference w:id="1032"/>
      </w:r>
      <w:r>
        <w:rPr>
          <w:rFonts w:ascii="IRNazanin" w:hAnsi="IRNazanin" w:eastAsia="IRNazanin"/>
          <w:color w:val="111111"/>
          <w:sz w:val="28"/>
          <w:sz w:val="28"/>
          <w:szCs w:val="28"/>
          <w:rtl w:val="true"/>
          <w:lang w:bidi="fa-IR"/>
        </w:rPr>
        <w:t xml:space="preserve">در مطالعات خود موجبات اشتراک گذاری دانش در محدوده عمومی سازمان ها را توصیف می کند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تیتی آمایا، به اشتراک گذاشتن دانش به طور فزاینده ای در اقتصاد دانش محور که حساس به کارایی سازمانی باشد،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اشتراک گذاشتن دانش در میان کارمندان به طور چشمگیری بر عملکرد سازمان های بخش خصوصی و عمومی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به اشتراک گذاشتن دانش در سازمان هایی که در پی کسب یک مزیت رقابتی هستند اهمیت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 </w:t>
      </w:r>
      <w:r>
        <w:rPr>
          <w:rStyle w:val="FootnoteAnchor"/>
          <w:rtl w:val="true"/>
        </w:rPr>
        <w:footnoteReference w:id="1033"/>
      </w:r>
      <w:r>
        <w:rPr>
          <w:rFonts w:ascii="IRNazanin" w:hAnsi="IRNazanin" w:eastAsia="IRNazanin"/>
          <w:color w:val="111111"/>
          <w:sz w:val="28"/>
          <w:sz w:val="28"/>
          <w:szCs w:val="28"/>
          <w:rtl w:val="true"/>
          <w:lang w:bidi="fa-IR"/>
        </w:rPr>
        <w:t xml:space="preserve">و هسترلی،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اشتراک دانش چالش هایی برای سازمان ها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انتقال دانش ضمنی کارمندان، بر اساس ماهیت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به اشتراک گذاشتن دانش معمولا داوطلبانه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 لی، وانگ،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سازمان ها می توانند منابع دانش خود را با تاثیر بیشتری هدایت کنند تنها در صورتی که کارمندان خواهان سهیم کردن دانش خود با همکارانشان 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آردیک ویلی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چند عامل به اشتراک گذاشتن دانش در میان کارمندان بخش خصوصی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می دهد که عوامل انگیزشی تسهیل کنندگان و موانع بر اشتراک گذاشتن دانش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یک پیش شرط لازم برای به اشتراک گذاشتن دانش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آردیک ویلی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زبور لاسکی </w:t>
      </w:r>
      <w:r>
        <w:rPr>
          <w:rStyle w:val="FootnoteAnchor"/>
          <w:rtl w:val="true"/>
        </w:rPr>
        <w:footnoteReference w:id="1037"/>
      </w:r>
      <w:r>
        <w:rPr>
          <w:rFonts w:ascii="IRNazanin" w:hAnsi="IRNazanin" w:eastAsia="IRNazanin"/>
          <w:color w:val="111111"/>
          <w:sz w:val="28"/>
          <w:sz w:val="28"/>
          <w:szCs w:val="28"/>
          <w:rtl w:val="true"/>
          <w:lang w:bidi="fa-IR"/>
        </w:rPr>
        <w:t xml:space="preserve">، سالومو و گماندن،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با توجه به این که دانش در درون افراد وجود دارد اگر افراد انگیزه های لازم برای به اشتراک گذاشتن آن را نداشته باشند، دانش به طور مؤثر به اشتراک گذاشته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است که درک بهتری از عواملی داشته باشیم که انگیزه به اشتراک گذاشتن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عوامل محرک بر خواست و انگیزه اشخاص برای به اشتراک گذاشتن دانش با دیگر کارمندان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شخصی، ملاحظات مربوط به جامعه و ملاحظات تجویزی</w:t>
      </w:r>
      <w:r>
        <w:rPr>
          <w:rFonts w:eastAsia="IRNazanin" w:cs="IRNazanin"/>
          <w:color w:val="111111"/>
          <w:sz w:val="28"/>
          <w:szCs w:val="28"/>
          <w:rtl w:val="true"/>
          <w:lang w:bidi="fa-IR"/>
        </w:rPr>
        <w:t xml:space="preserve">. </w:t>
      </w:r>
      <w:bookmarkStart w:id="722" w:name="pg9653_82081"/>
    </w:p>
    <w:p>
      <w:pPr>
        <w:pStyle w:val="BookText"/>
        <w:rPr/>
      </w:pPr>
      <w:bookmarkEnd w:id="722"/>
      <w:r>
        <w:rPr>
          <w:rFonts w:ascii="IRNazanin" w:hAnsi="IRNazanin" w:eastAsia="IRNazanin"/>
          <w:color w:val="111111"/>
          <w:sz w:val="28"/>
          <w:sz w:val="28"/>
          <w:szCs w:val="28"/>
          <w:rtl w:val="true"/>
          <w:lang w:bidi="fa-IR"/>
        </w:rPr>
        <w:t>علاوه بر عوامل محرک اشتیاق برای به اشتراک گذاشتن دانش می تواند به وسیله تسهیل کنندگان بیشتر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سازمانی سرمایه اجتماعی و اعتماد از جمله تسهیل کنندگان اشتراک گذاری دانش هستند و زمانی که یک شخص ترغیب می شود تا در فعالیت های اشتراک گذاری دانش شرکت کند، فراهم سازی واقعی اطلاعات را تسهیل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همچنین ممکن است با موانع سازمانی مواجه شوند که مانع به اشتراک گذاری دانش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که کارمندان را از به اشتراک گذاشتن دانش با دیگر همکاران باز می دارند شامل جو سازمانی و ساختار سازمانی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موانع برداشته شود و به اشتراک گذاشتن دانش ارتقا داده شود، کارمندان می توانند دانش خود را به طور موثرتری گسترش داده و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یادگیری سازمانی انتقال مؤثر آموزش، بخش مهمی از روند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 این انتقال با اشتراک گذاری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سازمان های بدون ساختار مناسب وجود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اشتراک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ارتقا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گذاری حجم توانایی ها، دانش و مهارت در سازمان ها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اشتراک گذاری و یا انتقال آموزشی هیچ گونه یادگیری سازمانی وجود نخواهد داشت اشتراک گذاری در ملموس ساختن دانش ضمنی نیز مؤثر است</w:t>
      </w:r>
      <w:r>
        <w:rPr>
          <w:rFonts w:eastAsia="IRNazanin" w:cs="IRNazanin"/>
          <w:color w:val="111111"/>
          <w:sz w:val="28"/>
          <w:szCs w:val="28"/>
          <w:rtl w:val="true"/>
          <w:lang w:bidi="fa-IR"/>
        </w:rPr>
        <w:t>.</w:t>
      </w:r>
    </w:p>
    <w:p>
      <w:pPr>
        <w:pStyle w:val="Heading4"/>
        <w:numPr>
          <w:ilvl w:val="3"/>
          <w:numId w:val="1"/>
        </w:numPr>
        <w:rPr/>
      </w:pPr>
      <w:bookmarkStart w:id="723" w:name="__RefHeading___Toc7766776_2870459653"/>
      <w:bookmarkStart w:id="724" w:name="_Toc263"/>
      <w:bookmarkEnd w:id="723"/>
      <w:r>
        <w:rPr/>
        <w:t>3-2</w:t>
      </w:r>
      <w:r>
        <w:rPr>
          <w:rtl w:val="true"/>
        </w:rPr>
        <w:t xml:space="preserve">. </w:t>
      </w:r>
      <w:r>
        <w:rPr>
          <w:rtl w:val="true"/>
        </w:rPr>
        <w:t>جوامع تجربه</w:t>
      </w:r>
      <w:bookmarkEnd w:id="724"/>
    </w:p>
    <w:p>
      <w:pPr>
        <w:pStyle w:val="BookText"/>
        <w:rPr/>
      </w:pPr>
      <w:r>
        <w:rPr>
          <w:rFonts w:ascii="IRNazanin" w:hAnsi="IRNazanin" w:eastAsia="IRNazanin"/>
          <w:color w:val="111111"/>
          <w:sz w:val="28"/>
          <w:sz w:val="28"/>
          <w:szCs w:val="28"/>
          <w:rtl w:val="true"/>
          <w:lang w:bidi="fa-IR"/>
        </w:rPr>
        <w:t xml:space="preserve">در مطالعات تیتی آمایا، تأملات وابسته به جامعه، قوی ترین پیشگوی به اشتراک گذاری دانش در سازمان های عمومی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تیتی آمایا،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مدیران بخش عمومی نیازمند توجه ویژه ای به برنامه ها و فعالیت هایی می باشند که برای توسعه یک جامعه در میان همکاران می توانند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بخش عمومی که در پی ترغیب یا تسهیل مدیریت دانش در میان کارمندان خود هستند، می توانند از ساختار جوامع تجربی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اشتراک گذاری مؤثر، یادگیری هم تراز و حمایت هم تراز، به همان اندازه که نیازمند جو سازمانی حمایتی اند، مستلزم جوامع تجربی هستند</w:t>
      </w:r>
      <w:r>
        <w:rPr>
          <w:rFonts w:eastAsia="IRNazanin" w:cs="IRNazanin"/>
          <w:color w:val="111111"/>
          <w:sz w:val="28"/>
          <w:szCs w:val="28"/>
          <w:rtl w:val="true"/>
          <w:lang w:bidi="fa-IR"/>
        </w:rPr>
        <w:t>.</w:t>
      </w:r>
    </w:p>
    <w:p>
      <w:pPr>
        <w:pStyle w:val="Heading3"/>
        <w:numPr>
          <w:ilvl w:val="2"/>
          <w:numId w:val="1"/>
        </w:numPr>
        <w:rPr/>
      </w:pPr>
      <w:bookmarkStart w:id="725" w:name="__RefHeading___Toc7766778_2870459653"/>
      <w:bookmarkStart w:id="726" w:name="_Toc264"/>
      <w:bookmarkEnd w:id="725"/>
      <w:r>
        <w:rPr/>
        <w:t>3</w:t>
      </w:r>
      <w:r>
        <w:rPr>
          <w:rtl w:val="true"/>
        </w:rPr>
        <w:t xml:space="preserve">. </w:t>
      </w:r>
      <w:r>
        <w:rPr>
          <w:rtl w:val="true"/>
        </w:rPr>
        <w:t>دستور العمل به عنوان یک ابزار یادگیری</w:t>
      </w:r>
      <w:bookmarkEnd w:id="72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کتابخانه ها تنها مکانی برای ذخیره کتاب ها و دیگر منابع و یا فقط مکانی برای امانت دادن آن ها نیستند، بلکه مکانی برای برنامه ها و دیگر فعالیت های 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کتابخانه های عمومی منشاء تولید برنامه های هستند که زمینه را برای انجام دیگر فعالیت ها در کتابخانه های عمومی، به خوبی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به عنوان مکانی، برای برنامه ها تحصیلی رسانه ها که نقش خود را در زمینه تحصیلات رسانه ها پررنگ کرده اند، نیز مناسب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متخصصان علم کتابداری و اطلاع رسانی در کتابخانه های عمومی فنلاند از تحصیلات خوبی برخوردارند اما برای ایجاد رویدادها نیازمند مهارت هایی هستند که معمولا یک کتابدار در زندگی کاری اش نیاز دارد چرا که بیشتر برنامه ها کتابخانه توسط کارکنان کتابخانه تحقق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برنامه آموزشی متوالی برای کتابدارها وجود دارد به هر حال بدیهی است که تمامی این ها منجر به یادگیری سازمانی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کتابخانه های عمومی وجود دارد که کتابدارهایی با مهارت های کلیدی مورد نیاز برای سازماندهی رویدادها دارند اما در بعضی کتابخانه ها برنامه ها اصلا سازماندهی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پیدا کردن روش هایی برای به اشتراک گذاشتن مهارت ها و تخصص ها بین کارکنان کتابخانه و حتی بین کتابخانه ها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 روش مناسب برای ارتقای اشتراک گذاری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توسعه ما بر ارتقای اشتراک گذاری و یادگیری از یکدیگر 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توسعه بخشی در طرح ما دو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برنامه 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حمایت همتراز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توسعه ابزارهایی است که برای استفاده ساده و رضایت بخش است نه این که بسیار وقت گیر و یا بسیار پیچیده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دستورالعمل های برنامه ها بر اشتراک گذاری دانش تمرکز می کنند تا انواع مختلف رویدادها در کتابخانه ها را سازماندهی کنند؛ برای مثال کارگاه ویدئو برای کودکان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برنامه پیکر تراشی برفی </w:t>
      </w:r>
      <w:r>
        <w:rPr>
          <w:rStyle w:val="FootnoteAnchor"/>
          <w:rtl w:val="true"/>
        </w:rPr>
        <w:footnoteReference w:id="1039"/>
      </w:r>
      <w:r>
        <w:rPr>
          <w:rFonts w:ascii="IRNazanin" w:hAnsi="IRNazanin" w:eastAsia="IRNazanin"/>
          <w:color w:val="111111"/>
          <w:sz w:val="28"/>
          <w:sz w:val="28"/>
          <w:szCs w:val="28"/>
          <w:rtl w:val="true"/>
          <w:lang w:bidi="fa-IR"/>
        </w:rPr>
        <w:t>برای تمامی شهروندان کووالا دستور العمل های رویدادها می توانند همچون دستورالعمل های غذا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شما یک سوپ خیلی خوب درست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دستور غذای سوپ می نویسید و با دوستان خود به اشتراک می گذارید و اکنون آن ها می توانند همان سوپ را با کمک دستورالعمل شما درست کنند دستورالعمل توسعه یافته رویداد به همین صورت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ساختار گام به گام در مورد چگونگی سازماندهی یک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هر کسی که نوعی از حوادث را سازماندهی کرده است روند آن را به صورت یک دستورالعمل بایگانی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بایگانی برای آسان ساختن روند آن، در طرح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دیگری دستورالعمل را می بیند می تواند همان واقعه را با کمک دستورالعمل سازماندهی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درست کردن یک سوپ خوب، به تنهایی و برای اولین بار، می تواند مشکل باشد لذا بودن کسی در کنارتان که قبلا آن را درست ،کرده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ابزار دومی که ما توسعه داده ایم یک طرح همتراز است، یک طرح مستند که فرآیند حمایت شامل اهداف فرآیند، برنامه آن و دوره ها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غذاهای آماده درست می کنید به حمایت همتر از نیاز ندارید اما وقتی غذاهای خوش خوراک درست می کنید طرح حمایت همتر از قطعا کمک خوبی است</w:t>
      </w:r>
      <w:r>
        <w:rPr>
          <w:rFonts w:eastAsia="IRNazanin" w:cs="IRNazanin"/>
          <w:color w:val="111111"/>
          <w:sz w:val="28"/>
          <w:szCs w:val="28"/>
          <w:rtl w:val="true"/>
          <w:lang w:bidi="fa-IR"/>
        </w:rPr>
        <w:t xml:space="preserve">. </w:t>
      </w:r>
      <w:bookmarkStart w:id="727" w:name="pg9653_82083"/>
    </w:p>
    <w:p>
      <w:pPr>
        <w:pStyle w:val="BookText"/>
        <w:rPr/>
      </w:pPr>
      <w:bookmarkEnd w:id="727"/>
      <w:r>
        <w:rPr>
          <w:rFonts w:ascii="IRNazanin" w:hAnsi="IRNazanin" w:eastAsia="IRNazanin"/>
          <w:color w:val="111111"/>
          <w:sz w:val="28"/>
          <w:sz w:val="28"/>
          <w:szCs w:val="28"/>
          <w:rtl w:val="true"/>
          <w:lang w:bidi="fa-IR"/>
        </w:rPr>
        <w:t>بیایید یک مثال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کتابدار با جوانان محلی یک کنسرت برنامه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بعد از رویداد روند سازمان را در دستورالعمل آن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دیگر وقتی دستور العمل رویداد را می بیند می خواهد همان رویداد را دوباره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از توانایی خود برای هماهنگ کردن چنان واقعه ای کوچکترین اطمینانی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بنابراین خواهان حمایت کتابدارهای با تجربه می شود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تقاضانامه طرح حمایت همتراز را پر می کنند و از مافوق های خود پذیرش طرح را جویا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اکنون کتابدار بی تجربه می تواند کنسرت را با کمک دستورالعمل واقعه و حمایت همکاران با تجربه سازماندهی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نسخه های هر دو ابزار اکنون کامل اند، که نشر دیداری طراحی شده توسط متخصصان را در بردارد تاکنون کارکنان طرح بیست دستورالعمل رویدادهای اول را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دستورالعمل ها و ابزارها در دو کتابخانه عمومی مورد نظر در طرح آزموده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ماه می کارگاه های منظمی در کتابخانه ها خواهد بود شرکت کنندگان در کارگاه ها کارکنان کتابخانه هستند، افرادی که ممکن است در آینده دستورالعمل های برنامه ها را خودشان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در صورت لزوم، براساس بازتاب شرکت کنندگان کارگاه تنظیم خواهد شد</w:t>
      </w:r>
      <w:r>
        <w:rPr>
          <w:rFonts w:eastAsia="IRNazanin" w:cs="IRNazanin"/>
          <w:color w:val="111111"/>
          <w:sz w:val="28"/>
          <w:szCs w:val="28"/>
          <w:rtl w:val="true"/>
          <w:lang w:bidi="fa-IR"/>
        </w:rPr>
        <w:t>.</w:t>
      </w:r>
    </w:p>
    <w:p>
      <w:pPr>
        <w:pStyle w:val="Heading3"/>
        <w:numPr>
          <w:ilvl w:val="2"/>
          <w:numId w:val="1"/>
        </w:numPr>
        <w:rPr/>
      </w:pPr>
      <w:bookmarkStart w:id="728" w:name="__RefHeading___Toc7766780_2870459653"/>
      <w:bookmarkStart w:id="729" w:name="_Toc265"/>
      <w:bookmarkEnd w:id="728"/>
      <w:r>
        <w:rPr/>
        <w:t>4</w:t>
      </w:r>
      <w:r>
        <w:rPr>
          <w:rtl w:val="true"/>
        </w:rPr>
        <w:t xml:space="preserve">- </w:t>
      </w:r>
      <w:r>
        <w:rPr>
          <w:rtl w:val="true"/>
        </w:rPr>
        <w:t>گام های بعدی روند کلی</w:t>
      </w:r>
      <w:bookmarkEnd w:id="729"/>
    </w:p>
    <w:p>
      <w:pPr>
        <w:pStyle w:val="BookText"/>
        <w:rPr/>
      </w:pPr>
      <w:r>
        <w:rPr>
          <w:rFonts w:ascii="IRNazanin" w:hAnsi="IRNazanin" w:eastAsia="IRNazanin"/>
          <w:color w:val="111111"/>
          <w:sz w:val="28"/>
          <w:sz w:val="28"/>
          <w:szCs w:val="28"/>
          <w:rtl w:val="true"/>
          <w:lang w:bidi="fa-IR"/>
        </w:rPr>
        <w:t>طرح توسعه تا آخر امسال پایان خواهد یافت، قبل از آن، ابزارها باید توسط تمامی کارکنان و مدیریت کتابخانه پذیرفته شود تا به حال، این ابزارها در چند جلسه مدیریتی در هر دو کتابخانه ارائه شده اند و نگرش ها به ابزارها مثبت بوده است همان گونه که تاکنون مشاهده شده است، طرح ما بر دانش و مهارت های اشتراک گذاری برای سازماندهی برنامه ها تمرکز دارد اما در بعضی جلسات حتی ایده هایی نیز برای چگونگی استفاده از ابزار دستورالعمل در دیگر موقعیت های مهارت اشتراک گذاری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های بعدی ما در طرح گسترش استفاده از ابزارهای توسعه یافته جدیداست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است که این ابزارها در دو کتابخانه مورد نظر طرح به صورت روزانه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حمایت مدیریت کتابخانه برای ابزارها بسیار اهمیت دارد، بدین روی این ابزارها در چندین جلسه مدیریتی در هر دو کتابخانه ارائه خواهند شد علاوه بر این ما باید آن ها را در میان تمامی کارکنان کتابخانه نیز بشناسانیم بنابراین، کارگاه های آزمایشی علاوه بر اطلاع رسانی درباره ابزارها در چندین جلسه کارکنان در پاییز نیز ادامه خواهد داشت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دستورالعمل ها با طرح حمایت همتراز به چند صورت مختلف می تواند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ایده یک دستورالعمل واقعه شروع کرده ایم جایی که هدف از اشتراک گذاشتن دروس یاد گرفته شده </w:t>
      </w:r>
      <w:bookmarkStart w:id="730" w:name="pg9653_82084"/>
    </w:p>
    <w:p>
      <w:pPr>
        <w:pStyle w:val="BookText"/>
        <w:rPr/>
      </w:pPr>
      <w:bookmarkEnd w:id="730"/>
      <w:r>
        <w:rPr>
          <w:rFonts w:ascii="IRNazanin" w:hAnsi="IRNazanin" w:eastAsia="IRNazanin"/>
          <w:color w:val="111111"/>
          <w:sz w:val="28"/>
          <w:sz w:val="28"/>
          <w:szCs w:val="28"/>
          <w:rtl w:val="true"/>
          <w:lang w:bidi="fa-IR"/>
        </w:rPr>
        <w:t>در برنامه ریزی یک واقعه در کتابخانه است اما آن ها برای اشتراک گذاشتن دیگر مجموعه مهارت ها نظیر مهارت های الکترونیکی نیز ایده آل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مهارت های الکترونیکی در جامعه و اقتصاد دانش محور همچنان ادامه خواهد داشت مهارت های الکترونیکی به کارت های ورود به بازار کار و شغل های بهتری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مهارت های الکترونیکی برای رقابت پذیری، رشد و اشتغال نیاز داریم جهت گیری کارکنان جدید مستلزم اشتراک گذاری و یادگیری همتراز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ابزارهایمان در روند جهت گیری نیز مورد استفاده قرار بگیرند برای موفقیت در این امر، مهم است که مدیران و رهبران گروه، توانایی این ابزارها را درک کنند</w:t>
      </w:r>
      <w:r>
        <w:rPr>
          <w:rFonts w:eastAsia="IRNazanin" w:cs="IRNazanin"/>
          <w:color w:val="111111"/>
          <w:sz w:val="28"/>
          <w:szCs w:val="28"/>
          <w:rtl w:val="true"/>
          <w:lang w:bidi="fa-IR"/>
        </w:rPr>
        <w:t>.</w:t>
      </w:r>
    </w:p>
    <w:p>
      <w:pPr>
        <w:pStyle w:val="Heading3"/>
        <w:numPr>
          <w:ilvl w:val="2"/>
          <w:numId w:val="1"/>
        </w:numPr>
        <w:rPr/>
      </w:pPr>
      <w:bookmarkStart w:id="731" w:name="__RefHeading___Toc7766782_2870459653"/>
      <w:bookmarkStart w:id="732" w:name="_Toc266"/>
      <w:bookmarkEnd w:id="731"/>
      <w:r>
        <w:rPr/>
        <w:t>5</w:t>
      </w:r>
      <w:r>
        <w:rPr>
          <w:rtl w:val="true"/>
        </w:rPr>
        <w:t xml:space="preserve">. </w:t>
      </w:r>
      <w:r>
        <w:rPr>
          <w:rtl w:val="true"/>
        </w:rPr>
        <w:t>نتیجه گیری</w:t>
      </w:r>
      <w:bookmarkEnd w:id="732"/>
    </w:p>
    <w:p>
      <w:pPr>
        <w:pStyle w:val="BookText"/>
        <w:rPr/>
      </w:pPr>
      <w:r>
        <w:rPr>
          <w:rFonts w:ascii="IRNazanin" w:hAnsi="IRNazanin" w:eastAsia="IRNazanin"/>
          <w:color w:val="111111"/>
          <w:sz w:val="28"/>
          <w:sz w:val="28"/>
          <w:szCs w:val="28"/>
          <w:rtl w:val="true"/>
          <w:lang w:bidi="fa-IR"/>
        </w:rPr>
        <w:t>متخصصان فنلاندی علم کتابداری و اطلاع رسانی تحصیلات عالی دارند و طی دوره حرفه ای خود چند دوره کارآموزی برای آن ها وجود دارد رقابت برای شغل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متقاضیان بسیاری برای شغل هایی با موقعیت های همگانی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رقابت پذیر بودن، افراد باید تحصیلات پایه ای بالاتر و کلی تری داشته باشند که این امر رو به افزایش است رقابت پذیری و کیفیت بالای تحصیلات در فنلاند، منجر به ورود متخصصانی با تحصیلات عالی در کتابخانه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روشن نیست که مهارت ها، دانش ها و فنون در میان همترازها به اشتراک گذاشته شده و یا منتقل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در طرح ایجاد ابزارهایی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اشتراک و انتقال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ایده یک دستورالعمل برای ابزارهایمان را برگزیده ایم محور اصلی دستورالعمل های برنامه ها به اشتراک گذاشتن دانش است تا انواع مختلف برنامه ها را در کتابخانه ها سازماندهی کند این یک ساختار گام به گام در مورد چگونگی سازماندهی یک رویداد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می تواند برای به اشتراک گذاشتن و مهارت های مختلف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ابزارهایی با کارکرد ساده وجود دارد و موقعیتی که به استفاده از این ابزارها کمک می کند فراهم 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دستورالعمل های یادگیری، طرحی برای حمایت همتر از ایجاد کرده ایم که یک طرح ثبت شده است و روند حمایت و گزینش یک دستورالعمل رویداد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کمک این ابزارها می خواهیم این یادگیری همتراز را آسان تر کنیم و فرایند را شفاف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گاهی رویدادهای یادگیری را روشن کنیم و بگذاریم در کتابخانه از وجود آن ها آگاه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آن ها منجر به پذیرش بیشتر این امر می شود که بعضی افراد در واقع برای دیگر افراد در کتابخانه خود یا حتى بین واحدها و شهرها وقت می گذارند تا چیزهای جدید یاد بگیرند</w:t>
      </w:r>
      <w:r>
        <w:rPr>
          <w:rFonts w:eastAsia="IRNazanin" w:cs="IRNazanin"/>
          <w:color w:val="111111"/>
          <w:sz w:val="28"/>
          <w:szCs w:val="28"/>
          <w:rtl w:val="true"/>
          <w:lang w:bidi="fa-IR"/>
        </w:rPr>
        <w:t xml:space="preserve">. </w:t>
      </w:r>
      <w:bookmarkStart w:id="733" w:name="pg9653_82085"/>
    </w:p>
    <w:p>
      <w:pPr>
        <w:pStyle w:val="BookText"/>
        <w:rPr/>
      </w:pPr>
      <w:bookmarkEnd w:id="733"/>
      <w:r>
        <w:rPr>
          <w:rFonts w:ascii="IRNazanin" w:hAnsi="IRNazanin" w:eastAsia="IRNazanin"/>
          <w:color w:val="111111"/>
          <w:sz w:val="28"/>
          <w:sz w:val="28"/>
          <w:szCs w:val="28"/>
          <w:rtl w:val="true"/>
          <w:lang w:bidi="fa-IR"/>
        </w:rPr>
        <w:t>هدف طرح توسعه مشترک ما، تولید روندها و ابزارهای یادگیری همتا است که منجر به یادگیری شخصی در کتابخانه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،یادگیری کتابخانه ها خدمات خود را توسعه خواهند داد و همچنان قطب های حیاتی در جوامع خود خواهند بود</w:t>
      </w:r>
      <w:r>
        <w:rPr>
          <w:rFonts w:eastAsia="IRNazanin" w:cs="IRNazanin"/>
          <w:color w:val="111111"/>
          <w:sz w:val="28"/>
          <w:szCs w:val="28"/>
          <w:rtl w:val="true"/>
          <w:lang w:bidi="fa-IR"/>
        </w:rPr>
        <w:t>.</w:t>
      </w:r>
    </w:p>
    <w:p>
      <w:pPr>
        <w:pStyle w:val="Heading3"/>
        <w:numPr>
          <w:ilvl w:val="2"/>
          <w:numId w:val="1"/>
        </w:numPr>
        <w:rPr/>
      </w:pPr>
      <w:bookmarkStart w:id="734" w:name="__RefHeading___Toc7766784_2870459653"/>
      <w:bookmarkStart w:id="735" w:name="_Toc267"/>
      <w:bookmarkEnd w:id="734"/>
      <w:r>
        <w:rPr>
          <w:rtl w:val="true"/>
        </w:rPr>
        <w:t>منابع</w:t>
      </w:r>
      <w:bookmarkEnd w:id="735"/>
    </w:p>
    <w:p>
      <w:pPr>
        <w:pStyle w:val="BookText"/>
        <w:rPr/>
      </w:pPr>
      <w:r>
        <w:rPr>
          <w:rFonts w:eastAsia="Times New Roman" w:cs="Times New Roman" w:ascii="Times New Roman" w:hAnsi="Times New Roman"/>
          <w:color w:val="111111"/>
          <w:sz w:val="28"/>
          <w:szCs w:val="28"/>
          <w:lang w:val="en-US" w:bidi="en-US"/>
        </w:rPr>
        <w:t>Ardichvili, A. (2008). Learning and knowledge sharing in virtual communities of practice: motivators, barriers, and enablers. Advances in Developing Human Resources, 10(4), 541-554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Dixon, N. (1992). Organizational learning: a review of the literature with implications for HRD professionals, Human Resource Quarterly, 3(1). 29-49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Felin, T. and Hesterly, W.S. (2007). The knowledge-based view, nested heterogeneity, and new value creation: philosophical considerations on the locus of knowledge. Academy of Management Review, 32(1), 195-218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Friedman, V., Lipshitz, R. &amp; Popper, M. (2005). The mystification of organizational learning. Journal of Management Inquiry, 14(1),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 H.F., Lee, H.S. &amp; Wang, D.W. (2009). Evaluation of factors influencing knowledge sharing based on a fuzzy AHP approach. Journal of Information Science, 35(1), 25-44</w:t>
      </w:r>
    </w:p>
    <w:p>
      <w:pPr>
        <w:pStyle w:val="BookText"/>
        <w:rPr/>
      </w:pPr>
      <w:r>
        <w:rPr>
          <w:rFonts w:eastAsia="Times New Roman" w:cs="Times New Roman" w:ascii="Times New Roman" w:hAnsi="Times New Roman"/>
          <w:color w:val="111111"/>
          <w:sz w:val="28"/>
          <w:szCs w:val="28"/>
          <w:lang w:val="en-US" w:bidi="en-US"/>
        </w:rPr>
        <w:t>Senge, P (1990). The fifth discipline: The art &amp; practice of the learning organization. London: Random House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Titi Amayah, A. (2013). Determinants of knowledge sharing in a public sector organization. Journal of Knowledge Management, 17(3), 454-471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Zboralski, K, Salomo, S. &amp; Gemuenden, H.G. (2006). Organizational benefits of communities of practice: a two-stage information processing model. Cybernetics and Systems: An International Journal, 37(6), 533-552</w:t>
      </w:r>
      <w:r>
        <w:rPr>
          <w:rFonts w:eastAsia="Times New Roman" w:cs="Times New Roman" w:ascii="Times New Roman" w:hAnsi="Times New Roman"/>
          <w:color w:val="111111"/>
          <w:sz w:val="28"/>
          <w:szCs w:val="28"/>
          <w:rtl w:val="true"/>
          <w:lang w:val="en-US" w:bidi="en-US"/>
        </w:rPr>
        <w:t xml:space="preserve">. </w:t>
      </w:r>
      <w:bookmarkStart w:id="736" w:name="pg9653_82086"/>
    </w:p>
    <w:p>
      <w:pPr>
        <w:pStyle w:val="Heading2"/>
        <w:numPr>
          <w:ilvl w:val="1"/>
          <w:numId w:val="1"/>
        </w:numPr>
        <w:rPr/>
      </w:pPr>
      <w:bookmarkStart w:id="737" w:name="__RefHeading___Toc7766786_2870459653"/>
      <w:bookmarkStart w:id="738" w:name="_Toc268"/>
      <w:bookmarkEnd w:id="736"/>
      <w:bookmarkEnd w:id="737"/>
      <w:r>
        <w:rPr>
          <w:rtl w:val="true"/>
        </w:rPr>
        <w:t>چکیده</w:t>
      </w:r>
      <w:bookmarkEnd w:id="738"/>
    </w:p>
    <w:p>
      <w:pPr>
        <w:pStyle w:val="BookText"/>
        <w:rPr/>
      </w:pPr>
      <w:r>
        <w:rPr>
          <w:rFonts w:ascii="IRNazanin" w:hAnsi="IRNazanin" w:eastAsia="IRNazanin"/>
          <w:color w:val="111111"/>
          <w:sz w:val="28"/>
          <w:sz w:val="28"/>
          <w:szCs w:val="28"/>
          <w:rtl w:val="true"/>
          <w:lang w:bidi="fa-IR"/>
        </w:rPr>
        <w:t xml:space="preserve">این مقاله، یک مرور کلی از استانداردهای توصیفی و فنی مورد استفاده در اسناد نسخ خطی تاریخی و کتاب های نادر در جوامع ایالات متحده را ارائه می دهد و به طور خلاصه الگوهای مفهومی را بر اساس این استانداردها بررسی می کند پس ،از آن چگونگی پیاده سازی آن را در مجموعه تخصصی ال تام پری </w:t>
      </w:r>
      <w:r>
        <w:rPr>
          <w:rStyle w:val="FootnoteAnchor"/>
          <w:rtl w:val="true"/>
        </w:rPr>
        <w:footnoteReference w:id="1040"/>
      </w:r>
      <w:r>
        <w:rPr>
          <w:rFonts w:ascii="IRNazanin" w:hAnsi="IRNazanin" w:eastAsia="IRNazanin"/>
          <w:color w:val="111111"/>
          <w:sz w:val="28"/>
          <w:sz w:val="28"/>
          <w:szCs w:val="28"/>
          <w:rtl w:val="true"/>
          <w:lang w:bidi="fa-IR"/>
        </w:rPr>
        <w:t xml:space="preserve">در دانشگاه یانگ بریگهام </w:t>
      </w:r>
      <w:r>
        <w:rPr>
          <w:rStyle w:val="FootnoteAnchor"/>
          <w:rtl w:val="true"/>
        </w:rPr>
        <w:footnoteReference w:id="1041"/>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استانداردهای توصیفی، اسناد، کتاب های نادر، ایالات متحده، اف آر بی آر </w:t>
      </w:r>
      <w:bookmarkStart w:id="739" w:name="pg9653_82087"/>
    </w:p>
    <w:p>
      <w:pPr>
        <w:pStyle w:val="Heading2"/>
        <w:numPr>
          <w:ilvl w:val="1"/>
          <w:numId w:val="1"/>
        </w:numPr>
        <w:rPr/>
      </w:pPr>
      <w:bookmarkStart w:id="740" w:name="__RefHeading___Toc7766788_2870459653"/>
      <w:bookmarkStart w:id="741" w:name="_Toc269"/>
      <w:bookmarkEnd w:id="739"/>
      <w:bookmarkEnd w:id="740"/>
      <w:r>
        <w:rPr>
          <w:rtl w:val="true"/>
        </w:rPr>
        <w:t>استانداردهای توصیفی ایالات متحده برای اسناد، نسخ خطی تاریخی و کتاب های نادر</w:t>
      </w:r>
      <w:bookmarkEnd w:id="741"/>
    </w:p>
    <w:p>
      <w:pPr>
        <w:pStyle w:val="Heading3"/>
        <w:numPr>
          <w:ilvl w:val="2"/>
          <w:numId w:val="1"/>
        </w:numPr>
        <w:rPr/>
      </w:pPr>
      <w:bookmarkStart w:id="742" w:name="__RefHeading___Toc7766790_2870459653"/>
      <w:bookmarkStart w:id="743" w:name="_Toc270"/>
      <w:bookmarkEnd w:id="742"/>
      <w:r>
        <w:rPr>
          <w:rtl w:val="true"/>
        </w:rPr>
        <w:t>اشاره</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استانداردهای توصیفی ایالات متحده برای اسناد، نسخ خطی تاریخی و کتاب های نادر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نوشته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گوردون دینز </w:t>
      </w:r>
      <w:r>
        <w:rPr>
          <w:rStyle w:val="FootnoteAnchor"/>
          <w:rtl w:val="true"/>
        </w:rPr>
        <w:footnoteReference w:id="1043"/>
      </w:r>
      <w:r>
        <w:rPr>
          <w:rFonts w:ascii="IRNazanin" w:hAnsi="IRNazanin" w:eastAsia="IRNazanin"/>
          <w:color w:val="111111"/>
          <w:sz w:val="28"/>
          <w:sz w:val="28"/>
          <w:szCs w:val="28"/>
          <w:rtl w:val="true"/>
          <w:lang w:bidi="fa-IR"/>
        </w:rPr>
        <w:t>و کوری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لیلی سیفی </w:t>
      </w:r>
      <w:r>
        <w:rPr>
          <w:rStyle w:val="FootnoteAnchor"/>
          <w:rtl w:val="true"/>
        </w:rPr>
        <w:footnoteReference w:id="1045"/>
      </w:r>
    </w:p>
    <w:p>
      <w:pPr>
        <w:pStyle w:val="Heading3"/>
        <w:numPr>
          <w:ilvl w:val="2"/>
          <w:numId w:val="1"/>
        </w:numPr>
        <w:rPr/>
      </w:pPr>
      <w:bookmarkStart w:id="744" w:name="__RefHeading___Toc7766792_2870459653"/>
      <w:bookmarkStart w:id="745" w:name="_Toc271"/>
      <w:bookmarkEnd w:id="744"/>
      <w:r>
        <w:rPr>
          <w:rtl w:val="true"/>
        </w:rPr>
        <w:t>مقدمه</w:t>
      </w:r>
      <w:bookmarkEnd w:id="745"/>
    </w:p>
    <w:p>
      <w:pPr>
        <w:pStyle w:val="BookText"/>
        <w:rPr/>
      </w:pPr>
      <w:r>
        <w:rPr>
          <w:rFonts w:ascii="IRNazanin" w:hAnsi="IRNazanin" w:eastAsia="IRNazanin"/>
          <w:color w:val="111111"/>
          <w:sz w:val="28"/>
          <w:sz w:val="28"/>
          <w:szCs w:val="28"/>
          <w:rtl w:val="true"/>
          <w:lang w:bidi="fa-IR"/>
        </w:rPr>
        <w:t>این ارائه، یک مرور کلی از استانداردهای توصیفی و فنی مورد استفاده در اسناد، نسخ خطی تاریخی و کتاب های نادر در جوامع ایالات متحده را فراهم خواهد کرد و به طور خلاصه، الگوهای مفهومی پشتیبان کننده این استانداردها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ادامه درباره انواع استانداردهای مختلف مورد استفاده برای ثبت، انتقال و نمایش توصیفی موجودی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با بیان این که چگونه این استانداردها در مجموعه تخصصی ال تام پری در دانشگاه یانگ بریگهام پیاده سازی شده اند، نتیجه می گیرد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شالوده استانداردهای استفاده شده در اسناد نسخ خطی و کتاب های نادر الگوهای مفهومی هستند که موجودیت های توصیفی و ویژگی های مختلف آن ها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جامعه کتابخانه الگوی فعلی در ملزومات کارکردی پیشینه های کتاب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آر بی آر</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همراه با اسناد پسوندی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همراه آن، ملزومات کارکردی داده های مستند </w:t>
      </w:r>
      <w:r>
        <w:rPr>
          <w:rStyle w:val="FootnoteAnchor"/>
          <w:rtl w:val="true"/>
        </w:rPr>
        <w:footnoteReference w:id="1047"/>
      </w:r>
      <w:r>
        <w:rPr>
          <w:rFonts w:ascii="IRNazanin" w:hAnsi="IRNazanin" w:eastAsia="IRNazanin"/>
          <w:color w:val="111111"/>
          <w:sz w:val="28"/>
          <w:sz w:val="28"/>
          <w:szCs w:val="28"/>
          <w:rtl w:val="true"/>
          <w:lang w:bidi="fa-IR"/>
        </w:rPr>
        <w:t xml:space="preserve">و ابزارهای کارکردی داده مستند موضوعی </w:t>
      </w:r>
      <w:r>
        <w:rPr>
          <w:rStyle w:val="FootnoteAnchor"/>
          <w:rtl w:val="true"/>
        </w:rPr>
        <w:footnoteReference w:id="1048"/>
      </w:r>
      <w:r>
        <w:rPr>
          <w:rFonts w:ascii="IRNazanin" w:hAnsi="IRNazanin" w:eastAsia="IRNazanin"/>
          <w:color w:val="111111"/>
          <w:sz w:val="28"/>
          <w:sz w:val="28"/>
          <w:szCs w:val="28"/>
          <w:rtl w:val="true"/>
          <w:lang w:bidi="fa-IR"/>
        </w:rPr>
        <w:t>شرح داده می شود</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این الگو تحت نظارت فدراسیون بین المللی انجمن های کتابداری، </w:t>
      </w:r>
      <w:r>
        <w:rPr>
          <w:rStyle w:val="FootnoteAnchor"/>
          <w:rtl w:val="true"/>
        </w:rPr>
        <w:footnoteReference w:id="1050"/>
      </w:r>
      <w:r>
        <w:rPr>
          <w:rFonts w:ascii="IRNazanin" w:hAnsi="IRNazanin" w:eastAsia="IRNazanin"/>
          <w:color w:val="111111"/>
          <w:sz w:val="28"/>
          <w:sz w:val="28"/>
          <w:szCs w:val="28"/>
          <w:rtl w:val="true"/>
          <w:lang w:bidi="fa-IR"/>
        </w:rPr>
        <w:t xml:space="preserve">و بین سال های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 شده است همان طور که از عنوانشان هویداست هریک از این استانداردها با بخش های مختلف توصیف کتابخانه سر و کار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جنبه های قابل توجه الگوی اف آر بی آر، به کارگیری چهار گروه از موجودیت های گروه اول از چهار گروه برای توصیف شیء، جداسازی آن به اثر، بیان، نمود و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گام تکاملی به دور از عمل فهرست نویسی سنتی است، که در درجه اول در توصیف مدرک مورد نظر متمرکز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یکنواختی در توصیفات قبلی از طریق استاندارد بین المللی توصیف کتاب شناختی </w:t>
      </w:r>
      <w:r>
        <w:rPr>
          <w:rStyle w:val="FootnoteAnchor"/>
          <w:rtl w:val="true"/>
        </w:rPr>
        <w:footnoteReference w:id="1051"/>
      </w:r>
      <w:r>
        <w:rPr>
          <w:rFonts w:ascii="IRNazanin" w:hAnsi="IRNazanin" w:eastAsia="IRNazanin"/>
          <w:color w:val="111111"/>
          <w:sz w:val="28"/>
          <w:sz w:val="28"/>
          <w:szCs w:val="28"/>
          <w:rtl w:val="true"/>
          <w:lang w:bidi="fa-IR"/>
        </w:rPr>
        <w:t>که یک الگوی محتوا با مناطق جداگانه و عناصر خاص ایجاد کرده، انجام شد برای اسناد و نسخ خطی محتوای الگوهای شبیه به استاندارد بین المللی توصیف کتاب شناختی توسط شورای بین المللی اسناد ایجاد شده است شامل استاندارد بین المللی توصیف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استاندارد بین المللی پیشینه مستند اسنادی برای تنالگان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اس ای ای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پی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 xml:space="preserve">اشخاص و خانواده، و استاندارد بین المللی برای توصیف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اس دی اف</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که بین سال های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هر چند آی اس ای ای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فراد، شباهت ها و عاریه هایی دارند، اما این مورد برای دو استاندارد اسنادی دیگر صدق نمی کند برخلاف اف آر بی آر در مورد ایساد، فرض بر این است که توصیفات مصالح اسنادی منحصر به فرد و همه عناصر توصیفی در یک مدخل واحد را در بر می گیرد</w:t>
      </w:r>
      <w:r>
        <w:rPr>
          <w:rFonts w:eastAsia="IRNazanin" w:cs="IRNazanin"/>
          <w:color w:val="111111"/>
          <w:sz w:val="28"/>
          <w:szCs w:val="28"/>
          <w:rtl w:val="true"/>
          <w:lang w:bidi="fa-IR"/>
        </w:rPr>
        <w:t xml:space="preserve">. </w:t>
      </w:r>
      <w:bookmarkStart w:id="746" w:name="pg9653_82089"/>
    </w:p>
    <w:p>
      <w:pPr>
        <w:pStyle w:val="BookText"/>
        <w:rPr/>
      </w:pPr>
      <w:bookmarkEnd w:id="746"/>
      <w:r>
        <w:rPr>
          <w:rFonts w:ascii="IRNazanin" w:hAnsi="IRNazanin" w:eastAsia="IRNazanin"/>
          <w:color w:val="111111"/>
          <w:sz w:val="28"/>
          <w:sz w:val="28"/>
          <w:szCs w:val="28"/>
          <w:rtl w:val="true"/>
          <w:lang w:bidi="fa-IR"/>
        </w:rPr>
        <w:t xml:space="preserve">همچنین انتظار می رود که یک مجموعه روابط سلسله مراتبی، در تمامی بخش های ارتباطی به صورت لایه های چندگانه با توصیفی از گروهی از منابع ثبت شود استاندارد بین المللی برای توصیف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 دی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معادلی در بین الگوهای کتابخانه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آر بی آر بیان می دارد که ممکن است از منابع اسنادی و نسخ خطی استفاده بشود اما برخی از مشکلات توصیف این مصالح، با استفاده از لایه های متفاوت از موجودیت های گروه آی نیز تشخیص داده می شود</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جوامع کتابخانه و اسناد تلاش های متنوعی صورت داده اند تا این مسایل را ذکر کنند از جمله تعیین توصیفات نسخ خطی و اسنادی به شورای بین المللی موزه ها الگوی مرجع مفهومی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آی دی اُ سی سی آر ام</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 xml:space="preserve">و الگوسازی نسخ خطی و اسناد در اف آر بی آر شیء گرا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آر بی آر اُ اُ</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علی رغم این تلاش های اولیه هنوز در مورد چگونگی الگوسازی این منابع یا در مورد چگونگی ارتباط الگوهای مختلف با یکدیگر اجماع وجود ندارد این مورد با گروه کاری نقدوبررسی ایفلا اف آر بی آر، روی مصالح با اجتناب سؤال در گزارششان در سال پیش دیده شده است</w:t>
      </w:r>
      <w:r>
        <w:rPr>
          <w:rFonts w:eastAsia="IRNazanin" w:cs="IRNazanin"/>
          <w:color w:val="111111"/>
          <w:sz w:val="28"/>
          <w:szCs w:val="28"/>
          <w:rtl w:val="true"/>
          <w:lang w:bidi="fa-IR"/>
        </w:rPr>
        <w:t xml:space="preserve">. </w:t>
      </w:r>
      <w:r>
        <w:rPr>
          <w:rStyle w:val="FootnoteAnchor"/>
          <w:rtl w:val="true"/>
        </w:rPr>
        <w:footnoteReference w:id="1061"/>
      </w:r>
    </w:p>
    <w:p>
      <w:pPr>
        <w:pStyle w:val="Heading3"/>
        <w:numPr>
          <w:ilvl w:val="2"/>
          <w:numId w:val="1"/>
        </w:numPr>
        <w:rPr/>
      </w:pPr>
      <w:bookmarkStart w:id="747" w:name="__RefHeading___Toc7766794_2870459653"/>
      <w:bookmarkStart w:id="748" w:name="_Toc272"/>
      <w:bookmarkEnd w:id="747"/>
      <w:r>
        <w:rPr>
          <w:rtl w:val="true"/>
        </w:rPr>
        <w:t>مرور جعبه پندورا</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 جعبه پندورا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جوامع اسناد نسخ خطی تاریخی و کتاب های نادر در ایالات متحده از طیف گسترده ای از استانداردهای توصیفی بر اساس الگوی مفهومی توصیفی قبلی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مطلق استانداردهای توصیفی و ارتباط تنگاتنگ آن ها باعث چالشی درباره صحبت مقتدرانه درباره پیاده سازیشان می شود در بخش بعدی این ارائه، چند بحث مطرح می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رایج ترین استانداردهای توصیفی برای اسناد نسخ خطی تاریخی و کتاب های نادر دو بررسی محتوای اصلی و انتقال استانداردها برای این جوامع </w:t>
      </w:r>
      <w:bookmarkStart w:id="749" w:name="pg9653_82090"/>
    </w:p>
    <w:p>
      <w:pPr>
        <w:pStyle w:val="BookText"/>
        <w:rPr/>
      </w:pPr>
      <w:bookmarkEnd w:id="749"/>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برخی از استانداردهای توصیفی الحاقی موجود برای استفاده این 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انواع نظام های اکتشافی با استفاده از پیشنیه های ایجاد شده با توجه به این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این که چگونه ما این استانداردها را در دانشگاه یانگ بریگهام پیاده سازی کرده ایم و نتیجه گیری</w:t>
      </w:r>
      <w:r>
        <w:rPr>
          <w:rFonts w:eastAsia="IRNazanin" w:cs="IRNazanin"/>
          <w:color w:val="111111"/>
          <w:sz w:val="28"/>
          <w:szCs w:val="28"/>
          <w:rtl w:val="true"/>
          <w:lang w:bidi="fa-IR"/>
        </w:rPr>
        <w:t>.</w:t>
      </w:r>
    </w:p>
    <w:p>
      <w:pPr>
        <w:pStyle w:val="Heading3"/>
        <w:numPr>
          <w:ilvl w:val="2"/>
          <w:numId w:val="1"/>
        </w:numPr>
        <w:rPr/>
      </w:pPr>
      <w:bookmarkStart w:id="750" w:name="__RefHeading___Toc7766796_2870459653"/>
      <w:bookmarkStart w:id="751" w:name="_Toc273"/>
      <w:bookmarkEnd w:id="750"/>
      <w:r>
        <w:rPr>
          <w:rtl w:val="true"/>
        </w:rPr>
        <w:t>استانداردهای محتوای اصلی توسط جامعه</w:t>
      </w:r>
      <w:bookmarkEnd w:id="751"/>
    </w:p>
    <w:p>
      <w:pPr>
        <w:pStyle w:val="BookText"/>
        <w:rPr/>
      </w:pPr>
      <w:r>
        <w:rPr>
          <w:rFonts w:ascii="IRNazanin" w:hAnsi="IRNazanin" w:eastAsia="IRNazanin"/>
          <w:color w:val="111111"/>
          <w:sz w:val="28"/>
          <w:sz w:val="28"/>
          <w:szCs w:val="28"/>
          <w:rtl w:val="true"/>
          <w:lang w:bidi="fa-IR"/>
        </w:rPr>
        <w:t>جوامع اسناد، نسخ خطی تاریخی و کتاب نادر، همه استانداردهای محتوای اصلی برای هدایت توصیف منابع در موجودی خودشان را توسعه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 محتوای اصلی برای کتاب های نادر، فهرست نویسی توصیفی منابع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 سی آر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یا فهرست نویسی توصیفی منابع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 سی آر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و دسترسی و توصیف منابع </w:t>
      </w:r>
      <w:r>
        <w:rPr>
          <w:rStyle w:val="FootnoteAnchor"/>
          <w:rtl w:val="true"/>
        </w:rPr>
        <w:footnoteReference w:id="1065"/>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 فهرست نویسی توصیفی منابع نادر قواعد تخصصی توسعه یافته ای برای برآوردن نیازهای محققین متخصص اند، در حالی که استاندارد دسترسی و توصیف منابع مجموعه ای از قواعد کلی برای ایجاد توصیف طیف گسترده ای از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تفاوت بین این دو ،روش به بهترین وجه در دستورالعمل توصیف فیزیکی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سی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 و ساختارهایی برای فهرستنویسی توصیفی کتاب های نادر فراهم می کند، یعنی این که تک نگاشت های متنی چاپی با روش خاصی در انباره نگهداری می شوند</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به این معنا که تک نگاشت های چاپی در هر سنّی و نوع محصولی به کار می روند این قواعد طراحی شده اند تا به فهرست نویسان اجازه دهند فهرست نویسی غنی به اندازه کافی فراهم کند و به آسانی نسخه های انتشارات چاپی و توصیف دقیق تر انتشاراتی را که به صورت اشیاء هستند، شناسایی کند که ممکن است شامل ویژگی هایی مانند صفحه بندی جزئیات صحافی و یا امضا باشند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سی آر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دستورالعمل هایی برای فهرست نویسی نشریات چاپی تهیه می کند که ارزش نادر بودن، یا مورد علاقه بودنشان توصیف خاصّی را ضروری یا مطلوب می سازد</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 xml:space="preserve">دسترسی و توصیف </w:t>
      </w:r>
    </w:p>
    <w:p>
      <w:pPr>
        <w:pStyle w:val="BookText"/>
        <w:rPr/>
      </w:pPr>
      <w:r>
        <w:rPr>
          <w:rFonts w:ascii="IRNazanin" w:hAnsi="IRNazanin" w:eastAsia="IRNazanin"/>
          <w:color w:val="111111"/>
          <w:sz w:val="28"/>
          <w:sz w:val="28"/>
          <w:szCs w:val="28"/>
          <w:rtl w:val="true"/>
          <w:lang w:bidi="fa-IR"/>
        </w:rPr>
        <w:t>منابع، یک استاندارد فهرست نویسی است که مجموعه ای از دستورالعمل ها و رهنمودها را برای تدوین داده ها تهیه می کند تا کشف منابع را پشتیبانی کند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برخلاف دی سی آر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دستورالعمل های موجود در دسترسی و توصیف منابع بر اساس اصول مشترک مورد استفاده از واژه های لاتین و اختصاراتی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و توصیف منابع، جانشین ویرایش دوم قواعد انگلوامریکن است و نخست در ژوئن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قواعد انگلوامریکن حول الگوی محتوای آی اس بی دی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دی ای نشان دهنده یک حرکت قابل توجه از آی اس بی دی و براساس اف آر بی آر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آردی ای بر اساس یک الگوی مفهومی متفاوت از دی سی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کتاب های نادر، به طور کامل این استاندارد جدید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استانداردهای کتاب شناختی بخش نسخه های خطی و کتاب های نادر انجمن کتابخانه های آمریکا به استفاده از دی سی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 سی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فهرستنویسان توصیه کرده است برای مدتی پیروی از قوانین، گزینه ها و جایگزین به عنوان مکتوب ادامه دهند و تلاش نکنند عناصر یا شیوه های مبتنی بر توصیف و دسترسی به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بر اساس فهرست نویسی توصیفی منابع نادر ترکیب کنند</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معطوف کردن توجه به جوامع اسناد و نسخ خطی استاندارد هسته محتوا، توصیف اسناد استاندارد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اسناد محتوای استاندارد جانشین نسخ خطی اسناد و مقاله های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که تحت نظارت انجمن اسناد آمریکا شکل گرفته است یک مجموعه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از قواعدی برای توصیف اسناد، مقاله های افراد و مجموعه نسخ خطی بوده و می تواند برای همه نوع منابع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سازی استانداردهای بین المللی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ایساد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 xml:space="preserve">و آی اس آر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منابع اسنادی و سازندگان آن ها است</w:t>
      </w:r>
      <w:r>
        <w:rPr>
          <w:rFonts w:eastAsia="IRNazanin" w:cs="IRNazanin"/>
          <w:color w:val="111111"/>
          <w:sz w:val="28"/>
          <w:szCs w:val="28"/>
          <w:rtl w:val="true"/>
          <w:lang w:bidi="fa-IR"/>
        </w:rPr>
        <w:t xml:space="preserve">. </w:t>
      </w:r>
      <w:r>
        <w:rPr>
          <w:rStyle w:val="FootnoteAnchor"/>
          <w:rtl w:val="true"/>
        </w:rPr>
        <w:footnoteReference w:id="107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عمده برای توصیف مصالح منابع نسخ خطی و اسنادی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تمرکز بر مصالح توصیف مبتنی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براسناد محتوای استاندارد به طور قابل توجهی از آن هایی که با کمک قواعد کتاب های </w:t>
      </w:r>
      <w:bookmarkStart w:id="752" w:name="pg9653_82092"/>
    </w:p>
    <w:p>
      <w:pPr>
        <w:pStyle w:val="BookText"/>
        <w:rPr/>
      </w:pPr>
      <w:bookmarkEnd w:id="752"/>
      <w:r>
        <w:rPr>
          <w:rFonts w:ascii="IRNazanin" w:hAnsi="IRNazanin" w:eastAsia="IRNazanin"/>
          <w:color w:val="111111"/>
          <w:sz w:val="28"/>
          <w:sz w:val="28"/>
          <w:szCs w:val="28"/>
          <w:rtl w:val="true"/>
          <w:lang w:bidi="fa-IR"/>
        </w:rPr>
        <w:t>نادر تولید شده اند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دستورالعمل ها برای ثبت توصیف فیزیکی، برای مثال، شامل گزینه میزان ثبت است برحسب فضایی که منابع در قفسه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فایل یا سطح مدرک، توصیف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استاندارد می تواند همراه با استانداردهای مخصوص به نوع منابع به کار رود به توصیفات چندگانه که نتیجه توصیف اسناد محتوای استاندارد هستند کمک جست و جو گرگفته می شود</w:t>
      </w:r>
    </w:p>
    <w:p>
      <w:pPr>
        <w:pStyle w:val="Heading3"/>
        <w:numPr>
          <w:ilvl w:val="2"/>
          <w:numId w:val="1"/>
        </w:numPr>
        <w:rPr/>
      </w:pPr>
      <w:bookmarkStart w:id="753" w:name="__RefHeading___Toc7766798_2870459653"/>
      <w:bookmarkStart w:id="754" w:name="_Toc274"/>
      <w:bookmarkEnd w:id="753"/>
      <w:r>
        <w:rPr>
          <w:rtl w:val="true"/>
        </w:rPr>
        <w:t>استانداردهای انتقال هسته</w:t>
      </w:r>
      <w:bookmarkEnd w:id="754"/>
    </w:p>
    <w:p>
      <w:pPr>
        <w:pStyle w:val="BookText"/>
        <w:rPr/>
      </w:pPr>
      <w:r>
        <w:rPr>
          <w:rFonts w:ascii="IRNazanin" w:hAnsi="IRNazanin" w:eastAsia="IRNazanin"/>
          <w:color w:val="111111"/>
          <w:sz w:val="28"/>
          <w:sz w:val="28"/>
          <w:szCs w:val="28"/>
          <w:rtl w:val="true"/>
          <w:lang w:bidi="fa-IR"/>
        </w:rPr>
        <w:t>یک بار که منابع توصیف شدند، لازم است که اطلاعات در مورد آن ها به اشتراک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اسناد، نسخ خطی تاریخی و کتاب های نادر استانداردهای انتقالی خودشان را برای به اشتراک گذاری اطلاعات درباره منابعی که آن ها توصیف کرده اند توسعه یا اقتباس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جوامع کتاب های نادر از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داده های کتاب شناختی و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داده های مستند برای به اشتراک گذاری اطلاعات درباره موجودیشان استفاده می کنند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داده های کتاب شناختی به عنوان حامل اطلاعات کتاب شناختی در مورد منابع متنی خطی و چاپی فایل های رایانه نقشه ها موسیقی منابع ،پیوسته مواد دیداری و مواد مرکب طراحی شده است اطلاعات کتاب شناختی معمولا شامل ،عنوان ،نام ،موضوع یادداشت ها داده های انتشارات و اطلاعات در مورد توصیف فیزیکی مدرک است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داده های مستند به عنوان حامل اطلاعاتی در مورد شکل های مجاز از نام موضوع و موضوعات تقسیم بندی شده طراحی شده است تا برای ساخت نقاط دسترسی در پیشینه های ،مارک اشکال این نام ها و موضوعات تقسیم بندی شده که باید به عنوان منابع، به شکل مجاز و روابط متقابل میان این اشکال مورد استفاده قرار گیرد</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با توجه به این نکته، استانداردهای انتقال به جامعه کتاب ،نادر امکان به اشتراک گذاشتن اطلاعات در مورد انتشارات چاپی با استفاده از انواع ابزارهای اکتشافی را می دهد این استانداردها همچنین امکان استفاده از شکل های استاندارد نام ها برای کمک به تسهیل کشف را می دهد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نسخ خطی تاریخی و اسناد، استاندارد انتقال را که برای جوامع خود منحصر به فرد هستند، توسعه داده اند استاندارد کدگذاری توصیف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ای دی</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استاندارد مبتنی بر ایکس ام </w:t>
      </w:r>
      <w:bookmarkStart w:id="755" w:name="pg9653_82093"/>
    </w:p>
    <w:p>
      <w:pPr>
        <w:pStyle w:val="BookText"/>
        <w:rPr/>
      </w:pPr>
      <w:bookmarkEnd w:id="755"/>
      <w:r>
        <w:rPr>
          <w:rFonts w:ascii="IRNazanin" w:hAnsi="IRNazanin" w:eastAsia="IRNazanin"/>
          <w:color w:val="111111"/>
          <w:sz w:val="28"/>
          <w:sz w:val="28"/>
          <w:szCs w:val="28"/>
          <w:rtl w:val="true"/>
          <w:lang w:bidi="fa-IR"/>
        </w:rPr>
        <w:t xml:space="preserve">ال </w:t>
      </w:r>
      <w:r>
        <w:rPr>
          <w:rStyle w:val="FootnoteAnchor"/>
          <w:rtl w:val="true"/>
        </w:rPr>
        <w:footnoteReference w:id="1075"/>
      </w:r>
      <w:r>
        <w:rPr>
          <w:rFonts w:ascii="IRNazanin" w:hAnsi="IRNazanin" w:eastAsia="IRNazanin"/>
          <w:color w:val="111111"/>
          <w:sz w:val="28"/>
          <w:sz w:val="28"/>
          <w:szCs w:val="28"/>
          <w:rtl w:val="true"/>
          <w:lang w:bidi="fa-IR"/>
        </w:rPr>
        <w:t xml:space="preserve">برای کدگذاری ابزارهای کتابشناختی است و برای علامت گذاری ابزارهای کتابشناختی که منعکس کننده ماهیت سلسله مراتبی مجموعه های اسنادی است استفاده می شود و ساختاری برای توصیف کل مجموعه و همچنین اجزای در برگیرنده آن فراهم می کند </w:t>
      </w:r>
      <w:r>
        <w:rPr>
          <w:rStyle w:val="FootnoteAnchor"/>
          <w:rtl w:val="true"/>
        </w:rPr>
        <w:footnoteReference w:id="1076"/>
      </w:r>
      <w:r>
        <w:rPr>
          <w:rFonts w:ascii="IRNazanin" w:hAnsi="IRNazanin" w:eastAsia="IRNazanin"/>
          <w:color w:val="111111"/>
          <w:sz w:val="28"/>
          <w:sz w:val="28"/>
          <w:szCs w:val="28"/>
          <w:rtl w:val="true"/>
          <w:lang w:bidi="fa-IR"/>
        </w:rPr>
        <w:t>اشتراک گذاری مجموعه را در محیط های شبکه ای و پیوسته ممکن می سازد متن اسناد کدگذاری تنالگان، افراد خانواده ها یکی دیگر از استانداردهای مبتنی بر ایکس ام ال برای اشتراک گذاری اطلاعات، این بار در مورد سازندگان منابع اسنادی و نسخ خطی است این استاندارد در درجه اول توصیف افراد، خانواده ها و تنالگانی را که ایجاد حفظ و مسئول و یا مرتبط با پیشینه ها در انواع مختلف هستند، ذکر می کند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جوامع اسناد و نسخ خطی تاریخی همچنین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داده های کتابشناختی و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داده های مستند استانداردهای انتقال اطلاعات به اشتراک گذاری اطلاعات درباره موجودیشان هستند بویژه هنگامی که مشغول به کار در محیطی باشند که از نظام کتابخانه یکپارچه به عنوان ابزار اصلی اکتشافی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کتابشناختی برای ایجاد توصیف سطح مجموعه، از مجموعه های اسنادی و نسخ خطی استفاده شده است در حالی که استاندارد مستندسازی ادغام اطلاعات در مورد سازندگان آثار منتشر شده در مورد مجموعه های اسنادی و نسخ خطی را ممکن می سازد</w:t>
      </w:r>
      <w:r>
        <w:rPr>
          <w:rFonts w:eastAsia="IRNazanin" w:cs="IRNazanin"/>
          <w:color w:val="111111"/>
          <w:sz w:val="28"/>
          <w:szCs w:val="28"/>
          <w:rtl w:val="true"/>
          <w:lang w:bidi="fa-IR"/>
        </w:rPr>
        <w:t>.</w:t>
      </w:r>
    </w:p>
    <w:p>
      <w:pPr>
        <w:pStyle w:val="Heading3"/>
        <w:numPr>
          <w:ilvl w:val="2"/>
          <w:numId w:val="1"/>
        </w:numPr>
        <w:rPr/>
      </w:pPr>
      <w:bookmarkStart w:id="756" w:name="__RefHeading___Toc7766800_2870459653"/>
      <w:bookmarkStart w:id="757" w:name="_Toc275"/>
      <w:bookmarkEnd w:id="756"/>
      <w:r>
        <w:rPr>
          <w:rtl w:val="true"/>
        </w:rPr>
        <w:t>گسترش شعبه ها</w:t>
      </w:r>
      <w:bookmarkEnd w:id="75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استانداردهای هسته برای توصیف کتاب های نادر، نسخه های خطی تاریخی و آرشیو تعدادی کدهای تخصصی فهرستنویسی برای قالب های منابع خاص وجود دارد این ها شامل قواعدی برای عکس ها و تصاویر موسیقی و نقشه های ،نادر فیلم های متحرک و اقلام نسخ خطی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حالی که برخی از آن ها در اطراف موجود بوده اند و استانداردهای دیگری در حال حاضر در حال توسعه هستند و به احتمال زیاد در چند سال آینده پیاده سازی خواهند شد در هر مورد به عنوان استانداردهای محتوای هسته، قواعد خاصی را برای دقیق تر کردن توصیفات، برای پاسخگویی به نیازهای جامعه کاربر متخصص، امکان پذیر می سازد استاندارد فعلی برای ایجاد توصیف تخصصی تصاویر مواد گرافیکی قواعدی برای توصیف مدرک های اصلی و مجموعه های تاریخی توسط الیزابت بتس پارکر می باشد</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قواعد برای مدرک های اصلی و مجموعه های تاریخی توسط اليزابت بتس، ابتدا </w:t>
      </w:r>
    </w:p>
    <w:p>
      <w:pPr>
        <w:pStyle w:val="BookText"/>
        <w:rPr/>
      </w:pPr>
      <w:r>
        <w:rPr>
          <w:rFonts w:ascii="IRNazanin" w:hAnsi="IRNazanin" w:eastAsia="IRNazanin"/>
          <w:color w:val="111111"/>
          <w:sz w:val="28"/>
          <w:sz w:val="28"/>
          <w:szCs w:val="28"/>
          <w:rtl w:val="true"/>
          <w:lang w:bidi="fa-IR"/>
        </w:rPr>
        <w:t xml:space="preserve">در کتابخانه کنگره توسعه یافته و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برای مکمل ها به عنوان مثال،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آمدند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فهرستنویسی انگلوامریکن به فهرستنویسان اجازه می دهد تا اطلاعات خاص در مورد یک مدرک داده شده را ثبت کنند، در حالی که هنوز هم پیشینه های توصیفی سازگار وجود دارد جدیدترین نسخه از این قوانین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در وبسایت کتابخانه کنگره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استانداردهای کتابشناختی ای سی آر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بی ام اس مصمم به تجدید نظر در قواعد به عنوان بخشی از دی سی آرام شد که به عنوان فهرستنویسی منابع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کار تجدید نظر در نسخه دی سی آر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برای فهرستنویسی مواد موسیقی نادر به همین ترتیب در جریان است متداول ترین استاندارد برای فهرستنویسی این منابع، از ریچارد اسمیراگلیا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منابع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دستنامه ای برای فهرستنویسی موسیقی ثبتی و چاپی، ویدیو و مجموعه های موسیقی اسنادی برای استفاده از قواعد فهرستنویسی انگلوامریکن و ای پی پی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80"/>
      </w:r>
      <w:r>
        <w:rPr>
          <w:rFonts w:ascii="IRNazanin" w:hAnsi="IRNazanin" w:eastAsia="IRNazanin"/>
          <w:color w:val="111111"/>
          <w:sz w:val="28"/>
          <w:sz w:val="28"/>
          <w:szCs w:val="28"/>
          <w:rtl w:val="true"/>
          <w:lang w:bidi="fa-IR"/>
        </w:rPr>
        <w:t xml:space="preserve">که اساسا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ای برای استفاده با قواعد فهرستنویسی انگلوامریکن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این قواعد در حال تجدید نظر به عنوان اساس فهرستنویسی منابع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کار تحت راهنمایی گروه کاری مشترک با عنوان آر بیام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 ای برای توسعه قواعد برای فهرستنویسی موسیقی می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برای فهرستنویسی توصیفی نقشه های نادر و منابع مشابه نیز در حال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تخصصی کنونی در مواد وابسته به نقشه کشی دستنامه ای که برای قواعد فهرستنویسی انگلوامریکن </w:t>
      </w:r>
      <w:r>
        <w:rPr>
          <w:rStyle w:val="FootnoteAnchor"/>
          <w:rtl w:val="true"/>
        </w:rPr>
        <w:footnoteReference w:id="1082"/>
      </w:r>
      <w:r>
        <w:rPr>
          <w:rFonts w:ascii="IRNazanin" w:hAnsi="IRNazanin" w:eastAsia="IRNazanin"/>
          <w:color w:val="111111"/>
          <w:sz w:val="28"/>
          <w:sz w:val="28"/>
          <w:szCs w:val="28"/>
          <w:rtl w:val="true"/>
          <w:lang w:bidi="fa-IR"/>
        </w:rPr>
        <w:t xml:space="preserve">برگزار می شود، برای نخستین بار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با این حال این ها در حال تجدیدنظر برای </w:t>
      </w:r>
      <w:bookmarkStart w:id="758" w:name="pg9653_82095"/>
    </w:p>
    <w:p>
      <w:pPr>
        <w:pStyle w:val="BookText"/>
        <w:rPr/>
      </w:pPr>
      <w:bookmarkEnd w:id="758"/>
      <w:r>
        <w:rPr>
          <w:rFonts w:ascii="IRNazanin" w:hAnsi="IRNazanin" w:eastAsia="IRNazanin"/>
          <w:color w:val="111111"/>
          <w:sz w:val="28"/>
          <w:sz w:val="28"/>
          <w:szCs w:val="28"/>
          <w:rtl w:val="true"/>
          <w:lang w:bidi="fa-IR"/>
        </w:rPr>
        <w:t xml:space="preserve">انتشارات به عنوان فهرستنویسی توصیفی منابع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وابسته به نقشه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کاری که در حال کامل شدن تحت راهنمایی آر بی ام اس بی اس سی هستند</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برای تصاویر متحرک استاندارد مورد استفاده مواد اسنادی تصویر متحرک فهرستنویسی دستی هستند که نخستین بار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در حال حاضر در نسخه دوم آن، استاندارد راهنمایی های تخصصی برای فهرستنویسی از هر دو تصاویر متحرک منحصر به فرد و مجموعه ای از مواد مرتبط با آن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كد دیگر در شکل چاپی آن در دسترس نیست در چاپ آن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رومیزی کتابخانه کنگره در دسترسی است و به نظر نمی رسد برای تجدید نظر برنامه ریزی شده باشد در حالی که بسیاری از این استانداردها با منابع چاپی یا منتشر شده سر و کار دارد همچنین قواعد فهرستنویسی تخصصی در ایالات متحده برای منابع نسخ خطی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منابع قدیمی آر بی ام اس، فهرستنویسی توصیفی ،باستان قرون وسطی رنسانس و نسخ خطی مدرن اولیه را توسعه داده است</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برای منابع جدیدتر نیز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در حال توسعه فهرستنویسی توصیفی منابع نادر است</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هر دو استاندارد در فصل چهارم قواعد فهرستنویسی انگلوامریکن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های اضافی برای توصیف این دو نوع منابع را فراهم می کند</w:t>
      </w:r>
      <w:r>
        <w:rPr>
          <w:rFonts w:eastAsia="IRNazanin" w:cs="IRNazanin"/>
          <w:color w:val="111111"/>
          <w:sz w:val="28"/>
          <w:szCs w:val="28"/>
          <w:rtl w:val="true"/>
          <w:lang w:bidi="fa-IR"/>
        </w:rPr>
        <w:t>.</w:t>
      </w:r>
    </w:p>
    <w:p>
      <w:pPr>
        <w:pStyle w:val="Heading3"/>
        <w:numPr>
          <w:ilvl w:val="2"/>
          <w:numId w:val="1"/>
        </w:numPr>
        <w:rPr/>
      </w:pPr>
      <w:bookmarkStart w:id="759" w:name="__RefHeading___Toc7766802_2870459653"/>
      <w:bookmarkStart w:id="760" w:name="_Toc276"/>
      <w:bookmarkEnd w:id="759"/>
      <w:r>
        <w:rPr>
          <w:rtl w:val="true"/>
        </w:rPr>
        <w:t>نظام های اکتشافی</w:t>
      </w:r>
      <w:bookmarkEnd w:id="76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توصیفات به منظور تسهیل در دسترسی به کتاب های نادر، نسخ خطی تاریخی، و اسناد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نظام های اکتشافی به مراجعان در کشف موجودی ما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روش اولیه دسترسی توصیف کتاب های نادر و دیگر منابع منتشر شده به طور معمول از طریق فهرستی است که به عنوان بخشی از یک نظام کتابخانه یکپارچه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منابع اغلب با نمایه ای در کنار کتاب ها و انتشارات دیگری است که ممکن است با استفاده از کدهای فهرستنویسی با کاربرد کلی تر نظیر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یا قواعد </w:t>
      </w:r>
    </w:p>
    <w:p>
      <w:pPr>
        <w:pStyle w:val="BookText"/>
        <w:rPr/>
      </w:pPr>
      <w:r>
        <w:rPr>
          <w:rFonts w:ascii="IRNazanin" w:hAnsi="IRNazanin" w:eastAsia="IRNazanin"/>
          <w:color w:val="111111"/>
          <w:sz w:val="28"/>
          <w:sz w:val="28"/>
          <w:szCs w:val="28"/>
          <w:rtl w:val="true"/>
          <w:lang w:bidi="fa-IR"/>
        </w:rPr>
        <w:t xml:space="preserve">فهرستنویسی انگلوامریکن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ایالات متحده تعداد محدودی از استانداردهایی از کارگزاران نظام کتابخانه یکپارچه وجود دارد که متداول ترین این نظام ها نظام سرزد اینکس سمفونی، </w:t>
      </w:r>
      <w:r>
        <w:rPr>
          <w:rStyle w:val="FootnoteAnchor"/>
          <w:rtl w:val="true"/>
        </w:rPr>
        <w:footnoteReference w:id="1087"/>
      </w:r>
      <w:r>
        <w:rPr>
          <w:rFonts w:ascii="IRNazanin" w:hAnsi="IRNazanin" w:eastAsia="IRNazanin"/>
          <w:color w:val="111111"/>
          <w:sz w:val="28"/>
          <w:sz w:val="28"/>
          <w:szCs w:val="28"/>
          <w:rtl w:val="true"/>
          <w:lang w:bidi="fa-IR"/>
        </w:rPr>
        <w:t xml:space="preserve">بیبلونیکس آپلو، </w:t>
      </w:r>
      <w:r>
        <w:rPr>
          <w:rStyle w:val="FootnoteAnchor"/>
          <w:rtl w:val="true"/>
        </w:rPr>
        <w:footnoteReference w:id="1088"/>
      </w:r>
      <w:r>
        <w:rPr>
          <w:rFonts w:ascii="IRNazanin" w:hAnsi="IRNazanin" w:eastAsia="IRNazanin"/>
          <w:color w:val="111111"/>
          <w:sz w:val="28"/>
          <w:sz w:val="28"/>
          <w:szCs w:val="28"/>
          <w:rtl w:val="true"/>
          <w:lang w:bidi="fa-IR"/>
        </w:rPr>
        <w:t xml:space="preserve">تنالگان کتابخانه </w:t>
      </w:r>
      <w:r>
        <w:rPr>
          <w:rStyle w:val="FootnoteAnchor"/>
          <w:rtl w:val="true"/>
        </w:rPr>
        <w:footnoteReference w:id="1089"/>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منبع باز نظیر کوها و اورگرین نیز مدام در حال رشد و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پلتفورم های خدمات پیوسته نظیر مدیریت اشتراک گذاری او سی ال سی، </w:t>
      </w:r>
      <w:r>
        <w:rPr>
          <w:rStyle w:val="FootnoteAnchor"/>
          <w:rtl w:val="true"/>
        </w:rPr>
        <w:footnoteReference w:id="1090"/>
      </w:r>
      <w:r>
        <w:rPr>
          <w:rFonts w:ascii="IRNazanin" w:hAnsi="IRNazanin" w:eastAsia="IRNazanin"/>
          <w:color w:val="111111"/>
          <w:sz w:val="28"/>
          <w:sz w:val="28"/>
          <w:szCs w:val="28"/>
          <w:rtl w:val="true"/>
          <w:lang w:bidi="fa-IR"/>
        </w:rPr>
        <w:t xml:space="preserve">رابط نوآوری پلتفرم سیرا </w:t>
      </w:r>
      <w:r>
        <w:rPr>
          <w:rStyle w:val="FootnoteAnchor"/>
          <w:rtl w:val="true"/>
        </w:rPr>
        <w:footnoteReference w:id="1091"/>
      </w:r>
      <w:r>
        <w:rPr>
          <w:rFonts w:ascii="IRNazanin" w:hAnsi="IRNazanin" w:eastAsia="IRNazanin"/>
          <w:color w:val="111111"/>
          <w:sz w:val="28"/>
          <w:sz w:val="28"/>
          <w:szCs w:val="28"/>
          <w:rtl w:val="true"/>
          <w:lang w:bidi="fa-IR"/>
        </w:rPr>
        <w:t xml:space="preserve">و آلما ایکس لایبریز </w:t>
      </w:r>
      <w:r>
        <w:rPr>
          <w:rStyle w:val="FootnoteAnchor"/>
          <w:rtl w:val="true"/>
        </w:rPr>
        <w:footnoteReference w:id="1092"/>
      </w:r>
      <w:r>
        <w:rPr>
          <w:rFonts w:ascii="IRNazanin" w:hAnsi="IRNazanin" w:eastAsia="IRNazanin"/>
          <w:color w:val="111111"/>
          <w:sz w:val="28"/>
          <w:sz w:val="28"/>
          <w:szCs w:val="28"/>
          <w:rtl w:val="true"/>
          <w:lang w:bidi="fa-IR"/>
        </w:rPr>
        <w:t>نیز بخش قابل توجهی از خدمات فهرست پیوسته کتابخانه ها را ارائه می دهند</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برای نسخه های خطی تاریخی و اسناد، رابط محلی وجود دارد که بطور معمول ابزار اصلی دسترسی به اطلاعات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مؤسسات، این رابط کاربری به عنوان بخشی از نظام مدیریت اسناد نظیر آرکون، </w:t>
      </w:r>
      <w:r>
        <w:rPr>
          <w:rStyle w:val="FootnoteAnchor"/>
          <w:rtl w:val="true"/>
        </w:rPr>
        <w:footnoteReference w:id="1094"/>
      </w:r>
      <w:r>
        <w:rPr>
          <w:rFonts w:ascii="Amiri" w:hAnsi="Amiri" w:eastAsia="Amiri" w:cs="Amiri"/>
          <w:color w:val="111111"/>
          <w:sz w:val="28"/>
          <w:sz w:val="28"/>
          <w:szCs w:val="28"/>
          <w:rtl w:val="true"/>
          <w:lang w:bidi="ar-SA"/>
        </w:rPr>
        <w:t xml:space="preserve">آرشيو اِلكوانت </w:t>
      </w:r>
      <w:r>
        <w:rPr>
          <w:rStyle w:val="FootnoteAnchor"/>
          <w:rtl w:val="true"/>
        </w:rPr>
        <w:footnoteReference w:id="1095"/>
      </w:r>
      <w:r>
        <w:rPr>
          <w:rFonts w:ascii="IRNazanin" w:hAnsi="IRNazanin" w:eastAsia="IRNazanin"/>
          <w:color w:val="111111"/>
          <w:sz w:val="28"/>
          <w:sz w:val="28"/>
          <w:szCs w:val="28"/>
          <w:rtl w:val="true"/>
          <w:lang w:bidi="fa-IR"/>
        </w:rPr>
        <w:t>يا كوادرا 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w:t>
      </w:r>
      <w:r>
        <w:rPr>
          <w:rStyle w:val="FootnoteAnchor"/>
          <w:rtl w:val="true"/>
        </w:rPr>
        <w:footnoteReference w:id="10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مؤسسه ها فایل های کدگذاری توصیف اسنادی را یا به صورت دستی و یا از نظام های مدیریت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فایل های کدگذاری توصیف اسنادی سپس در یک ابزار نمایش جداگانه نظیر ایکس تی اف </w:t>
      </w:r>
      <w:r>
        <w:rPr>
          <w:rStyle w:val="FootnoteAnchor"/>
          <w:rtl w:val="true"/>
        </w:rPr>
        <w:footnoteReference w:id="1097"/>
      </w:r>
      <w:r>
        <w:rPr>
          <w:rFonts w:ascii="IRNazanin" w:hAnsi="IRNazanin" w:eastAsia="IRNazanin"/>
          <w:color w:val="111111"/>
          <w:sz w:val="28"/>
          <w:sz w:val="28"/>
          <w:szCs w:val="28"/>
          <w:rtl w:val="true"/>
          <w:lang w:bidi="fa-IR"/>
        </w:rPr>
        <w:t xml:space="preserve">یا پلیدا </w:t>
      </w:r>
      <w:r>
        <w:rPr>
          <w:rStyle w:val="FootnoteAnchor"/>
          <w:rtl w:val="true"/>
        </w:rPr>
        <w:footnoteReference w:id="1098"/>
      </w:r>
      <w:r>
        <w:rPr>
          <w:rFonts w:ascii="IRNazanin" w:hAnsi="IRNazanin" w:eastAsia="IRNazanin"/>
          <w:color w:val="111111"/>
          <w:sz w:val="28"/>
          <w:sz w:val="28"/>
          <w:szCs w:val="28"/>
          <w:rtl w:val="true"/>
          <w:lang w:bidi="fa-IR"/>
        </w:rPr>
        <w:t>ارائه می شوند</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این توصیفات به طور کلی به صورت اسناد سلسله مراتبی بزرگ ارائه می شوند، با وجود این برخی از طراحان نظام شروع به استفاده از نمایشگرهای مولفه های مرتبط به جای آن ها نموده اند</w:t>
      </w:r>
      <w:r>
        <w:rPr>
          <w:rFonts w:eastAsia="IRNazanin" w:cs="IRNazanin"/>
          <w:color w:val="111111"/>
          <w:sz w:val="28"/>
          <w:szCs w:val="28"/>
          <w:rtl w:val="true"/>
          <w:lang w:bidi="fa-IR"/>
        </w:rPr>
        <w:t xml:space="preserve">. </w:t>
      </w:r>
      <w:r>
        <w:rPr>
          <w:rStyle w:val="FootnoteAnchor"/>
          <w:rtl w:val="true"/>
        </w:rPr>
        <w:footnoteReference w:id="110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نظام های نمایشگر و مدیریت محلی بسیاری از کتابخانه ها و اسناد آمریکایی در اتحادیه پایگاه های بزرگ شرکت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برای کتاب های نادر و سایر منابع فهرستنویسی شده پیشینه های </w:t>
      </w:r>
      <w:bookmarkStart w:id="761" w:name="pg9653_82097"/>
    </w:p>
    <w:p>
      <w:pPr>
        <w:pStyle w:val="BookText"/>
        <w:rPr/>
      </w:pPr>
      <w:bookmarkEnd w:id="761"/>
      <w:r>
        <w:rPr>
          <w:rFonts w:ascii="IRNazanin" w:hAnsi="IRNazanin" w:eastAsia="IRNazanin"/>
          <w:color w:val="111111"/>
          <w:sz w:val="28"/>
          <w:sz w:val="28"/>
          <w:szCs w:val="28"/>
          <w:rtl w:val="true"/>
          <w:lang w:bidi="fa-IR"/>
        </w:rPr>
        <w:t>توصیفی ممکن است در او سی ال سی ورد کت باشند</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در بین انباره های اسناد، تعدادی از پایگاه های کدگذاری توصیف اسنادی منطقه ای نظیر اسناد پیوسته کالیفرنیا یا اسناد رقومی شمال غربی وجود دارد</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او سی ال سی، اسناد گرید را به عنوان فهرستگان بین المللی برای موجودی اسناد ترکیبات توصیفی از پیشینه های مارک با محتوای کدگذاری توصیف اسنادی توسعه داده است</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نظام های جست و جوی مبتنی بر منشاء با استفاده از محتوای پیشینه مستند ابزار جایگزینی برای جست و جوی نسخه های خطی تاریخی و اسناد فراهم می کنند به جای جست و جوی منابع از طريق توصیف ،محتوا محققان می توانند داده های کتاب شناختی سازندگان جست و جو یا این پیشینه ها به عنوان روشی برای پیدا کردن گروه های پیشینه خاص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نسخ خطی تاریخی و اسناد، طرح شبکه های اجتماعی و زمینه اسنادی اس ان ای سی نظام آزمایشی را برای این شکل از جست و جو توسعه داده است</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ابزار مشابهی برای کتابخانه ها که جست و جوی شاخصه های موجودیت در نسخه فعلی از او سی ال سی مشتری مدار یا بطور کلی تر در هویت های محصول وردکت را در بر می گیرد</w:t>
      </w:r>
      <w:r>
        <w:rPr>
          <w:rFonts w:eastAsia="IRNazanin" w:cs="IRNazanin"/>
          <w:color w:val="111111"/>
          <w:sz w:val="28"/>
          <w:szCs w:val="28"/>
          <w:rtl w:val="true"/>
          <w:lang w:bidi="fa-IR"/>
        </w:rPr>
        <w:t xml:space="preserve">. </w:t>
      </w:r>
      <w:r>
        <w:rPr>
          <w:rStyle w:val="FootnoteAnchor"/>
          <w:rtl w:val="true"/>
        </w:rPr>
        <w:footnoteReference w:id="1105"/>
      </w:r>
    </w:p>
    <w:p>
      <w:pPr>
        <w:pStyle w:val="Heading3"/>
        <w:numPr>
          <w:ilvl w:val="2"/>
          <w:numId w:val="1"/>
        </w:numPr>
        <w:rPr/>
      </w:pPr>
      <w:bookmarkStart w:id="762" w:name="__RefHeading___Toc7766804_2870459653"/>
      <w:bookmarkStart w:id="763" w:name="_Toc277"/>
      <w:bookmarkEnd w:id="762"/>
      <w:r>
        <w:rPr>
          <w:rtl w:val="true"/>
        </w:rPr>
        <w:t>کاربردهای عملی در دانشگاه یانگ بریگهام</w:t>
      </w:r>
      <w:bookmarkEnd w:id="763"/>
    </w:p>
    <w:p>
      <w:pPr>
        <w:pStyle w:val="BookText"/>
        <w:rPr/>
      </w:pPr>
      <w:r>
        <w:rPr>
          <w:rFonts w:ascii="IRNazanin" w:hAnsi="IRNazanin" w:eastAsia="IRNazanin"/>
          <w:color w:val="111111"/>
          <w:sz w:val="28"/>
          <w:sz w:val="28"/>
          <w:szCs w:val="28"/>
          <w:rtl w:val="true"/>
          <w:lang w:bidi="fa-IR"/>
        </w:rPr>
        <w:t>بخش نهایی ارائه ما در مورد چگونگی کاربرد استانداردهای انتقال و توصیفی گوناگون در موسسه ما که مورد بحث مان بوده، مجموعه تخصصی تام پری در دانشگاه یانگ بریگهام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يانگ بریگهام یک دانشگاه خصوصی است که یک کلیسای جدید قدیسان حضرت مسیح </w:t>
      </w:r>
      <w:r>
        <w:rPr>
          <w:rStyle w:val="FootnoteAnchor"/>
          <w:rtl w:val="true"/>
        </w:rPr>
        <w:footnoteReference w:id="1106"/>
      </w:r>
      <w:r>
        <w:rPr>
          <w:rFonts w:ascii="IRNazanin" w:hAnsi="IRNazanin" w:eastAsia="IRNazanin"/>
          <w:color w:val="111111"/>
          <w:sz w:val="28"/>
          <w:sz w:val="28"/>
          <w:szCs w:val="28"/>
          <w:rtl w:val="true"/>
          <w:lang w:bidi="fa-IR"/>
        </w:rPr>
        <w:t xml:space="preserve">در پروویوتا </w:t>
      </w:r>
      <w:r>
        <w:rPr>
          <w:rStyle w:val="FootnoteAnchor"/>
          <w:rtl w:val="true"/>
        </w:rPr>
        <w:footnoteReference w:id="1107"/>
      </w:r>
      <w:r>
        <w:rPr>
          <w:rFonts w:ascii="IRNazanin" w:hAnsi="IRNazanin" w:eastAsia="IRNazanin"/>
          <w:color w:val="111111"/>
          <w:sz w:val="28"/>
          <w:sz w:val="28"/>
          <w:szCs w:val="28"/>
          <w:rtl w:val="true"/>
          <w:lang w:bidi="fa-IR"/>
        </w:rPr>
        <w:t>از آن حمایت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تخصصی بخشی از کتابخانه هارولد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لی </w:t>
      </w:r>
      <w:r>
        <w:rPr>
          <w:rStyle w:val="FootnoteAnchor"/>
          <w:rtl w:val="true"/>
        </w:rPr>
        <w:footnoteReference w:id="1108"/>
      </w:r>
      <w:r>
        <w:rPr>
          <w:rFonts w:ascii="IRNazanin" w:hAnsi="IRNazanin" w:eastAsia="IRNazanin"/>
          <w:color w:val="111111"/>
          <w:sz w:val="28"/>
          <w:sz w:val="28"/>
          <w:szCs w:val="28"/>
          <w:rtl w:val="true"/>
          <w:lang w:bidi="fa-IR"/>
        </w:rPr>
        <w:t xml:space="preserve">هستند و منابع چاپی نادر و منحصر به </w:t>
      </w:r>
      <w:bookmarkStart w:id="764" w:name="pg9653_82098"/>
    </w:p>
    <w:p>
      <w:pPr>
        <w:pStyle w:val="BookText"/>
        <w:rPr/>
      </w:pPr>
      <w:bookmarkEnd w:id="764"/>
      <w:r>
        <w:rPr>
          <w:rFonts w:ascii="IRNazanin" w:hAnsi="IRNazanin" w:eastAsia="IRNazanin"/>
          <w:color w:val="111111"/>
          <w:sz w:val="28"/>
          <w:sz w:val="28"/>
          <w:szCs w:val="28"/>
          <w:rtl w:val="true"/>
          <w:lang w:bidi="fa-IR"/>
        </w:rPr>
        <w:t>فرد و منابع نسخه های خطی دارد مجموعه ها را مجموعه تخصصی پری مدیریت می کند که کار فهرستنویسی آثار توسط گروه اشکال و مجموعه تخصصی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این مجموعه ها در ابزارهای کتابشناختی اسناد و سایر ابزارهای تخصصی ثبت شده است با وجود این پیشینه های فهرستی در فهرست اصلی کتابخانه نگهداری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استفاده از استانداردهای مختلف تا حدودی از نظر قالب متفاوت هستند بنابراین ما برنامه ها و کاربردهای مجموعه نسخ خطی تاریخی و اسناد مجموعه های عکس و کتاب های نادر را بررسی خواهیم کرد</w:t>
      </w:r>
      <w:r>
        <w:rPr>
          <w:rFonts w:eastAsia="IRNazanin" w:cs="IRNazanin"/>
          <w:color w:val="111111"/>
          <w:sz w:val="28"/>
          <w:szCs w:val="28"/>
          <w:rtl w:val="true"/>
          <w:lang w:bidi="fa-IR"/>
        </w:rPr>
        <w:t>.</w:t>
      </w:r>
    </w:p>
    <w:p>
      <w:pPr>
        <w:pStyle w:val="Heading3"/>
        <w:numPr>
          <w:ilvl w:val="2"/>
          <w:numId w:val="1"/>
        </w:numPr>
        <w:rPr/>
      </w:pPr>
      <w:bookmarkStart w:id="765" w:name="__RefHeading___Toc7766806_2870459653"/>
      <w:bookmarkStart w:id="766" w:name="_Toc278"/>
      <w:bookmarkEnd w:id="765"/>
      <w:r>
        <w:rPr>
          <w:rtl w:val="true"/>
        </w:rPr>
        <w:t>مجموعه نسخ خطی و اسناد</w:t>
      </w:r>
      <w:bookmarkEnd w:id="766"/>
    </w:p>
    <w:p>
      <w:pPr>
        <w:pStyle w:val="BookText"/>
        <w:rPr/>
      </w:pPr>
      <w:r>
        <w:rPr>
          <w:rFonts w:ascii="IRNazanin" w:hAnsi="IRNazanin" w:eastAsia="IRNazanin"/>
          <w:color w:val="111111"/>
          <w:sz w:val="28"/>
          <w:sz w:val="28"/>
          <w:szCs w:val="28"/>
          <w:rtl w:val="true"/>
          <w:lang w:bidi="fa-IR"/>
        </w:rPr>
        <w:t>ما برای توصیف مجموعه نسخ خطی تاریخی و اسناد چند سطوحی در دانشگاه بریگهام یانگ، از نظام دوگانه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محتوی و مستند با توجه به استاندارد انتقال که برای ابزار اکتشافی که اطلاعات را در بر دارد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تخصصی ال تام پری، ما دو نوع محصولات اصلی دسترسی با نام پیشینه فهرست و ابزار کتابشناختی تولید می کنیم پیشینه فهرست مجموعه ای از سطوح چندگانه نسخ خطی تاریخی و اسناد است و به مقدار زیاد به دسترسی و توصیف منابع به عنوان استاندارد محتوی برای داده های مستند و کتابشناختی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اطلاعات با استفاده از اطلاعات کتابشناختی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قالب های مستند کدگذاری شده بطوری که می تواند از طریق نظام یکپارچه کتابخانه مان اشتراک 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فهرست بر اساس ابزار کتابشناختی برای مجموعه است و خیلی از اطلاعات آن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ابزار کتابشناختی توصیف چندگانه منابع اسنادی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اسنادی استاندارد محتوی اساس این استانداردهاست و با ملزومات داده های مستند بسته به نوع منابعی و سطحی که توصیف در آن رخ می دهد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ملزومات داده های مستند در سطح مجموعه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فروست و فایل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شود و ملزومات داده های مستند زمانی انتخاب می شود که برای نوع منابعی که محسنات و استفاده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مدرک،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ملزومات داده های مستند می تواند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استانداردهای توصیفی دیگر نیز بسته به شکل منابع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کتابشناختی با استفاده از بی وای یو </w:t>
      </w:r>
      <w:r>
        <w:rPr>
          <w:rStyle w:val="FootnoteAnchor"/>
          <w:rtl w:val="true"/>
        </w:rPr>
        <w:footnoteReference w:id="1109"/>
      </w:r>
      <w:r>
        <w:rPr>
          <w:rFonts w:ascii="IRNazanin" w:hAnsi="IRNazanin" w:eastAsia="IRNazanin"/>
          <w:color w:val="111111"/>
          <w:sz w:val="28"/>
          <w:sz w:val="28"/>
          <w:szCs w:val="28"/>
          <w:rtl w:val="true"/>
          <w:lang w:bidi="fa-IR"/>
        </w:rPr>
        <w:t>پایگاه ابزار کتابشناختی در دسترس عموم قرار گرفته است</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ابزارهای کتابشناختی </w:t>
      </w:r>
      <w:bookmarkStart w:id="767" w:name="pg9653_82099"/>
    </w:p>
    <w:p>
      <w:pPr>
        <w:pStyle w:val="BookText"/>
        <w:rPr/>
      </w:pPr>
      <w:bookmarkEnd w:id="767"/>
      <w:r>
        <w:rPr>
          <w:rFonts w:ascii="IRNazanin" w:hAnsi="IRNazanin" w:eastAsia="IRNazanin"/>
          <w:color w:val="111111"/>
          <w:sz w:val="28"/>
          <w:sz w:val="28"/>
          <w:szCs w:val="28"/>
          <w:rtl w:val="true"/>
          <w:lang w:bidi="fa-IR"/>
        </w:rPr>
        <w:t xml:space="preserve">از طریق کتابخانه رقومی غربی </w:t>
      </w:r>
      <w:r>
        <w:rPr>
          <w:rStyle w:val="FootnoteAnchor"/>
          <w:rtl w:val="true"/>
        </w:rPr>
        <w:footnoteReference w:id="1111"/>
      </w:r>
      <w:r>
        <w:rPr>
          <w:rFonts w:ascii="IRNazanin" w:hAnsi="IRNazanin" w:eastAsia="IRNazanin"/>
          <w:color w:val="111111"/>
          <w:sz w:val="28"/>
          <w:sz w:val="28"/>
          <w:szCs w:val="28"/>
          <w:rtl w:val="true"/>
          <w:lang w:bidi="fa-IR"/>
        </w:rPr>
        <w:t>به صورت کنسرسیوم منطقه ای جمع آوری شده و قابل کشف هستند</w:t>
      </w:r>
      <w:r>
        <w:rPr>
          <w:rFonts w:eastAsia="IRNazanin" w:cs="IRNazanin"/>
          <w:color w:val="111111"/>
          <w:sz w:val="28"/>
          <w:szCs w:val="28"/>
          <w:rtl w:val="true"/>
          <w:lang w:bidi="fa-IR"/>
        </w:rPr>
        <w:t xml:space="preserve">. </w:t>
      </w:r>
      <w:r>
        <w:rPr>
          <w:rStyle w:val="FootnoteAnchor"/>
          <w:rtl w:val="true"/>
        </w:rPr>
        <w:footnoteReference w:id="1112"/>
      </w:r>
    </w:p>
    <w:p>
      <w:pPr>
        <w:pStyle w:val="Heading3"/>
        <w:numPr>
          <w:ilvl w:val="2"/>
          <w:numId w:val="1"/>
        </w:numPr>
        <w:rPr/>
      </w:pPr>
      <w:bookmarkStart w:id="768" w:name="__RefHeading___Toc7766808_2870459653"/>
      <w:bookmarkStart w:id="769" w:name="_Toc279"/>
      <w:bookmarkEnd w:id="768"/>
      <w:r>
        <w:rPr>
          <w:rtl w:val="true"/>
        </w:rPr>
        <w:t>مجموعه عکس</w:t>
      </w:r>
      <w:bookmarkEnd w:id="769"/>
    </w:p>
    <w:p>
      <w:pPr>
        <w:pStyle w:val="BookText"/>
        <w:rPr/>
      </w:pPr>
      <w:r>
        <w:rPr>
          <w:rFonts w:ascii="IRNazanin" w:hAnsi="IRNazanin" w:eastAsia="IRNazanin"/>
          <w:color w:val="111111"/>
          <w:sz w:val="28"/>
          <w:sz w:val="28"/>
          <w:szCs w:val="28"/>
          <w:rtl w:val="true"/>
          <w:lang w:bidi="fa-IR"/>
        </w:rPr>
        <w:t>در اکثر موارد، ما همچنین از اصول و شیوه های اسنادی برای مدیریت عکس ها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با سایر شکل های منابع نسخ خطی تاریخی و اسنادی این ها در آی ال اس </w:t>
      </w:r>
      <w:r>
        <w:rPr>
          <w:rStyle w:val="FootnoteAnchor"/>
          <w:rtl w:val="true"/>
        </w:rPr>
        <w:footnoteReference w:id="1113"/>
      </w:r>
      <w:r>
        <w:rPr>
          <w:rFonts w:ascii="IRNazanin" w:hAnsi="IRNazanin" w:eastAsia="IRNazanin"/>
          <w:color w:val="111111"/>
          <w:sz w:val="28"/>
          <w:sz w:val="28"/>
          <w:szCs w:val="28"/>
          <w:rtl w:val="true"/>
          <w:lang w:bidi="fa-IR"/>
        </w:rPr>
        <w:t xml:space="preserve">فهرست شده و در یک ابزار کتابشناختی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جست و جو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شوند پیشینه فهرست برای مجموعه بر اساس دی ای سی اس با برخی گزینه های اضافی بر اساس ملزومات داده های مستند می باشد در ابزار کتابشناختی مجموعه در سطح توصیف با پیشینه رکورد یکسان هستند در سطح فایل و فروست ها دی ای سی اس استاندارد محتوی پایه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سطح یک مدرک دی ای سی اس با عناصری از ملزومات داده های مستند و منابع گرافیکی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کتابشناختی هم چون یک سند ایی ای دی یک خروجی بوده که در پایگاه ابزار کتابشناختی بی وای یو و درام دبلیو دى ال قابل اکتشاف است</w:t>
      </w:r>
      <w:r>
        <w:rPr>
          <w:rFonts w:eastAsia="IRNazanin" w:cs="IRNazanin"/>
          <w:color w:val="111111"/>
          <w:sz w:val="28"/>
          <w:szCs w:val="28"/>
          <w:rtl w:val="true"/>
          <w:lang w:bidi="fa-IR"/>
        </w:rPr>
        <w:t>.</w:t>
      </w:r>
    </w:p>
    <w:p>
      <w:pPr>
        <w:pStyle w:val="Heading3"/>
        <w:numPr>
          <w:ilvl w:val="2"/>
          <w:numId w:val="1"/>
        </w:numPr>
        <w:rPr/>
      </w:pPr>
      <w:bookmarkStart w:id="770" w:name="__RefHeading___Toc7766810_2870459653"/>
      <w:bookmarkStart w:id="771" w:name="_Toc280"/>
      <w:bookmarkEnd w:id="770"/>
      <w:r>
        <w:rPr>
          <w:rtl w:val="true"/>
        </w:rPr>
        <w:t>کتاب های نادر</w:t>
      </w:r>
      <w:bookmarkEnd w:id="771"/>
    </w:p>
    <w:p>
      <w:pPr>
        <w:pStyle w:val="BookText"/>
        <w:rPr/>
      </w:pPr>
      <w:r>
        <w:rPr>
          <w:rFonts w:ascii="IRNazanin" w:hAnsi="IRNazanin" w:eastAsia="IRNazanin"/>
          <w:color w:val="111111"/>
          <w:sz w:val="28"/>
          <w:sz w:val="28"/>
          <w:szCs w:val="28"/>
          <w:rtl w:val="true"/>
          <w:lang w:bidi="fa-IR"/>
        </w:rPr>
        <w:t xml:space="preserve">کتاب های نادر و سایر انتشارات در اکثر موارد به عنوان مدرک جداگانه در نظر گرفته می شوند و تحت کنترل اسناد نیستند این منابع تنها در آی ال اس همراه با توصیفاتشان بر اساس دی سی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استانداردهای مناسب با قالبشان فهرست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در مورد همه پیشینه های فهرستی توصیف شده فوق الذکر این توصیفات از طریق اوسی ال سی ورلدکت قابل دسترسی هستند</w:t>
      </w:r>
      <w:r>
        <w:rPr>
          <w:rFonts w:eastAsia="IRNazanin" w:cs="IRNazanin"/>
          <w:color w:val="111111"/>
          <w:sz w:val="28"/>
          <w:szCs w:val="28"/>
          <w:rtl w:val="true"/>
          <w:lang w:bidi="fa-IR"/>
        </w:rPr>
        <w:t>.</w:t>
      </w:r>
    </w:p>
    <w:p>
      <w:pPr>
        <w:pStyle w:val="Heading3"/>
        <w:numPr>
          <w:ilvl w:val="2"/>
          <w:numId w:val="1"/>
        </w:numPr>
        <w:rPr/>
      </w:pPr>
      <w:bookmarkStart w:id="772" w:name="__RefHeading___Toc7766812_2870459653"/>
      <w:bookmarkStart w:id="773" w:name="_Toc281"/>
      <w:bookmarkEnd w:id="772"/>
      <w:r>
        <w:rPr>
          <w:rtl w:val="true"/>
        </w:rPr>
        <w:t>نتیجه گیری</w:t>
      </w:r>
      <w:bookmarkEnd w:id="77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این مقاله مروری پیشنهاد شد شیوه های توصیفی در کتابخانه های آمریکایی جوامع تاریخی و اسناد پیچیده بوده و طیف وسیعی از استانداردها را در بر می گیرند این پیچیدگی اجازه ایجاد پیشینه های توصیفی غنی، ماهیت منحصر به فرد و ویژگی های منابع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نهادها تصمیم می گیرند که چگونه این استانداردها را معمولا بر اساس نیاز کاربر بطور بالقوه قرار دادن آن ها </w:t>
      </w:r>
    </w:p>
    <w:p>
      <w:pPr>
        <w:pStyle w:val="BookText"/>
        <w:rPr/>
      </w:pPr>
      <w:r>
        <w:rPr>
          <w:rFonts w:ascii="IRNazanin" w:hAnsi="IRNazanin" w:eastAsia="IRNazanin"/>
          <w:color w:val="111111"/>
          <w:sz w:val="28"/>
          <w:sz w:val="28"/>
          <w:szCs w:val="28"/>
          <w:rtl w:val="true"/>
          <w:lang w:bidi="fa-IR"/>
        </w:rPr>
        <w:t>در تقابل با تلاش در جهت بهبود تبادل توصیفات استانداردها پیاده سازی 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تلاش ها جهت توسعه استانداردهای آینده، نیاز به اشتراک گذاری متقابل جامعه و چالش های پیاده سازی ابزارهای کشف رایج را ذکر نماید شاید با توسعه استانداردهای مدولار با هسته مشترک برای به اشتراک گذاری اطلاعات، و همچنین به عنوان گستره ها تا نیازهای جوامع مختلف را برآورد کند ما می توانیم هر دو هدف را برآوریم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9653_82102"/>
      <w:bookmarkStart w:id="775" w:name="pg9653_82102"/>
      <w:bookmarkEnd w:id="775"/>
    </w:p>
    <w:p>
      <w:pPr>
        <w:pStyle w:val="Heading2"/>
        <w:numPr>
          <w:ilvl w:val="1"/>
          <w:numId w:val="1"/>
        </w:numPr>
        <w:rPr/>
      </w:pPr>
      <w:bookmarkStart w:id="776" w:name="pg9653_82102"/>
      <w:bookmarkStart w:id="777" w:name="__RefHeading___Toc7766814_2870459653"/>
      <w:bookmarkStart w:id="778" w:name="_Toc282"/>
      <w:bookmarkEnd w:id="776"/>
      <w:bookmarkEnd w:id="777"/>
      <w:r>
        <w:rPr>
          <w:rtl w:val="true"/>
        </w:rPr>
        <w:t>چکیده</w:t>
      </w:r>
      <w:bookmarkEnd w:id="778"/>
    </w:p>
    <w:p>
      <w:pPr>
        <w:pStyle w:val="BookText"/>
        <w:rPr/>
      </w:pPr>
      <w:r>
        <w:rPr>
          <w:rFonts w:ascii="IRNazanin" w:hAnsi="IRNazanin" w:eastAsia="IRNazanin"/>
          <w:color w:val="111111"/>
          <w:sz w:val="28"/>
          <w:sz w:val="28"/>
          <w:szCs w:val="28"/>
          <w:rtl w:val="true"/>
          <w:lang w:bidi="fa-IR"/>
        </w:rPr>
        <w:t xml:space="preserve">این مقاله به وضعیت کتاب های الکترونیکی در انگلستان پرداخته و توضیح می دهد که چگونه کتاب های الکترونیکی می توانند به گونه ای شگرف در افزایش کمیت منابع خواندنی قابل دسترس برای نابینایان و به ویژه کم 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از قحطی به وفور و تنعم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کنند کتابخانه های عمومی می توانند نقشی جانبخش در دسترسی نابینایان و کم بینایان به کتاب های الکترونیکی ایفا کنند این مقاله راهبردهای آران آی بی در چگونگی تأثیر بر امور کتابخانه از جمله نحوه زمینه یابی موضوعات، بعضی روش های همکاری و مطالعات موردی خوانندگان را تشریح می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الکترونیکی، منابع نابینایان و کم بینایان، کتابخانه های عمومی </w:t>
      </w:r>
      <w:bookmarkStart w:id="779" w:name="pg9653_82103"/>
    </w:p>
    <w:p>
      <w:pPr>
        <w:pStyle w:val="Heading2"/>
        <w:numPr>
          <w:ilvl w:val="1"/>
          <w:numId w:val="1"/>
        </w:numPr>
        <w:rPr/>
      </w:pPr>
      <w:bookmarkStart w:id="780" w:name="__RefHeading___Toc7766816_2870459653"/>
      <w:bookmarkStart w:id="781" w:name="_Toc283"/>
      <w:bookmarkEnd w:id="779"/>
      <w:bookmarkEnd w:id="780"/>
      <w:r>
        <w:rPr>
          <w:rtl w:val="true"/>
        </w:rPr>
        <w:t>دعوت به ضیافت</w:t>
      </w:r>
      <w:r>
        <w:rPr>
          <w:rtl w:val="true"/>
        </w:rPr>
        <w:t xml:space="preserve">: </w:t>
      </w:r>
      <w:r>
        <w:rPr>
          <w:rtl w:val="true"/>
        </w:rPr>
        <w:t>خدمات دسترسی به کتاب های الکترونیکی در کتابخانه های عمومی انگلستان</w:t>
      </w:r>
      <w:bookmarkEnd w:id="781"/>
    </w:p>
    <w:p>
      <w:pPr>
        <w:pStyle w:val="Heading3"/>
        <w:numPr>
          <w:ilvl w:val="2"/>
          <w:numId w:val="1"/>
        </w:numPr>
        <w:rPr/>
      </w:pPr>
      <w:bookmarkStart w:id="782" w:name="__RefHeading___Toc7766818_2870459653"/>
      <w:bookmarkStart w:id="783" w:name="_Toc284"/>
      <w:bookmarkEnd w:id="782"/>
      <w:r>
        <w:rPr>
          <w:rtl w:val="true"/>
        </w:rPr>
        <w:t>اشاره</w:t>
      </w:r>
      <w:bookmarkEnd w:id="7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ضیافت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دسترسی به کتاب های الکترونیکی در کتابخانه های عمومی انگلستان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هلن برازیر </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فرزانه شادانپور </w:t>
      </w:r>
      <w:r>
        <w:rPr>
          <w:rStyle w:val="FootnoteAnchor"/>
          <w:rtl w:val="true"/>
        </w:rPr>
        <w:footnoteReference w:id="1115"/>
      </w:r>
    </w:p>
    <w:p>
      <w:pPr>
        <w:pStyle w:val="Heading3"/>
        <w:numPr>
          <w:ilvl w:val="2"/>
          <w:numId w:val="1"/>
        </w:numPr>
        <w:rPr/>
      </w:pPr>
      <w:bookmarkStart w:id="784" w:name="__RefHeading___Toc7766820_2870459653"/>
      <w:bookmarkStart w:id="785" w:name="_Toc285"/>
      <w:bookmarkEnd w:id="784"/>
      <w:r>
        <w:rPr>
          <w:rtl w:val="true"/>
        </w:rPr>
        <w:t>کتاب های الکترونیکی در انگلستان</w:t>
      </w:r>
      <w:bookmarkEnd w:id="785"/>
    </w:p>
    <w:p>
      <w:pPr>
        <w:pStyle w:val="BookText"/>
        <w:rPr/>
      </w:pPr>
      <w:r>
        <w:rPr>
          <w:rFonts w:ascii="IRNazanin" w:hAnsi="IRNazanin" w:eastAsia="IRNazanin"/>
          <w:color w:val="111111"/>
          <w:sz w:val="28"/>
          <w:sz w:val="28"/>
          <w:szCs w:val="28"/>
          <w:rtl w:val="true"/>
          <w:lang w:bidi="fa-IR"/>
        </w:rPr>
        <w:t>در انگلستان همه گیری کتاب های الکترونیکی و شمار خوانندگان آن ها در سال های گذشته افزایش یافته است این پدیده شاخص هایی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دستگاه های خواندن کتاب های الکترونیکی و فروش کتاب های الکترونیکی</w:t>
      </w:r>
      <w:r>
        <w:rPr>
          <w:rFonts w:eastAsia="IRNazanin" w:cs="IRNazanin"/>
          <w:color w:val="111111"/>
          <w:sz w:val="28"/>
          <w:szCs w:val="28"/>
          <w:rtl w:val="true"/>
          <w:lang w:bidi="fa-IR"/>
        </w:rPr>
        <w:t>.</w:t>
      </w:r>
    </w:p>
    <w:p>
      <w:pPr>
        <w:pStyle w:val="Heading3"/>
        <w:numPr>
          <w:ilvl w:val="2"/>
          <w:numId w:val="1"/>
        </w:numPr>
        <w:rPr/>
      </w:pPr>
      <w:bookmarkStart w:id="786" w:name="__RefHeading___Toc7766822_2870459653"/>
      <w:bookmarkStart w:id="787" w:name="_Toc286"/>
      <w:bookmarkEnd w:id="786"/>
      <w:r>
        <w:rPr>
          <w:rtl w:val="true"/>
        </w:rPr>
        <w:t>دستگاه های خواندن</w:t>
      </w:r>
      <w:bookmarkEnd w:id="787"/>
    </w:p>
    <w:p>
      <w:pPr>
        <w:pStyle w:val="BookText"/>
        <w:rPr/>
      </w:pPr>
      <w:r>
        <w:rPr>
          <w:rFonts w:ascii="IRNazanin" w:hAnsi="IRNazanin" w:eastAsia="IRNazanin"/>
          <w:color w:val="111111"/>
          <w:sz w:val="28"/>
          <w:sz w:val="28"/>
          <w:szCs w:val="28"/>
          <w:rtl w:val="true"/>
          <w:lang w:bidi="fa-IR"/>
        </w:rPr>
        <w:t>مردم کتاب های الکترونیکی را با دستگاه هایی می خوانند که به این کار اختصاص داده شوند، مانند تبلت ها، رایانه ها و گوشی های تلفن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گزارشی در ماه آوریل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مردم دستگاه كتابخوان دارند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دستگاه کتابخوان به عنوان هدیه کریسمس اهدا شده؛ مع الوصف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کسانی که این دستگاه ها را دریافت کرده اند در ماه ژانویه آن ها را روشن نکرده 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رایج ترین نشانه ای تجاری دستگاه های کتابخوان در انگلستان عبارتند از کیندل آمازون </w:t>
      </w:r>
      <w:r>
        <w:rPr>
          <w:rStyle w:val="FootnoteAnchor"/>
          <w:rtl w:val="true"/>
        </w:rPr>
        <w:footnoteReference w:id="1116"/>
      </w:r>
      <w:r>
        <w:rPr>
          <w:rFonts w:ascii="IRNazanin" w:hAnsi="IRNazanin" w:eastAsia="IRNazanin"/>
          <w:color w:val="111111"/>
          <w:sz w:val="28"/>
          <w:sz w:val="28"/>
          <w:szCs w:val="28"/>
          <w:rtl w:val="true"/>
          <w:lang w:bidi="fa-IR"/>
        </w:rPr>
        <w:t xml:space="preserve">، دستگاه </w:t>
      </w:r>
      <w:bookmarkStart w:id="788" w:name="pg9653_82104"/>
    </w:p>
    <w:p>
      <w:pPr>
        <w:pStyle w:val="BookText"/>
        <w:rPr/>
      </w:pPr>
      <w:bookmarkEnd w:id="788"/>
      <w:r>
        <w:rPr>
          <w:rFonts w:ascii="IRNazanin" w:hAnsi="IRNazanin" w:eastAsia="IRNazanin"/>
          <w:color w:val="111111"/>
          <w:sz w:val="28"/>
          <w:sz w:val="28"/>
          <w:szCs w:val="28"/>
          <w:rtl w:val="true"/>
          <w:lang w:bidi="fa-IR"/>
        </w:rPr>
        <w:t xml:space="preserve">اَپل </w:t>
      </w:r>
      <w:r>
        <w:rPr>
          <w:rStyle w:val="FootnoteAnchor"/>
          <w:rtl w:val="true"/>
        </w:rPr>
        <w:footnoteReference w:id="1117"/>
      </w:r>
      <w:r>
        <w:rPr>
          <w:rFonts w:ascii="IRNazanin" w:hAnsi="IRNazanin" w:eastAsia="IRNazanin"/>
          <w:color w:val="111111"/>
          <w:sz w:val="28"/>
          <w:sz w:val="28"/>
          <w:szCs w:val="28"/>
          <w:rtl w:val="true"/>
          <w:lang w:bidi="fa-IR"/>
        </w:rPr>
        <w:t xml:space="preserve">، خوانشگر سونی، </w:t>
      </w:r>
      <w:r>
        <w:rPr>
          <w:rStyle w:val="FootnoteAnchor"/>
          <w:rtl w:val="true"/>
        </w:rPr>
        <w:footnoteReference w:id="1118"/>
      </w:r>
      <w:r>
        <w:rPr>
          <w:rFonts w:ascii="IRNazanin" w:hAnsi="IRNazanin" w:eastAsia="IRNazanin"/>
          <w:color w:val="111111"/>
          <w:sz w:val="28"/>
          <w:sz w:val="28"/>
          <w:szCs w:val="28"/>
          <w:rtl w:val="true"/>
          <w:lang w:bidi="fa-IR"/>
        </w:rPr>
        <w:t xml:space="preserve">کوبو، </w:t>
      </w:r>
      <w:r>
        <w:rPr>
          <w:rStyle w:val="FootnoteAnchor"/>
          <w:rtl w:val="true"/>
        </w:rPr>
        <w:footnoteReference w:id="1119"/>
      </w:r>
      <w:r>
        <w:rPr>
          <w:rFonts w:ascii="IRNazanin" w:hAnsi="IRNazanin" w:eastAsia="IRNazanin"/>
          <w:color w:val="111111"/>
          <w:sz w:val="28"/>
          <w:sz w:val="28"/>
          <w:szCs w:val="28"/>
          <w:rtl w:val="true"/>
          <w:lang w:bidi="fa-IR"/>
        </w:rPr>
        <w:t>بهای کتابخوان ها و تبلت ها در شرف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بهای کتابخوان کیندل هنگامی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به بازار آمد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بود اما در زمان نگارش مقاله فقط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است</w:t>
      </w:r>
      <w:r>
        <w:rPr>
          <w:rFonts w:eastAsia="IRNazanin" w:cs="IRNazanin"/>
          <w:color w:val="111111"/>
          <w:sz w:val="28"/>
          <w:szCs w:val="28"/>
          <w:rtl w:val="true"/>
          <w:lang w:bidi="fa-IR"/>
        </w:rPr>
        <w:t>.</w:t>
      </w:r>
    </w:p>
    <w:p>
      <w:pPr>
        <w:pStyle w:val="Heading3"/>
        <w:numPr>
          <w:ilvl w:val="2"/>
          <w:numId w:val="1"/>
        </w:numPr>
        <w:rPr/>
      </w:pPr>
      <w:bookmarkStart w:id="789" w:name="__RefHeading___Toc7766824_2870459653"/>
      <w:bookmarkStart w:id="790" w:name="_Toc287"/>
      <w:bookmarkEnd w:id="789"/>
      <w:r>
        <w:rPr>
          <w:rtl w:val="true"/>
        </w:rPr>
        <w:t>کتاب های الکترونیکی</w:t>
      </w:r>
      <w:bookmarkEnd w:id="790"/>
    </w:p>
    <w:p>
      <w:pPr>
        <w:pStyle w:val="BookText"/>
        <w:rPr/>
      </w:pPr>
      <w:r>
        <w:rPr>
          <w:rFonts w:ascii="IRNazanin" w:hAnsi="IRNazanin" w:eastAsia="IRNazanin"/>
          <w:color w:val="111111"/>
          <w:sz w:val="28"/>
          <w:sz w:val="28"/>
          <w:szCs w:val="28"/>
          <w:rtl w:val="true"/>
          <w:lang w:bidi="fa-IR"/>
        </w:rPr>
        <w:t xml:space="preserve">در این مقاله به بحث درباره کتاب های الکترونیکی می پردازیم یا آن چنان که در ویکی پدیا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متون قابل بارگیری دارای تصویر یا بدون آن که قابلیت تبدیل متن به گفتار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درباره منابع صوتی که با روایتگری انسان تهیه شده و قابل بارگیری است بحث نمی شود هر چند موضوعات مشابهی در این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کتاب های الکترونیکی به مصرف کنندگان تا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ترین فروشگاه های کتاب های الکترونیکی که مستقیما به مصرف کننده می فروشند عبارتند از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اچ اسمیت، </w:t>
      </w:r>
      <w:r>
        <w:rPr>
          <w:rStyle w:val="FootnoteAnchor"/>
          <w:rtl w:val="true"/>
        </w:rPr>
        <w:footnoteReference w:id="1120"/>
      </w:r>
      <w:r>
        <w:rPr>
          <w:rFonts w:ascii="IRNazanin" w:hAnsi="IRNazanin" w:eastAsia="IRNazanin"/>
          <w:color w:val="111111"/>
          <w:sz w:val="28"/>
          <w:sz w:val="28"/>
          <w:szCs w:val="28"/>
          <w:rtl w:val="true"/>
          <w:lang w:bidi="fa-IR"/>
        </w:rPr>
        <w:t xml:space="preserve">فروشگاه آیبوک اَپل، </w:t>
      </w:r>
      <w:r>
        <w:rPr>
          <w:rStyle w:val="FootnoteAnchor"/>
          <w:rtl w:val="true"/>
        </w:rPr>
        <w:footnoteReference w:id="1121"/>
      </w:r>
      <w:r>
        <w:rPr>
          <w:rFonts w:ascii="IRNazanin" w:hAnsi="IRNazanin" w:eastAsia="IRNazanin"/>
          <w:color w:val="111111"/>
          <w:sz w:val="28"/>
          <w:sz w:val="28"/>
          <w:szCs w:val="28"/>
          <w:rtl w:val="true"/>
          <w:lang w:bidi="fa-IR"/>
        </w:rPr>
        <w:t xml:space="preserve">آمازون </w:t>
      </w:r>
      <w:r>
        <w:rPr>
          <w:rStyle w:val="FootnoteAnchor"/>
          <w:rtl w:val="true"/>
        </w:rPr>
        <w:footnoteReference w:id="1122"/>
      </w:r>
      <w:r>
        <w:rPr>
          <w:rFonts w:ascii="IRNazanin" w:hAnsi="IRNazanin" w:eastAsia="IRNazanin"/>
          <w:color w:val="111111"/>
          <w:sz w:val="28"/>
          <w:sz w:val="28"/>
          <w:szCs w:val="28"/>
          <w:rtl w:val="true"/>
          <w:lang w:bidi="fa-IR"/>
        </w:rPr>
        <w:t>و واتراستونز</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آمازون بیش از یک میلیون کتاب الکترونیکی، مجله و روزنامه به اضافه یک میلیون کتاب الکترونیکی مجانی ارائه کرده است؛ اپل آیبوک بیش از هفتصد هزار کتاب الکترونیکی برای فروش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الکترونیکی در قالب های مختلفی تهیه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از رایج ترین آن ها ای پاب </w:t>
      </w:r>
      <w:r>
        <w:rPr>
          <w:rStyle w:val="FootnoteAnchor"/>
          <w:rtl w:val="true"/>
        </w:rPr>
        <w:footnoteReference w:id="1124"/>
      </w:r>
      <w:r>
        <w:rPr>
          <w:rFonts w:ascii="IRNazanin" w:hAnsi="IRNazanin" w:eastAsia="IRNazanin"/>
          <w:color w:val="111111"/>
          <w:sz w:val="28"/>
          <w:sz w:val="28"/>
          <w:szCs w:val="28"/>
          <w:rtl w:val="true"/>
          <w:lang w:bidi="fa-IR"/>
        </w:rPr>
        <w:t>و پی دی اف است؛ بعضی از قالب ها نیز قالب های تحت مالکیت آمازون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کتاب های الکترونیکی جدید با نرم افزار مدیریت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آر ام</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محافظت می شوند که عملکرد بر آن ها را محدود می 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بازار هنوز دستخوش تحول است و خالی از چالش هایی نظیر میانکش پذیری </w:t>
      </w:r>
      <w:r>
        <w:rPr>
          <w:rStyle w:val="FootnoteAnchor"/>
          <w:rtl w:val="true"/>
        </w:rPr>
        <w:footnoteReference w:id="1126"/>
      </w:r>
      <w:r>
        <w:rPr>
          <w:rFonts w:ascii="IRNazanin" w:hAnsi="IRNazanin" w:eastAsia="IRNazanin"/>
          <w:color w:val="111111"/>
          <w:sz w:val="28"/>
          <w:sz w:val="28"/>
          <w:szCs w:val="28"/>
          <w:rtl w:val="true"/>
          <w:lang w:bidi="fa-IR"/>
        </w:rPr>
        <w:t>و مالیات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همین شواهد روشن است که کتاب الکترونیکی حاکی از ضیافتی است برای خواندن</w:t>
      </w:r>
      <w:r>
        <w:rPr>
          <w:rFonts w:eastAsia="IRNazanin" w:cs="IRNazanin"/>
          <w:color w:val="111111"/>
          <w:sz w:val="28"/>
          <w:szCs w:val="28"/>
          <w:rtl w:val="true"/>
          <w:lang w:bidi="fa-IR"/>
        </w:rPr>
        <w:t xml:space="preserve">. </w:t>
      </w:r>
      <w:bookmarkStart w:id="791" w:name="pg9653_82105"/>
    </w:p>
    <w:p>
      <w:pPr>
        <w:pStyle w:val="Heading3"/>
        <w:numPr>
          <w:ilvl w:val="2"/>
          <w:numId w:val="1"/>
        </w:numPr>
        <w:rPr/>
      </w:pPr>
      <w:bookmarkStart w:id="792" w:name="__RefHeading___Toc7766826_2870459653"/>
      <w:bookmarkStart w:id="793" w:name="_Toc288"/>
      <w:bookmarkEnd w:id="791"/>
      <w:bookmarkEnd w:id="792"/>
      <w:r>
        <w:rPr>
          <w:rtl w:val="true"/>
        </w:rPr>
        <w:t>وضعیت نابینایان و کم بینایان</w:t>
      </w:r>
      <w:bookmarkEnd w:id="793"/>
    </w:p>
    <w:p>
      <w:pPr>
        <w:pStyle w:val="BookText"/>
        <w:rPr/>
      </w:pPr>
      <w:r>
        <w:rPr>
          <w:rFonts w:ascii="IRNazanin" w:hAnsi="IRNazanin" w:eastAsia="IRNazanin"/>
          <w:color w:val="111111"/>
          <w:sz w:val="28"/>
          <w:sz w:val="28"/>
          <w:szCs w:val="28"/>
          <w:rtl w:val="true"/>
          <w:lang w:bidi="fa-IR"/>
        </w:rPr>
        <w:t xml:space="preserve">در انگلستان یک هشتم مردم به علت مشکلات کم بینایی خواندن پریشی </w:t>
      </w:r>
      <w:r>
        <w:rPr>
          <w:rStyle w:val="FootnoteAnchor"/>
          <w:rtl w:val="true"/>
        </w:rPr>
        <w:footnoteReference w:id="1127"/>
      </w:r>
      <w:r>
        <w:rPr>
          <w:rFonts w:ascii="IRNazanin" w:hAnsi="IRNazanin" w:eastAsia="IRNazanin"/>
          <w:color w:val="111111"/>
          <w:sz w:val="28"/>
          <w:sz w:val="28"/>
          <w:szCs w:val="28"/>
          <w:rtl w:val="true"/>
          <w:lang w:bidi="fa-IR"/>
        </w:rPr>
        <w:t xml:space="preserve">یا سایر عیوب مربوط به خواندن، نمی توانند چاپ های استاندارد را بخوانند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بازار بزرگی برای خواندن در دسترس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 ان آی بی سازمانی است که از نابینایان و کم بینایانی عضو می پذیرد که مایلند جزئی از انقلاب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این چالش ویژه ای است چرا که به لحاظ تاریخی،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کتاب ها به شکل های شنیداری، چاپ درشت یا بریل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 ما، این میزان هم اکنون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رسیده است شامل کتاب های الکترونیکی که می توان آن ها را در این قالب های قابل دسترس خواند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وضعیت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مفیدتر در ارتباط با موضوع مقاله این که در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پرفروش در قالب بریل، چاپ درشت دیداری و کتاب الکترونیکی وجود داشته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الکترونیکی بیش از هر زمان دیگری دسترسی به کتاب را به نابینایان و کم بینایان پیشکش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کتاب الکترونیکی با ایجاد دسترسی به یک کتاب، در همان زمانی که در دسترس دیگران قرار می گیرد در نیل به اهداف اردوی کمپین بین المللی حق خواندن </w:t>
      </w:r>
      <w:r>
        <w:rPr>
          <w:rStyle w:val="FootnoteAnchor"/>
          <w:rtl w:val="true"/>
        </w:rPr>
        <w:footnoteReference w:id="1128"/>
      </w:r>
      <w:r>
        <w:rPr>
          <w:rFonts w:ascii="IRNazanin" w:hAnsi="IRNazanin" w:eastAsia="IRNazanin"/>
          <w:color w:val="111111"/>
          <w:sz w:val="28"/>
          <w:sz w:val="28"/>
          <w:szCs w:val="28"/>
          <w:rtl w:val="true"/>
          <w:lang w:bidi="fa-IR"/>
        </w:rPr>
        <w:t>یاری 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در شکل الکترونیکی بالقوه دسترس پذیرتر از شکل چاپی ،هستند چرا که کاربر می تواند محتوا را با نیازهای خود متناسب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با فراهم آمدن همه اجزایی میسر می شود که طراحی شده اند تا تجربه خواندن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کتاب های الکترونیکی کتابخوان ها و خدمات کتاب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دسترس پذیر و قابل استفاده کنند</w:t>
      </w:r>
      <w:r>
        <w:rPr>
          <w:rFonts w:eastAsia="IRNazanin" w:cs="IRNazanin"/>
          <w:color w:val="111111"/>
          <w:sz w:val="28"/>
          <w:szCs w:val="28"/>
          <w:rtl w:val="true"/>
          <w:lang w:bidi="fa-IR"/>
        </w:rPr>
        <w:t>.</w:t>
      </w:r>
    </w:p>
    <w:p>
      <w:pPr>
        <w:pStyle w:val="Heading3"/>
        <w:numPr>
          <w:ilvl w:val="2"/>
          <w:numId w:val="1"/>
        </w:numPr>
        <w:rPr/>
      </w:pPr>
      <w:bookmarkStart w:id="794" w:name="__RefHeading___Toc7766828_2870459653"/>
      <w:bookmarkStart w:id="795" w:name="_Toc289"/>
      <w:bookmarkEnd w:id="794"/>
      <w:r>
        <w:rPr>
          <w:rtl w:val="true"/>
        </w:rPr>
        <w:t>راهبردهای آر ان آی بی</w:t>
      </w:r>
      <w:bookmarkEnd w:id="795"/>
    </w:p>
    <w:p>
      <w:pPr>
        <w:pStyle w:val="BookText"/>
        <w:rPr/>
      </w:pPr>
      <w:r>
        <w:rPr>
          <w:rFonts w:ascii="IRNazanin" w:hAnsi="IRNazanin" w:eastAsia="IRNazanin"/>
          <w:color w:val="111111"/>
          <w:sz w:val="28"/>
          <w:sz w:val="28"/>
          <w:szCs w:val="28"/>
          <w:rtl w:val="true"/>
          <w:lang w:bidi="fa-IR"/>
        </w:rPr>
        <w:t xml:space="preserve">یکی از اولویت های آر ان آی بی تأثیر بر جامعه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هدف، ما در مورد دسترسی و خواندن برنامه کاری تدارک دیده ایم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شرکت های فناوری و کتاب های الکترونیکی برای بهتر شدن دسترس پذیری تولیداتشان همکاری می کنیم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طریق عضویت در کنسرسیوم دیز </w:t>
      </w:r>
      <w:r>
        <w:rPr>
          <w:rStyle w:val="FootnoteAnchor"/>
          <w:rtl w:val="true"/>
        </w:rPr>
        <w:footnoteReference w:id="1129"/>
      </w:r>
      <w:r>
        <w:rPr>
          <w:rFonts w:ascii="IRNazanin" w:hAnsi="IRNazanin" w:eastAsia="IRNazanin"/>
          <w:color w:val="111111"/>
          <w:sz w:val="28"/>
          <w:sz w:val="28"/>
          <w:szCs w:val="28"/>
          <w:rtl w:val="true"/>
          <w:lang w:bidi="fa-IR"/>
        </w:rPr>
        <w:t>به تدوین و توسعه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 تری </w:t>
      </w:r>
      <w:r>
        <w:rPr>
          <w:rStyle w:val="FootnoteAnchor"/>
          <w:rtl w:val="true"/>
        </w:rPr>
        <w:footnoteReference w:id="1130"/>
      </w:r>
      <w:r>
        <w:rPr>
          <w:rFonts w:ascii="IRNazanin" w:hAnsi="IRNazanin" w:eastAsia="IRNazanin"/>
          <w:color w:val="111111"/>
          <w:sz w:val="28"/>
          <w:sz w:val="28"/>
          <w:szCs w:val="28"/>
          <w:rtl w:val="true"/>
          <w:lang w:bidi="fa-IR"/>
        </w:rPr>
        <w:t xml:space="preserve">به عنوان ابزار اضافی برای ناشران در تولید کتاب الکترونیکی کمک کرده ایم </w:t>
      </w:r>
      <w:bookmarkStart w:id="796" w:name="pg9653_82106"/>
    </w:p>
    <w:p>
      <w:pPr>
        <w:pStyle w:val="BookText"/>
        <w:rPr/>
      </w:pPr>
      <w:bookmarkEnd w:id="7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همچنین نابینایان و کم بینایان را با آگاهی دهی و توانمند سازی قادر ساخته ایم از مزایای فناوری جدید بهره مند شوند؛ به عنوان مثال از طریق وکالت آموزش و کاربرد نشانه ها جزوه آموزشی 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الکترونیکی چه رهاوردی برای من دارد؟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دست است</w:t>
      </w:r>
      <w:r>
        <w:rPr>
          <w:rFonts w:eastAsia="IRNazanin" w:cs="IRNazanin"/>
          <w:color w:val="111111"/>
          <w:sz w:val="28"/>
          <w:szCs w:val="28"/>
          <w:rtl w:val="true"/>
          <w:lang w:bidi="fa-IR"/>
        </w:rPr>
        <w:t>.</w:t>
      </w:r>
    </w:p>
    <w:p>
      <w:pPr>
        <w:pStyle w:val="Heading3"/>
        <w:numPr>
          <w:ilvl w:val="2"/>
          <w:numId w:val="1"/>
        </w:numPr>
        <w:rPr/>
      </w:pPr>
      <w:bookmarkStart w:id="797" w:name="__RefHeading___Toc7766830_2870459653"/>
      <w:bookmarkStart w:id="798" w:name="_Toc290"/>
      <w:bookmarkEnd w:id="797"/>
      <w:r>
        <w:rPr>
          <w:rtl w:val="true"/>
        </w:rPr>
        <w:t>نتایج</w:t>
      </w:r>
      <w:bookmarkEnd w:id="798"/>
    </w:p>
    <w:p>
      <w:pPr>
        <w:pStyle w:val="BookText"/>
        <w:rPr/>
      </w:pPr>
      <w:r>
        <w:rPr>
          <w:rFonts w:ascii="IRNazanin" w:hAnsi="IRNazanin" w:eastAsia="IRNazanin"/>
          <w:color w:val="111111"/>
          <w:sz w:val="28"/>
          <w:sz w:val="28"/>
          <w:szCs w:val="28"/>
          <w:rtl w:val="true"/>
          <w:lang w:bidi="fa-IR"/>
        </w:rPr>
        <w:t>این رویکرد پیشرفت شایان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مشترکی با دست اندر کاران صنعت نشر در خصوص دسترس پذیری و کتاب های الکترونیکی داشتیم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شاهدیم که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هزار عنوان کتاب پرفروش در قالب های قابل دسترسی از جمله کتاب الکترونیکی موجود هستند و این در مقایسه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قبل نشان می دهد که وضعیت خیلی بهبود یافته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الوصف پژوهش هایی که توسط آر ان آی بی پیشتر از این سال انجام شده بود نشان می دهد که بیشتر نابینایان و کم بینایان هنوز از منافع فناوری رقومی و خدمات آن بهره مند نمی شوند دلایل اصلی آگاهی اندک است فقر مهارت ها و اعتماد و موانع دسترس پذیری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799" w:name="__RefHeading___Toc7766832_2870459653"/>
      <w:bookmarkStart w:id="800" w:name="_Toc291"/>
      <w:bookmarkEnd w:id="799"/>
      <w:r>
        <w:rPr>
          <w:rtl w:val="true"/>
        </w:rPr>
        <w:t>تمهیدات کتابخانه های رقومی انگلستان</w:t>
      </w:r>
      <w:bookmarkEnd w:id="800"/>
    </w:p>
    <w:p>
      <w:pPr>
        <w:pStyle w:val="BookText"/>
        <w:rPr/>
      </w:pPr>
      <w:r>
        <w:rPr>
          <w:rFonts w:ascii="IRNazanin" w:hAnsi="IRNazanin" w:eastAsia="IRNazanin"/>
          <w:color w:val="111111"/>
          <w:sz w:val="28"/>
          <w:sz w:val="28"/>
          <w:szCs w:val="28"/>
          <w:rtl w:val="true"/>
          <w:lang w:bidi="fa-IR"/>
        </w:rPr>
        <w:t>ما معتقدیم که کتابخانه های عمومی به علل زیر، در مقابل این موضوعات، با فراهم کردن کتاب های الکترونیکی قابل دسترس نقش مهمی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اجتماع بودن، یکی از خصلت های کتابخانه های عمومی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ها می خواهند هرچه بیشتر در دسترس مردم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ها به مردمی که نمی خواهند یا نمی توانند هزینه های خرید را بپردازند، خدمات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الکترونیکی فرصت ارائه خدمات به مردمی را که از کتابخانه دور هستند فراهم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الکترونیکی توان کاستن از هزینه ها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قانونی برای ارائه خدمات عادلانه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برابری </w:t>
      </w:r>
      <w:r>
        <w:rPr>
          <w:rStyle w:val="FootnoteAnchor"/>
          <w:rtl w:val="true"/>
        </w:rPr>
        <w:footnoteReference w:id="1131"/>
      </w:r>
      <w:r>
        <w:rPr>
          <w:rFonts w:ascii="IRNazanin" w:hAnsi="IRNazanin" w:eastAsia="IRNazanin"/>
          <w:color w:val="111111"/>
          <w:sz w:val="28"/>
          <w:sz w:val="28"/>
          <w:szCs w:val="28"/>
          <w:rtl w:val="true"/>
          <w:lang w:bidi="fa-IR"/>
        </w:rPr>
        <w:t>هنوز در انگلستان آزموده نشده است ولی کم کم چالش های آن را در آمریکا شاهد هستیم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کتابخانه های عمومی، با مجوزهایی به این بازار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های </w:t>
      </w:r>
    </w:p>
    <w:p>
      <w:pPr>
        <w:pStyle w:val="BookText"/>
        <w:rPr/>
      </w:pPr>
      <w:r>
        <w:rPr>
          <w:rFonts w:ascii="IRNazanin" w:hAnsi="IRNazanin" w:eastAsia="IRNazanin"/>
          <w:color w:val="111111"/>
          <w:sz w:val="28"/>
          <w:sz w:val="28"/>
          <w:szCs w:val="28"/>
          <w:rtl w:val="true"/>
          <w:lang w:bidi="fa-IR"/>
        </w:rPr>
        <w:t>عمومی را که خدمات بارگیری ارائه می کنند ببینید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کتابخانه ها در این زمینه ساکت مانده اند به این دلیل است که این بازار هنوز در حال توسعه است و معتقدند هزینه سودمندی آن هنوز روشن نیست؛ مع الوصف آخرین داده ها که در زیر ذکر می شود رشدی در این زمینه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اُوِر درایو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الکترونیکی و شنیداری</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عمومی برخط بلامزبری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اسکیز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الکترونیکی و شنیداری</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دبیلو اف هاوس </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شنیداری</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بولیندا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شنیداری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بیل بری </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گشایش در آگوست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ناشران هنگامی که زیست بوم یک محصول الکترونیکی در حال توسعه است، به کتابخانه های عمومی دسترسی به آن محصول را نمی دهند؛ آن ها از این واهمه دارند که دسترسی از طریق کتابخانه به فروش آن ها صدمه بزند ولی آمازون اظهار کرده است که طرح دسترسی کتابخانه پرایم ایبوک </w:t>
      </w:r>
      <w:r>
        <w:rPr>
          <w:rStyle w:val="FootnoteAnchor"/>
          <w:rtl w:val="true"/>
        </w:rPr>
        <w:footnoteReference w:id="1138"/>
      </w:r>
      <w:r>
        <w:rPr>
          <w:rFonts w:ascii="IRNazanin" w:hAnsi="IRNazanin" w:eastAsia="IRNazanin"/>
          <w:color w:val="111111"/>
          <w:sz w:val="28"/>
          <w:sz w:val="28"/>
          <w:szCs w:val="28"/>
          <w:rtl w:val="true"/>
          <w:lang w:bidi="fa-IR"/>
        </w:rPr>
        <w:t>با افزایش خرید کتاب همبستگی معناداری دارد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اور درایو نیز عقیده دارد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حالا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مهمی در افزایش فروش داشته است اگر کتابخانه های عمومی چنین خدمتی را ارائه نکنند این خطر وجود دارد که فراهم آورندگان تجاری نظیر آمازون این خلأ را پر کنند و وضعیت شکاف رقومی نیز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انجمن رؤسای ،کتابخانه ها از نفوذ خودشان برای تحقق مسأله بهره برد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دیدگاه خود را در امانت کتاب های الکترونیکی در کتابخانه ها منتشر کرد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های عمومی نقش کلیدی در گسترش دسترسی به کتاب های الکترونیکی و رساندن آن ها به همۀ لایه های جوامع محلی دارند؛ از جمله به آن هایی که نمی توانند به آسانی به منابع چاپی دسترسی پیدا کنند، یا تنها امکان دسترسی از راه دور به خدمات را دارند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همچنین آرزو می کنیم بتوانیم برای برقراری دسترسی همه کسانی که در بینایی و غیر از آن ناتوانی هایی دارند، حمایت هایی بیابیم</w:t>
      </w:r>
      <w:r>
        <w:rPr>
          <w:rFonts w:eastAsia="IRNazanin" w:cs="IRNazanin"/>
          <w:color w:val="111111"/>
          <w:sz w:val="28"/>
          <w:szCs w:val="28"/>
          <w:rtl w:val="true"/>
          <w:lang w:bidi="fa-IR"/>
        </w:rPr>
        <w:t xml:space="preserve">». </w:t>
      </w:r>
      <w:bookmarkStart w:id="801" w:name="pg9653_82108"/>
    </w:p>
    <w:p>
      <w:pPr>
        <w:pStyle w:val="BookText"/>
        <w:rPr/>
      </w:pPr>
      <w:bookmarkEnd w:id="801"/>
      <w:r>
        <w:rPr>
          <w:rFonts w:ascii="IRNazanin" w:hAnsi="IRNazanin" w:eastAsia="IRNazanin"/>
          <w:color w:val="111111"/>
          <w:sz w:val="28"/>
          <w:sz w:val="28"/>
          <w:szCs w:val="28"/>
          <w:rtl w:val="true"/>
          <w:lang w:bidi="fa-IR"/>
        </w:rPr>
        <w:t xml:space="preserve">در ماه جولای گروه فرهنگ رسانه و ورزش </w:t>
      </w:r>
      <w:r>
        <w:rPr>
          <w:rStyle w:val="FootnoteAnchor"/>
          <w:rtl w:val="true"/>
        </w:rPr>
        <w:footnoteReference w:id="1139"/>
      </w:r>
      <w:r>
        <w:rPr>
          <w:rFonts w:ascii="IRNazanin" w:hAnsi="IRNazanin" w:eastAsia="IRNazanin"/>
          <w:color w:val="111111"/>
          <w:sz w:val="28"/>
          <w:sz w:val="28"/>
          <w:szCs w:val="28"/>
          <w:rtl w:val="true"/>
          <w:lang w:bidi="fa-IR"/>
        </w:rPr>
        <w:t>بازبینی هایی در این خصوص انجام داد ولی هنوز هیچ اعلام عمومی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ایبلیدا </w:t>
      </w:r>
      <w:r>
        <w:rPr>
          <w:rStyle w:val="FootnoteAnchor"/>
          <w:rtl w:val="true"/>
        </w:rPr>
        <w:footnoteReference w:id="1140"/>
      </w:r>
      <w:r>
        <w:rPr>
          <w:rFonts w:ascii="IRNazanin" w:hAnsi="IRNazanin" w:eastAsia="IRNazanin"/>
          <w:color w:val="111111"/>
          <w:sz w:val="28"/>
          <w:sz w:val="28"/>
          <w:szCs w:val="28"/>
          <w:rtl w:val="true"/>
          <w:lang w:bidi="fa-IR"/>
        </w:rPr>
        <w:t>کمپینی برای کتاب های الکترونیکی در کتابخانه ها به راه انداخته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802" w:name="__RefHeading___Toc7766834_2870459653"/>
      <w:bookmarkStart w:id="803" w:name="_Toc292"/>
      <w:bookmarkEnd w:id="802"/>
      <w:r>
        <w:rPr>
          <w:rtl w:val="true"/>
        </w:rPr>
        <w:t>راهبرد آر ان آی بی در مورد کتابخانه های عمومی</w:t>
      </w:r>
      <w:bookmarkEnd w:id="803"/>
    </w:p>
    <w:p>
      <w:pPr>
        <w:pStyle w:val="BookText"/>
        <w:rPr/>
      </w:pPr>
      <w:r>
        <w:rPr>
          <w:rFonts w:ascii="IRNazanin" w:hAnsi="IRNazanin" w:eastAsia="IRNazanin"/>
          <w:color w:val="111111"/>
          <w:sz w:val="28"/>
          <w:sz w:val="28"/>
          <w:szCs w:val="28"/>
          <w:rtl w:val="true"/>
          <w:lang w:bidi="fa-IR"/>
        </w:rPr>
        <w:t>آر اِن آی بی، عضو انجمن رؤسای کتابخانه های عمومی و عهده دار اقدامات و مباحث ملی در زمینهٔ کتاب های الکترونیکی است آن ها گزارش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مشخص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نگاری </w:t>
      </w:r>
      <w:r>
        <w:rPr>
          <w:rStyle w:val="FootnoteAnchor"/>
          <w:rtl w:val="true"/>
        </w:rPr>
        <w:footnoteReference w:id="1141"/>
      </w:r>
      <w:r>
        <w:rPr>
          <w:rFonts w:ascii="IRNazanin" w:hAnsi="IRNazanin" w:eastAsia="IRNazanin"/>
          <w:color w:val="111111"/>
          <w:sz w:val="28"/>
          <w:sz w:val="28"/>
          <w:szCs w:val="28"/>
          <w:rtl w:val="true"/>
          <w:lang w:bidi="fa-IR"/>
        </w:rPr>
        <w:t xml:space="preserve">برای کمک به کتابخانه های عمومی در ارائه خدمات دسترسی به کتاب های الکترونیکی تهیه کردیم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گرفتیم برنامه را ادامه دهیم به این ترتیب که از نابینایان و کم بینایان داوطلب خواستیم تا به عنوان بخشی از فعالیت های سالانه کمپین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یک پیمایش همکاری کنند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804" w:name="__RefHeading___Toc7766836_2870459653"/>
      <w:bookmarkStart w:id="805" w:name="_Toc293"/>
      <w:bookmarkEnd w:id="804"/>
      <w:r>
        <w:rPr>
          <w:rtl w:val="true"/>
        </w:rPr>
        <w:t>اهداف بررسی</w:t>
      </w:r>
      <w:bookmarkEnd w:id="805"/>
    </w:p>
    <w:p>
      <w:pPr>
        <w:pStyle w:val="BookText"/>
        <w:rPr/>
      </w:pPr>
      <w:r>
        <w:rPr>
          <w:rFonts w:ascii="IRNazanin" w:hAnsi="IRNazanin" w:eastAsia="IRNazanin"/>
          <w:color w:val="111111"/>
          <w:sz w:val="28"/>
          <w:sz w:val="28"/>
          <w:szCs w:val="28"/>
          <w:rtl w:val="true"/>
          <w:lang w:bidi="fa-IR"/>
        </w:rPr>
        <w:t>ما می خواستیم بدانیم برای نابینایان و کم بینایان یافتن اطلاعاتی درباره خدمات دسترسی به کتاب های الکترونیکی در کتابخانه های عمومی تا چه حد آسان است؛ و آن ها هنگام ثبت نام و استفاده از این ،خدمات چه مسائلی را تجربه می کنند</w:t>
      </w:r>
    </w:p>
    <w:p>
      <w:pPr>
        <w:pStyle w:val="BookText"/>
        <w:rPr/>
      </w:pPr>
      <w:r>
        <w:rPr>
          <w:rFonts w:ascii="IRNazanin" w:hAnsi="IRNazanin" w:eastAsia="IRNazanin"/>
          <w:color w:val="111111"/>
          <w:sz w:val="28"/>
          <w:sz w:val="28"/>
          <w:szCs w:val="28"/>
          <w:rtl w:val="true"/>
          <w:lang w:bidi="fa-IR"/>
        </w:rPr>
        <w:t>ما از داوطلبان خواستیم تا از کتابخانه عمومی محل خودشان دربارهٔ کتاب های الکترونیکی پرس وجو کنند و اگر چنین خدماتی وجود دارد آن را بیازمایند این کار یک چالش کامل از آب درآمد</w:t>
      </w:r>
      <w:r>
        <w:rPr>
          <w:rFonts w:eastAsia="IRNazanin" w:cs="IRNazanin"/>
          <w:color w:val="111111"/>
          <w:sz w:val="28"/>
          <w:szCs w:val="28"/>
          <w:rtl w:val="true"/>
          <w:lang w:bidi="fa-IR"/>
        </w:rPr>
        <w:t>.</w:t>
      </w:r>
    </w:p>
    <w:p>
      <w:pPr>
        <w:pStyle w:val="Heading3"/>
        <w:numPr>
          <w:ilvl w:val="2"/>
          <w:numId w:val="1"/>
        </w:numPr>
        <w:rPr/>
      </w:pPr>
      <w:bookmarkStart w:id="806" w:name="__RefHeading___Toc7766838_2870459653"/>
      <w:bookmarkStart w:id="807" w:name="_Toc294"/>
      <w:bookmarkEnd w:id="806"/>
      <w:r>
        <w:rPr>
          <w:rtl w:val="true"/>
        </w:rPr>
        <w:t>یافته های پیمایش</w:t>
      </w:r>
      <w:bookmarkEnd w:id="80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داوطلب شدند به ما کمک کنند عده ای از آن ها دریافتند کتابخانه های عمومی محلشان خدمات کتاب الکترونیکی ارائه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نابینایان و کم بینایان اعلام کردند کتاب الکترونیکی در دسترس قرار می گیرد و کوشیدند خدمات را بیازمایند گرچه بعضی از آن ها در کاربرد فناوری اطلاعات مهارت خوبی داشتند تجربۀ آن ها ناموفق و دلسرد کننده بود آن ها بیشتر با مشکلات مربوط به دسترس پذیری و کاربردپذیری مواجه شدند نظیر آن چه در پژوهشی دربارۀ منابع شنیداری قابل بارگیری توسط </w:t>
      </w:r>
    </w:p>
    <w:p>
      <w:pPr>
        <w:pStyle w:val="BookText"/>
        <w:rPr/>
      </w:pPr>
      <w:r>
        <w:rPr>
          <w:rFonts w:ascii="IRNazanin" w:hAnsi="IRNazanin" w:eastAsia="IRNazanin"/>
          <w:color w:val="111111"/>
          <w:sz w:val="28"/>
          <w:sz w:val="28"/>
          <w:szCs w:val="28"/>
          <w:rtl w:val="true"/>
          <w:lang w:bidi="fa-IR"/>
        </w:rPr>
        <w:t xml:space="preserve">آی تو مدیا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برای آران آی بی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به وب ضعیف بود داوطلبان برای استفاده از راهنما و وبگاه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مسائل مربوط به ابزار دسترسی مانند دستگاه های کتاب خوان و نرم افزارهای بزرگنمایی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 می شدند؛ چرا که صفحات وب اغلب سنگین بودند و بسیار ضعیف طراحی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وارد شدن به سامانه دشوار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جستجو و ناوبری ناوبری به خدمت کتاب الکترونیکی برای بعضی از داوطلبان چالش برانگیز بود؛ جستجوی کتاب الکترونیکی در ابتدا دشوار بود ولی با تمرین و آشنا شدن با طراحی آسان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موضوعات کتاب های در اختیار قرار گرفته شده ناامید کننده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مربوط به فناوری بعضی از کتابخانه ها تجهیزات رایانه شخصی با فناوری دسترسی نداشتند به گونه ای که بسیاری از کاربران بهتر بود که از منزل به سامانه متصل شوند تا از کتابخانه زیرا در آن جا یکی از کارکنان می بایست به منظور پشتیبانی حاضر می بود؛ فرایند بارگیری برای بعضی لبریز از دشواری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عقب گرد رضایت بخش گزارش شد؛ احتمالا به این علت که داوطلبان با نحوه کار با دستگاه های خودشان آشنا بودند آن ها از طیفی از دستگاه های تخصصی و متداول خواندن استفاده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کارکنان برای اغلب داوطلبان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ها که در کار با رایانه دارای تجربه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 بازخورد کلی این بود که برای داوطلبان ،مدیریت کار به تنهایی بسیار دشوار و یا غیر ممکن است و بیشتر کارکنان کتابخانه در این کار، یاری گر و حامی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درک از کتاب های الکترونیکی براساس کمیت پاسخ ها چنین نتیجه گرفتیم که به نسبت اندک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کتاب های الکترونیکی بیشتر داوطلبان بر این نظر بودند که کتاب های الکترونیکی می توانند افزوده مفیدی بر خدمات کتابخانه عمومی باشند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خیلی از کتابخانه های عمومی، کتاب الکترونیکی در اختیار قرار نمی دادند و بقیه نیز فقط در حد بازدید منابع بودند که برای آن ها فرصت فراهم آورد تا دسترس پذیری را از آغاز مورد بررسی قرار دهند</w:t>
      </w:r>
      <w:r>
        <w:rPr>
          <w:rFonts w:eastAsia="IRNazanin" w:cs="IRNazanin"/>
          <w:color w:val="111111"/>
          <w:sz w:val="28"/>
          <w:szCs w:val="28"/>
          <w:rtl w:val="true"/>
          <w:lang w:bidi="fa-IR"/>
        </w:rPr>
        <w:t xml:space="preserve">. </w:t>
      </w:r>
      <w:bookmarkStart w:id="808" w:name="pg9653_82110"/>
    </w:p>
    <w:p>
      <w:pPr>
        <w:pStyle w:val="Heading3"/>
        <w:numPr>
          <w:ilvl w:val="2"/>
          <w:numId w:val="1"/>
        </w:numPr>
        <w:rPr/>
      </w:pPr>
      <w:bookmarkStart w:id="809" w:name="__RefHeading___Toc7766840_2870459653"/>
      <w:bookmarkStart w:id="810" w:name="_Toc295"/>
      <w:bookmarkEnd w:id="808"/>
      <w:bookmarkEnd w:id="809"/>
      <w:r>
        <w:rPr>
          <w:rtl w:val="true"/>
        </w:rPr>
        <w:t>سخن کاربران</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بیش از یک ساعت به شدت کوشیدم و نتوانستم کاری بکنم من از کاربران با تجربه رایانه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نتوانستم به خدمات به خط کتابخانه یا فهرست کتاب های الکترونیکی قابل امانت دست 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کوشیدم کتاب های موجود را مرور کنم، ولی فقط فهمیدم که وبگاه چندان قابل دسترسی نیست، چرا که هر کتاب فقط در حد تصویر روی جمله نمایش داده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بارگیری برایم دشوار بود و عصبانی ام می کرد ولی آن را در زمان مقرر انجام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بریل یا منابع شنیداری استفاده می کنند خیلی سخت بود ترکیب جملات ضعیف بود</w:t>
      </w:r>
      <w:r>
        <w:rPr>
          <w:rFonts w:eastAsia="IRNazanin" w:cs="IRNazanin"/>
          <w:color w:val="111111"/>
          <w:sz w:val="28"/>
          <w:szCs w:val="28"/>
          <w:rtl w:val="true"/>
          <w:lang w:bidi="fa-IR"/>
        </w:rPr>
        <w:t>».</w:t>
      </w:r>
    </w:p>
    <w:p>
      <w:pPr>
        <w:pStyle w:val="Heading3"/>
        <w:numPr>
          <w:ilvl w:val="2"/>
          <w:numId w:val="1"/>
        </w:numPr>
        <w:rPr/>
      </w:pPr>
      <w:bookmarkStart w:id="811" w:name="__RefHeading___Toc7766842_2870459653"/>
      <w:bookmarkStart w:id="812" w:name="_Toc296"/>
      <w:bookmarkEnd w:id="811"/>
      <w:r>
        <w:rPr>
          <w:rtl w:val="true"/>
        </w:rPr>
        <w:t>آن چه بعد روی داد</w:t>
      </w:r>
      <w:bookmarkEnd w:id="812"/>
    </w:p>
    <w:p>
      <w:pPr>
        <w:pStyle w:val="BookText"/>
        <w:rPr/>
      </w:pPr>
      <w:r>
        <w:rPr>
          <w:rFonts w:ascii="IRNazanin" w:hAnsi="IRNazanin" w:eastAsia="IRNazanin"/>
          <w:color w:val="111111"/>
          <w:sz w:val="28"/>
          <w:sz w:val="28"/>
          <w:szCs w:val="28"/>
          <w:rtl w:val="true"/>
          <w:lang w:bidi="fa-IR"/>
        </w:rPr>
        <w:t>به عنوان نتیجه این پژوهش، ملاقاتی با اُوِر درایو در گرینویچ ترتیب دادیم و کاربری را دعوت کردیم تا در تجربه کتاب الکترونیکی و اثبات انواع مسائل دسترس پذیری با ما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منجر به اقداماتی برای بهبود طراحی وبگاه و مسیر حرکت کاربر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برنامه ای برای تشریک مساعی عمومی در نمایش همگانی دستگاه های کتاب خوان الکترونیکی در سرتاسر انگلستان، از جمله کتابخانه ها در دست اجرا داریم این ها بسیار عملی است جلب اعتماد عمومی می کند و مقبولیت عام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طرحی را با کتابخانه های شهر منچستر برای بهبود وضعیت دسترس پذیری خدمات کتاب های الکترونیکی شان و تسری آن به نابینایان و کم بینایان آغاز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کار دادن انگیزه به کاربران و توسعه مهارت های آنان است برنامه شامل نمایش دستگاه های کتاب خوان الکترونیکی توسعه آگاهی ها و آموزش های کارکنان و در اختیار کاربران قرار دادن این دستگاه ها برای امتحان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انتظارمان این است که این کار منجر به مطالعات موردی وسیعتر و توصیه هایی برای کتابخانه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دسترس پذیری وبگاه آران آی بی، با سازمان ها برای بهبود دسترس پذیری وبگاه هایشان در ظرف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وارد چالش شده است و در حال ترویج آن به کتابخانه ها هستیم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813" w:name="__RefHeading___Toc7766844_2870459653"/>
      <w:bookmarkStart w:id="814" w:name="_Toc297"/>
      <w:bookmarkEnd w:id="813"/>
      <w:r>
        <w:rPr>
          <w:rtl w:val="true"/>
        </w:rPr>
        <w:t>نتیجه گیری</w:t>
      </w:r>
      <w:bookmarkEnd w:id="81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الکترونیکی قابلیت فوق العاده ای دارد در بهبود دسترسی به کتاب و خواندن برای اشخاصی که نمی توانند منابع چاپی متداول را بخوانند</w:t>
      </w:r>
      <w:r>
        <w:rPr>
          <w:rFonts w:eastAsia="IRNazanin" w:cs="IRNazanin"/>
          <w:color w:val="111111"/>
          <w:sz w:val="28"/>
          <w:szCs w:val="28"/>
          <w:rtl w:val="true"/>
          <w:lang w:bidi="fa-IR"/>
        </w:rPr>
        <w:t xml:space="preserve">. </w:t>
      </w:r>
      <w:bookmarkStart w:id="815" w:name="pg9653_82111"/>
    </w:p>
    <w:p>
      <w:pPr>
        <w:pStyle w:val="BookText"/>
        <w:rPr/>
      </w:pPr>
      <w:bookmarkEnd w:id="815"/>
      <w:r>
        <w:rPr>
          <w:rFonts w:ascii="IRNazanin" w:hAnsi="IRNazanin" w:eastAsia="IRNazanin"/>
          <w:color w:val="111111"/>
          <w:sz w:val="28"/>
          <w:sz w:val="28"/>
          <w:szCs w:val="28"/>
          <w:rtl w:val="true"/>
          <w:lang w:bidi="fa-IR"/>
        </w:rPr>
        <w:t>کتابخانه های عمومی نقش مهمی در فراهم آوردن دسترسی به کتاب های الکترونیکی و در دسترسی خوانندگان ناتوان و حمایت از آن ها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 این کار ضیافت خواندن را به جای قحطی کتاب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توصیه می کنیم که کتابخانه ها با رعایت استانداردهای دسترس پذیری وبگاه و رهنمودهای آر ان آی بی بر نوع طراحی و پیاده سازی خدمات کتاب های الکترونیکی اثر گذار باشند اهرم های مضاعفی را حین فرایندهای تهیه و تدارک این منابع می توان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خواندن کتاب الکترونیکی همان قدر به خوانندگان که به فناوری مربوط می شود ما دریافتیم که در گیر کردن خوانندگان در پژوهش پیمایشی مان مفید و اتقان آور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می کنیم که کتابخانه هایی که مایلند خدماتشان را توسعه دهند نه فقط کارکنان خود را آموزش دهند بلکه با خوانندگان نیز مشاوره داشته باشند</w:t>
      </w:r>
      <w:r>
        <w:rPr>
          <w:rFonts w:eastAsia="IRNazanin" w:cs="IRNazanin"/>
          <w:color w:val="111111"/>
          <w:sz w:val="28"/>
          <w:szCs w:val="28"/>
          <w:rtl w:val="true"/>
          <w:lang w:bidi="fa-IR"/>
        </w:rPr>
        <w:t>.</w:t>
      </w:r>
    </w:p>
    <w:p>
      <w:pPr>
        <w:pStyle w:val="Heading3"/>
        <w:numPr>
          <w:ilvl w:val="2"/>
          <w:numId w:val="1"/>
        </w:numPr>
        <w:rPr/>
      </w:pPr>
      <w:bookmarkStart w:id="816" w:name="__RefHeading___Toc7766846_2870459653"/>
      <w:bookmarkStart w:id="817" w:name="_Toc298"/>
      <w:bookmarkEnd w:id="816"/>
      <w:r>
        <w:rPr>
          <w:rtl w:val="true"/>
        </w:rPr>
        <w:t>خوانندگان از خود می گویند</w:t>
      </w:r>
      <w:bookmarkEnd w:id="817"/>
    </w:p>
    <w:p>
      <w:pPr>
        <w:pStyle w:val="BookText"/>
        <w:rPr/>
      </w:pPr>
      <w:r>
        <w:rPr>
          <w:rFonts w:ascii="IRNazanin" w:hAnsi="IRNazanin" w:eastAsia="IRNazanin"/>
          <w:color w:val="111111"/>
          <w:sz w:val="28"/>
          <w:sz w:val="28"/>
          <w:szCs w:val="28"/>
          <w:rtl w:val="true"/>
          <w:lang w:bidi="fa-IR"/>
        </w:rPr>
        <w:t>کتاب های الکترونیکی برای نابینایان و کم 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یوتیوب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ها عوض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های شخصی یک نابینای عاشق کتاب، توسط ایان ماكرى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ایان ماکری نابینای عاشق کتاب و ناشر، تجربیات شخصی چندین ده سالۀ خود را در مسیر دسترسی به کتاب نقل می کند و از سرعت و آسانی دسترسی به کتاب در زمان حاضر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که در ابزارها و راه حل های خواندن کتاب های الکترونیکی باید خوانندگان نابینا و کم بینا به عنوان بخش معتبر و واقعی این ،بازار در نظر گرفته شوند</w:t>
      </w:r>
      <w:r>
        <w:rPr>
          <w:rFonts w:eastAsia="IRNazanin" w:cs="IRNazanin"/>
          <w:color w:val="111111"/>
          <w:sz w:val="28"/>
          <w:szCs w:val="28"/>
          <w:rtl w:val="true"/>
          <w:lang w:bidi="fa-IR"/>
        </w:rPr>
        <w:t>.</w:t>
      </w:r>
    </w:p>
    <w:p>
      <w:pPr>
        <w:pStyle w:val="Heading3"/>
        <w:numPr>
          <w:ilvl w:val="2"/>
          <w:numId w:val="1"/>
        </w:numPr>
        <w:rPr/>
      </w:pPr>
      <w:bookmarkStart w:id="818" w:name="__RefHeading___Toc7766848_2870459653"/>
      <w:bookmarkStart w:id="819" w:name="_Toc299"/>
      <w:bookmarkEnd w:id="818"/>
      <w:r>
        <w:rPr>
          <w:rtl w:val="true"/>
        </w:rPr>
        <w:t>یک ابزار واقعاً با ارزش</w:t>
      </w:r>
      <w:bookmarkEnd w:id="819"/>
    </w:p>
    <w:p>
      <w:pPr>
        <w:pStyle w:val="BookText"/>
        <w:rPr/>
      </w:pPr>
      <w:r>
        <w:rPr>
          <w:rFonts w:ascii="IRNazanin" w:hAnsi="IRNazanin" w:eastAsia="IRNazanin"/>
          <w:color w:val="111111"/>
          <w:sz w:val="28"/>
          <w:sz w:val="28"/>
          <w:szCs w:val="28"/>
          <w:rtl w:val="true"/>
          <w:lang w:bidi="fa-IR"/>
        </w:rPr>
        <w:t xml:space="preserve">یک سال پیش ما برای دخترمان سا را یک دستگاه کتاب خوان کیندل به عنوان هدیه خریدیم این دستگاه واقعا ابزار ارزشمندی برای او از کار درآمد تا جایی که او دیگر از خدمات چاپ درشت </w:t>
      </w:r>
      <w:r>
        <w:rPr>
          <w:rStyle w:val="FootnoteAnchor"/>
          <w:rtl w:val="true"/>
        </w:rPr>
        <w:footnoteReference w:id="1144"/>
      </w:r>
      <w:r>
        <w:rPr>
          <w:rFonts w:ascii="IRNazanin" w:hAnsi="IRNazanin" w:eastAsia="IRNazanin"/>
          <w:color w:val="111111"/>
          <w:sz w:val="28"/>
          <w:sz w:val="28"/>
          <w:szCs w:val="28"/>
          <w:rtl w:val="true"/>
          <w:lang w:bidi="fa-IR"/>
        </w:rPr>
        <w:t>استفاده نمی کند توان خواندن او سرعت قابل توجهی پیدا کرده و کتاب هایی که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متنوع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این به یمن این حقیقت است که اندازه دستگاه کیندل را می توان تنظیم کرد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خصوص برای خواندن کتاب در بستر بسیار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دختر نوجوان مهم تر این </w:t>
      </w:r>
      <w:bookmarkStart w:id="820" w:name="pg9653_82112"/>
    </w:p>
    <w:p>
      <w:pPr>
        <w:pStyle w:val="BookText"/>
        <w:rPr/>
      </w:pPr>
      <w:bookmarkEnd w:id="820"/>
      <w:r>
        <w:rPr>
          <w:rFonts w:ascii="IRNazanin" w:hAnsi="IRNazanin" w:eastAsia="IRNazanin"/>
          <w:color w:val="111111"/>
          <w:sz w:val="28"/>
          <w:sz w:val="28"/>
          <w:szCs w:val="28"/>
          <w:rtl w:val="true"/>
          <w:lang w:bidi="fa-IR"/>
        </w:rPr>
        <w:t>است که باعث می شود کمتر به چشم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لیندسی چاپمن، می ندهد</w:t>
      </w:r>
      <w:r>
        <w:rPr>
          <w:rFonts w:eastAsia="IRNazanin" w:cs="IRNazanin"/>
          <w:color w:val="111111"/>
          <w:sz w:val="28"/>
          <w:szCs w:val="28"/>
          <w:rtl w:val="true"/>
          <w:lang w:bidi="fa-IR"/>
        </w:rPr>
        <w:t>.</w:t>
      </w:r>
    </w:p>
    <w:p>
      <w:pPr>
        <w:pStyle w:val="Heading3"/>
        <w:numPr>
          <w:ilvl w:val="2"/>
          <w:numId w:val="1"/>
        </w:numPr>
        <w:rPr/>
      </w:pPr>
      <w:bookmarkStart w:id="821" w:name="__RefHeading___Toc7766850_2870459653"/>
      <w:bookmarkStart w:id="822" w:name="_Toc300"/>
      <w:bookmarkEnd w:id="821"/>
      <w:r>
        <w:rPr>
          <w:rtl w:val="true"/>
        </w:rPr>
        <w:t>لذت بخشی رقومی</w:t>
      </w:r>
      <w:bookmarkEnd w:id="822"/>
    </w:p>
    <w:p>
      <w:pPr>
        <w:pStyle w:val="BookText"/>
        <w:rPr/>
      </w:pPr>
      <w:r>
        <w:rPr>
          <w:rFonts w:ascii="IRNazanin" w:hAnsi="IRNazanin" w:eastAsia="IRNazanin"/>
          <w:color w:val="111111"/>
          <w:sz w:val="28"/>
          <w:sz w:val="28"/>
          <w:szCs w:val="28"/>
          <w:rtl w:val="true"/>
          <w:lang w:bidi="fa-IR"/>
        </w:rPr>
        <w:t xml:space="preserve">مانند خانم آنتونیا فریزر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ای در کتاب 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شوق فراوان به کیندل خوش آمد می گویم</w:t>
      </w:r>
    </w:p>
    <w:p>
      <w:pPr>
        <w:pStyle w:val="BookText"/>
        <w:rPr/>
      </w:pPr>
      <w:r>
        <w:rPr>
          <w:rFonts w:ascii="IRNazanin" w:hAnsi="IRNazanin" w:eastAsia="IRNazanin"/>
          <w:color w:val="111111"/>
          <w:sz w:val="28"/>
          <w:sz w:val="28"/>
          <w:szCs w:val="28"/>
          <w:rtl w:val="true"/>
          <w:lang w:bidi="fa-IR"/>
        </w:rPr>
        <w:t xml:space="preserve">در دهه هشتاد زندگی ام،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چشم، خواندن برایم بیشتر رنج بود تا لذت لذت یافتن دستگاه سبکی که بتوانم به سادگی آن را در دستان خرچنگ مانندم ،بگیرم دستگاهی که بزرگوارانه متن را به اندازه ای درشت نشان می دهد که همۀ عینک های ذره بینی را که دارم برایم زائد می شوند زائد الوصف بود</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نام های بازنویسی شده از روزنامه گاردین،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2012</w:t>
      </w:r>
    </w:p>
    <w:p>
      <w:pPr>
        <w:pStyle w:val="Heading3"/>
        <w:numPr>
          <w:ilvl w:val="2"/>
          <w:numId w:val="1"/>
        </w:numPr>
        <w:rPr/>
      </w:pPr>
      <w:bookmarkStart w:id="823" w:name="__RefHeading___Toc7766852_2870459653"/>
      <w:bookmarkStart w:id="824" w:name="_Toc301"/>
      <w:bookmarkEnd w:id="823"/>
      <w:r>
        <w:rPr>
          <w:rtl w:val="true"/>
        </w:rPr>
        <w:t>منابع</w:t>
      </w:r>
      <w:bookmarkEnd w:id="8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Solomon, Kate (2012) 1/3 of Brits now own an ebook reader. Available from: http://www.techradar.com/news/portabledevices/ portable-media/1-3-of-brits-now-own-an-ebook-reader- 1077632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Foyles (2012) UK e-reader sales exceed 1.3 million in Christmas run up. Available from: http://www.foyles.co.uk/news/uk-ereadersales- exceed-13-million-in-christmas-runup [accessed 07 August 2012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Henderson, Rik (2012) Amazon Kindle is UK's most unused Christmas present. Available from: http://www.pocketlint. com/news/44083/kindle-most-unused-christmas-present [accessed 07 August 2012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E-book (2012) Wikipedia [online]. 06 August. Available from: http://en.wikipedia.org/wiki/E-book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Publishers Association (2012) Consumer ebook sales increased by 366% in 2011. Available from: http://www.publishers.org.uk/index.php?option=com_content&amp;view =article&amp;id=2224&amp;Itemid=1618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RNIB (2011) eBook formats. Available from: http://www.rnib.org.uk/livingwithsightloss/readingwriting/ebooks/Pa ges/ebook_formats.aspx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RNIB (2012) Right to Read campaign. Available from: http://www.rnib.org.uk/getinvolved/campaign/accesstoinformation/ri ghttoread/Pages/righttoread.aspx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RNIB (2012) Accessible publishing - business case. Available from: http://www.rnib.org.uk/professionals/solutionsforbusiness/publishin g/Pages/publisher_business_case.aspx [accessed 07 August 2012].12</w:t>
      </w:r>
    </w:p>
    <w:p>
      <w:pPr>
        <w:pStyle w:val="BookText"/>
        <w:rPr/>
      </w:pPr>
      <w:r>
        <w:rPr>
          <w:rFonts w:eastAsia="Times New Roman" w:cs="Times New Roman" w:ascii="Times New Roman" w:hAnsi="Times New Roman"/>
          <w:color w:val="111111"/>
          <w:sz w:val="28"/>
          <w:szCs w:val="28"/>
          <w:lang w:val="en-US" w:bidi="en-US"/>
        </w:rPr>
        <w:t>Creaser, C. (2011) Accessibility of top 1,000 titles of 2010 [online]. RNIB. Available from: http://www.rnib.org.uk/professionals/solutionsforbusiness/publishin g/Pages/publisher_business_case.aspx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Alexander, L. (2008) RNIB Strategy 2009-2014 [online]. RNIB. Available from: http://www.rnib.org.uk/aboutus/documents/public_strategy9_14.d [accessed 07 August 2012</w:t>
      </w:r>
    </w:p>
    <w:p>
      <w:pPr>
        <w:pStyle w:val="BookText"/>
        <w:rPr/>
      </w:pPr>
      <w:r>
        <w:rPr>
          <w:rFonts w:eastAsia="Times New Roman" w:cs="Times New Roman" w:ascii="Times New Roman" w:hAnsi="Times New Roman"/>
          <w:color w:val="111111"/>
          <w:sz w:val="28"/>
          <w:szCs w:val="28"/>
          <w:lang w:val="en-US" w:bidi="en-US"/>
        </w:rPr>
        <w:t>RNIB (2011) Ebooks: what can they offer me? Available from: http://www.rnib.org.uk/livingwithsightloss/readingwriting/rnibnationa</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llibrary/readon/readingnews/pages/readonaug11_ebooks.aspx [accessed 07 August 2012]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Publishers Association Joint statement on accessibility &amp; ebooks. Available from: http://www.publishers.org.uk/index.php?option=com_content&amp;view =category&amp;layout=blog&amp;id=536&amp;Itemid=1655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Creaser, C. (2011) Availability of accessible publications: 2011 update [online]. RNIB. Available from: http://www.rnib.org.uk/professionals/solutionsforbusiness/publishin g/Pages/publisher_business_case.aspx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Edwards, A. (2012) Tackling digital exclusion - older blind and partially sighted people and the internet [online]. RNIB. Available from: http://www.rib.org.uk/aboutus/research/reports/inclusive/pages/di gital_exclusion.aspx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Danielson, C. (2012) National Federation of the Blind files complaint against state department [press release online]. NFB. Available from: http://www.nfb.org/national-federation-blind-filescomplaint- against-state-department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Stainthorp, P. (2011) List of UK public libraries with downloadable e-books (mashup). Available from:13 http://paulstainthorp.com/2011/02/21/list-of-uk-public-libraries- withdownloadable- e-books-mashup/ [accessed 07 August 2012]. Digital Book World (2012) E-book library lending rises, publishing industry grapples with change. Available from: http://www.digitalbookworld.com/2012/e-book-library-lending- risespublishing- industry-grapples-with-change/ [accessed 07 August 2012]</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Society of Chief Librarians (2012) SCL position on e-book lending in libraries. Available from: http://www.goscl.com/sclposition- on-e-lending-in-libraries [accessed 07 August 2012]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EBLIDA (2012) E-books in libraries. Available from: http://www.eblida.org/e-books-in-libraries.html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RNIB (2012) Accessible ebook services in public libraries. Available from: http://readingsight.org.uk/uploads/documents/ebook_services_in_p ublic libraries March_2012.pdf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Gilks, M. (2011) RNIB National Library Service: a survey of ebook services in public libraries [online]. RNIB. Available from: http://readingsight.org.uk/accessible_libraries/digital_services/eboo k_services_in_public_libraries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media research limited (2010) The needs of blind and partially sighted people from ebooks [online]. RNIB. Available from: www.icevi.org/pdf/i2_ebooks_report.pdf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RNIB (2012) 180 day websight campaign. Available from: http://www.rnib.org.uk/PROFESSIONALS/WEBACCESSIBILITY/1 80DAY/Pages/180_day_websight_campaign.aspx [accessed 07 August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RNIB (2011) eBooks for blind and partially sighted people. YouTube [video]. 17 April. Available from: http://www.youtube.com/watch?v=16krEX-4UJ4 [Accessed 07 August 2012]. 14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Macrae, Ian (2012) Changing chapters [online]. RNIB New Beacon 77. Available from: http://readingsight.org.uk/blog/changing_chapters/ [accessed 07 August 2012</w:t>
      </w:r>
      <w:r>
        <w:rPr>
          <w:rFonts w:eastAsia="Times New Roman" w:cs="Times New Roman" w:ascii="Times New Roman" w:hAnsi="Times New Roman"/>
          <w:color w:val="111111"/>
          <w:sz w:val="28"/>
          <w:szCs w:val="28"/>
          <w:rtl w:val="true"/>
          <w:lang w:val="en-US" w:bidi="en-US"/>
        </w:rPr>
        <w:t xml:space="preserve">. </w:t>
      </w:r>
      <w:bookmarkStart w:id="825" w:name="pg9653_82116"/>
    </w:p>
    <w:p>
      <w:pPr>
        <w:pStyle w:val="Heading2"/>
        <w:numPr>
          <w:ilvl w:val="1"/>
          <w:numId w:val="1"/>
        </w:numPr>
        <w:rPr/>
      </w:pPr>
      <w:bookmarkStart w:id="826" w:name="__RefHeading___Toc7766854_2870459653"/>
      <w:bookmarkStart w:id="827" w:name="_Toc302"/>
      <w:bookmarkEnd w:id="825"/>
      <w:bookmarkEnd w:id="826"/>
      <w:r>
        <w:rPr>
          <w:rtl w:val="true"/>
        </w:rPr>
        <w:t>چکیده</w:t>
      </w:r>
      <w:bookmarkEnd w:id="827"/>
    </w:p>
    <w:p>
      <w:pPr>
        <w:pStyle w:val="BookText"/>
        <w:rPr/>
      </w:pPr>
      <w:r>
        <w:rPr>
          <w:rFonts w:ascii="IRNazanin" w:hAnsi="IRNazanin" w:eastAsia="IRNazanin"/>
          <w:color w:val="111111"/>
          <w:sz w:val="28"/>
          <w:sz w:val="28"/>
          <w:szCs w:val="28"/>
          <w:rtl w:val="true"/>
          <w:lang w:bidi="fa-IR"/>
        </w:rPr>
        <w:t xml:space="preserve">مطالعات نشان می دهد سهولت دسترسی به ویژه با کاربست رویکرد اطلاع رسانی متمرکز، به عنوان روشی موثر و صحیح برای بازیابی محتوای رقومی و همچنین محتوای معتبر برای پژوهشگران اهمیت بسیاری دارد طرح کتابخانه های یوروپیانا </w:t>
      </w:r>
      <w:r>
        <w:rPr>
          <w:rStyle w:val="FootnoteAnchor"/>
          <w:rtl w:val="true"/>
        </w:rPr>
        <w:footnoteReference w:id="1147"/>
      </w:r>
      <w:r>
        <w:rPr>
          <w:rFonts w:ascii="IRNazanin" w:hAnsi="IRNazanin" w:eastAsia="IRNazanin"/>
          <w:color w:val="111111"/>
          <w:sz w:val="28"/>
          <w:sz w:val="28"/>
          <w:szCs w:val="28"/>
          <w:rtl w:val="true"/>
          <w:lang w:bidi="fa-IR"/>
        </w:rPr>
        <w:t xml:space="preserve">هر دو مورد را از طریق انتخاب و گزینش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تصویر، کتاب، ویدئو، رساله و مقاله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پژوهشی و پیشرو اروپا مورد بررسی و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فراداده معتبر است که منبعی که از طریق آن، داده فراهم آوری شده است قابل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منبع داده مقوله بسیار مهم و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رقومی اروپایی </w:t>
      </w:r>
      <w:r>
        <w:rPr>
          <w:rStyle w:val="FootnoteAnchor"/>
          <w:rtl w:val="true"/>
        </w:rPr>
        <w:footnoteReference w:id="1148"/>
      </w:r>
      <w:r>
        <w:rPr>
          <w:rFonts w:ascii="IRNazanin" w:hAnsi="IRNazanin" w:eastAsia="IRNazanin"/>
          <w:color w:val="111111"/>
          <w:sz w:val="28"/>
          <w:sz w:val="28"/>
          <w:szCs w:val="28"/>
          <w:rtl w:val="true"/>
          <w:lang w:bidi="fa-IR"/>
        </w:rPr>
        <w:t xml:space="preserve">و وبگاه های یوروپیانا </w:t>
      </w:r>
      <w:r>
        <w:rPr>
          <w:rStyle w:val="FootnoteAnchor"/>
          <w:rtl w:val="true"/>
        </w:rPr>
        <w:footnoteReference w:id="1149"/>
      </w:r>
      <w:r>
        <w:rPr>
          <w:rFonts w:ascii="IRNazanin" w:hAnsi="IRNazanin" w:eastAsia="IRNazanin"/>
          <w:color w:val="111111"/>
          <w:sz w:val="28"/>
          <w:sz w:val="28"/>
          <w:szCs w:val="28"/>
          <w:rtl w:val="true"/>
          <w:lang w:bidi="fa-IR"/>
        </w:rPr>
        <w:t xml:space="preserve">دسترسی به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جست و جوی ساده امکان پذیر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اشتراک، بنیان همکاری ها و نوآوری های بیشتری را بنا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ساخت مجموعه سازی محتوا و قابلیت های جست و جوی متن کامل که نتایج حاصل از تلاش طرح کتابخانه های یوروپیانا بود مقرر شد در طرح روزنامه های یوروپیانا </w:t>
      </w:r>
      <w:r>
        <w:rPr>
          <w:rStyle w:val="FootnoteAnchor"/>
          <w:rtl w:val="true"/>
        </w:rPr>
        <w:footnoteReference w:id="1150"/>
      </w:r>
      <w:r>
        <w:rPr>
          <w:rFonts w:ascii="IRNazanin" w:hAnsi="IRNazanin" w:eastAsia="IRNazanin"/>
          <w:color w:val="111111"/>
          <w:sz w:val="28"/>
          <w:sz w:val="28"/>
          <w:szCs w:val="28"/>
          <w:rtl w:val="true"/>
          <w:lang w:bidi="fa-IR"/>
        </w:rPr>
        <w:t>نیز پیاده سازی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صفحه از محتوای روزنامه های سراسر اروپا را از طریق کتابخانه های اروپا و زیرساخت های کتابخانه رقومی اروپایی </w:t>
      </w:r>
      <w:r>
        <w:rPr>
          <w:rStyle w:val="FootnoteAnchor"/>
          <w:rtl w:val="true"/>
        </w:rPr>
        <w:footnoteReference w:id="1151"/>
      </w:r>
      <w:r>
        <w:rPr>
          <w:rFonts w:ascii="IRNazanin" w:hAnsi="IRNazanin" w:eastAsia="IRNazanin"/>
          <w:color w:val="111111"/>
          <w:sz w:val="28"/>
          <w:sz w:val="28"/>
          <w:szCs w:val="28"/>
          <w:rtl w:val="true"/>
          <w:lang w:bidi="fa-IR"/>
        </w:rPr>
        <w:t>یوروپیانا قابل دسترس خواهد ساخت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اطلاعات، یوروپیانا، نشریات ادواری، کتابخانه های رقومی اروپایی </w:t>
      </w:r>
      <w:bookmarkStart w:id="828" w:name="pg9653_82117"/>
    </w:p>
    <w:p>
      <w:pPr>
        <w:pStyle w:val="Heading2"/>
        <w:numPr>
          <w:ilvl w:val="1"/>
          <w:numId w:val="1"/>
        </w:numPr>
        <w:rPr/>
      </w:pPr>
      <w:bookmarkStart w:id="829" w:name="__RefHeading___Toc7766856_2870459653"/>
      <w:bookmarkStart w:id="830" w:name="_Toc303"/>
      <w:bookmarkEnd w:id="828"/>
      <w:bookmarkEnd w:id="829"/>
      <w:r>
        <w:rPr>
          <w:rtl w:val="true"/>
        </w:rPr>
        <w:t>ساخت پل ها</w:t>
      </w:r>
      <w:r>
        <w:rPr>
          <w:rtl w:val="true"/>
        </w:rPr>
        <w:t xml:space="preserve">: </w:t>
      </w:r>
      <w:r>
        <w:rPr>
          <w:rtl w:val="true"/>
        </w:rPr>
        <w:t>از کتابخانه های یوروپیانا تا روزنامه های یوروپیانا</w:t>
      </w:r>
      <w:bookmarkEnd w:id="830"/>
    </w:p>
    <w:p>
      <w:pPr>
        <w:pStyle w:val="Heading3"/>
        <w:numPr>
          <w:ilvl w:val="2"/>
          <w:numId w:val="1"/>
        </w:numPr>
        <w:rPr/>
      </w:pPr>
      <w:bookmarkStart w:id="831" w:name="__RefHeading___Toc7766858_2870459653"/>
      <w:bookmarkStart w:id="832" w:name="_Toc304"/>
      <w:bookmarkEnd w:id="831"/>
      <w:r>
        <w:rPr>
          <w:rtl w:val="true"/>
        </w:rPr>
        <w:t>اشاره</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پل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کتابخانه های یوروپیانا تا روزنامه های یوروپیانا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نوشته سوزان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ریلی </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صدیقه شاکری </w:t>
      </w:r>
      <w:r>
        <w:rPr>
          <w:rStyle w:val="FootnoteAnchor"/>
          <w:rtl w:val="true"/>
        </w:rPr>
        <w:footnoteReference w:id="1154"/>
      </w:r>
    </w:p>
    <w:p>
      <w:pPr>
        <w:pStyle w:val="Heading3"/>
        <w:numPr>
          <w:ilvl w:val="2"/>
          <w:numId w:val="1"/>
        </w:numPr>
        <w:rPr/>
      </w:pPr>
      <w:bookmarkStart w:id="833" w:name="__RefHeading___Toc7766860_2870459653"/>
      <w:bookmarkStart w:id="834" w:name="_Toc305"/>
      <w:bookmarkEnd w:id="833"/>
      <w:r>
        <w:rPr>
          <w:rtl w:val="true"/>
        </w:rPr>
        <w:t>مقدمه</w:t>
      </w:r>
      <w:bookmarkEnd w:id="83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می دهد که سهولت دسترسی، به ویژه با کاربست رویکرد اطلاع رسانی متمرکز به عنوان روشی موثر و صحیح برای دسترسی به محتوای رقومی و همچنین محتوای معتبر برای پژوهشگران اهمیت بسیاری دارد این مقاله به صورت اجمالی به برخی از فعالیت های صورت گرفته در طرح کتابخانه های یوروپیانا </w:t>
      </w:r>
      <w:r>
        <w:rPr>
          <w:rStyle w:val="FootnoteAnchor"/>
          <w:rtl w:val="true"/>
        </w:rPr>
        <w:footnoteReference w:id="1155"/>
      </w:r>
      <w:r>
        <w:rPr>
          <w:rFonts w:ascii="IRNazanin" w:hAnsi="IRNazanin" w:eastAsia="IRNazanin"/>
          <w:color w:val="111111"/>
          <w:sz w:val="28"/>
          <w:sz w:val="28"/>
          <w:szCs w:val="28"/>
          <w:rtl w:val="true"/>
          <w:lang w:bidi="fa-IR"/>
        </w:rPr>
        <w:t>می پردازد هدف این طرح آن است که محتوای تمام متن کتابخانه های تحقیقاتی و ملی را از طریق یک درگاه ،واحد قابل جست و جو کند این وجود انگیزه جهت همکاری و مزایای تعاون بین سازمان ها برای دستیابی به یک چشم انداز مشترک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بررسی هدف از انجام این طرح و نیز چشم اندازهای آینده آن در طرح روزنامه های رقومی اروپا </w:t>
      </w:r>
      <w:r>
        <w:rPr>
          <w:rStyle w:val="FootnoteAnchor"/>
          <w:rtl w:val="true"/>
        </w:rPr>
        <w:footnoteReference w:id="1156"/>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از نتایج و مزایای حاصل از ایجاد این درگاه و نیز قابلیت های جست و جوی تمام متن که از طریق کتابخانه های یوروپیانا گسترش یافته بهره مند شده است</w:t>
      </w:r>
      <w:r>
        <w:rPr>
          <w:rFonts w:eastAsia="IRNazanin" w:cs="IRNazanin"/>
          <w:color w:val="111111"/>
          <w:sz w:val="28"/>
          <w:szCs w:val="28"/>
          <w:rtl w:val="true"/>
          <w:lang w:bidi="fa-IR"/>
        </w:rPr>
        <w:t xml:space="preserve">. </w:t>
      </w:r>
      <w:bookmarkStart w:id="835" w:name="pg9653_82118"/>
    </w:p>
    <w:p>
      <w:pPr>
        <w:pStyle w:val="Heading3"/>
        <w:numPr>
          <w:ilvl w:val="2"/>
          <w:numId w:val="1"/>
        </w:numPr>
        <w:rPr/>
      </w:pPr>
      <w:bookmarkStart w:id="836" w:name="__RefHeading___Toc7766862_2870459653"/>
      <w:bookmarkStart w:id="837" w:name="_Toc306"/>
      <w:bookmarkEnd w:id="835"/>
      <w:bookmarkEnd w:id="836"/>
      <w:r>
        <w:rPr>
          <w:rtl w:val="true"/>
        </w:rPr>
        <w:t xml:space="preserve">سنگ بنا </w:t>
      </w:r>
      <w:r>
        <w:rPr>
          <w:rtl w:val="true"/>
        </w:rPr>
        <w:t>(</w:t>
      </w:r>
      <w:r>
        <w:rPr>
          <w:rtl w:val="true"/>
        </w:rPr>
        <w:t>بنیان</w:t>
      </w:r>
      <w:r>
        <w:rPr>
          <w:rtl w:val="true"/>
        </w:rPr>
        <w:t>)</w:t>
      </w:r>
      <w:bookmarkEnd w:id="837"/>
    </w:p>
    <w:p>
      <w:pPr>
        <w:pStyle w:val="BookText"/>
        <w:rPr/>
      </w:pPr>
      <w:r>
        <w:rPr>
          <w:rFonts w:ascii="IRNazanin" w:hAnsi="IRNazanin" w:eastAsia="IRNazanin"/>
          <w:color w:val="111111"/>
          <w:sz w:val="28"/>
          <w:sz w:val="28"/>
          <w:szCs w:val="28"/>
          <w:rtl w:val="true"/>
          <w:lang w:bidi="fa-IR"/>
        </w:rPr>
        <w:t xml:space="preserve">طرح کتابخانه های رقومی یوروپیانا </w:t>
      </w:r>
      <w:r>
        <w:rPr>
          <w:rStyle w:val="FootnoteAnchor"/>
          <w:rtl w:val="true"/>
        </w:rPr>
        <w:footnoteReference w:id="1157"/>
      </w:r>
      <w:r>
        <w:rPr>
          <w:rFonts w:ascii="IRNazanin" w:hAnsi="IRNazanin" w:eastAsia="IRNazanin"/>
          <w:color w:val="111111"/>
          <w:sz w:val="28"/>
          <w:sz w:val="28"/>
          <w:szCs w:val="28"/>
          <w:rtl w:val="true"/>
          <w:lang w:bidi="fa-IR"/>
        </w:rPr>
        <w:t xml:space="preserve">طرحی دو ساله است که از 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اصلی این طرح بر اساس نیازسنجی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کارگزار واحد فراهم آوری منابع رقومی برای کتابخانه های تحقیقاتی، کتابخانه های دانشگاهی و ملی اروپایی شکل گرفت در گذشته این کتابخانه ها با یکدیگر همکاری داشتند تا محتوای موضوعی برای طرح های در دسترس قرار دادن منابع رقومی از جمله طرح های یوروپیانا درگاه میراث فرهنگی اروپا از طریق طرح یوروپیانا تراول </w:t>
      </w:r>
      <w:r>
        <w:rPr>
          <w:rStyle w:val="FootnoteAnchor"/>
          <w:rtl w:val="true"/>
        </w:rPr>
        <w:footnoteReference w:id="1158"/>
      </w:r>
      <w:r>
        <w:rPr>
          <w:rFonts w:ascii="IRNazanin" w:hAnsi="IRNazanin" w:eastAsia="IRNazanin"/>
          <w:color w:val="111111"/>
          <w:sz w:val="28"/>
          <w:sz w:val="28"/>
          <w:szCs w:val="28"/>
          <w:rtl w:val="true"/>
          <w:lang w:bidi="fa-IR"/>
        </w:rPr>
        <w:t>را فراهم آورند از طریق این طرح متون و محتوای مربوط به موضوع سیاحت و گردشگری از طریق دو کارگزار مجزا جمع آوری گردید یکی از کارگزاران مسئول فراهم آوری منابع مرتبط از طریق کتابخانه های ملی گردید و دیگری مسئولیت فراهم آوری محتوا از سایر کتابخانه های عضو طرح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از دو جهت بسیار موفق بود یکی از لحاظ فراهم نمودن و تهیه محتوای رقومی با کیفیت برای یوروپیانا، دیگری از نظر ایجاد تعاون و همکاری بین کتابخانه های تحقیقاتی و ملی؛ هر چند تدوام استفاده از دو کارگزار مجزا جای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کتابخانه های رقومی یوروپیانا این تداوم را از طریق گسترش خدمات کارگزاری فراهم نمودن محتوای رقومی در کتابخانه های ملی کتابخانه های رقومی یوروپیانا تا کتابخانه های تحقیقاتی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اتمام انجام این طرح در دسامبر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منابع شامل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و ویدئو کلیپ </w:t>
      </w:r>
      <w:r>
        <w:rPr>
          <w:rFonts w:eastAsia="IRNazanin" w:cs="IRNazanin"/>
          <w:color w:val="111111"/>
          <w:sz w:val="28"/>
          <w:szCs w:val="28"/>
          <w:lang w:bidi="fa-IR"/>
        </w:rPr>
        <w:t>850000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و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مقالات، مجلات، رساله و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های تحقیقاتی دریافت گردید بیشتر این منابع به صورت متن کامل هستند و ارزش ویژه ای نزد پژوهشگران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بهره گیری هر چه بیشتر از این محتوا طرح تصمیم به توسعه قابلیت های جست و جو گرفت همچنین درگاه جست و جویی متشکل از ابزارهای خاص جست و جو فراهم ساخت</w:t>
      </w:r>
      <w:r>
        <w:rPr>
          <w:rFonts w:eastAsia="IRNazanin" w:cs="IRNazanin"/>
          <w:color w:val="111111"/>
          <w:sz w:val="28"/>
          <w:szCs w:val="28"/>
          <w:rtl w:val="true"/>
          <w:lang w:bidi="fa-IR"/>
        </w:rPr>
        <w:t>.</w:t>
      </w:r>
    </w:p>
    <w:p>
      <w:pPr>
        <w:pStyle w:val="Heading3"/>
        <w:numPr>
          <w:ilvl w:val="2"/>
          <w:numId w:val="1"/>
        </w:numPr>
        <w:rPr/>
      </w:pPr>
      <w:bookmarkStart w:id="838" w:name="__RefHeading___Toc7766864_2870459653"/>
      <w:bookmarkStart w:id="839" w:name="_Toc307"/>
      <w:bookmarkEnd w:id="838"/>
      <w:r>
        <w:rPr>
          <w:rtl w:val="true"/>
        </w:rPr>
        <w:t>مشارکت</w:t>
      </w:r>
      <w:bookmarkEnd w:id="83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تجمیع محتوای کتابخانه های ملی و تحقیقاتی زمینه تعاون و همکاری مشترک شبکه های کتابخانه های مهم اروپایی، کنسرسیوم کتابخانه های پژوهشی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ای آر ال</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 xml:space="preserve">اتحادیه کتابخانه های پژوهشی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لایبر</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 xml:space="preserve">و کنفرانس کتابخانه های ملی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ای ان ال</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را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کتابخانه های </w:t>
      </w:r>
      <w:bookmarkStart w:id="840" w:name="pg9653_82119"/>
    </w:p>
    <w:p>
      <w:pPr>
        <w:pStyle w:val="BookText"/>
        <w:rPr/>
      </w:pPr>
      <w:bookmarkEnd w:id="840"/>
      <w:r>
        <w:rPr>
          <w:rFonts w:ascii="IRNazanin" w:hAnsi="IRNazanin" w:eastAsia="IRNazanin"/>
          <w:color w:val="111111"/>
          <w:sz w:val="28"/>
          <w:sz w:val="28"/>
          <w:szCs w:val="28"/>
          <w:rtl w:val="true"/>
          <w:lang w:bidi="fa-IR"/>
        </w:rPr>
        <w:t xml:space="preserve">ملی اروپا نماینده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است و مدیریت کارگزار کتابخانه اروپایی را بر عهده دارد این کارگزار در حال حاضر تنها کارگزار کتابخانه های حوزه اروپا است که نقش فراهم ساختن محتوای رقومی از کتابخانه های ملی را برعهده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کنسرسیوم کتابخانه های پژوهشی اروپایی بر روی پیشرفت و توسعه دسترسی و همچنین بهره گیری از میراث مکتوب اروپایی تأکید دارد این کنسرسیوم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فعال از کتابخانه های ملی و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کتابخانه های عضو این کنسرسیوم تخصص و تجربه و علاقه علاقه ویژه به نمایه سازی و فراداده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کتابخانه های پژوهشی اروپا بیش از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کتابخانه های دانشگاهی ملی و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اروپا و حواشی آن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این انجمن محتوای رقومی طرح را فراهم می کنند؛ در نتیجه این محتوا در اختیار تمام کتابخانه های عضو قرار می گیرد کتابخانه های رقومی یوروپیانا نخستین فرصتی هستند که این سه سازمان استفاده کرده اند تا همراه با یکدیگر در قالب یک اشتراک خیلی قوی مشارکت و همکاری کنند به همین دلیل مؤسسات عضو آن ها همهشان محتوایی را دارند که منابع پژوهشی ارزشمند محسوب می شوند بنابراین همه این اعضا می خواهند محتوایشان را قابل دسترس و قابل استفاده برای جامعه پژوهشگرانشان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طرح نتایج موفقیت آمیزی خواهد داشت که پیوستگی و همکاری بین شبکه ها به صورت مداوم وجود داشته باشد</w:t>
      </w:r>
      <w:r>
        <w:rPr>
          <w:rFonts w:eastAsia="IRNazanin" w:cs="IRNazanin"/>
          <w:color w:val="111111"/>
          <w:sz w:val="28"/>
          <w:szCs w:val="28"/>
          <w:rtl w:val="true"/>
          <w:lang w:bidi="fa-IR"/>
        </w:rPr>
        <w:t>.</w:t>
      </w:r>
    </w:p>
    <w:p>
      <w:pPr>
        <w:pStyle w:val="Heading3"/>
        <w:numPr>
          <w:ilvl w:val="2"/>
          <w:numId w:val="1"/>
        </w:numPr>
        <w:rPr/>
      </w:pPr>
      <w:bookmarkStart w:id="841" w:name="__RefHeading___Toc7766866_2870459653"/>
      <w:bookmarkStart w:id="842" w:name="_Toc308"/>
      <w:bookmarkEnd w:id="841"/>
      <w:r>
        <w:rPr>
          <w:rtl w:val="true"/>
        </w:rPr>
        <w:t>اهمیت اشتراک و تعاون</w:t>
      </w:r>
      <w:bookmarkEnd w:id="842"/>
    </w:p>
    <w:p>
      <w:pPr>
        <w:pStyle w:val="BookText"/>
        <w:rPr/>
      </w:pPr>
      <w:r>
        <w:rPr>
          <w:rFonts w:ascii="IRNazanin" w:hAnsi="IRNazanin" w:eastAsia="IRNazanin"/>
          <w:color w:val="111111"/>
          <w:sz w:val="28"/>
          <w:sz w:val="28"/>
          <w:szCs w:val="28"/>
          <w:rtl w:val="true"/>
          <w:lang w:bidi="fa-IR"/>
        </w:rPr>
        <w:t>ارزش این گونه طرح ها نه تنها در ایجاد خدمات واحد کارگزاری و فراهم آوری محتوا برای کتابخانه هاست بلکه جنبه ارزشمند دیگری نیز دارد که اشتراک محتوای پژوهشی توسط کتابخانه ها برای پژوهشگران سرتاسر جهان است به طور بالقوه دسترسی به مجموعه منابع کتابخانه های ملی و تحقیقاتی فراتر از مرزها و محدوده های جوامع پژوهشی گسترش خواهد یافت این درواقع، از اعتبار جمعی کتابخانه ها به عنوان فراهم کنندگان قابل اطمینان اطلاعات باکیفیت و فراداده های خوب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تثبیت شده است که کتابخانه ها از جنبه مثبت با کتاب ها ارتباط دارند</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کتابخانه ها محتوای تمام متن کتاب های دیجتال سازی شده را در کنار سایر منابع رقومی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تصاویر فایل های سمعی و بصری همراه با محتوای علمی از جمله مقالات و پایان نامه ها را گردآوری می کنند بدین روی پژوهشگران می توانند نتایج جست و جوی بهتر و قوی تری داشته باشند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با افزایش قابلیت مشاهده این نوع محتوا کتابخانه ها می توانند بهره وری </w:t>
      </w:r>
      <w:bookmarkStart w:id="843" w:name="pg9653_82120"/>
    </w:p>
    <w:p>
      <w:pPr>
        <w:pStyle w:val="BookText"/>
        <w:rPr/>
      </w:pPr>
      <w:bookmarkEnd w:id="843"/>
      <w:r>
        <w:rPr>
          <w:rFonts w:ascii="IRNazanin" w:hAnsi="IRNazanin" w:eastAsia="IRNazanin"/>
          <w:color w:val="111111"/>
          <w:sz w:val="28"/>
          <w:sz w:val="28"/>
          <w:szCs w:val="28"/>
          <w:rtl w:val="true"/>
          <w:lang w:bidi="fa-IR"/>
        </w:rPr>
        <w:t>سرمایه گذاری های ارزشمندی را که صرف رقومی سازی منابع می کنند افزایش دهند</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 xml:space="preserve">آن چه برای یک پژوهشگر اهمیت دارد این است که بتواند حجم عظیمی از میراث فرهنگی و محتوای مربوط به پژوهش خود را جست و جو کند و به محتوای آن در یک مکان دست یابد مطالعات نشان می دهد که پژوهشگران در حال حاضر پژوهش های پیچیده تری را در مقایسه با گذشته انجام می دهند و همچنین زمان کمتری برای انجام فعالیت های پژوهشیشان دارند </w:t>
      </w:r>
      <w:r>
        <w:rPr>
          <w:rStyle w:val="FootnoteAnchor"/>
          <w:rtl w:val="true"/>
        </w:rPr>
        <w:footnoteReference w:id="1164"/>
      </w:r>
      <w:r>
        <w:rPr>
          <w:rFonts w:ascii="IRNazanin" w:hAnsi="IRNazanin" w:eastAsia="IRNazanin"/>
          <w:color w:val="111111"/>
          <w:sz w:val="28"/>
          <w:sz w:val="28"/>
          <w:szCs w:val="28"/>
          <w:rtl w:val="true"/>
          <w:lang w:bidi="fa-IR"/>
        </w:rPr>
        <w:t>بنابراین یک سیستم اطلاع رسانی متمرکز یک پیشنهاد جالب و مورد توجه است</w:t>
      </w:r>
      <w:r>
        <w:rPr>
          <w:rFonts w:eastAsia="IRNazanin" w:cs="IRNazanin"/>
          <w:color w:val="111111"/>
          <w:sz w:val="28"/>
          <w:szCs w:val="28"/>
          <w:rtl w:val="true"/>
          <w:lang w:bidi="fa-IR"/>
        </w:rPr>
        <w:t>.</w:t>
      </w:r>
    </w:p>
    <w:p>
      <w:pPr>
        <w:pStyle w:val="Heading3"/>
        <w:numPr>
          <w:ilvl w:val="2"/>
          <w:numId w:val="1"/>
        </w:numPr>
        <w:rPr/>
      </w:pPr>
      <w:bookmarkStart w:id="844" w:name="__RefHeading___Toc7766868_2870459653"/>
      <w:bookmarkStart w:id="845" w:name="_Toc309"/>
      <w:bookmarkEnd w:id="844"/>
      <w:r>
        <w:rPr>
          <w:rtl w:val="true"/>
        </w:rPr>
        <w:t>طراحی درگاه</w:t>
      </w:r>
      <w:bookmarkEnd w:id="845"/>
    </w:p>
    <w:p>
      <w:pPr>
        <w:pStyle w:val="BookText"/>
        <w:rPr/>
      </w:pPr>
      <w:r>
        <w:rPr>
          <w:rFonts w:ascii="IRNazanin" w:hAnsi="IRNazanin" w:eastAsia="IRNazanin"/>
          <w:color w:val="111111"/>
          <w:sz w:val="28"/>
          <w:sz w:val="28"/>
          <w:szCs w:val="28"/>
          <w:rtl w:val="true"/>
          <w:lang w:bidi="fa-IR"/>
        </w:rPr>
        <w:t>بیشتر محتوای فراهم آوری شده از طریق طرح کتابخانه های رقومی یوروپیانا از طریق درگاه این کتابخانه قابل دسترس خواهد بود اما نظر به ماهیت محتوای فراهم آوری شده درگاه کتابخانه اروپایی با کمک پژوهشگر متخصص علوم انسانی به عنوان کاربر نهایی مجددا گسترش یافت چنین پیشنهادی به طور خاص مرتبط است به جامعه پژوهشی علوم انسانی پژوهشگرانی که برایشان تعریف داده های پژوهش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پژوهشگر علوم انسانی به انبوهی از منابع رقومی و ابزارها خدمات و منابعی نیاز دارند اگر آن ها هدفشان حرکت به سمت و سوی ارائه نظریه های بنیادی باشد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چندین دوره از کارگاه های آموزشی و آزمون کاربر نهایی و همچنین پژوهش های ویژه منجر به طراحی درگاه جدیدی شده است که در حال حاضر ویژگی های زیر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جست و جوی محتوای متن کامل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فرصتی برای بررسی رکوردهای فراداده های پردازش نشده اشیاء خاص با هدف نهایی دسترس پذیر نمودن به مجموعه عظیمی از داده ها برای این که به اهداف پژوهشی خاصی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گسترده استفاده از سرعنوان های موضوعی سریف </w:t>
      </w:r>
      <w:r>
        <w:rPr>
          <w:rStyle w:val="FootnoteAnchor"/>
          <w:rtl w:val="true"/>
        </w:rPr>
        <w:footnoteReference w:id="1166"/>
      </w:r>
      <w:r>
        <w:rPr>
          <w:rFonts w:ascii="IRNazanin" w:hAnsi="IRNazanin" w:eastAsia="IRNazanin"/>
          <w:color w:val="111111"/>
          <w:sz w:val="28"/>
          <w:sz w:val="28"/>
          <w:szCs w:val="28"/>
          <w:rtl w:val="true"/>
          <w:lang w:bidi="fa-IR"/>
        </w:rPr>
        <w:t xml:space="preserve">این خصیصه انجام پژوهش با کاربست مجموعه ای موضوعات مرتبط را امکان پذیر می سازد موضوعاتی که از طریق یک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 یا بازه زمانی به یکدیگر پیوند دارند</w:t>
      </w:r>
      <w:r>
        <w:rPr>
          <w:rFonts w:eastAsia="IRNazanin" w:cs="IRNazanin"/>
          <w:color w:val="111111"/>
          <w:sz w:val="28"/>
          <w:szCs w:val="28"/>
          <w:rtl w:val="true"/>
          <w:lang w:bidi="fa-IR"/>
        </w:rPr>
        <w:t xml:space="preserve">. </w:t>
      </w:r>
      <w:bookmarkStart w:id="846" w:name="pg9653_82121"/>
    </w:p>
    <w:p>
      <w:pPr>
        <w:pStyle w:val="BookText"/>
        <w:rPr/>
      </w:pPr>
      <w:bookmarkEnd w:id="8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مجموعه و یا مجموعه سازی کشورهای اروپایی با همکاری کتابخانه های دانشگاهی پژوهشی و ملی اروپا این به نوعی گسترش نمایشگاه های مجازی </w:t>
      </w:r>
      <w:r>
        <w:rPr>
          <w:rStyle w:val="FootnoteAnchor"/>
          <w:rtl w:val="true"/>
        </w:rPr>
        <w:footnoteReference w:id="1167"/>
      </w:r>
      <w:r>
        <w:rPr>
          <w:rFonts w:ascii="IRNazanin" w:hAnsi="IRNazanin" w:eastAsia="IRNazanin"/>
          <w:color w:val="111111"/>
          <w:sz w:val="28"/>
          <w:sz w:val="28"/>
          <w:szCs w:val="28"/>
          <w:rtl w:val="true"/>
          <w:lang w:bidi="fa-IR"/>
        </w:rPr>
        <w:t>جاری است و نمایش محتوا از طیف وسیعی از منابع در سراسر اروپا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زمانی که وقوع یک عبارت جست و جوی خاص را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رابطه ای برنامه کاربردی که به تحلیل محتوای پایگاه اطلاعاتی می پردازند و همچنین محتوا را خارج از درگاه کتابخانه رقومی اروپایی نمایش می دهند این بدان معنی است که پژوهشگران می توانند محتوا را در محیط پژوهشی خود ذخیره کنند و سپس در جست و جوی روش های جدیدی برای استفاده بهینه از محتوای استخراج و بازیابی بکار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مستقیم پیشینه ها بر روی نظام های رایج مدیریت منابع از جمله مندلی و زوترو</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پس از راه اندازی، درگاه با ظهور نتایج حاصل از پژوهش ها در زمینه علوم انسانی و علوم انسانی رقومی به طور مداوم توسعه دوبارهای خواهد یافت در این مورد که چگونه پژوهشگران می توانند از این محتوای منحصر به فرد استفاده بهینه داشته باشند مطالعات تکمیلی انجام خواهد شد و در این راستا براساس نتایج حاصل از این مطالعات راهبردی محتوا توسعه خواهد یافت</w:t>
      </w:r>
      <w:r>
        <w:rPr>
          <w:rFonts w:eastAsia="IRNazanin" w:cs="IRNazanin"/>
          <w:color w:val="111111"/>
          <w:sz w:val="28"/>
          <w:szCs w:val="28"/>
          <w:rtl w:val="true"/>
          <w:lang w:bidi="fa-IR"/>
        </w:rPr>
        <w:t>.</w:t>
      </w:r>
    </w:p>
    <w:p>
      <w:pPr>
        <w:pStyle w:val="Heading3"/>
        <w:numPr>
          <w:ilvl w:val="2"/>
          <w:numId w:val="1"/>
        </w:numPr>
        <w:rPr/>
      </w:pPr>
      <w:bookmarkStart w:id="847" w:name="__RefHeading___Toc7766870_2870459653"/>
      <w:bookmarkStart w:id="848" w:name="_Toc310"/>
      <w:bookmarkEnd w:id="847"/>
      <w:r>
        <w:rPr>
          <w:rtl w:val="true"/>
        </w:rPr>
        <w:t>ساخت پل ها</w:t>
      </w:r>
      <w:bookmarkEnd w:id="848"/>
    </w:p>
    <w:p>
      <w:pPr>
        <w:pStyle w:val="Heading4"/>
        <w:numPr>
          <w:ilvl w:val="3"/>
          <w:numId w:val="1"/>
        </w:numPr>
        <w:rPr/>
      </w:pPr>
      <w:bookmarkStart w:id="849" w:name="__RefHeading___Toc7766872_2870459653"/>
      <w:bookmarkStart w:id="850" w:name="_Toc311"/>
      <w:bookmarkEnd w:id="849"/>
      <w:r>
        <w:rPr>
          <w:rtl w:val="true"/>
        </w:rPr>
        <w:t>اشاره</w:t>
      </w:r>
      <w:bookmarkEnd w:id="85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خدمات کارگزاری فراهم آوردن محتوای رقومی راه اندازی درگاه و همچنین وجود قابلیت های جست و جوی تمام متن در طرح کتابخانه های رقومی ،یوروپیانا زمان آن رسید که روزنامه ها به عنوان نوع جدیدی از محتوا در معرض نمایش قرار گیرد توسعه های اخیر در اُ سی آر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حروف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دستیابی به آن از طریق طرح ایمپکت </w:t>
      </w:r>
      <w:r>
        <w:rPr>
          <w:rStyle w:val="FootnoteAnchor"/>
          <w:rtl w:val="true"/>
        </w:rPr>
        <w:footnoteReference w:id="1170"/>
      </w:r>
      <w:r>
        <w:rPr>
          <w:rFonts w:ascii="IRNazanin" w:hAnsi="IRNazanin" w:eastAsia="IRNazanin"/>
          <w:color w:val="111111"/>
          <w:sz w:val="28"/>
          <w:sz w:val="28"/>
          <w:szCs w:val="28"/>
          <w:rtl w:val="true"/>
          <w:lang w:bidi="fa-IR"/>
        </w:rPr>
        <w:t xml:space="preserve">صورت گرفت، در حال حاضر برای بازیابی و نمایش محتوای روزنامه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پژوهشی و ملی سراسر اروپا به کار گرفته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صفحه از روزنامه ها گزینش خواهند شد و از طریق درگاه کتابخانه رقومی اروپایی و یوروپیانا در دسترس قرار خواهند گرفت طرح روزنامه های یوروپیانا به منظور ایجاد قابلیت های جست و جوی تمام متن روزنامه های ،قدیمی چالش های بسیار ویژه ای را مورد بررسی قرار خواهد داد به این منظور از روش های پردازش و پالایش بهره می گیرد از جمله بازشناسی حروف تصویری، تفکیک حروف </w:t>
      </w:r>
      <w:bookmarkStart w:id="851" w:name="pg9653_82122"/>
    </w:p>
    <w:p>
      <w:pPr>
        <w:pStyle w:val="BookText"/>
        <w:rPr/>
      </w:pPr>
      <w:bookmarkEnd w:id="851"/>
      <w:r>
        <w:rPr>
          <w:rFonts w:ascii="Amiri" w:hAnsi="Amiri" w:eastAsia="Amiri" w:cs="Amiri"/>
          <w:color w:val="111111"/>
          <w:sz w:val="28"/>
          <w:sz w:val="28"/>
          <w:szCs w:val="28"/>
          <w:rtl w:val="true"/>
          <w:lang w:bidi="ar-SA"/>
        </w:rPr>
        <w:t xml:space="preserve">اُ ال آر </w:t>
      </w:r>
      <w:r>
        <w:rPr>
          <w:rStyle w:val="FootnoteAnchor"/>
          <w:rtl w:val="true"/>
        </w:rPr>
        <w:footnoteReference w:id="1171"/>
      </w:r>
      <w:r>
        <w:rPr>
          <w:rFonts w:ascii="IRNazanin" w:hAnsi="IRNazanin" w:eastAsia="IRNazanin"/>
          <w:color w:val="111111"/>
          <w:sz w:val="28"/>
          <w:sz w:val="28"/>
          <w:szCs w:val="28"/>
          <w:rtl w:val="true"/>
          <w:lang w:bidi="fa-IR"/>
        </w:rPr>
        <w:t xml:space="preserve">، نظام تشخیص رده صفحه و بازشناخت ماهیت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ای آر</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بیشتر تجربیات و دانش کسب شده از طریق طرح کتابخانه های ،یوروپیانا در حال حاضر برای طرح روزنامه های یوروپیانا نیز به کار گرفته می شود</w:t>
      </w:r>
      <w:r>
        <w:rPr>
          <w:rFonts w:eastAsia="IRNazanin" w:cs="IRNazanin"/>
          <w:color w:val="111111"/>
          <w:sz w:val="28"/>
          <w:szCs w:val="28"/>
          <w:rtl w:val="true"/>
          <w:lang w:bidi="fa-IR"/>
        </w:rPr>
        <w:t>.</w:t>
      </w:r>
    </w:p>
    <w:p>
      <w:pPr>
        <w:pStyle w:val="Heading4"/>
        <w:numPr>
          <w:ilvl w:val="3"/>
          <w:numId w:val="1"/>
        </w:numPr>
        <w:rPr/>
      </w:pPr>
      <w:bookmarkStart w:id="852" w:name="__RefHeading___Toc7766874_2870459653"/>
      <w:bookmarkStart w:id="853" w:name="_Toc312"/>
      <w:bookmarkEnd w:id="852"/>
      <w:r>
        <w:rPr/>
        <w:t>1</w:t>
      </w:r>
      <w:r>
        <w:rPr>
          <w:rtl w:val="true"/>
        </w:rPr>
        <w:t xml:space="preserve">. </w:t>
      </w:r>
      <w:r>
        <w:rPr>
          <w:rtl w:val="true"/>
        </w:rPr>
        <w:t>کارگزاری فراهم نمودن محتوای رقومی</w:t>
      </w:r>
      <w:bookmarkEnd w:id="853"/>
    </w:p>
    <w:p>
      <w:pPr>
        <w:pStyle w:val="BookText"/>
        <w:rPr/>
      </w:pPr>
      <w:r>
        <w:rPr>
          <w:rFonts w:ascii="IRNazanin" w:hAnsi="IRNazanin" w:eastAsia="IRNazanin"/>
          <w:color w:val="111111"/>
          <w:sz w:val="28"/>
          <w:sz w:val="28"/>
          <w:szCs w:val="28"/>
          <w:rtl w:val="true"/>
          <w:lang w:bidi="fa-IR"/>
        </w:rPr>
        <w:t>چهار نوع از مجموعه روزنامه های رقومی موجود، شناسایی و انتخاب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با فراداده های ساختاری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با فراداده های ساختاری و تمام متن به منظور جست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سی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با فراداده های ساختاری بازشناخت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ردیابی حروف و اُ سی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با فراداده های ساختاری اُ ال آر، اُ سی آر و غنی سازی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داده های موجود توسط کتابخانه رقومی اروپایی برداشت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به </w:t>
      </w:r>
      <w:r>
        <w:rPr>
          <w:rStyle w:val="FootnoteAnchor"/>
          <w:rtl w:val="true"/>
        </w:rPr>
        <w:footnoteReference w:id="1173"/>
      </w:r>
      <w:r>
        <w:rPr>
          <w:rFonts w:ascii="IRNazanin" w:hAnsi="IRNazanin" w:eastAsia="IRNazanin"/>
          <w:color w:val="111111"/>
          <w:sz w:val="28"/>
          <w:sz w:val="28"/>
          <w:szCs w:val="28"/>
          <w:rtl w:val="true"/>
          <w:lang w:bidi="fa-IR"/>
        </w:rPr>
        <w:t>ای دی ام که الگوی داده های موجود در یوروپیانا ،است منتقل خواهد شد و سرانجام از طریق یوروپیانا توزیع خواهد شد</w:t>
      </w:r>
      <w:r>
        <w:rPr>
          <w:rFonts w:eastAsia="IRNazanin" w:cs="IRNazanin"/>
          <w:color w:val="111111"/>
          <w:sz w:val="28"/>
          <w:szCs w:val="28"/>
          <w:rtl w:val="true"/>
          <w:lang w:bidi="fa-IR"/>
        </w:rPr>
        <w:t>.</w:t>
      </w:r>
    </w:p>
    <w:p>
      <w:pPr>
        <w:pStyle w:val="Heading4"/>
        <w:numPr>
          <w:ilvl w:val="3"/>
          <w:numId w:val="1"/>
        </w:numPr>
        <w:rPr/>
      </w:pPr>
      <w:bookmarkStart w:id="854" w:name="__RefHeading___Toc7766876_2870459653"/>
      <w:bookmarkStart w:id="855" w:name="_Toc313"/>
      <w:bookmarkEnd w:id="854"/>
      <w:r>
        <w:rPr/>
        <w:t>2</w:t>
      </w:r>
      <w:r>
        <w:rPr>
          <w:rtl w:val="true"/>
        </w:rPr>
        <w:t xml:space="preserve">. </w:t>
      </w:r>
      <w:r>
        <w:rPr>
          <w:rtl w:val="true"/>
        </w:rPr>
        <w:t>استانداردسازی فراداده ها</w:t>
      </w:r>
      <w:bookmarkEnd w:id="855"/>
    </w:p>
    <w:p>
      <w:pPr>
        <w:pStyle w:val="BookText"/>
        <w:rPr/>
      </w:pPr>
      <w:r>
        <w:rPr>
          <w:rFonts w:ascii="IRNazanin" w:hAnsi="IRNazanin" w:eastAsia="IRNazanin"/>
          <w:color w:val="111111"/>
          <w:sz w:val="28"/>
          <w:sz w:val="28"/>
          <w:szCs w:val="28"/>
          <w:rtl w:val="true"/>
          <w:lang w:bidi="fa-IR"/>
        </w:rPr>
        <w:t>در حال حاضر فرمت های گوناگونی از فراداده ها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دسترس پذیر نمودن بهتر محتوای رقومی استانداردهای رایج به 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فرمت های موجود فراداده شناسایی می شوند و از میان آن ها بهترین و مناسب ترین از لحاظ مناسب بودن با نیاز کاربران و پژوهشگران گزینش می شوند</w:t>
      </w:r>
      <w:r>
        <w:rPr>
          <w:rFonts w:eastAsia="IRNazanin" w:cs="IRNazanin"/>
          <w:color w:val="111111"/>
          <w:sz w:val="28"/>
          <w:szCs w:val="28"/>
          <w:rtl w:val="true"/>
          <w:lang w:bidi="fa-IR"/>
        </w:rPr>
        <w:t>.</w:t>
      </w:r>
    </w:p>
    <w:p>
      <w:pPr>
        <w:pStyle w:val="Heading4"/>
        <w:numPr>
          <w:ilvl w:val="3"/>
          <w:numId w:val="1"/>
        </w:numPr>
        <w:rPr/>
      </w:pPr>
      <w:bookmarkStart w:id="856" w:name="__RefHeading___Toc7766878_2870459653"/>
      <w:bookmarkStart w:id="857" w:name="_Toc314"/>
      <w:bookmarkEnd w:id="856"/>
      <w:r>
        <w:rPr/>
        <w:t>3</w:t>
      </w:r>
      <w:r>
        <w:rPr>
          <w:rtl w:val="true"/>
        </w:rPr>
        <w:t xml:space="preserve">. </w:t>
      </w:r>
      <w:r>
        <w:rPr>
          <w:rtl w:val="true"/>
        </w:rPr>
        <w:t>قابلیت های نمایش بهینه</w:t>
      </w:r>
      <w:bookmarkEnd w:id="85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امکان سهولت جست و جوی روزنامه ها و نیز نمایش برخط و جالب توجه آن ها یک چالش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روزنامه های برخط </w:t>
      </w:r>
      <w:r>
        <w:rPr>
          <w:rStyle w:val="FootnoteAnchor"/>
          <w:rtl w:val="true"/>
        </w:rPr>
        <w:footnoteReference w:id="1174"/>
      </w:r>
      <w:r>
        <w:rPr>
          <w:rFonts w:ascii="IRNazanin" w:hAnsi="IRNazanin" w:eastAsia="IRNazanin"/>
          <w:color w:val="111111"/>
          <w:sz w:val="28"/>
          <w:sz w:val="28"/>
          <w:szCs w:val="28"/>
          <w:rtl w:val="true"/>
          <w:lang w:bidi="fa-IR"/>
        </w:rPr>
        <w:t>نگاهی بر فعالیت انجام شده توسط کتابخانه های یوروپیانا دارد و براساس آن، به تشریح ملزومات جست و جوی مناسب و نمایش نتایج محتوای بازیابی شده که توسط یوروپیانا به کار گرفته می شود می پردازد</w:t>
      </w:r>
      <w:r>
        <w:rPr>
          <w:rFonts w:eastAsia="IRNazanin" w:cs="IRNazanin"/>
          <w:color w:val="111111"/>
          <w:sz w:val="28"/>
          <w:szCs w:val="28"/>
          <w:rtl w:val="true"/>
          <w:lang w:bidi="fa-IR"/>
        </w:rPr>
        <w:t xml:space="preserve">. </w:t>
      </w:r>
      <w:bookmarkStart w:id="858" w:name="pg9653_82123"/>
    </w:p>
    <w:p>
      <w:pPr>
        <w:pStyle w:val="BookText"/>
        <w:rPr/>
      </w:pPr>
      <w:bookmarkEnd w:id="858"/>
      <w:r>
        <w:rPr>
          <w:rFonts w:ascii="IRNazanin" w:hAnsi="IRNazanin" w:eastAsia="IRNazanin"/>
          <w:color w:val="111111"/>
          <w:sz w:val="28"/>
          <w:sz w:val="28"/>
          <w:szCs w:val="28"/>
          <w:rtl w:val="true"/>
          <w:lang w:bidi="fa-IR"/>
        </w:rPr>
        <w:t>در حال حاضر متن روزنامه های قدیمی که برخی از آن ها به قرن هیجدهم نیز برمی گردد، به صورت برخط قابل جست و جو هستند کاربران می توانند این روزنامه ها را در کنار تصاویر هنری عکس ها رساله و پایان نامه های مرتبط کتاب ها و مقالات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نمایش محتوای روزنامه ها به این روش پیوندهای جدید برقرار خواهد شد و درهایی به سوی انواع جدید پژوهش، همکاری و تعاون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مزایای دیگری نیز دارد این که برخی رویکردها به کار گرفته می شود برای این که محتوای رقومی روزنامه ها افزایش یابد رویکردهایی شامل اُ سی آر، اُ ال آر، ان ای آر و نظام تشخیص رده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 مسائل فنی بهترین راه حل ها و پیشنهادات شناسایی و منتشر خواهد شد این مزیت بسیار خوبی برای شبکه های گسترده تر از جمله سی ای آر ال، سی ان ال ولايبر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هزینه های طرح های رقومی سازی روزنامه ها کاهش خواهد یافت و دسترس پذیری مجموعه های روزنامه های رقومی اکنون و آینده افزایش می یابد</w:t>
      </w:r>
      <w:r>
        <w:rPr>
          <w:rFonts w:eastAsia="IRNazanin" w:cs="IRNazanin"/>
          <w:color w:val="111111"/>
          <w:sz w:val="28"/>
          <w:szCs w:val="28"/>
          <w:rtl w:val="true"/>
          <w:lang w:bidi="fa-IR"/>
        </w:rPr>
        <w:t>.</w:t>
      </w:r>
    </w:p>
    <w:p>
      <w:pPr>
        <w:pStyle w:val="Heading3"/>
        <w:numPr>
          <w:ilvl w:val="2"/>
          <w:numId w:val="1"/>
        </w:numPr>
        <w:rPr/>
      </w:pPr>
      <w:bookmarkStart w:id="859" w:name="__RefHeading___Toc7766880_2870459653"/>
      <w:bookmarkStart w:id="860" w:name="_Toc315"/>
      <w:bookmarkEnd w:id="859"/>
      <w:r>
        <w:rPr>
          <w:rtl w:val="true"/>
        </w:rPr>
        <w:t>نتیجه گیری</w:t>
      </w:r>
      <w:bookmarkEnd w:id="86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های یوروپیانا بهترین شبکه ای بود که به نیاز بسیار عملی برای یک کارگزاری واحد برای کتابخانه های رقومی اروپایی پی برد و به بررسی آن پرداخت به این منظور شبکه ای از کتابخانه های مهم گردهم آمدند و با یک چشم انداز مشترک کار خود را آغاز کردند همکاری و تعاون کتابخانه های عضو این شبکه منبع و پایگاهی ایجاد کردند که ارزش فوق العاده و بالقوه ای نزد جامعه پژوهشگر دارد همچنین این طرح شرایط همکاری بین کتابخانه های پژوهشی و ملی را ایجاد کرده است بر پایه یک هدف و چشم انداز مشترک که ایجاد پیوند بین پژوهشگر و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قرار داده شده در کتابخانه های رقومی اروپایی غنی و متنوع است این برای روزنامه ها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فراهم نمودن محتوای رقومی و در دسترس قرار دادن آن است در زمانی که فناوری پالایش و پردازش داده ها به منظور بازیابی و نمایش متن کامل محتوا به روشی معنادار در حال توسعه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فرصتی عظیم برای پژوهشگران مهیا می کند برای این که تعامل داشته باشند و پیوندهای جدیدی بین منابع میراث فرهنگی غنی اروپا ترسیم کنند بسیار مایه مباهات است که این گونه شبکه ها و موسساتی که با یکدیگر فعالیت و همکاری می کنند می توانند نتایج نوآورانه بیافرینند، کارآیی را بهینه کنند و دسترس پذیری به اطلاعات را فراهم آورند چنین اقدامی آثار قابل توجهی خواهد داشت، نه فقط برای کتابخانه ها و یا حتی برای دسترس پذیری به میراث فرهنگی اروپایی بلکه برای هر کشوری در جهان که مخزن انبوهی از منابع فرهنگی مکتوب را در دل خود دارد</w:t>
      </w:r>
      <w:r>
        <w:rPr>
          <w:rFonts w:eastAsia="IRNazanin" w:cs="IRNazanin"/>
          <w:color w:val="111111"/>
          <w:sz w:val="28"/>
          <w:szCs w:val="28"/>
          <w:rtl w:val="true"/>
          <w:lang w:bidi="fa-IR"/>
        </w:rPr>
        <w:t xml:space="preserve">. </w:t>
      </w:r>
      <w:bookmarkStart w:id="861" w:name="pg9653_82124"/>
    </w:p>
    <w:p>
      <w:pPr>
        <w:pStyle w:val="Heading3"/>
        <w:numPr>
          <w:ilvl w:val="2"/>
          <w:numId w:val="1"/>
        </w:numPr>
        <w:rPr/>
      </w:pPr>
      <w:bookmarkStart w:id="862" w:name="__RefHeading___Toc7766882_2870459653"/>
      <w:bookmarkStart w:id="863" w:name="_Toc316"/>
      <w:bookmarkEnd w:id="861"/>
      <w:bookmarkEnd w:id="862"/>
      <w:r>
        <w:rPr>
          <w:rtl w:val="true"/>
        </w:rPr>
        <w:t>منابع</w:t>
      </w:r>
      <w:bookmarkEnd w:id="863"/>
    </w:p>
    <w:p>
      <w:pPr>
        <w:pStyle w:val="BookText"/>
        <w:rPr/>
      </w:pPr>
      <w:r>
        <w:rPr>
          <w:rFonts w:eastAsia="Times New Roman" w:cs="Times New Roman" w:ascii="Times New Roman" w:hAnsi="Times New Roman"/>
          <w:color w:val="111111"/>
          <w:sz w:val="28"/>
          <w:szCs w:val="28"/>
          <w:lang w:val="en-US" w:bidi="en-US"/>
        </w:rPr>
        <w:t>Bulger, Monica, et al., Reinventing Research? Information Practices in the Humanities. London: Research Information Network,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Christine L. Borgman. "The Digital Future is Now: A Call to Action for the</w:t>
      </w:r>
    </w:p>
    <w:p>
      <w:pPr>
        <w:pStyle w:val="BookText"/>
        <w:rPr/>
      </w:pPr>
      <w:r>
        <w:rPr>
          <w:rFonts w:eastAsia="Times New Roman" w:cs="Times New Roman" w:ascii="Times New Roman" w:hAnsi="Times New Roman"/>
          <w:color w:val="111111"/>
          <w:sz w:val="28"/>
          <w:szCs w:val="28"/>
          <w:lang w:val="en-US" w:bidi="en-US"/>
        </w:rPr>
        <w:t>Humanities" Digital Humanities Quarterly 4.1 (2010). Available at: http://works.bepress.com/borgman/233</w:t>
      </w:r>
    </w:p>
    <w:p>
      <w:pPr>
        <w:pStyle w:val="BookText"/>
        <w:rPr/>
      </w:pPr>
      <w:r>
        <w:rPr>
          <w:rFonts w:eastAsia="Times New Roman" w:cs="Times New Roman" w:ascii="Times New Roman" w:hAnsi="Times New Roman"/>
          <w:color w:val="111111"/>
          <w:sz w:val="28"/>
          <w:szCs w:val="28"/>
          <w:lang w:val="en-US" w:bidi="en-US"/>
        </w:rPr>
        <w:t>De Rosa, Cathy et al. 2005. Perceptions of Libraries and Information Resources: A</w:t>
      </w:r>
    </w:p>
    <w:p>
      <w:pPr>
        <w:pStyle w:val="BookText"/>
        <w:rPr/>
      </w:pPr>
      <w:r>
        <w:rPr>
          <w:rFonts w:eastAsia="Times New Roman" w:cs="Times New Roman" w:ascii="Times New Roman" w:hAnsi="Times New Roman"/>
          <w:color w:val="111111"/>
          <w:sz w:val="28"/>
          <w:szCs w:val="28"/>
          <w:lang w:val="en-US" w:bidi="en-US"/>
        </w:rPr>
        <w:t>Report to the OCLC Membership. Dublin, Ohio: OCLC. http://www.oclc.org/reports/2005perceptions.htm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European Commission, Maurice Lévy, Elisabeth Niggemann, and Jacques de Decker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New Renaissance. Brussels: European Commission,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http://ec.europa.eu/information_society/activities/digital_libraries/doc/ reflection_group/final_report_%20cds.pdf Europeana (2012) Retrieved from http://www.europeana.eu on 19th April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Europeana Libraries (2012), Retrieved from http://www.europeana-libraries. eu, on 9th March 2012. 19th</w:t>
      </w:r>
    </w:p>
    <w:p>
      <w:pPr>
        <w:pStyle w:val="BookText"/>
        <w:rPr/>
      </w:pPr>
      <w:r>
        <w:rPr>
          <w:rFonts w:eastAsia="Times New Roman" w:cs="Times New Roman" w:ascii="Times New Roman" w:hAnsi="Times New Roman"/>
          <w:color w:val="111111"/>
          <w:sz w:val="28"/>
          <w:szCs w:val="28"/>
          <w:lang w:val="en-US" w:bidi="en-US"/>
        </w:rPr>
        <w:t>Europeana Travel (2012), Retrieved from http://www.europeanatravel.eu/ on April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IMPACT, Retrieved from http://www.impact-project.eu/ on 19th April 2012</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European Library (2012), Retrieved from http://www.theeuropeanlibrary. org on 9th March 2012</w:t>
      </w:r>
      <w:r>
        <w:rPr>
          <w:rFonts w:eastAsia="Times New Roman" w:cs="Times New Roman" w:ascii="Times New Roman" w:hAnsi="Times New Roman"/>
          <w:color w:val="111111"/>
          <w:sz w:val="28"/>
          <w:szCs w:val="28"/>
          <w:rtl w:val="true"/>
          <w:lang w:val="en-US" w:bidi="en-US"/>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4" w:name="pg9653_82126"/>
      <w:bookmarkStart w:id="865" w:name="pg9653_82126"/>
      <w:bookmarkEnd w:id="865"/>
    </w:p>
    <w:p>
      <w:pPr>
        <w:pStyle w:val="Heading2"/>
        <w:numPr>
          <w:ilvl w:val="1"/>
          <w:numId w:val="1"/>
        </w:numPr>
        <w:rPr/>
      </w:pPr>
      <w:bookmarkStart w:id="866" w:name="pg9653_82126"/>
      <w:bookmarkStart w:id="867" w:name="__RefHeading___Toc7766884_2870459653"/>
      <w:bookmarkStart w:id="868" w:name="_Toc317"/>
      <w:bookmarkEnd w:id="866"/>
      <w:bookmarkEnd w:id="867"/>
      <w:r>
        <w:rPr>
          <w:rtl w:val="true"/>
        </w:rPr>
        <w:t>چکیده</w:t>
      </w:r>
      <w:bookmarkEnd w:id="868"/>
    </w:p>
    <w:p>
      <w:pPr>
        <w:pStyle w:val="BookText"/>
        <w:rPr/>
      </w:pPr>
      <w:r>
        <w:rPr>
          <w:rFonts w:ascii="IRNazanin" w:hAnsi="IRNazanin" w:eastAsia="IRNazanin"/>
          <w:color w:val="111111"/>
          <w:sz w:val="28"/>
          <w:sz w:val="28"/>
          <w:szCs w:val="28"/>
          <w:rtl w:val="true"/>
          <w:lang w:bidi="fa-IR"/>
        </w:rPr>
        <w:t>در چند سال اخیر مسئله مراقبت از داده های پژوهشی به موضوعی مورد توجه در جوامع علمی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درک مشخصی از چگونگی انجام این کار وجود ندارد در خصوص این وضعیت در کشور آلمان، هیچ تصویر مشخصی از روش های به کار گرفته شده توسط رشته های مختلف دانشگاهی در نگهداری و مراقبت از داده های پژوهشی در دست نبود، و حتی هیچ درک و توافق مشخصی در خصوص نقش کتابخانه ها در انجام این کار وجود نداشت مطالعه پایه ای با همکاری نستور </w:t>
      </w:r>
      <w:r>
        <w:rPr>
          <w:rStyle w:val="FootnoteAnchor"/>
          <w:rtl w:val="true"/>
        </w:rPr>
        <w:footnoteReference w:id="1175"/>
      </w:r>
      <w:r>
        <w:rPr>
          <w:rFonts w:ascii="IRNazanin" w:hAnsi="IRNazanin" w:eastAsia="IRNazanin"/>
          <w:color w:val="111111"/>
          <w:sz w:val="28"/>
          <w:sz w:val="28"/>
          <w:szCs w:val="28"/>
          <w:rtl w:val="true"/>
          <w:lang w:bidi="fa-IR"/>
        </w:rPr>
        <w:t xml:space="preserve">و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در آلمان انجام گرفت این مطالعه داده های پایدارتری را در اختیار دانشمندان کارشناسان زیرساخت های ارائه خدمات و سیاستمداران قرار می دهد تا مفاهیم راهبردی را جهت مراقبت و نگهداری رقومی در بین رشته ها ترویج دهند این نظر، سنجی یازده رشته از جمله علوم انسانی، علوم اجتماعی روانشناسی ،زبان آموزش و پرورش مطالعات سنتی زمین شناسی پژوهش های آب و هوا تنوع زیستی فیزیک ذرات نجوم و پزشکی را مخاطب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حاصله را می توان کم و بیش بیانگر این وضعیت در آلمان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 ها نشان می دهد که کتابخانه ها و مراکز داده ای در این فرایند مراقبت و نگهداری همکاری می کنند اما درباره نقشی که کتابخانه ها باید در این حوزه داشته باشند یا خواهند داشت هیچ نتیجه آشکاری وجود ندارد کتابخانه هایی که با دانشمندان ارتباط نزدیک دارند از مزیتی برخوردارند که از آن ها به عنوان مؤسسات مسئول در مراقبت و نگهداری رقومی داده ها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های کتابدار در خصوص داده های پژوهشی هنوز باید ارزیابی شود با وجود این، خود دانشمندان و مراکز داده های پژوهشی احتمالاً به تخصص کتابدار در خصوص کاربرد استانداردهای فراداده ای و ارائه خدمات در ارتباط با داده های پژوهشی که این مؤسسات از آن ها نگهداری می کنند نیاز دارند تعیین صلاحیت و آموزش در خصوص نگهداری از داده های پژوهشی همچنان در ابتدای راه است و دانشگاه ها باید برنامه هایی را به این امر اختصاص دهند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پژوهش ها، آلمان، حفاظت رقومی </w:t>
      </w:r>
      <w:bookmarkStart w:id="869" w:name="pg9653_82127"/>
    </w:p>
    <w:p>
      <w:pPr>
        <w:pStyle w:val="Heading2"/>
        <w:numPr>
          <w:ilvl w:val="1"/>
          <w:numId w:val="1"/>
        </w:numPr>
        <w:rPr/>
      </w:pPr>
      <w:bookmarkStart w:id="870" w:name="__RefHeading___Toc7766886_2870459653"/>
      <w:bookmarkStart w:id="871" w:name="_Toc318"/>
      <w:bookmarkEnd w:id="869"/>
      <w:bookmarkEnd w:id="870"/>
      <w:r>
        <w:rPr>
          <w:rtl w:val="true"/>
        </w:rPr>
        <w:t>نقش کتابخانه ها در نگهداری و مراقبت از داده های پژوهشی در آلمان</w:t>
      </w:r>
      <w:r>
        <w:rPr>
          <w:rtl w:val="true"/>
        </w:rPr>
        <w:t xml:space="preserve">: </w:t>
      </w:r>
      <w:r>
        <w:rPr>
          <w:rtl w:val="true"/>
        </w:rPr>
        <w:t>یافته های یک مطالعه</w:t>
      </w:r>
      <w:bookmarkEnd w:id="871"/>
    </w:p>
    <w:p>
      <w:pPr>
        <w:pStyle w:val="Heading3"/>
        <w:numPr>
          <w:ilvl w:val="2"/>
          <w:numId w:val="1"/>
        </w:numPr>
        <w:rPr/>
      </w:pPr>
      <w:bookmarkStart w:id="872" w:name="__RefHeading___Toc7766888_2870459653"/>
      <w:bookmarkStart w:id="873" w:name="_Toc319"/>
      <w:bookmarkEnd w:id="872"/>
      <w:r>
        <w:rPr>
          <w:rtl w:val="true"/>
        </w:rPr>
        <w:t>اشاره</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کتابخانه ها در نگهداری و مراقبت از داده های پژوهشی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یک مطالعه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نوشته اَشیم اُسوالد </w:t>
      </w:r>
      <w:r>
        <w:rPr>
          <w:rStyle w:val="FootnoteAnchor"/>
          <w:rtl w:val="true"/>
        </w:rPr>
        <w:footnoteReference w:id="1178"/>
      </w:r>
      <w:r>
        <w:rPr>
          <w:rFonts w:ascii="IRNazanin" w:hAnsi="IRNazanin" w:eastAsia="IRNazanin"/>
          <w:color w:val="111111"/>
          <w:sz w:val="28"/>
          <w:sz w:val="28"/>
          <w:szCs w:val="28"/>
          <w:rtl w:val="true"/>
          <w:lang w:bidi="fa-IR"/>
        </w:rPr>
        <w:t xml:space="preserve">استفان استراثمن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مهدی طاهری </w:t>
      </w:r>
      <w:r>
        <w:rPr>
          <w:rStyle w:val="FootnoteAnchor"/>
          <w:rtl w:val="true"/>
        </w:rPr>
        <w:footnoteReference w:id="1180"/>
      </w:r>
      <w:r>
        <w:rPr>
          <w:rFonts w:ascii="IRNazanin" w:hAnsi="IRNazanin" w:eastAsia="IRNazanin"/>
          <w:color w:val="111111"/>
          <w:sz w:val="28"/>
          <w:sz w:val="28"/>
          <w:szCs w:val="28"/>
          <w:rtl w:val="true"/>
          <w:lang w:bidi="fa-IR"/>
        </w:rPr>
        <w:t xml:space="preserve">سید محمد موسوی </w:t>
      </w:r>
      <w:r>
        <w:rPr>
          <w:rStyle w:val="FootnoteAnchor"/>
          <w:rtl w:val="true"/>
        </w:rPr>
        <w:footnoteReference w:id="1181"/>
      </w:r>
    </w:p>
    <w:p>
      <w:pPr>
        <w:pStyle w:val="Heading3"/>
        <w:numPr>
          <w:ilvl w:val="2"/>
          <w:numId w:val="1"/>
        </w:numPr>
        <w:rPr/>
      </w:pPr>
      <w:bookmarkStart w:id="874" w:name="__RefHeading___Toc7766890_2870459653"/>
      <w:bookmarkStart w:id="875" w:name="_Toc320"/>
      <w:bookmarkEnd w:id="874"/>
      <w:r>
        <w:rPr>
          <w:rtl w:val="true"/>
        </w:rPr>
        <w:t>مقدمه</w:t>
      </w:r>
      <w:bookmarkEnd w:id="87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اخیر پژوهشگران نهادهای پژوهشی و نیروهای سیاسی تأکید کرده اند که گسترش ارتباط داده های پژوهشی برای پژوهش و توسعه نه تنها فرایندهای مربوط به این داده ها را بلکه صلاحیت های مورد نیاز برای انجام این وظایف را تحت تأثیر قرار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آر 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ان اس بی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آر آی ان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اُ ای سی دی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نمایندگی از طرف کمیسیون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کارشناسان رده بالا در باره داده های علمی،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کلی توانایی ها در گردآوری، توصیف و پردازش داده های پژوهشی به ارائه پیشنهادهایی برای این وظایف منجر شده است که کتابخانه ها و کتابداران باید آن ها را احراز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دانللی،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گُلد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 xml:space="preserve">الف؛ گُلد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گُلد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جونز،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 xml:space="preserve">ریومپل،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سوان و براون،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 xml:space="preserve">تا کنون بحث در خصوص این پیشنهادها، </w:t>
      </w:r>
    </w:p>
    <w:p>
      <w:pPr>
        <w:pStyle w:val="BookText"/>
        <w:rPr/>
      </w:pPr>
      <w:r>
        <w:rPr>
          <w:rFonts w:ascii="IRNazanin" w:hAnsi="IRNazanin" w:eastAsia="IRNazanin"/>
          <w:color w:val="111111"/>
          <w:sz w:val="28"/>
          <w:sz w:val="28"/>
          <w:szCs w:val="28"/>
          <w:rtl w:val="true"/>
          <w:lang w:bidi="fa-IR"/>
        </w:rPr>
        <w:t xml:space="preserve">جنبش گسترده ای را در ارائه برنامه درسی جدید یا اصلاح آن در رشته علوم کتابداری و اطلاع رسانی سبب نگردیده است به نظر می رسد که این مسئله در کشور آلمان و نیز بیشتر کشورهای انگلیسی زبان که برخی انتظارت جزئی این قانون برانگیخته است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پامپل، </w:t>
      </w:r>
      <w:r>
        <w:rPr>
          <w:rStyle w:val="FootnoteAnchor"/>
          <w:rtl w:val="true"/>
        </w:rPr>
        <w:footnoteReference w:id="1188"/>
      </w:r>
      <w:r>
        <w:rPr>
          <w:rFonts w:ascii="IRNazanin" w:hAnsi="IRNazanin" w:eastAsia="IRNazanin"/>
          <w:color w:val="111111"/>
          <w:sz w:val="28"/>
          <w:sz w:val="28"/>
          <w:szCs w:val="28"/>
          <w:rtl w:val="true"/>
          <w:lang w:bidi="fa-IR"/>
        </w:rPr>
        <w:t xml:space="preserve">برتلمن </w:t>
      </w:r>
      <w:r>
        <w:rPr>
          <w:rStyle w:val="FootnoteAnchor"/>
          <w:rtl w:val="true"/>
        </w:rPr>
        <w:footnoteReference w:id="1189"/>
      </w:r>
      <w:r>
        <w:rPr>
          <w:rFonts w:ascii="IRNazanin" w:hAnsi="IRNazanin" w:eastAsia="IRNazanin"/>
          <w:color w:val="111111"/>
          <w:sz w:val="28"/>
          <w:sz w:val="28"/>
          <w:szCs w:val="28"/>
          <w:rtl w:val="true"/>
          <w:lang w:bidi="fa-IR"/>
        </w:rPr>
        <w:t xml:space="preserve">و هوبوم،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پایران </w:t>
      </w:r>
      <w:r>
        <w:rPr>
          <w:rStyle w:val="FootnoteAnchor"/>
          <w:rtl w:val="true"/>
        </w:rPr>
        <w:footnoteReference w:id="1191"/>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تعیین قابلیت های مربوط به نگهداری داده های پژوهشی تفاوت بین قابلیت ها و توانایی های عمومی و مبتنی بر حوزه را باید مد نظر داشت تا به حال بخش عمده قابلیت های عمومی در خصوص داده های پژوهشی و نگهداری از آن ها ارزیابی و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مقدماتی نگهداری و مراقبت از داده های پژوهشی رشته هایی از زنجیره فعالیت های عمومی هستند که تحت تأثیر جنبه های مبتنی بر حوزه مانند نوع و حجم داده ها قالب آن ها و غیره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مسئله به موضوعی برای پژوهش و مطالعات موردی تبدیل شده است که حوزه مراقبت از داده ها را به چالش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مطالعه پایه ای با ارزیابی وضعیت فعلی فعالیت های صورت گرفته در حوزه مراقبت و حفاظت رقومی داده های پژوهشی در یازده رشته پژوهش محور در آلمان می تواند مثالی برای چنین مطالعاتی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در نیمه اول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Style w:val="FootnoteAnchor"/>
          <w:rtl w:val="true"/>
        </w:rPr>
        <w:footnoteReference w:id="119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مطالعه را یک گروه پژوهشی از نستور </w:t>
      </w:r>
      <w:r>
        <w:rPr>
          <w:rStyle w:val="FootnoteAnchor"/>
          <w:rtl w:val="true"/>
        </w:rPr>
        <w:footnoteReference w:id="1193"/>
      </w:r>
      <w:r>
        <w:rPr>
          <w:rFonts w:ascii="IRNazanin" w:hAnsi="IRNazanin" w:eastAsia="IRNazanin"/>
          <w:color w:val="111111"/>
          <w:sz w:val="28"/>
          <w:sz w:val="28"/>
          <w:szCs w:val="28"/>
          <w:rtl w:val="true"/>
          <w:lang w:bidi="fa-IR"/>
        </w:rPr>
        <w:t>با همکاری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نستور مجموعه توانایی ها در نگهداری دیجیتال در کشور آلمان است و دیگراید جی ام بی اچ سازمان غیر انتفاعی با مسئولیت محدود است که توسط وزارت آموزش و پرورش و پژوهش آلمان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 xml:space="preserve">این مطالعه با حمایت دانشمندان رشته های مورد نظر یازده رشته از جمله علوم انسانی، علوم اجتماعی، روانشناسی زبان، آموزش و پرورش، مطالعات سنتی، زمین شناسی، </w:t>
      </w:r>
      <w:bookmarkStart w:id="876" w:name="pg9653_82129"/>
    </w:p>
    <w:p>
      <w:pPr>
        <w:pStyle w:val="BookText"/>
        <w:rPr/>
      </w:pPr>
      <w:bookmarkEnd w:id="876"/>
      <w:r>
        <w:rPr>
          <w:rFonts w:ascii="IRNazanin" w:hAnsi="IRNazanin" w:eastAsia="IRNazanin"/>
          <w:color w:val="111111"/>
          <w:sz w:val="28"/>
          <w:sz w:val="28"/>
          <w:szCs w:val="28"/>
          <w:rtl w:val="true"/>
          <w:lang w:bidi="fa-IR"/>
        </w:rPr>
        <w:t xml:space="preserve">تحقیقات آب و هوا تنوع زیستی فیزیک ذرات نجوم و پزشکی مخاطب در بر می گیرد دلیل انتخاب این رشته ها آن است که تقریبا هر نوع داده پژوهشی را می توان به این رشته ها ارتباط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مقایسه به آن اس بی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این نظر سنجی در قالب گزارشی درباره وضعیت امور در یازده رشته یاد شده به چاپ رسیده است این نتایج خلاصه شدند و پیشنهادهایی برای فعالیت در حوزه هایی نظیر سیاست آموزش یا تحصیلات تکمیلی برای کتابداران و خدمات ارائه شده به کتابخانه ها بیان داشتند</w:t>
      </w:r>
      <w:r>
        <w:rPr>
          <w:rFonts w:eastAsia="IRNazanin" w:cs="IRNazanin"/>
          <w:color w:val="111111"/>
          <w:sz w:val="28"/>
          <w:szCs w:val="28"/>
          <w:rtl w:val="true"/>
          <w:lang w:bidi="fa-IR"/>
        </w:rPr>
        <w:t>.</w:t>
      </w:r>
    </w:p>
    <w:p>
      <w:pPr>
        <w:pStyle w:val="Heading3"/>
        <w:numPr>
          <w:ilvl w:val="2"/>
          <w:numId w:val="1"/>
        </w:numPr>
        <w:rPr/>
      </w:pPr>
      <w:bookmarkStart w:id="877" w:name="__RefHeading___Toc7766892_2870459653"/>
      <w:bookmarkStart w:id="878" w:name="_Toc321"/>
      <w:bookmarkEnd w:id="877"/>
      <w:r>
        <w:rPr>
          <w:rtl w:val="true"/>
        </w:rPr>
        <w:t>نتایج مطالعه پایه ای نستور درباره مراقبت و حفاظت رقومی از داده های پژوهشی در آلمان</w:t>
      </w:r>
      <w:bookmarkEnd w:id="878"/>
    </w:p>
    <w:p>
      <w:pPr>
        <w:pStyle w:val="BookText"/>
        <w:rPr/>
      </w:pPr>
      <w:r>
        <w:rPr>
          <w:rFonts w:ascii="IRNazanin" w:hAnsi="IRNazanin" w:eastAsia="IRNazanin"/>
          <w:color w:val="111111"/>
          <w:sz w:val="28"/>
          <w:sz w:val="28"/>
          <w:szCs w:val="28"/>
          <w:rtl w:val="true"/>
          <w:lang w:bidi="fa-IR"/>
        </w:rPr>
        <w:t>این مطالعه ،پایه ای داده های ثابتی را در اختیار دانشمندان کارشناسان زیر ساخت های ارائه خدمات و سیاستمداران قرار می دهند تا مفاهیم راهبردی را برای مراقبت و حفاظت رقومی در بین رشته ها ترویج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به عنوان اثر جانبی فرایندها و قابلیت های مورد نیاز این فعالیت ها را با مثال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پرسش های مرتبط برای کتابداران و جامعه علوم کتابداری و اطلاع رسانی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ساختارهای مشارکتی هم اکنون وجود دارند و کتابخانه ها چه نقشی در این همکاری ها ایفا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مفاهیم عمومی و نقش های کتابخانه ها و کتابداران در زمینه مراقبت از داده ها تعریف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ها و مهارت های مورد نیاز کتابداران به منظور ارتقای کیفیت فعالیت های نگهداری داده ها کدامند؟</w:t>
      </w:r>
    </w:p>
    <w:p>
      <w:pPr>
        <w:pStyle w:val="BookText"/>
        <w:rPr/>
      </w:pPr>
      <w:r>
        <w:rPr>
          <w:rFonts w:ascii="IRNazanin" w:hAnsi="IRNazanin" w:eastAsia="IRNazanin"/>
          <w:color w:val="111111"/>
          <w:sz w:val="28"/>
          <w:sz w:val="28"/>
          <w:szCs w:val="28"/>
          <w:rtl w:val="true"/>
          <w:lang w:bidi="fa-IR"/>
        </w:rPr>
        <w:t>نتایج این مطالعه پایه ای نشان می دهد که حداقل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کارشناسان تمامی رشته های مورد نظر بر ارتباط داده های پژوهشی تأکید تأکید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اشتراک گذاری داده ها و سرمایه گذاری در زمان و منابع برای پردازش داده های پژوهشی تا به حال به این صورت متداول نبوده است آگاهی در خصوص ارتباط اشتراک داده ها در علوم، جامعه و مؤسسات زیر ساختی پیش شرطی برای پیشرفت های بعدی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داده ها جنبه های عمومی دارد همکاری میان گروه های درگیر اثر بخشی و کارایی مدیریت داده ها را بهبود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مؤسسات زیر ساختی نظیر کتابخانه ها و مراکز رایانه ای در چنین فعالیت هایی مشترک همکار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به حال نقش این مراکز مشخصا تعریف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بخش مهم در مدیریت داده ها پشتیبانی و ذخیره داده های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w:t>
      </w:r>
      <w:bookmarkStart w:id="879" w:name="pg9653_82130"/>
    </w:p>
    <w:p>
      <w:pPr>
        <w:pStyle w:val="BookText"/>
        <w:rPr/>
      </w:pPr>
      <w:bookmarkEnd w:id="879"/>
      <w:r>
        <w:rPr>
          <w:rFonts w:ascii="IRNazanin" w:hAnsi="IRNazanin" w:eastAsia="IRNazanin"/>
          <w:color w:val="111111"/>
          <w:sz w:val="28"/>
          <w:sz w:val="28"/>
          <w:szCs w:val="28"/>
          <w:rtl w:val="true"/>
          <w:lang w:bidi="fa-IR"/>
        </w:rPr>
        <w:t>بخش تخصصی این فرایند اساسا وظیفه به خوبی سازماندهی شده است و توسط مراکز رایانه ای انجام می گیرد توصیف فراداده ای این فرایندها و داده های ذخیره شده تا به حال در اولویت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 دو فعالیت پیش شرطی برای به اشتراک گذاری داده ها و استفاده از آن ها توسط طرف 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مؤسسات درگیر با کاربست اقداماتی برای نگهداری از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اقداماتی که پیش از این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سرمایه گذاری تخصصی و سازمانی را در دراز مدت کاهش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شناسگرهای دائمی و فراداده ای به منظور ارائه ارجاع و استناد داده های پژوهشی مهم قلمداد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درک و حمایت این ،وظایف به دانش مبتنی بر حوزه و نیز توانایی هایی عمومی متخصصان علوم کتابداری و اطلاع رسانی نیاز است</w:t>
      </w:r>
      <w:r>
        <w:rPr>
          <w:rFonts w:eastAsia="IRNazanin" w:cs="IRNazanin"/>
          <w:color w:val="111111"/>
          <w:sz w:val="28"/>
          <w:szCs w:val="28"/>
          <w:rtl w:val="true"/>
          <w:lang w:bidi="fa-IR"/>
        </w:rPr>
        <w:t>.</w:t>
      </w:r>
    </w:p>
    <w:p>
      <w:pPr>
        <w:pStyle w:val="Heading3"/>
        <w:numPr>
          <w:ilvl w:val="2"/>
          <w:numId w:val="1"/>
        </w:numPr>
        <w:rPr/>
      </w:pPr>
      <w:bookmarkStart w:id="880" w:name="__RefHeading___Toc7766894_2870459653"/>
      <w:bookmarkStart w:id="881" w:name="_Toc322"/>
      <w:bookmarkEnd w:id="880"/>
      <w:r>
        <w:rPr>
          <w:rtl w:val="true"/>
        </w:rPr>
        <w:t>جدیدترین گزارش یا چگونه این نتایج با نتایج حاصل از پژوهش های صورت گرفته در کشورهای دیگر همخوانی دارد؟</w:t>
      </w:r>
      <w:bookmarkEnd w:id="881"/>
    </w:p>
    <w:p>
      <w:pPr>
        <w:pStyle w:val="BookText"/>
        <w:rPr/>
      </w:pPr>
      <w:r>
        <w:rPr>
          <w:rFonts w:ascii="IRNazanin" w:hAnsi="IRNazanin" w:eastAsia="IRNazanin"/>
          <w:color w:val="111111"/>
          <w:sz w:val="28"/>
          <w:sz w:val="28"/>
          <w:szCs w:val="28"/>
          <w:rtl w:val="true"/>
          <w:lang w:bidi="fa-IR"/>
        </w:rPr>
        <w:t xml:space="preserve">برای دستیابی به دیدگاهی وسیع تر در مورد این موضوع یافته های به دست آمده از مطالعه یاد شده در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نیورت </w:t>
      </w:r>
      <w:r>
        <w:rPr>
          <w:rStyle w:val="FootnoteAnchor"/>
          <w:rtl w:val="true"/>
        </w:rPr>
        <w:footnoteReference w:id="1195"/>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 یافته های مطالعات انتخاب شده مقایسه گردند با انجام این کار تصویری بین المللی از موضوع به دست می آید به علاوه کمک خواهد کرد تا به طور مثال نشان دهد کتابخانه ها و کتابداران می بایست یا می توانند کدام یک از وظایف مربوط به داده های پژوهشی را در آینده انجام دهند و چگونه کتابداران باید به صلاحیت انجام این وظیفه دست یابند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سوآن </w:t>
      </w:r>
      <w:r>
        <w:rPr>
          <w:rStyle w:val="FootnoteAnchor"/>
          <w:rtl w:val="true"/>
        </w:rPr>
        <w:footnoteReference w:id="1196"/>
      </w:r>
      <w:r>
        <w:rPr>
          <w:rFonts w:ascii="IRNazanin" w:hAnsi="IRNazanin" w:eastAsia="IRNazanin"/>
          <w:color w:val="111111"/>
          <w:sz w:val="28"/>
          <w:sz w:val="28"/>
          <w:szCs w:val="28"/>
          <w:rtl w:val="true"/>
          <w:lang w:bidi="fa-IR"/>
        </w:rPr>
        <w:t xml:space="preserve">و براون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گزارشی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 نقش و ساختار شغلی دانشمندان و مراقبان حوزه داده ارزیابی عملکرد کنونی و نیازهای آینده</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برای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گولد </w:t>
      </w:r>
      <w:r>
        <w:rPr>
          <w:rStyle w:val="FootnoteAnchor"/>
          <w:rtl w:val="true"/>
        </w:rPr>
        <w:footnoteReference w:id="1200"/>
      </w:r>
      <w:r>
        <w:rPr>
          <w:rFonts w:ascii="IRNazanin" w:hAnsi="IRNazanin" w:eastAsia="IRNazanin"/>
          <w:color w:val="111111"/>
          <w:sz w:val="28"/>
          <w:sz w:val="28"/>
          <w:szCs w:val="28"/>
          <w:rtl w:val="true"/>
          <w:lang w:bidi="fa-IR"/>
        </w:rPr>
        <w:t xml:space="preserve">مقاله زمینه ای را برای سخنرانی در اتحادیه ژئوفیزیک آمریکا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 و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رساند که این مقاله، جدیدترین گزارش را درباره این موضوع از دیدگاه آمریکا ارائه می دهد رامپل و همکارانش نتایج این بحث بین المللی را نسبت به وضعیت آلمان به کار گرفتند و آن ها را به آن موقعیت انتقال دادند نتیجه گیری ها و پیشنهادات ایشان به مفهوم مدیریت داده ها و صلاحیت هایی </w:t>
      </w:r>
      <w:bookmarkStart w:id="882" w:name="pg9653_82131"/>
    </w:p>
    <w:p>
      <w:pPr>
        <w:pStyle w:val="BookText"/>
        <w:rPr/>
      </w:pPr>
      <w:bookmarkEnd w:id="882"/>
      <w:r>
        <w:rPr>
          <w:rFonts w:ascii="IRNazanin" w:hAnsi="IRNazanin" w:eastAsia="IRNazanin"/>
          <w:color w:val="111111"/>
          <w:sz w:val="28"/>
          <w:sz w:val="28"/>
          <w:szCs w:val="28"/>
          <w:rtl w:val="true"/>
          <w:lang w:bidi="fa-IR"/>
        </w:rPr>
        <w:t xml:space="preserve">که دانشگاه ها برای دانشمندان علوم اطلاعات دارند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رامپل،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باتنر </w:t>
      </w:r>
      <w:r>
        <w:rPr>
          <w:rStyle w:val="FootnoteAnchor"/>
          <w:rtl w:val="true"/>
        </w:rPr>
        <w:footnoteReference w:id="1201"/>
      </w:r>
      <w:r>
        <w:rPr>
          <w:rFonts w:ascii="IRNazanin" w:hAnsi="IRNazanin" w:eastAsia="IRNazanin"/>
          <w:color w:val="111111"/>
          <w:sz w:val="28"/>
          <w:sz w:val="28"/>
          <w:szCs w:val="28"/>
          <w:rtl w:val="true"/>
          <w:lang w:bidi="fa-IR"/>
        </w:rPr>
        <w:t xml:space="preserve">، رامپل و هوبوم،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تکمیلی و روزآمد در خصوص پیشرفت های انجام شده در ایالات متحده آمریکا و بریتانیا را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تجربیات مرتبط با فرایند مراقبت رقومی</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 xml:space="preserve">و نتایج مقدماتی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حافظان رقومی آموزش حرفه ای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کور وی</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طرح ای با بودجه مالی تایید شده توسط برنامه لئوناردو داوینچی کمیسیون اروپا به منظور ایجاد چهارچوب درسی برای آموزش شغلی در حرفه نگهداری رقومی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طرح مجموعه ای از افراد را گردهم می آورد تا به دسترس بودن آموزش شغلی را برای مراقبان رقومی در کتابخانه، آرشیو موزه و دیگر بخش های بافت میراث فرهنگی بپردازند و این امر برای توسعه مهارت های جدید با هدف مدیرت بلند مدت مجموعه های رقومی ضروری می نماید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http://www.digcur-education.org</w:t>
      </w:r>
    </w:p>
    <w:p>
      <w:pPr>
        <w:pStyle w:val="BookText"/>
        <w:rPr/>
      </w:pP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طرح دیگ کور وی با تأمین مالی برنامه لئوناردو داوینچی اتحادیه اروپا به منظور ایجاد چهارچوب برنامه درسی آموزش شغلی در رشته حفاظت رقومی انجام گرفت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کلی را در مورد وضعیت چهار کشور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دانمارک، آلمان، هلند و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در گراف و واجز،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گزارش شده توسط نظر سنجی پایه ای نستور در آلمان، با نتایج نظرسنجی های انجام گرفته در اروپا مربوط به طرح دیگ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کوروی و تبادل دانش همخوانی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سنجی نستور مانند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آشکاری به تقاضای روز افزون برای فعالیت هایی در حوزه نگهداری داده های پژوهشی دارد که از طرح های پژوهشی و نتایج بدست آمده توسط جامعه علمی منتج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مؤسسات مالی از فرصت هایی که ذخیره و نگهداری داده های پژوهشی برای آن ها، مؤسسات ایشان و به طور کلی برای علم در آینده خواهد داشت آگاهی می یابند</w:t>
      </w:r>
      <w:r>
        <w:rPr>
          <w:rFonts w:eastAsia="IRNazanin" w:cs="IRNazanin"/>
          <w:color w:val="111111"/>
          <w:sz w:val="28"/>
          <w:szCs w:val="28"/>
          <w:rtl w:val="true"/>
          <w:lang w:bidi="fa-IR"/>
        </w:rPr>
        <w:t>.</w:t>
      </w:r>
    </w:p>
    <w:p>
      <w:pPr>
        <w:pStyle w:val="Heading3"/>
        <w:numPr>
          <w:ilvl w:val="2"/>
          <w:numId w:val="1"/>
        </w:numPr>
        <w:rPr/>
      </w:pPr>
      <w:bookmarkStart w:id="883" w:name="__RefHeading___Toc7766896_2870459653"/>
      <w:bookmarkStart w:id="884" w:name="_Toc323"/>
      <w:bookmarkEnd w:id="883"/>
      <w:r>
        <w:rPr>
          <w:rtl w:val="true"/>
        </w:rPr>
        <w:t>در حال حاضر چه نوع ساختارهای مشارکتی وجود دارد و چه نقشی را کتابخانه ها در این مشارکت ها ایفا می کنند؟</w:t>
      </w:r>
      <w:bookmarkEnd w:id="88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اصل محرک علم است این اصل به طور کلی نه تنها در یازده رشته مورد توجه در نظرسنجی آلمان، بلکه در فعالیت های مراقبت و حفاظت رقومی در این رشته ها مورد استفاده قرار می گیرد بر اساس تقسیم کار در اکثر موارد فعالیت های حفظ و نگهداری مربوط به مؤسسات تخصصی نظیر مراکز پژوهشی و اطلاعات حوزه ای یا موضوعی و مراکز داده ای جهانی است در برخی موارد این وظیفه به بخش های خاصی در این مؤسسات با محوریت علوم کتابداری و اطلاع رسانی و اعضای متخصص در </w:t>
      </w:r>
      <w:bookmarkStart w:id="885" w:name="pg9653_82132"/>
    </w:p>
    <w:p>
      <w:pPr>
        <w:pStyle w:val="BookText"/>
        <w:rPr/>
      </w:pPr>
      <w:bookmarkEnd w:id="885"/>
      <w:r>
        <w:rPr>
          <w:rFonts w:ascii="IRNazanin" w:hAnsi="IRNazanin" w:eastAsia="IRNazanin"/>
          <w:color w:val="111111"/>
          <w:sz w:val="28"/>
          <w:sz w:val="28"/>
          <w:szCs w:val="28"/>
          <w:rtl w:val="true"/>
          <w:lang w:bidi="fa-IR"/>
        </w:rPr>
        <w:t>این زمینه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همکاری یکپارچه گروه ها و افراد متخصص درون این گروه های پژوهشی را شناسایی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فعالیت های این افراد یا گروه ها طبق اصول حرفه ای مورد توافق یا بدون آن ها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سوان و براون،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آلمان مؤسسات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نهادهای علمی مشارکت کتابخانه ها و مراکز رایانه ای را در زمینه مدیریت داده ها ارتقاء بخشیده اند اما این نقش به طور آشکار و به خوبی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نظر می رسد که نقش کتابخانه ها نسبت به نقش مراکز رایانه ای کمتر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اصلی مورد بحث نگهداری و ذخیره بلند مدت داده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برای مراقبت از داده های پژوهشی آن چنان که باید به طور کلی و از دیدگاه راهبردی باشد به خوبی درک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کتابخانه ها و کتابداران می توانند توانایی هایشان را در این حوزه در مشارکت با پژوهشگران و بخش های پژوهشی ابراز کنند و این موضوع باید با مباحث مفهومی نقش و توانایی های متخصصان علوم کتابداری و اطلاع رسانی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سیاسی انجام گرفته توسط یک برنامه عملیاتی که تأمین مالی شده است احتمالاً نتیجه مشارکت طرح تبادل دانش است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موجی برای موج سواری</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 xml:space="preserve">خطوط کلی چنین اقدامی را مشخص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دِر گراف و واجِز،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205"/>
      </w:r>
    </w:p>
    <w:p>
      <w:pPr>
        <w:pStyle w:val="Heading3"/>
        <w:numPr>
          <w:ilvl w:val="2"/>
          <w:numId w:val="1"/>
        </w:numPr>
        <w:rPr/>
      </w:pPr>
      <w:bookmarkStart w:id="886" w:name="__RefHeading___Toc7766898_2870459653"/>
      <w:bookmarkStart w:id="887" w:name="_Toc324"/>
      <w:bookmarkEnd w:id="886"/>
      <w:r>
        <w:rPr>
          <w:rtl w:val="true"/>
        </w:rPr>
        <w:t>آیا مفاهیم کلی یا نقش هایی در حوزه مراقبت از داده ها برای کتابخانه ها و کتابداران تعریف شده است؟</w:t>
      </w:r>
      <w:bookmarkEnd w:id="88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این پرسش، کورال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را در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متخصصان کتابخانه های رقومی و محتوای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که نقش های متخصصان حوزه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علوم کتابداری و اطلاع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متخصصان حوزه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رشته یا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متخصصان حوزه کانال های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فناوری اطلاعات و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می کند</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 xml:space="preserve">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های توسعه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مسئول تأکید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نماهایی از کارمندان حوزه اطلاعات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اسلاید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هیچ توافق آشکاری در خصوص نماهای شغلی حاصل از این فعالیت های جدید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مهارت های پژوهشی مبتنی بر داده برای افرادی ضروری بوده است که به عنوان های زیر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کنندگان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دانشمندان حوزه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بر تحلیل داده ها تمرکز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مسئولان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مسئولیت سازماندهی حفاظت از داده ها دسترسی به آن ها را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داده ها را گردآوری و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به شرایط و چهارچوب طرح ها و فعالیت ها بستگی خواهد داشت چنان چه این فعالیت ها را یک یا تا چهار فرد مختلف انجام دهند از دیدگاه یک متخصص، تمایز بین این نقشها و تصور آن ها در واقعیت قدری پیچیده به نظر می رسد با وجود این تمییز قائل شدن بین این نقش ها و نشان دادن آن ها به صورت نظری می تواند مفید واقع شود و به تعریف مهارت ها و مسئولیت های مربوطه در کل محیط نگهداری داده های پژوهشی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،باتنر رامپل و هوبوم، </w:t>
      </w:r>
      <w:r>
        <w:rPr>
          <w:rFonts w:eastAsia="IRNazanin" w:cs="IRNazanin"/>
          <w:color w:val="111111"/>
          <w:sz w:val="28"/>
          <w:szCs w:val="28"/>
          <w:lang w:bidi="fa-IR"/>
        </w:rPr>
        <w:t>2011</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نقش یاد شده در مدیریت داده ها را دانللی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مهارت های اصلی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و مشخص نموده است نقش های در نظر گرفته شده برای کتابداران و متخصصان دیگر وابسته به خصوصیت شخصی این ،افراد علایق ،آن ها خط مشی کتابخانه مورد نظر یا موسسه پژوهشی صداقت دانشمندان و پژوهشگران و در پایان به تخصیص منابع خواهد بود؛ و این مسئله همچنان مطرح است که آیا راه حل عمومی برای این پاسخ به این پرسش وجود دارد یا خیر؟ </w:t>
      </w:r>
    </w:p>
    <w:p>
      <w:pPr>
        <w:pStyle w:val="BookText"/>
        <w:rPr/>
      </w:pPr>
      <w:r>
        <w:rPr>
          <w:rFonts w:ascii="IRNazanin" w:hAnsi="IRNazanin" w:eastAsia="IRNazanin"/>
          <w:color w:val="111111"/>
          <w:sz w:val="28"/>
          <w:sz w:val="28"/>
          <w:szCs w:val="28"/>
          <w:rtl w:val="true"/>
          <w:lang w:bidi="fa-IR"/>
        </w:rPr>
        <w:t>مهارت های اصلی مدیریت داده ها</w:t>
      </w:r>
    </w:p>
    <w:p>
      <w:pPr>
        <w:pStyle w:val="BookText"/>
        <w:rPr/>
      </w:pPr>
      <w:r>
        <w:rPr>
          <w:rFonts w:ascii="IRNazanin" w:hAnsi="IRNazanin" w:eastAsia="IRNazanin"/>
          <w:color w:val="111111"/>
          <w:sz w:val="28"/>
          <w:sz w:val="28"/>
          <w:szCs w:val="28"/>
          <w:rtl w:val="true"/>
          <w:lang w:bidi="fa-IR"/>
        </w:rPr>
        <w:t xml:space="preserve">ادامه از دومین گردهمایی مدیریت داده های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اصلی مدیریت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دانللی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سوآن و براون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تأکید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های کلی وجود دارند که مهارت های فطری کتابداران را کنترل و مدیریت می کنند و می توان آن ها را جزئی از آموزش مهارت های اصلی پژوهشی در یک موسسه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رویکرد کاربردی را در پیش گرفتند آن ها سه حوزه عملیاتی را مطرح کردند که کتابداران می توانستند در پیشرفت ها موثر واقع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پژوهشگران به منظور دستیابی به آگاهی بیشتر آن ها از داده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 آرشیوها و نگهداری 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کتابداران بر فعالیت های جنبی تمرکز کرده اند که برنامه های سواد اطلاعاتی را به دانشجویان دوره کارشناسی ارائه می دهند در آینده آن ها با تقاضاهای بیشتری از جانب پژوهشگران و تمایل آن ها به تحت حمایت قرار گرفتن و شرکت در فعالیت های پژوهشی و نگهداری از داده های تولید شده در این بافت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راهبردی را در اختیار کتابخانه ها قرار می دهد تا موقعیت خود را با توجه به پژوهش مجدداً مشخص کنند</w:t>
      </w:r>
      <w:r>
        <w:rPr>
          <w:rFonts w:eastAsia="IRNazanin" w:cs="IRNazanin"/>
          <w:color w:val="111111"/>
          <w:sz w:val="28"/>
          <w:szCs w:val="28"/>
          <w:rtl w:val="true"/>
          <w:lang w:bidi="fa-IR"/>
        </w:rPr>
        <w:t xml:space="preserve">». </w:t>
      </w:r>
      <w:bookmarkStart w:id="888" w:name="pg9653_82135"/>
    </w:p>
    <w:p>
      <w:pPr>
        <w:pStyle w:val="BookText"/>
        <w:rPr/>
      </w:pPr>
      <w:bookmarkEnd w:id="888"/>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تأمین داده ها برای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آگاهی و تقاضا رو به افزایش است، تعداد کتابدارانی که در حوزه داده ها مهارت دارند، رو به کاهش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89" w:name="__RefHeading___Toc7766900_2870459653"/>
      <w:bookmarkStart w:id="890" w:name="_Toc325"/>
      <w:bookmarkEnd w:id="889"/>
      <w:r>
        <w:rPr>
          <w:rtl w:val="true"/>
        </w:rPr>
        <w:t>قابلیت ها و توانایی هایی ضروری مورد نیاز کتابداران به منظور ارتقای کیفیت فعالیت های مراقبت از داده ها کدامند؟</w:t>
      </w:r>
      <w:bookmarkEnd w:id="890"/>
    </w:p>
    <w:p>
      <w:pPr>
        <w:pStyle w:val="BookText"/>
        <w:rPr/>
      </w:pPr>
      <w:r>
        <w:rPr>
          <w:rFonts w:ascii="IRNazanin" w:hAnsi="IRNazanin" w:eastAsia="IRNazanin"/>
          <w:color w:val="111111"/>
          <w:sz w:val="28"/>
          <w:sz w:val="28"/>
          <w:szCs w:val="28"/>
          <w:rtl w:val="true"/>
          <w:lang w:bidi="fa-IR"/>
        </w:rPr>
        <w:t>مهارت های مرتبط با فعالیت های مراقبت از داده ها بر اساس سناریوهایی است که کتابداران با گروه های پژوهشی و فعالیت هایشان به خصوص در زمینه مدیریت داده ها مشاوره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کتابداران درج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شهرت دارند از مقررات حاکم بر رشته یا علمی خاص آگاهی دارند و می توانند در طرح های مربوطه همکاری کنند یکی از همکاری های مهم در این زمینه تأمین فراداده هایی میانکنش پذیر بر اساس استانداردهای فراداده ای و کاربست این استانداردها با توجه به طرح های پیچیده پژوهشی و داده های تولید شده و بهبود آن استانداردهاست مشخص کردن موارد کاربرد داده ها و نقش فعال در مراقبت از داده ها را مانند میراث به جا مانده از طرح می توان در فعالیت های کتابخانه ها و کتابداران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گنجاند اخیرا طرح دیگ کوروی در اروپا نتایج حاصل از یک نظر سنجی را ارائه داد و دیدگاهی گسترده تر را نسبت به این موضوع مطرح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 کوروی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دیگ کور وی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کور وی نشان می دهد که دانش کلی درباره مسائل مربوط به مراقبت و حفاظت رقومی به هنگام ارائه مقدمه ای کلی و توضیح نیازهای اساسی و چالش های این حوزه به همه کارمندان در همه سطوح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جز این دانش کلی، مهارت ها و قابلیت های زیر در رویدادهای آموزشی پوشش داده می شوند و احتمالاً به متخصصانی که در آن کار شرکت دارند یا سعی می کنند مشارکت داشته باشند بیشترین ارتباط را دارند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استانداردهای مراقبت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فراداده، پروتكل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ریزی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متخصصان در شناسایی مسائل و هدف های ضروری در برنامه ریزی و مدیریت طرح های حفاظت رقومی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مطالعه ای را در مورد برنامه های درسی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تا ببیند آیا نظر سوآن و براون همچنان مرتبط است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تعداد کمی از مدارس علوم کتابداری و اطلاع رسانی در حال حاضر مهارت هایی را آموزش می دهند که کتابداران آینده به آن ها نیاز خواهند داشت به عنوان نمونه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ای که در ایالات متحده آمریکا به آموزش علوم کتابداری و اطلاع رسانی می پردازند تنها تعداد اندکی از آن ها محتوای درسی مربوط به نگهداری دیجیتال پرا در دروس خود لحاظ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Embedded Librarians</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اظهار نظرها به ترتیب کاهش ارتباط ارائه می گردند تمامی نقل قول ها از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DigCurv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استخراج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فهم فنون مراقبت رقومی و به کارگیری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های مراقبت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اتخاذ تصمیم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مؤلف، آزادی قوانین حاکم بر اطلاعات، الزامات مربوط به حفاظت از داده ها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ابزارهای مراقبت و حفاظت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داف </w:t>
      </w:r>
      <w:r>
        <w:rPr>
          <w:rStyle w:val="FootnoteAnchor"/>
          <w:rtl w:val="true"/>
        </w:rPr>
        <w:footnoteReference w:id="1207"/>
      </w:r>
      <w:r>
        <w:rPr>
          <w:rFonts w:ascii="IRNazanin" w:hAnsi="IRNazanin" w:eastAsia="IRNazanin"/>
          <w:color w:val="111111"/>
          <w:sz w:val="28"/>
          <w:sz w:val="28"/>
          <w:szCs w:val="28"/>
          <w:rtl w:val="true"/>
          <w:lang w:bidi="fa-IR"/>
        </w:rPr>
        <w:t xml:space="preserve">، درام بورا </w:t>
      </w:r>
      <w:r>
        <w:rPr>
          <w:rStyle w:val="FootnoteAnchor"/>
          <w:rtl w:val="true"/>
        </w:rPr>
        <w:footnoteReference w:id="1208"/>
      </w:r>
      <w:r>
        <w:rPr>
          <w:rFonts w:ascii="IRNazanin" w:hAnsi="IRNazanin" w:eastAsia="IRNazanin"/>
          <w:color w:val="111111"/>
          <w:sz w:val="28"/>
          <w:sz w:val="28"/>
          <w:szCs w:val="28"/>
          <w:rtl w:val="true"/>
          <w:lang w:bidi="fa-IR"/>
        </w:rPr>
        <w:t xml:space="preserve">، دی ام پی </w:t>
      </w:r>
      <w:r>
        <w:rPr>
          <w:rStyle w:val="FootnoteAnchor"/>
          <w:rtl w:val="true"/>
        </w:rPr>
        <w:footnoteReference w:id="1209"/>
      </w:r>
      <w:r>
        <w:rPr>
          <w:rFonts w:ascii="IRNazanin" w:hAnsi="IRNazanin" w:eastAsia="IRNazanin"/>
          <w:color w:val="111111"/>
          <w:sz w:val="28"/>
          <w:sz w:val="28"/>
          <w:szCs w:val="28"/>
          <w:rtl w:val="true"/>
          <w:lang w:bidi="fa-IR"/>
        </w:rPr>
        <w:t xml:space="preserve">، پلاتو </w:t>
      </w:r>
      <w:r>
        <w:rPr>
          <w:rStyle w:val="FootnoteAnchor"/>
          <w:rtl w:val="true"/>
        </w:rPr>
        <w:footnoteReference w:id="1210"/>
      </w:r>
      <w:r>
        <w:rPr>
          <w:rFonts w:ascii="IRNazanin" w:hAnsi="IRNazanin" w:eastAsia="IRNazanin"/>
          <w:color w:val="111111"/>
          <w:sz w:val="28"/>
          <w:sz w:val="28"/>
          <w:szCs w:val="28"/>
          <w:rtl w:val="true"/>
          <w:lang w:bidi="fa-IR"/>
        </w:rPr>
        <w:t xml:space="preserve">، پلاتر </w:t>
      </w:r>
      <w:r>
        <w:rPr>
          <w:rStyle w:val="FootnoteAnchor"/>
          <w:rtl w:val="true"/>
        </w:rPr>
        <w:footnoteReference w:id="121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و تأیید منابع رقومی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لازم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و معیارهایی برای منابع رقومی قابل اعتماد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استنادهای دیگ کور وی،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مقایسه یافته های پژوهش های انجام شده در اروپا با نتایج حاصل از پژوهش های صورت گرفته در قاره های دیگر، به پژوهش هایی در آینده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اصلی گنجانده شده در رویدادهای آموزشی </w:t>
      </w:r>
      <w:bookmarkStart w:id="891" w:name="pg9653_82137"/>
    </w:p>
    <w:p>
      <w:pPr>
        <w:pStyle w:val="Heading3"/>
        <w:numPr>
          <w:ilvl w:val="2"/>
          <w:numId w:val="1"/>
        </w:numPr>
        <w:rPr/>
      </w:pPr>
      <w:bookmarkStart w:id="892" w:name="__RefHeading___Toc7766902_2870459653"/>
      <w:bookmarkStart w:id="893" w:name="_Toc326"/>
      <w:bookmarkEnd w:id="891"/>
      <w:bookmarkEnd w:id="892"/>
      <w:r>
        <w:rPr>
          <w:rtl w:val="true"/>
        </w:rPr>
        <w:t>نتیجه گیری</w:t>
      </w:r>
      <w:bookmarkEnd w:id="893"/>
    </w:p>
    <w:p>
      <w:pPr>
        <w:pStyle w:val="BookText"/>
        <w:rPr/>
      </w:pPr>
      <w:r>
        <w:rPr>
          <w:rFonts w:ascii="IRNazanin" w:hAnsi="IRNazanin" w:eastAsia="IRNazanin"/>
          <w:color w:val="111111"/>
          <w:sz w:val="28"/>
          <w:sz w:val="28"/>
          <w:szCs w:val="28"/>
          <w:rtl w:val="true"/>
          <w:lang w:bidi="fa-IR"/>
        </w:rPr>
        <w:t xml:space="preserve">یافته های به دست آمده از این مطالعه در آلمان، درباره مراقبت و حفاظت داده های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نیورت و دیگران،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یافته های به دست آمده از پژوهش های اخیری که طرح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کور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 همخوانی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گسترده ای از وظایف مرتبط با کنترل و مراقبت از داده های پژوهشی وجود دارند که به ایجاد تقاضا برای لحاظ قابلیت های خاص و به منظور دستیابی به آن ها منتهی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قابلیت ها با حوزه ایجاد و مدیریت فراداده ها ویژگی های قالب ها و دانش مربوط به قالب های خاص، ابزار و فنون پردازش و تحویل داده های پژوهشی و روندها و فرایندهایی برای امکان به اشتراک گذاری و استفاده از داده های پژوهشی در آینده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این نوع مهارت ها و خدمات به ندرت از سوی کتابداران احراز می شده است زیرا واحدهای درسی که بیشتر برنامه های آموزشی علوم کتابداری و اطلاع رسانی ارائه می کردند مهارت ها و قابلیت های خاص و مورد نیاز برای ارائه چنین خدماتی را در بر نمی گرفت در نتیجه فعالیت روزمره در رشته های مختلف که داده هایی را تولید و با رشته های دیگر به اشتراک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است و بسته به علاقه شخصی پژوهشگران و متخصصان حوزه اطلاعات درگیر در این کار است برنامه ریزی منظم و مفهومی به وسیله تعیین مراقبان و کتابداران حوزه داده ای از جمله مسائل ضروری برای تغییر این وضعیت است این افراد می توانند فرایندها و رویه هایی را بر اساس ترکیب دانش عمومی و دانش حوزه ای یا موضوعی به وجود آورند به این ترتیب آگاهی دانشمندان از رشته یا حوزه ای خاص و توانایی های آن ها در نگهداری از داده های پژوهشی باید افزایش یابد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وظایفی وجود دارند که با مهارت های یک کتابخانه ارتباط مستقیم دارند نقش کتابدار و کتابخانه ها در خصوص داده های پژوهشی یا هرگونه تجربه عملی بهتر، در یازده رشته یاد شده تا به حال تعریف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این حال می توان دریافت که تخصص روش شناختی کتابخانه ها و کتابداران برای بهبود فعالیت های پژوهشی مبتنی بر داده دانشمندان و مؤسسات پژوهشی مفید خواهد بود برای دستیابی به توافقی مشخص که از پیامدهای آموزشی نشئت گرفته از چنین نیازهای جدید نیازمند زمان است عوامل سیاسی در سطح ملی ملاحظاتی را تحت تأثیر قرار می دهد که آیا برنامه های دوره کارشناسی تحصیلات تکمیلی یا برنامه های توسعه آموزش حرفه ای به بهترین نحو می توانند پاسخگوی نیازهای آتی در باب نگهداری از داده های پژوهشی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رسیده است تا برنامه های درسی رشته علوم کتابداری و اطلاع رسانی را از نو طراحی کنیم یا اصلاحاتی را در آن ها به وجود آوریم به گونه ای که فرصتی را در توسعه این شغل و توانایی کارشناسان این رشته در حوزه نگهداری و مراقبت رقومی داده های پژوهشی ایجاد کند</w:t>
      </w:r>
      <w:r>
        <w:rPr>
          <w:rFonts w:eastAsia="IRNazanin" w:cs="IRNazanin"/>
          <w:color w:val="111111"/>
          <w:sz w:val="28"/>
          <w:szCs w:val="28"/>
          <w:rtl w:val="true"/>
          <w:lang w:bidi="fa-IR"/>
        </w:rPr>
        <w:t xml:space="preserve">. </w:t>
      </w:r>
      <w:bookmarkStart w:id="894" w:name="pg9653_82138"/>
    </w:p>
    <w:p>
      <w:pPr>
        <w:pStyle w:val="Heading3"/>
        <w:numPr>
          <w:ilvl w:val="2"/>
          <w:numId w:val="1"/>
        </w:numPr>
        <w:rPr/>
      </w:pPr>
      <w:bookmarkStart w:id="895" w:name="__RefHeading___Toc7766904_2870459653"/>
      <w:bookmarkStart w:id="896" w:name="_Toc327"/>
      <w:bookmarkEnd w:id="894"/>
      <w:bookmarkEnd w:id="895"/>
      <w:r>
        <w:rPr>
          <w:rtl w:val="true"/>
        </w:rPr>
        <w:t>منابع</w:t>
      </w:r>
      <w:bookmarkEnd w:id="896"/>
    </w:p>
    <w:p>
      <w:pPr>
        <w:pStyle w:val="BookText"/>
        <w:rPr/>
      </w:pPr>
      <w:r>
        <w:rPr>
          <w:rFonts w:eastAsia="Times New Roman" w:cs="Times New Roman" w:ascii="Times New Roman" w:hAnsi="Times New Roman"/>
          <w:color w:val="111111"/>
          <w:sz w:val="28"/>
          <w:szCs w:val="28"/>
          <w:lang w:val="en-US" w:bidi="en-US"/>
        </w:rPr>
        <w:t>ARL 2006 To Stand the Test of Time. Long-term Stewardship of Digital Data Sets in Science and Engineering. A Report to the National Science Foundation from the ARL Workshop on New Collaborative Relationships: The Role of Academic Libraries in the Digital Data Universe. Arlington, September 26-27, 2006</w:t>
      </w:r>
    </w:p>
    <w:p>
      <w:pPr>
        <w:pStyle w:val="BookText"/>
        <w:rPr/>
      </w:pPr>
      <w:r>
        <w:rPr>
          <w:rFonts w:eastAsia="Times New Roman" w:cs="Times New Roman" w:ascii="Times New Roman" w:hAnsi="Times New Roman"/>
          <w:color w:val="111111"/>
          <w:sz w:val="28"/>
          <w:szCs w:val="28"/>
          <w:lang w:val="en-US" w:bidi="en-US"/>
        </w:rPr>
        <w:t>Büttner, Rümpel &amp; Hobohm 2011</w:t>
      </w:r>
    </w:p>
    <w:p>
      <w:pPr>
        <w:pStyle w:val="BookText"/>
        <w:rPr/>
      </w:pPr>
      <w:r>
        <w:rPr>
          <w:rFonts w:eastAsia="Times New Roman" w:cs="Times New Roman" w:ascii="Times New Roman" w:hAnsi="Times New Roman"/>
          <w:color w:val="111111"/>
          <w:sz w:val="28"/>
          <w:szCs w:val="28"/>
          <w:lang w:val="en-US" w:bidi="en-US"/>
        </w:rPr>
        <w:t>Büttner, S., Rümpel, S.; Hobohm, H.-C. (2011). „Informationswissenschaftler im Forschungsdatenmanagement". In Büttner, S; Hobohm, H.-C.; Müller, L. (Ed.) (2011): Handbuch Forschungsdatenmanagement, 203-218. http://nbn-resolving.de/urn/resolver.pl?urn:nbn:de:kobv:525-opus-2405</w:t>
      </w:r>
    </w:p>
    <w:p>
      <w:pPr>
        <w:pStyle w:val="BookText"/>
        <w:rPr/>
      </w:pPr>
      <w:r>
        <w:rPr>
          <w:rFonts w:eastAsia="Times New Roman" w:cs="Times New Roman" w:ascii="Times New Roman" w:hAnsi="Times New Roman"/>
          <w:color w:val="111111"/>
          <w:sz w:val="28"/>
          <w:szCs w:val="28"/>
          <w:lang w:val="en-US" w:bidi="en-US"/>
        </w:rPr>
        <w:t>Corall 2008</w:t>
      </w:r>
    </w:p>
    <w:p>
      <w:pPr>
        <w:pStyle w:val="BookText"/>
        <w:rPr/>
      </w:pPr>
      <w:r>
        <w:rPr>
          <w:rFonts w:eastAsia="Times New Roman" w:cs="Times New Roman" w:ascii="Times New Roman" w:hAnsi="Times New Roman"/>
          <w:color w:val="111111"/>
          <w:sz w:val="28"/>
          <w:szCs w:val="28"/>
          <w:lang w:val="en-US" w:bidi="en-US"/>
        </w:rPr>
        <w:t>Corall, S. (2008). Research Data Management: Professional Education and Training Perspectives. Research Data Management Forum. Manchester, 2008 http://www.dcc.ac.uk/sites/default/files/documents/RDMF/RDMF2/07%20 Corrall.pdf</w:t>
      </w:r>
    </w:p>
    <w:p>
      <w:pPr>
        <w:pStyle w:val="BookText"/>
        <w:rPr/>
      </w:pPr>
      <w:r>
        <w:rPr>
          <w:rFonts w:eastAsia="Times New Roman" w:cs="Times New Roman" w:ascii="Times New Roman" w:hAnsi="Times New Roman"/>
          <w:color w:val="111111"/>
          <w:sz w:val="28"/>
          <w:szCs w:val="28"/>
          <w:lang w:val="en-US" w:bidi="en-US"/>
        </w:rPr>
        <w:t>DigCurv 2012a</w:t>
      </w:r>
    </w:p>
    <w:p>
      <w:pPr>
        <w:pStyle w:val="BookText"/>
        <w:rPr/>
      </w:pPr>
      <w:r>
        <w:rPr>
          <w:rFonts w:eastAsia="Times New Roman" w:cs="Times New Roman" w:ascii="Times New Roman" w:hAnsi="Times New Roman"/>
          <w:color w:val="111111"/>
          <w:sz w:val="28"/>
          <w:szCs w:val="28"/>
          <w:lang w:val="en-US" w:bidi="en-US"/>
        </w:rPr>
        <w:t>Engelhardt, C.; Strathmann, S.; McKadden, K. (2012). Report and analysis of the survey of Training Needs. http://www.digcur-education.org/eng/Resources/ Report-and-analysis-on-the-training-needs-survey</w:t>
      </w:r>
    </w:p>
    <w:p>
      <w:pPr>
        <w:pStyle w:val="BookText"/>
        <w:rPr/>
      </w:pPr>
      <w:r>
        <w:rPr>
          <w:rFonts w:eastAsia="Times New Roman" w:cs="Times New Roman" w:ascii="Times New Roman" w:hAnsi="Times New Roman"/>
          <w:color w:val="111111"/>
          <w:sz w:val="28"/>
          <w:szCs w:val="28"/>
          <w:lang w:val="en-US" w:bidi="en-US"/>
        </w:rPr>
        <w:t>DigCurl 2012b</w:t>
      </w:r>
    </w:p>
    <w:p>
      <w:pPr>
        <w:pStyle w:val="BookText"/>
        <w:rPr/>
      </w:pPr>
      <w:r>
        <w:rPr>
          <w:rFonts w:eastAsia="Times New Roman" w:cs="Times New Roman" w:ascii="Times New Roman" w:hAnsi="Times New Roman"/>
          <w:color w:val="111111"/>
          <w:sz w:val="28"/>
          <w:szCs w:val="28"/>
          <w:lang w:val="en-US" w:bidi="en-US"/>
        </w:rPr>
        <w:t>Karvelyte, V. et al. (2012). D2.1 Report on baseline survey into training opportunities and evaluation framework. Section 1: Training opportunities survey. http://www.digcur-education.org/eng/Resources/D2.1.1-Survey-of- existing-training-opportunities Donnelly 2008</w:t>
      </w:r>
    </w:p>
    <w:p>
      <w:pPr>
        <w:pStyle w:val="BookText"/>
        <w:rPr/>
      </w:pPr>
      <w:r>
        <w:rPr>
          <w:rFonts w:eastAsia="Times New Roman" w:cs="Times New Roman" w:ascii="Times New Roman" w:hAnsi="Times New Roman"/>
          <w:color w:val="111111"/>
          <w:sz w:val="28"/>
          <w:szCs w:val="28"/>
          <w:lang w:val="en-US" w:bidi="en-US"/>
        </w:rPr>
        <w:t>Donnelly, M. (2008)</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RDMF2. Core Skills Diagram. Research Data Management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Forum, 17.12.2008. http://data-forum.blogspot.com/2008/12/rdmf2-core- skills-diagram.html</w:t>
      </w:r>
    </w:p>
    <w:p>
      <w:pPr>
        <w:pStyle w:val="BookText"/>
        <w:rPr/>
      </w:pPr>
      <w:r>
        <w:rPr>
          <w:rFonts w:eastAsia="Times New Roman" w:cs="Times New Roman" w:ascii="Times New Roman" w:hAnsi="Times New Roman"/>
          <w:color w:val="111111"/>
          <w:sz w:val="28"/>
          <w:szCs w:val="28"/>
          <w:lang w:val="en-US" w:bidi="en-US"/>
        </w:rPr>
        <w:t>Gold 2007 a</w:t>
      </w:r>
    </w:p>
    <w:p>
      <w:pPr>
        <w:pStyle w:val="BookText"/>
        <w:rPr/>
      </w:pPr>
      <w:r>
        <w:rPr>
          <w:rFonts w:eastAsia="Times New Roman" w:cs="Times New Roman" w:ascii="Times New Roman" w:hAnsi="Times New Roman"/>
          <w:color w:val="111111"/>
          <w:sz w:val="28"/>
          <w:szCs w:val="28"/>
          <w:lang w:val="en-US" w:bidi="en-US"/>
        </w:rPr>
        <w:t>Gold, A. (2007). Cyberinfrastructure, Data, and Libraries, Part 1: A Cyberinfrastructure Primer for Librarians. D-Lib 13 (9/10). http://www.dlib. org/dlib/september07/gold/09gold-pt1.html</w:t>
      </w:r>
    </w:p>
    <w:p>
      <w:pPr>
        <w:pStyle w:val="BookText"/>
        <w:rPr/>
      </w:pPr>
      <w:r>
        <w:rPr>
          <w:rFonts w:eastAsia="Times New Roman" w:cs="Times New Roman" w:ascii="Times New Roman" w:hAnsi="Times New Roman"/>
          <w:color w:val="111111"/>
          <w:sz w:val="28"/>
          <w:szCs w:val="28"/>
          <w:lang w:val="en-US" w:bidi="en-US"/>
        </w:rPr>
        <w:t>Gold 2007b</w:t>
      </w:r>
    </w:p>
    <w:p>
      <w:pPr>
        <w:pStyle w:val="BookText"/>
        <w:rPr/>
      </w:pPr>
      <w:r>
        <w:rPr>
          <w:rFonts w:eastAsia="Times New Roman" w:cs="Times New Roman" w:ascii="Times New Roman" w:hAnsi="Times New Roman"/>
          <w:color w:val="111111"/>
          <w:sz w:val="28"/>
          <w:szCs w:val="28"/>
          <w:lang w:val="en-US" w:bidi="en-US"/>
        </w:rPr>
        <w:t>Gold, A. (2007). Cyberinfrastructure, Data, and Libraries, Part 2: Libraries and the Data Challenge: Roles and Actions for Libraries. D-Lib 13 (9/10). http://www. dlib.org/dlib/september07/gold/09gold-pt2.html</w:t>
      </w:r>
    </w:p>
    <w:p>
      <w:pPr>
        <w:pStyle w:val="BookText"/>
        <w:rPr/>
      </w:pPr>
      <w:r>
        <w:rPr>
          <w:rFonts w:eastAsia="Times New Roman" w:cs="Times New Roman" w:ascii="Times New Roman" w:hAnsi="Times New Roman"/>
          <w:color w:val="111111"/>
          <w:sz w:val="28"/>
          <w:szCs w:val="28"/>
          <w:lang w:val="en-US" w:bidi="en-US"/>
        </w:rPr>
        <w:t>Gold 2010</w:t>
      </w:r>
    </w:p>
    <w:p>
      <w:pPr>
        <w:pStyle w:val="BookText"/>
        <w:rPr/>
      </w:pPr>
      <w:r>
        <w:rPr>
          <w:rFonts w:eastAsia="Times New Roman" w:cs="Times New Roman" w:ascii="Times New Roman" w:hAnsi="Times New Roman"/>
          <w:color w:val="111111"/>
          <w:sz w:val="28"/>
          <w:szCs w:val="28"/>
          <w:lang w:val="en-US" w:bidi="en-US"/>
        </w:rPr>
        <w:t>Gold, A. (2010). Data Curation and Libraries: Short-Term Developments, Long- Term Prospects. San Luis Obispo. http://digitalcommons.calpoly.edu/lib dean/27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High Level Expert Group on Scientific Data 2010</w:t>
      </w:r>
    </w:p>
    <w:p>
      <w:pPr>
        <w:pStyle w:val="BookText"/>
        <w:rPr/>
      </w:pPr>
      <w:r>
        <w:rPr>
          <w:rFonts w:eastAsia="Times New Roman" w:cs="Times New Roman" w:ascii="Times New Roman" w:hAnsi="Times New Roman"/>
          <w:color w:val="111111"/>
          <w:sz w:val="28"/>
          <w:szCs w:val="28"/>
          <w:lang w:val="en-US" w:bidi="en-US"/>
        </w:rPr>
        <w:t>Riding the wave How Europe can gain from the rising tide of scientific data Final report of the High Level Expert Group on Scientific Data (2010). http://ec.europa.eu/information_society/newsroom/cf/item longdetail.cfm?item id=6204</w:t>
      </w:r>
    </w:p>
    <w:p>
      <w:pPr>
        <w:pStyle w:val="BookText"/>
        <w:rPr/>
      </w:pPr>
      <w:r>
        <w:rPr>
          <w:rFonts w:eastAsia="Times New Roman" w:cs="Times New Roman" w:ascii="Times New Roman" w:hAnsi="Times New Roman"/>
          <w:color w:val="111111"/>
          <w:sz w:val="28"/>
          <w:szCs w:val="28"/>
          <w:lang w:val="en-US" w:bidi="en-US"/>
        </w:rPr>
        <w:t>Jones 2008</w:t>
      </w:r>
    </w:p>
    <w:p>
      <w:pPr>
        <w:pStyle w:val="BookText"/>
        <w:rPr/>
      </w:pPr>
      <w:r>
        <w:rPr>
          <w:rFonts w:eastAsia="Times New Roman" w:cs="Times New Roman" w:ascii="Times New Roman" w:hAnsi="Times New Roman"/>
          <w:color w:val="111111"/>
          <w:sz w:val="28"/>
          <w:szCs w:val="28"/>
          <w:lang w:val="en-US" w:bidi="en-US"/>
        </w:rPr>
        <w:t>Jones, E. (2008). E-Science Talking Points for ARL Deans and Directors. Washington. http://www.arl.org/bm-doc/e-science-talking-points.pdf</w:t>
      </w:r>
    </w:p>
    <w:p>
      <w:pPr>
        <w:pStyle w:val="BookText"/>
        <w:rPr/>
      </w:pPr>
      <w:r>
        <w:rPr>
          <w:rFonts w:eastAsia="Times New Roman" w:cs="Times New Roman" w:ascii="Times New Roman" w:hAnsi="Times New Roman"/>
          <w:color w:val="111111"/>
          <w:sz w:val="28"/>
          <w:szCs w:val="28"/>
          <w:lang w:val="en-US" w:bidi="en-US"/>
        </w:rPr>
        <w:t>Neuroth et al. 2012</w:t>
      </w:r>
    </w:p>
    <w:p>
      <w:pPr>
        <w:pStyle w:val="BookText"/>
        <w:rPr/>
      </w:pPr>
      <w:r>
        <w:rPr>
          <w:rFonts w:eastAsia="Times New Roman" w:cs="Times New Roman" w:ascii="Times New Roman" w:hAnsi="Times New Roman"/>
          <w:color w:val="111111"/>
          <w:sz w:val="28"/>
          <w:szCs w:val="28"/>
          <w:lang w:val="en-US" w:bidi="en-US"/>
        </w:rPr>
        <w:t>Neuroth, H. et al. (Ed.) (2012). Langzeitarchivierung von Forschungsdaten. Eine Bestandsaufnahme. Verlag W. Hülsbusch: Boizenburg &amp; Universitätsverlag Göttingen. http://nestor.sub.uni-goettingen.de/bestandsaufnahme/index.php</w:t>
      </w:r>
    </w:p>
    <w:p>
      <w:pPr>
        <w:pStyle w:val="BookText"/>
        <w:rPr/>
      </w:pPr>
      <w:r>
        <w:rPr>
          <w:rFonts w:eastAsia="Times New Roman" w:cs="Times New Roman" w:ascii="Times New Roman" w:hAnsi="Times New Roman"/>
          <w:color w:val="111111"/>
          <w:sz w:val="28"/>
          <w:szCs w:val="28"/>
          <w:lang w:val="en-US" w:bidi="en-US"/>
        </w:rPr>
        <w:t>NSB 2005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National Science Board (2005). Long-Lived Digital Data Collections Enabling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Research and Education in the 21st Century. Arlington; http://www.nsf.gov/ pubs/2005/nsb0540/nsb0540.pdf</w:t>
      </w:r>
    </w:p>
    <w:p>
      <w:pPr>
        <w:pStyle w:val="BookText"/>
        <w:rPr/>
      </w:pPr>
      <w:r>
        <w:rPr>
          <w:rFonts w:eastAsia="Times New Roman" w:cs="Times New Roman" w:ascii="Times New Roman" w:hAnsi="Times New Roman"/>
          <w:color w:val="111111"/>
          <w:sz w:val="28"/>
          <w:szCs w:val="28"/>
          <w:lang w:val="en-US" w:bidi="en-US"/>
        </w:rPr>
        <w:t>OECD 2007</w:t>
      </w:r>
    </w:p>
    <w:p>
      <w:pPr>
        <w:pStyle w:val="BookText"/>
        <w:rPr/>
      </w:pPr>
      <w:r>
        <w:rPr>
          <w:rFonts w:eastAsia="Times New Roman" w:cs="Times New Roman" w:ascii="Times New Roman" w:hAnsi="Times New Roman"/>
          <w:color w:val="111111"/>
          <w:sz w:val="28"/>
          <w:szCs w:val="28"/>
          <w:lang w:val="en-US" w:bidi="en-US"/>
        </w:rPr>
        <w:t>Organisation for Economic Cooperation and Development (2007). OECD Principles and Guidelines for Access to Research Data from Public Funding. Paris. http://www.oecd.org/dataoecd/9/61/38500813.pdf</w:t>
      </w:r>
    </w:p>
    <w:p>
      <w:pPr>
        <w:pStyle w:val="BookText"/>
        <w:rPr/>
      </w:pPr>
      <w:r>
        <w:rPr>
          <w:rFonts w:eastAsia="Times New Roman" w:cs="Times New Roman" w:ascii="Times New Roman" w:hAnsi="Times New Roman"/>
          <w:color w:val="111111"/>
          <w:sz w:val="28"/>
          <w:szCs w:val="28"/>
          <w:lang w:val="en-US" w:bidi="en-US"/>
        </w:rPr>
        <w:t>Pampel, Bertelmann &amp; Hobohm 2010</w:t>
      </w:r>
    </w:p>
    <w:p>
      <w:pPr>
        <w:pStyle w:val="BookText"/>
        <w:rPr/>
      </w:pPr>
      <w:r>
        <w:rPr>
          <w:rFonts w:eastAsia="Times New Roman" w:cs="Times New Roman" w:ascii="Times New Roman" w:hAnsi="Times New Roman"/>
          <w:color w:val="111111"/>
          <w:sz w:val="28"/>
          <w:szCs w:val="28"/>
          <w:lang w:val="en-US" w:bidi="en-US"/>
        </w:rPr>
        <w:t>Pampel, H.; Bertelmann, R.; Hobohm, H. (2010). Data Librarianship - Rollen, Aufgaben, Kompetenzen. In: Ein neuer Blick auf Bibliotheken (pp 169–176). 98. Deutscher Bibliothekartag in Erfurt 2009, Hildesheim: Olms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Piorun et al. 2012</w:t>
      </w:r>
    </w:p>
    <w:p>
      <w:pPr>
        <w:pStyle w:val="BookText"/>
        <w:rPr/>
      </w:pPr>
      <w:r>
        <w:rPr>
          <w:rFonts w:eastAsia="Times New Roman" w:cs="Times New Roman" w:ascii="Times New Roman" w:hAnsi="Times New Roman"/>
          <w:color w:val="111111"/>
          <w:sz w:val="28"/>
          <w:szCs w:val="28"/>
          <w:lang w:val="en-US" w:bidi="en-US"/>
        </w:rPr>
        <w:t>Piorun, M.; Kafel, D.; Leger-Hornby, T.; Najafi, S.; Martin, E.; Colombo, P.; LaPelle, N. (2012). Teaching Research Data Management: An Undergraduate/ Graduate Curriculum, Journal of eScience Librarianship: Vol. 1: Iss. 1, Article 8. http://escholarship.umassmed.edu/jeslib/vol1/iss 1/8 or doi: 10.7191/ jeslib.2012.1003</w:t>
      </w:r>
    </w:p>
    <w:p>
      <w:pPr>
        <w:pStyle w:val="BookText"/>
        <w:rPr/>
      </w:pPr>
      <w:r>
        <w:rPr>
          <w:rFonts w:eastAsia="Times New Roman" w:cs="Times New Roman" w:ascii="Times New Roman" w:hAnsi="Times New Roman"/>
          <w:color w:val="111111"/>
          <w:sz w:val="28"/>
          <w:szCs w:val="28"/>
          <w:lang w:val="en-US" w:bidi="en-US"/>
        </w:rPr>
        <w:t>RIN 2008</w:t>
      </w:r>
    </w:p>
    <w:p>
      <w:pPr>
        <w:pStyle w:val="BookText"/>
        <w:rPr/>
      </w:pPr>
      <w:r>
        <w:rPr>
          <w:rFonts w:eastAsia="Times New Roman" w:cs="Times New Roman" w:ascii="Times New Roman" w:hAnsi="Times New Roman"/>
          <w:color w:val="111111"/>
          <w:sz w:val="28"/>
          <w:szCs w:val="28"/>
          <w:lang w:val="en-US" w:bidi="en-US"/>
        </w:rPr>
        <w:t>Research Information Network (2008). Stewardship of digital research data. A framework of principles and guidelines. London. http://www.rin.ac.uk/system/ files/attachments/Stewardship-data-guidelines.pdf</w:t>
      </w:r>
    </w:p>
    <w:p>
      <w:pPr>
        <w:pStyle w:val="BookText"/>
        <w:rPr/>
      </w:pPr>
      <w:r>
        <w:rPr>
          <w:rFonts w:eastAsia="Times New Roman" w:cs="Times New Roman" w:ascii="Times New Roman" w:hAnsi="Times New Roman"/>
          <w:color w:val="111111"/>
          <w:sz w:val="28"/>
          <w:szCs w:val="28"/>
          <w:lang w:val="en-US" w:bidi="en-US"/>
        </w:rPr>
        <w:t>Rümpel 2010</w:t>
      </w:r>
    </w:p>
    <w:p>
      <w:pPr>
        <w:pStyle w:val="BookText"/>
        <w:rPr/>
      </w:pPr>
      <w:r>
        <w:rPr>
          <w:rFonts w:eastAsia="Times New Roman" w:cs="Times New Roman" w:ascii="Times New Roman" w:hAnsi="Times New Roman"/>
          <w:color w:val="111111"/>
          <w:sz w:val="28"/>
          <w:szCs w:val="28"/>
          <w:lang w:val="en-US" w:bidi="en-US"/>
        </w:rPr>
        <w:t>Rümpel, S. (2010). Data Librarianship - Anforderungen an Bibliothekare im Forschungsdatenmanagement. Potsdam. http://opus.kobv.de/fhpotsdam/ volltexte/2010/163/pdf/10600.pdf</w:t>
      </w:r>
    </w:p>
    <w:p>
      <w:pPr>
        <w:pStyle w:val="BookText"/>
        <w:rPr/>
      </w:pPr>
      <w:r>
        <w:rPr>
          <w:rFonts w:eastAsia="Times New Roman" w:cs="Times New Roman" w:ascii="Times New Roman" w:hAnsi="Times New Roman"/>
          <w:color w:val="111111"/>
          <w:sz w:val="28"/>
          <w:szCs w:val="28"/>
          <w:lang w:val="en-US" w:bidi="en-US"/>
        </w:rPr>
        <w:t>Swan &amp; Brown 2008</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Swan, A.; Brown, S. (2008). The Skills, Role and Career Structure of Data Scientists and Curators: An Assessment of Current Practice and Future Needs. Report to the JISC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van der Graaf &amp; Waaijers 2011</w:t>
      </w:r>
    </w:p>
    <w:p>
      <w:pPr>
        <w:pStyle w:val="BookText"/>
        <w:rPr/>
      </w:pPr>
      <w:r>
        <w:rPr>
          <w:rFonts w:eastAsia="Times New Roman" w:cs="Times New Roman" w:ascii="Times New Roman" w:hAnsi="Times New Roman"/>
          <w:color w:val="111111"/>
          <w:sz w:val="28"/>
          <w:szCs w:val="28"/>
          <w:lang w:val="en-US" w:bidi="en-US"/>
        </w:rPr>
        <w:t>Van der Graaf, M.; Waaijers, L. (2011). A Surfboard for Riding the Wave. Towards a four country action programme on Research Data. 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knowledgeexchange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info/Admin/Public/DWSDownload</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search+Data%2fSurfboard+for+Riding+the+Wave%2fKE_Surfboard_Riding_ the Wave Screen.pdf</w:t>
      </w:r>
      <w:r>
        <w:rPr>
          <w:rFonts w:eastAsia="Times New Roman" w:cs="Times New Roman" w:ascii="Times New Roman" w:hAnsi="Times New Roman"/>
          <w:color w:val="111111"/>
          <w:sz w:val="28"/>
          <w:szCs w:val="28"/>
          <w:rtl w:val="true"/>
          <w:lang w:val="en-US" w:bidi="en-US"/>
        </w:rPr>
        <w:t xml:space="preserve"> </w:t>
      </w:r>
      <w:bookmarkStart w:id="897" w:name="pg9653_82142"/>
    </w:p>
    <w:p>
      <w:pPr>
        <w:pStyle w:val="Heading2"/>
        <w:numPr>
          <w:ilvl w:val="1"/>
          <w:numId w:val="1"/>
        </w:numPr>
        <w:rPr/>
      </w:pPr>
      <w:bookmarkStart w:id="898" w:name="__RefHeading___Toc7766906_2870459653"/>
      <w:bookmarkStart w:id="899" w:name="_Toc328"/>
      <w:bookmarkEnd w:id="897"/>
      <w:bookmarkEnd w:id="898"/>
      <w:r>
        <w:rPr>
          <w:rtl w:val="true"/>
        </w:rPr>
        <w:t>چکیده</w:t>
      </w:r>
      <w:bookmarkEnd w:id="899"/>
    </w:p>
    <w:p>
      <w:pPr>
        <w:pStyle w:val="BookText"/>
        <w:rPr/>
      </w:pPr>
      <w:r>
        <w:rPr>
          <w:rFonts w:ascii="IRNazanin" w:hAnsi="IRNazanin" w:eastAsia="IRNazanin"/>
          <w:color w:val="111111"/>
          <w:sz w:val="28"/>
          <w:sz w:val="28"/>
          <w:szCs w:val="28"/>
          <w:rtl w:val="true"/>
          <w:lang w:bidi="fa-IR"/>
        </w:rPr>
        <w:t xml:space="preserve">اتاق مطالعه مایلی پیورو </w:t>
      </w:r>
      <w:r>
        <w:rPr>
          <w:rStyle w:val="FootnoteAnchor"/>
          <w:rtl w:val="true"/>
        </w:rPr>
        <w:footnoteReference w:id="121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طرح همسایگی شهر هلسینکی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اتاق مطالعه به کتابخانه رسانه </w:t>
      </w:r>
      <w:r>
        <w:rPr>
          <w:rStyle w:val="FootnoteAnchor"/>
          <w:rtl w:val="true"/>
        </w:rPr>
        <w:footnoteReference w:id="1213"/>
      </w:r>
      <w:r>
        <w:rPr>
          <w:rFonts w:ascii="IRNazanin" w:hAnsi="IRNazanin" w:eastAsia="IRNazanin"/>
          <w:color w:val="111111"/>
          <w:sz w:val="28"/>
          <w:sz w:val="28"/>
          <w:szCs w:val="28"/>
          <w:rtl w:val="true"/>
          <w:lang w:bidi="fa-IR"/>
        </w:rPr>
        <w:t xml:space="preserve">مایلی پیورو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ساختمان ها، تجهیزات و الگو خدمات جدید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افزایش جذابیت مناطق حومه شهری و جلوگیری از نابرابری میان مناطق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کتابخانه رسانه مایلی پیورو حمایت از ساکنان منطقه به عنوان شهروندان فعال در جهان رقومی مدرن استو کتابخانه رسانه برای برنامه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طراحی واژه در هلسینکی </w:t>
      </w:r>
      <w:r>
        <w:rPr>
          <w:rStyle w:val="FootnoteAnchor"/>
          <w:rtl w:val="true"/>
        </w:rPr>
        <w:footnoteReference w:id="1214"/>
      </w:r>
      <w:r>
        <w:rPr>
          <w:rFonts w:ascii="IRNazanin" w:hAnsi="IRNazanin" w:eastAsia="IRNazanin"/>
          <w:color w:val="111111"/>
          <w:sz w:val="28"/>
          <w:sz w:val="28"/>
          <w:szCs w:val="28"/>
          <w:rtl w:val="true"/>
          <w:lang w:bidi="fa-IR"/>
        </w:rPr>
        <w:t xml:space="preserve">به دلیل طرح خدمات جدید انتخاب شد خدمات جدید برای کاربران مجلات الکترونیک، کتاب های الکترونیک، لپ تاپ ها، رایانه های تبلت، ای پادها، </w:t>
      </w:r>
      <w:r>
        <w:rPr>
          <w:rStyle w:val="FootnoteAnchor"/>
          <w:rtl w:val="true"/>
        </w:rPr>
        <w:footnoteReference w:id="1215"/>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ریدرز، </w:t>
      </w:r>
      <w:r>
        <w:rPr>
          <w:rStyle w:val="FootnoteAnchor"/>
          <w:rtl w:val="true"/>
        </w:rPr>
        <w:footnoteReference w:id="1216"/>
      </w:r>
      <w:r>
        <w:rPr>
          <w:rFonts w:ascii="IRNazanin" w:hAnsi="IRNazanin" w:eastAsia="IRNazanin"/>
          <w:color w:val="111111"/>
          <w:sz w:val="28"/>
          <w:sz w:val="28"/>
          <w:szCs w:val="28"/>
          <w:rtl w:val="true"/>
          <w:lang w:bidi="fa-IR"/>
        </w:rPr>
        <w:t>دوربین های ویدیویی، استودیوی ویراستاری مواد دیداری و شنیداری، نوار صوتی ،تصویری ابزار سخنرانی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تولید صدا دوربین های نوری و روباتی و مهمتر از همه پشتیبانی از یک دستیار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رسانه با اداره خدمات اجتماعی هلسینکی و انجمن های محلی همکاری دارد همکاری مطلوب میان بخش های فوق ریشه در اتاق مطالعه قدیمی دارد جایی که آن ها در ساختمان های مشابه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رسانه یک فضای یادگیری آزاد برای کار کاربران و نیز کارکنان کتابخانه شهر هلسینکی است تا مهارت های جدید را در کتابخانه های آینده فراگیرند کتابخانه رسانه به عنوان یک طرح آزمایشی برای نقش های جدید کتابخانه مرکزی در حال ساخت هلسینکی و دیگر کتابخانه ها محسوب می شود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پیورو، کتابخانه رسانه، یادگیری آزاد، منابع رقومی </w:t>
      </w:r>
      <w:bookmarkStart w:id="900" w:name="pg9653_82143"/>
    </w:p>
    <w:p>
      <w:pPr>
        <w:pStyle w:val="Heading2"/>
        <w:numPr>
          <w:ilvl w:val="1"/>
          <w:numId w:val="1"/>
        </w:numPr>
        <w:rPr/>
      </w:pPr>
      <w:bookmarkStart w:id="901" w:name="__RefHeading___Toc7766908_2870459653"/>
      <w:bookmarkStart w:id="902" w:name="_Toc329"/>
      <w:bookmarkEnd w:id="900"/>
      <w:bookmarkEnd w:id="901"/>
      <w:r>
        <w:rPr>
          <w:rtl w:val="true"/>
        </w:rPr>
        <w:t xml:space="preserve">توسعه خدمات جدید در محیط حومه شهر </w:t>
      </w:r>
      <w:r>
        <w:rPr>
          <w:rtl w:val="true"/>
        </w:rPr>
        <w:t xml:space="preserve">- </w:t>
      </w:r>
      <w:r>
        <w:rPr>
          <w:rtl w:val="true"/>
        </w:rPr>
        <w:t>اتاق مطالعه مایلی پیورو به یک کتابخانه رسانه تبدیل شد</w:t>
      </w:r>
      <w:r>
        <w:rPr>
          <w:rtl w:val="true"/>
        </w:rPr>
        <w:t>.</w:t>
      </w:r>
      <w:bookmarkEnd w:id="902"/>
    </w:p>
    <w:p>
      <w:pPr>
        <w:pStyle w:val="Heading3"/>
        <w:numPr>
          <w:ilvl w:val="2"/>
          <w:numId w:val="1"/>
        </w:numPr>
        <w:rPr/>
      </w:pPr>
      <w:bookmarkStart w:id="903" w:name="__RefHeading___Toc7766910_2870459653"/>
      <w:bookmarkStart w:id="904" w:name="_Toc330"/>
      <w:bookmarkEnd w:id="903"/>
      <w:r>
        <w:rPr>
          <w:rtl w:val="true"/>
        </w:rPr>
        <w:t>اشاره</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خدمات جدید در محیط حومه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مطالعه مایلی پیورو به یک کتابخانه رسانه تبدیل شد</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نوشته کورت هیرن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نرگس خاتون عزیزیان </w:t>
      </w:r>
      <w:r>
        <w:rPr>
          <w:rStyle w:val="FootnoteAnchor"/>
          <w:rtl w:val="true"/>
        </w:rPr>
        <w:footnoteReference w:id="1219"/>
      </w:r>
    </w:p>
    <w:p>
      <w:pPr>
        <w:pStyle w:val="Heading3"/>
        <w:numPr>
          <w:ilvl w:val="2"/>
          <w:numId w:val="1"/>
        </w:numPr>
        <w:rPr/>
      </w:pPr>
      <w:bookmarkStart w:id="905" w:name="__RefHeading___Toc7766912_2870459653"/>
      <w:bookmarkStart w:id="906" w:name="_Toc331"/>
      <w:bookmarkEnd w:id="905"/>
      <w:r>
        <w:rPr>
          <w:rtl w:val="true"/>
        </w:rPr>
        <w:t>زمینه</w:t>
      </w:r>
      <w:bookmarkEnd w:id="906"/>
    </w:p>
    <w:p>
      <w:pPr>
        <w:pStyle w:val="BookText"/>
        <w:rPr/>
      </w:pPr>
      <w:r>
        <w:rPr>
          <w:rFonts w:ascii="IRNazanin" w:hAnsi="IRNazanin" w:eastAsia="IRNazanin"/>
          <w:color w:val="111111"/>
          <w:sz w:val="28"/>
          <w:sz w:val="28"/>
          <w:szCs w:val="28"/>
          <w:rtl w:val="true"/>
          <w:lang w:bidi="fa-IR"/>
        </w:rPr>
        <w:t>مایلی پیورو یک حومه شهر در شرق هلسینکی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عمدتا مردمی با درآمد پایین هستند که اکثر آن ها را مهاجران تشکیل می دهند اتاق مطالعه مایلی پیورو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از طرح همسایگی </w:t>
      </w:r>
      <w:r>
        <w:rPr>
          <w:rStyle w:val="FootnoteAnchor"/>
          <w:rtl w:val="true"/>
        </w:rPr>
        <w:footnoteReference w:id="1220"/>
      </w:r>
      <w:r>
        <w:rPr>
          <w:rFonts w:ascii="IRNazanin" w:hAnsi="IRNazanin" w:eastAsia="IRNazanin"/>
          <w:color w:val="111111"/>
          <w:sz w:val="28"/>
          <w:sz w:val="28"/>
          <w:szCs w:val="28"/>
          <w:rtl w:val="true"/>
          <w:lang w:bidi="fa-IR"/>
        </w:rPr>
        <w:t>شهر هلسینکی پایه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افزایش جذابیت مناطق حومه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کتابخانه، حمایت از ساکنان به عنوان شهروندان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مطالعه زیر نظر کتابخانه ای تِیک اِسکوس </w:t>
      </w:r>
      <w:r>
        <w:rPr>
          <w:rStyle w:val="FootnoteAnchor"/>
          <w:rtl w:val="true"/>
        </w:rPr>
        <w:footnoteReference w:id="1221"/>
      </w:r>
      <w:r>
        <w:rPr>
          <w:rFonts w:ascii="IRNazanin" w:hAnsi="IRNazanin" w:eastAsia="IRNazanin"/>
          <w:color w:val="111111"/>
          <w:sz w:val="28"/>
          <w:sz w:val="28"/>
          <w:szCs w:val="28"/>
          <w:rtl w:val="true"/>
          <w:lang w:bidi="fa-IR"/>
        </w:rPr>
        <w:t>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این کتابخانه، هم به عنوان کتابخانه و هم به عنوان بخش خدمات اجتماعی استفاده گردید که یک محل ملاقات انجمن های مردم محلی به شمار می آید ساختمان کوچک آن به شکل ساده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کتابخانه محدود است، مثلا در آن تنها می توان از روزنامه و مجلات و رایانه استفاده کرد خدمات آن تحت نظر یک کمک کتابدار و یک مستخدم غیر نظامی ارائه می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محلی مدت ها خواهان ایجاد یک فضای بزرگ تر برای فعالیت هایشان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هلسینکی تصمیم گرفت تا ساختمان های جدیدی برای انجمن های ساکنان محلی </w:t>
      </w:r>
      <w:bookmarkStart w:id="907" w:name="pg9653_82144"/>
    </w:p>
    <w:p>
      <w:pPr>
        <w:pStyle w:val="BookText"/>
        <w:rPr/>
      </w:pPr>
      <w:bookmarkEnd w:id="907"/>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حومه مایلی پیورو در شرق هلسینکی در ایجاد ساختمان های جدید مشارکت دارند مرکز خرید بازسازی و بسیاری خانه های خیریه و سکونتگاه ها در مجاورت آن نیز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در دسامبر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شکل خدمات جدید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رسانه جدید در وسط مرکز خرید و در همان ساختمان، با اتاق انجمن ها و کافه استقرار یافت کتابخانه رسانه جدید بسیار کوچک است اما می تواند به عنوان اتاق جلسات و سالن جمعی استفاده شود در این جا تجهیزات فنی بسیار مطلوب برای جلسات و مناسبت ها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از تمامی تجهیزات فنی ویدیو پروژکتورها، سیستم های صوتی دوربین های نوری و روباتی و غیره بهره می گیرد بخشی از هزینه ساخت آن را صندوق طرح اهالی محل تامین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کتابخانه سه کارمند ثابت و دو مستخدم غیر نظامی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بایست خدمات مناسب با نیازهای جدید را فراهم آورند برای مثال مهارت های خاص در استودیو و پردازش تصویر لازم است</w:t>
      </w:r>
      <w:r>
        <w:rPr>
          <w:rFonts w:eastAsia="IRNazanin" w:cs="IRNazanin"/>
          <w:color w:val="111111"/>
          <w:sz w:val="28"/>
          <w:szCs w:val="28"/>
          <w:rtl w:val="true"/>
          <w:lang w:bidi="fa-IR"/>
        </w:rPr>
        <w:t>.</w:t>
      </w:r>
    </w:p>
    <w:p>
      <w:pPr>
        <w:pStyle w:val="Heading3"/>
        <w:numPr>
          <w:ilvl w:val="2"/>
          <w:numId w:val="1"/>
        </w:numPr>
        <w:rPr/>
      </w:pPr>
      <w:bookmarkStart w:id="908" w:name="__RefHeading___Toc7766914_2870459653"/>
      <w:bookmarkStart w:id="909" w:name="_Toc332"/>
      <w:bookmarkEnd w:id="908"/>
      <w:r>
        <w:rPr>
          <w:rtl w:val="true"/>
        </w:rPr>
        <w:t>همکاری و الگوها</w:t>
      </w:r>
      <w:bookmarkEnd w:id="909"/>
    </w:p>
    <w:p>
      <w:pPr>
        <w:pStyle w:val="BookText"/>
        <w:rPr/>
      </w:pPr>
      <w:r>
        <w:rPr>
          <w:rFonts w:ascii="IRNazanin" w:hAnsi="IRNazanin" w:eastAsia="IRNazanin"/>
          <w:color w:val="111111"/>
          <w:sz w:val="28"/>
          <w:sz w:val="28"/>
          <w:szCs w:val="28"/>
          <w:rtl w:val="true"/>
          <w:lang w:bidi="fa-IR"/>
        </w:rPr>
        <w:t>کتابخانه رسانه مایلی پیورو به همکاری، مشارکت پیشگامی و الگوها در این زمینه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همچنان در ساختمان مشترک با بخش خدمات اجتماعی فعالیت می کند بخش خدمات اجتماعی، استفاده از ساختمان های جدید را به انجمن های محلی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مطلوب میان کتابخانه، بخش اجتماعی و انجمن های محلی ریشه در تجارب حاصل از نقش ها در ساختمان های قدیمی آن دارد کتابخانه همچنین با سایر سازمان های شهرداری مثل بخش جوانان و بخش ورزش شهر هلسینکی همکاری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رسانه مایلی پیورو یک طرح مشابه برای میتینگ پوینت </w:t>
      </w:r>
      <w:r>
        <w:rPr>
          <w:rStyle w:val="FootnoteAnchor"/>
          <w:rtl w:val="true"/>
        </w:rPr>
        <w:footnoteReference w:id="1222"/>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شهر ساخته شد آن یک واحد خدمات عمومی است که نقش هدایت و راهنمایی مردم را در خصوص مسایل رایانه ای و خدمات الکترونیک بر عهده دارد آن ها از شرکا و شبکه برای همکاری برخوردارند که برای کتابخانه رسانه نیز مفید است آن چه که در مرکز شهر اتفاق میافتد می بایست در حومه شهر نیز اتفاق بیفتد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دیگر، خدمات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در مرکز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مجموعه کتابخانه سنتی برخوردار نیستند بلکه پرفروش ترین کتاب های جیبی را در اختیار دارند آن ها در موسیقی تخصص دارند و حتی </w:t>
      </w:r>
      <w:bookmarkStart w:id="910" w:name="pg9653_82145"/>
    </w:p>
    <w:p>
      <w:pPr>
        <w:pStyle w:val="BookText"/>
        <w:rPr/>
      </w:pPr>
      <w:bookmarkEnd w:id="910"/>
      <w:r>
        <w:rPr>
          <w:rFonts w:ascii="IRNazanin" w:hAnsi="IRNazanin" w:eastAsia="IRNazanin"/>
          <w:color w:val="111111"/>
          <w:sz w:val="28"/>
          <w:sz w:val="28"/>
          <w:szCs w:val="28"/>
          <w:rtl w:val="true"/>
          <w:lang w:bidi="fa-IR"/>
        </w:rPr>
        <w:t>استودیوی موسیقی را برای مشتریان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سن کوچک برای اجرای برنامه و مناسبت ها نیز وجود دارد</w:t>
      </w:r>
      <w:r>
        <w:rPr>
          <w:rFonts w:eastAsia="IRNazanin" w:cs="IRNazanin"/>
          <w:color w:val="111111"/>
          <w:sz w:val="28"/>
          <w:szCs w:val="28"/>
          <w:rtl w:val="true"/>
          <w:lang w:bidi="fa-IR"/>
        </w:rPr>
        <w:t>.</w:t>
      </w:r>
    </w:p>
    <w:p>
      <w:pPr>
        <w:pStyle w:val="Heading3"/>
        <w:numPr>
          <w:ilvl w:val="2"/>
          <w:numId w:val="1"/>
        </w:numPr>
        <w:rPr/>
      </w:pPr>
      <w:bookmarkStart w:id="911" w:name="__RefHeading___Toc7766916_2870459653"/>
      <w:bookmarkStart w:id="912" w:name="_Toc333"/>
      <w:bookmarkEnd w:id="911"/>
      <w:r>
        <w:rPr>
          <w:rtl w:val="true"/>
        </w:rPr>
        <w:t>خدمات</w:t>
      </w:r>
      <w:bookmarkEnd w:id="912"/>
    </w:p>
    <w:p>
      <w:pPr>
        <w:pStyle w:val="BookText"/>
        <w:rPr/>
      </w:pPr>
      <w:r>
        <w:rPr>
          <w:rFonts w:ascii="IRNazanin" w:hAnsi="IRNazanin" w:eastAsia="IRNazanin"/>
          <w:color w:val="111111"/>
          <w:sz w:val="28"/>
          <w:sz w:val="28"/>
          <w:szCs w:val="28"/>
          <w:rtl w:val="true"/>
          <w:lang w:bidi="fa-IR"/>
        </w:rPr>
        <w:t>توزیع مواد و تدارکات فیزیکی نمی تواند یک نقش مهم همانند کتابخانه امروزی به حساب آید کتابخانه رسانه کوچک، مجموعه فیزیکی یک کتابخانه سنتی را ارائه نمی دهد در این جا تنها مجلات مجموعه کتاب پرفروش کوچک و کتاب های امانت داده شده وجود دارند علاوه بر این کتابخانه رسانه یک مکان برای مواد ذخیره 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فنی و رقومی سازی مواد یک چالش برای بیشتر جمعیت بزرگسال محسوب می شود شما می توانید عنوان کنید که برخی از گروه ها در معرض خطر ،گمراهی به دلیل استفاده از رسانه رقومی قرار دارند نقش عمده کتابخانه رسانه، جلوگیری از جایگزینی و پشتیبانی با استفاده از مواد و تجهیزات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از توانایی کاربست رسانه جدید و روش های فنی برخوردارند</w:t>
      </w:r>
      <w:r>
        <w:rPr>
          <w:rFonts w:eastAsia="IRNazanin" w:cs="IRNazanin"/>
          <w:color w:val="111111"/>
          <w:sz w:val="28"/>
          <w:szCs w:val="28"/>
          <w:rtl w:val="true"/>
          <w:lang w:bidi="fa-IR"/>
        </w:rPr>
        <w:t>.</w:t>
      </w:r>
    </w:p>
    <w:p>
      <w:pPr>
        <w:pStyle w:val="Heading3"/>
        <w:numPr>
          <w:ilvl w:val="2"/>
          <w:numId w:val="1"/>
        </w:numPr>
        <w:rPr/>
      </w:pPr>
      <w:bookmarkStart w:id="913" w:name="__RefHeading___Toc7766918_2870459653"/>
      <w:bookmarkStart w:id="914" w:name="_Toc334"/>
      <w:bookmarkEnd w:id="913"/>
      <w:r>
        <w:rPr>
          <w:rtl w:val="true"/>
        </w:rPr>
        <w:t>خدمات جدید پیشنهادی</w:t>
      </w:r>
      <w:bookmarkEnd w:id="914"/>
    </w:p>
    <w:p>
      <w:pPr>
        <w:pStyle w:val="BookText"/>
        <w:rPr/>
      </w:pPr>
      <w:r>
        <w:rPr>
          <w:rFonts w:ascii="IRNazanin" w:hAnsi="IRNazanin" w:eastAsia="IRNazanin"/>
          <w:color w:val="111111"/>
          <w:sz w:val="28"/>
          <w:sz w:val="28"/>
          <w:szCs w:val="28"/>
          <w:rtl w:val="true"/>
          <w:lang w:bidi="fa-IR"/>
        </w:rPr>
        <w:t>کتابخانه مواد زیادی به شکل رقومی در اختیار دارد برای مثال روزنامه و کتاب های الکترونیک و از مراجعان می خواهد از آن ها استفاده کنند در کتابخانه رسانه رایانه های شخصی لپ تاب آی پادها رایانه های تبلت 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ریدرز نیز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دوربین های ویدیویی را به امانت می دهد که می تواند برای ساخت رسانه شخصی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مراجعان می توانند تولیدات شخصیشان را در استودیو با استفاده از لپ تاپ های رسانه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کتابخانه از مراجعان برای اصلاح مواد شخصیشان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رسانه ده رایانه تبلت سامسونگ را برای امانت دادن به مراجعان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تبلت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جدید داشت که به صورت رایگان نصب شده بود نیز تبلت ها 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ریدرها که شرکت های خصوصی به کتابخانه دادند هدف این طرح کمک به مراجعان در استفاده از تجهیزات فنی بوده است تا بتوانند تواناییشان را برای رسانه در حال تغییر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دیداری و شنیداری می تواند هم به صورت صوتی و هم تصویری در یک استودیوی کوچک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 به اتاق اجتماعات وصل است که تجهیزات نمایش مثل تولید صوت نور و دوربین های روباتی را در اختیار دارد مواد را حتی می توان با استفاده از تجهیزات موجود وارد اینترنت یا تلویزیون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باشگاه لپ تاپ، مملوّ از مراجعان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دوره هایی </w:t>
      </w:r>
      <w:bookmarkStart w:id="915" w:name="pg9653_82146"/>
    </w:p>
    <w:p>
      <w:pPr>
        <w:pStyle w:val="BookText"/>
        <w:rPr/>
      </w:pPr>
      <w:bookmarkEnd w:id="915"/>
      <w:r>
        <w:rPr>
          <w:rFonts w:ascii="IRNazanin" w:hAnsi="IRNazanin" w:eastAsia="IRNazanin"/>
          <w:color w:val="111111"/>
          <w:sz w:val="28"/>
          <w:sz w:val="28"/>
          <w:szCs w:val="28"/>
          <w:rtl w:val="true"/>
          <w:lang w:bidi="fa-IR"/>
        </w:rPr>
        <w:t>برای استفاده از اینترنت و سایر موضوعاتی که برای مراجعان اهمیت دارد برگزار می کند و می کوشد شرایطی فراهم آورد که به یادگیری همانند مشاوره نگاه شود که یک روش بسیار موثر برای مطالعه مطالب و موضوع های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یک کارگاه را برای جوانان محلی به صورت فیلم برداری ویدیویی بازی اسکیت و اصلاح آن سامان داد این کارگاه با همکاری سازمان جوانان شهر و برخی از انجمن های مرتبط با آن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رویدادهای مربوط به فیلم و سایر حوادث را به گونه ای فراهم آورد که کودکان نیز از آن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شناخته شده ترین خدمات رقومی سازی ویدیو کاست های قدیمی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برخی از تجهیزات ورزشی مثل گام سنج، ضربان سنج و شاخص ها و قطب نما را در اختیار مراجعان قرار می دهد 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افتتاح کتابخانه رسانه می گذرد که کارکنان هر روز هنگام کمک به مراجعان و استفاده از تجهیزات کتابخانه، استودیو و سالن اجتماعات چیزهای جدید فرا می گیرند این یک فرایند دراز مدت برای آشنایی با امکانات جدید است تا بهترین عملکرد برای مراجعان و تعریف الگوهای خدمات جدید به دست آید</w:t>
      </w:r>
      <w:r>
        <w:rPr>
          <w:rFonts w:eastAsia="IRNazanin" w:cs="IRNazanin"/>
          <w:color w:val="111111"/>
          <w:sz w:val="28"/>
          <w:szCs w:val="28"/>
          <w:rtl w:val="true"/>
          <w:lang w:bidi="fa-IR"/>
        </w:rPr>
        <w:t>.</w:t>
      </w:r>
    </w:p>
    <w:p>
      <w:pPr>
        <w:pStyle w:val="Heading3"/>
        <w:numPr>
          <w:ilvl w:val="2"/>
          <w:numId w:val="1"/>
        </w:numPr>
        <w:rPr/>
      </w:pPr>
      <w:bookmarkStart w:id="916" w:name="__RefHeading___Toc7766920_2870459653"/>
      <w:bookmarkStart w:id="917" w:name="_Toc335"/>
      <w:bookmarkEnd w:id="916"/>
      <w:r>
        <w:rPr>
          <w:rtl w:val="true"/>
        </w:rPr>
        <w:t>نتیجه گیری</w:t>
      </w:r>
      <w:r>
        <w:rPr>
          <w:rtl w:val="true"/>
        </w:rPr>
        <w:t>:</w:t>
      </w:r>
      <w:bookmarkEnd w:id="917"/>
    </w:p>
    <w:p>
      <w:pPr>
        <w:pStyle w:val="BookText"/>
        <w:rPr/>
      </w:pPr>
      <w:r>
        <w:rPr>
          <w:rFonts w:ascii="IRNazanin" w:hAnsi="IRNazanin" w:eastAsia="IRNazanin"/>
          <w:color w:val="111111"/>
          <w:sz w:val="28"/>
          <w:sz w:val="28"/>
          <w:szCs w:val="28"/>
          <w:rtl w:val="true"/>
          <w:lang w:bidi="fa-IR"/>
        </w:rPr>
        <w:t xml:space="preserve">هدف کتابخانه رسانه مایلی پیورو دو چندان شده است از یک طرف هدف پشتیبانی از ساکنان منطقه به عنوان شهروندان فعال در جهان رقومی جدید است و از طرف دیگر، کتابخانه رسانه می خواهد یک محیط یادگیری آزاد را برای مراجعان فراهم آورد تعداد بازدید کنندگان </w:t>
      </w:r>
      <w:r>
        <w:rPr>
          <w:rFonts w:eastAsia="IRNazanin" w:cs="IRNazanin"/>
          <w:color w:val="111111"/>
          <w:sz w:val="28"/>
          <w:szCs w:val="28"/>
          <w:rtl w:val="true"/>
          <w:lang w:bidi="fa-IR"/>
        </w:rPr>
        <w:t>(</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شروع کار دو برابر شده است و به نظر می رسد مراجعان قدیمی و جدید به خدمات آن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مراجعان مثبت است و آینده ،کتابخانه نویدبخش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کتابخانه رسانه به عنوان بخشی از یک طرح آزمایشی محسوب می شود زمانی که خدمات برای کتابخانه مرکزی هلسینکی طراحی گردید کتابخانه رسانه در برنامه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طراحی واژه در هلسینکی به عنوان یک طرح طراحی خدمات جدید انتخاب گردید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مهارت های کتابخانه سنتی ناقص است، بدین روی لازم است تا روش های جدیدی برای توسعه کارکنان فراهم آید هدف کتابخانه رسانه، فراهم آوری محیط یادگیری برای کارکنان کتابخانه در خلق مهارت و قابلیت های جدید است</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8" w:name="pg9653_82148"/>
      <w:bookmarkStart w:id="919" w:name="pg9653_82148"/>
      <w:bookmarkEnd w:id="919"/>
    </w:p>
    <w:p>
      <w:pPr>
        <w:pStyle w:val="Heading2"/>
        <w:numPr>
          <w:ilvl w:val="1"/>
          <w:numId w:val="1"/>
        </w:numPr>
        <w:rPr/>
      </w:pPr>
      <w:bookmarkStart w:id="920" w:name="pg9653_82148"/>
      <w:bookmarkStart w:id="921" w:name="__RefHeading___Toc7766922_2870459653"/>
      <w:bookmarkStart w:id="922" w:name="_Toc336"/>
      <w:bookmarkEnd w:id="920"/>
      <w:bookmarkEnd w:id="921"/>
      <w:r>
        <w:rPr>
          <w:rtl w:val="true"/>
        </w:rPr>
        <w:t>چکیده</w:t>
      </w:r>
      <w:bookmarkEnd w:id="922"/>
    </w:p>
    <w:p>
      <w:pPr>
        <w:pStyle w:val="BookText"/>
        <w:rPr/>
      </w:pPr>
      <w:r>
        <w:rPr>
          <w:rFonts w:ascii="IRNazanin" w:hAnsi="IRNazanin" w:eastAsia="IRNazanin"/>
          <w:color w:val="111111"/>
          <w:sz w:val="28"/>
          <w:sz w:val="28"/>
          <w:szCs w:val="28"/>
          <w:rtl w:val="true"/>
          <w:lang w:bidi="fa-IR"/>
        </w:rPr>
        <w:t>استانداردها همواره توصیه می شوند استانداردهای کتابخانه ای روش های توصیه شده ای برای کارهای کتابخانه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 اغلب با کارکردها و کارهای اجرایی که یک کتابخانه انجام می دهد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خودی خود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استاندارد توصیف نیست بلکه ارتقاء کارکردها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استانداردها به خودی خود ارزش ندارند استانداردها زمانی ارزش می یابند که بتوانند در عمل تغییری در روش های کتابخانه ها در کارهایشان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توانیم بین استانداردهای فعال و منفعل تمییز قابل شویم، تقریبا همه استانداردها را کمیته هایی تدوین می کنند که کتابدارانی که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و فعال هستند، اعضای آن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فعال با محیط های مرتبط برهم کنش دارند درباره استانداردهای فعال آزادانه بحث می شود بطور وسیع به کار گرفته می شوند و جامعه کاربرانش در دوره های پیاپی آن ها را بازنگری و اصلاح می کنند اما استانداردهای منفعل را بیشتر در اسناد می جویند و تنها تعداد کمی از افراد، آن ها را می خوانند یا به آن ها علاقه مند هستند سال های ،سال نهادهای کتابخانه ای کوشیده اند عملیات آماری کتابخانه ها را از بالا و از طریق دستورالعمل های کمیته های خاص مانند کمیته های استاندارد و با تغییر در مفاهیم و پیشنهادهای اجرایی تغییر دهند این رویکرد کارهای اجرایی را کند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کار همه استانداردها سیاست گزاری است تا فرایند فنی استاندارد کردن هزینه زیادی دارد و بر علایق افراد تاثیر می گذارد کتابداران تمایلی به تغییر روال کارهای خود ندارند فقط به این دلیل که کمیته های استاندارد کتابخانه ای بدون توجه به قدرت و بودجه کتابخانه ها می گویند این کار را انجام دهید برای سرعت بیشتر ما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پایین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کردیم به این معنی که از آمارهای کارهای جاری شروع کردیم تا رویه ها و داده های موجود را قدم به قدم و سال به سال ارتقاء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شواهد مفهومی و تجربی هر دو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دنبال برهم کنش استانداردها و کارهای اجرایی در آمار کتابخانه ها هستیم، با مثال هایی از ایفلا، اُ سی ال سی، </w:t>
      </w:r>
      <w:r>
        <w:rPr>
          <w:rStyle w:val="FootnoteAnchor"/>
          <w:rtl w:val="true"/>
        </w:rPr>
        <w:footnoteReference w:id="1223"/>
      </w:r>
      <w:r>
        <w:rPr>
          <w:rFonts w:ascii="IRNazanin" w:hAnsi="IRNazanin" w:eastAsia="IRNazanin"/>
          <w:color w:val="111111"/>
          <w:sz w:val="28"/>
          <w:sz w:val="28"/>
          <w:szCs w:val="28"/>
          <w:rtl w:val="true"/>
          <w:lang w:bidi="fa-IR"/>
        </w:rPr>
        <w:t xml:space="preserve">و موسسه بین المللی استاندارد، </w:t>
      </w:r>
      <w:r>
        <w:rPr>
          <w:rStyle w:val="FootnoteAnchor"/>
          <w:rtl w:val="true"/>
        </w:rPr>
        <w:footnoteReference w:id="1224"/>
      </w:r>
      <w:r>
        <w:rPr>
          <w:rFonts w:ascii="IRNazanin" w:hAnsi="IRNazanin" w:eastAsia="IRNazanin"/>
          <w:color w:val="111111"/>
          <w:sz w:val="28"/>
          <w:sz w:val="28"/>
          <w:szCs w:val="28"/>
          <w:rtl w:val="true"/>
          <w:lang w:bidi="fa-IR"/>
        </w:rPr>
        <w:t>ویرایش طولانی تری از این مقاله شامل اطلاعاتی از کشورهای مختلف در دست کار است که می کوشد استانداردهای آماری در یک دهه گذشته را بشناساند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کتابخانه ای؛ شاخص های عملکرد؛ استانداردهای آماری </w:t>
      </w:r>
      <w:bookmarkStart w:id="923" w:name="pg9653_82149"/>
    </w:p>
    <w:p>
      <w:pPr>
        <w:pStyle w:val="Heading2"/>
        <w:numPr>
          <w:ilvl w:val="1"/>
          <w:numId w:val="1"/>
        </w:numPr>
        <w:rPr/>
      </w:pPr>
      <w:bookmarkStart w:id="924" w:name="__RefHeading___Toc7766924_2870459653"/>
      <w:bookmarkStart w:id="925" w:name="_Toc337"/>
      <w:bookmarkEnd w:id="923"/>
      <w:bookmarkEnd w:id="924"/>
      <w:r>
        <w:rPr>
          <w:rtl w:val="true"/>
        </w:rPr>
        <w:t>بهبود عملکردها</w:t>
      </w:r>
      <w:r>
        <w:rPr>
          <w:rtl w:val="true"/>
        </w:rPr>
        <w:t xml:space="preserve">: </w:t>
      </w:r>
      <w:r>
        <w:rPr>
          <w:rtl w:val="true"/>
        </w:rPr>
        <w:t>استانداردهای آماری در کتابخانه های جهان</w:t>
      </w:r>
      <w:bookmarkEnd w:id="925"/>
    </w:p>
    <w:p>
      <w:pPr>
        <w:pStyle w:val="Heading3"/>
        <w:numPr>
          <w:ilvl w:val="2"/>
          <w:numId w:val="1"/>
        </w:numPr>
        <w:rPr/>
      </w:pPr>
      <w:bookmarkStart w:id="926" w:name="__RefHeading___Toc7766926_2870459653"/>
      <w:bookmarkStart w:id="927" w:name="_Toc338"/>
      <w:bookmarkEnd w:id="926"/>
      <w:r>
        <w:rPr>
          <w:rtl w:val="true"/>
        </w:rPr>
        <w:t>اشاره</w:t>
      </w:r>
      <w:bookmarkEnd w:id="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عملکردها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 آماری در کتابخانه های جهان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نوشته تورد هُیویک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ابراهیم عمرانی </w:t>
      </w:r>
      <w:r>
        <w:rPr>
          <w:rStyle w:val="FootnoteAnchor"/>
          <w:rtl w:val="true"/>
        </w:rPr>
        <w:footnoteReference w:id="1227"/>
      </w:r>
    </w:p>
    <w:p>
      <w:pPr>
        <w:pStyle w:val="Heading3"/>
        <w:numPr>
          <w:ilvl w:val="2"/>
          <w:numId w:val="1"/>
        </w:numPr>
        <w:rPr/>
      </w:pPr>
      <w:bookmarkStart w:id="928" w:name="__RefHeading___Toc7766928_2870459653"/>
      <w:bookmarkStart w:id="929" w:name="_Toc339"/>
      <w:bookmarkEnd w:id="928"/>
      <w:r>
        <w:rPr>
          <w:rtl w:val="true"/>
        </w:rPr>
        <w:t>راهبردهایی برای تغییر</w:t>
      </w:r>
      <w:bookmarkEnd w:id="929"/>
    </w:p>
    <w:p>
      <w:pPr>
        <w:pStyle w:val="BookText"/>
        <w:rPr/>
      </w:pPr>
      <w:r>
        <w:rPr>
          <w:rFonts w:ascii="IRNazanin" w:hAnsi="IRNazanin" w:eastAsia="IRNazanin"/>
          <w:color w:val="111111"/>
          <w:sz w:val="28"/>
          <w:sz w:val="28"/>
          <w:szCs w:val="28"/>
          <w:rtl w:val="true"/>
          <w:lang w:bidi="fa-IR"/>
        </w:rPr>
        <w:t>راهبردها شامل کارهای آماری و ارزشیابی مقطعی است برای ارتقاء مجموعه و استفاده از آمار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موفقیت آمیز عملیات کتابخانه ها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ارزش کتابخانه ها به بیرون از حرفه این اهداف، نیاز به تعریف استانداردسازی، گردآوری، تحلیل، تفسیر، انتشار و استفاده از داده های آماری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غلط نباشد اگر بگوییم کارهای بین المللی در حوزه آمارهای کتابخانه های عمومی بیشتر گرایش به تمرکز بر تعریف ها استانداردها و روش های عمومی دارند این موضوع ها نسبتا از بافتار اجتماعی، مجزا و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نمی توانیم درباره گردآوری تحلیل، تفسیر، انتشار و استفاده واقعی از آمارهای کتابخانه مطالعه کنیم بدون توجه به این که این آمارها به چه کشوری و به چه موردی تعلق دارند وضعیت واقعی که ما روی کره زمین می بینیم از آلمان تا چین و مکزیک و آفریقای جنوبی</w:t>
      </w:r>
    </w:p>
    <w:p>
      <w:pPr>
        <w:pStyle w:val="BookText"/>
        <w:rPr/>
      </w:pPr>
      <w:r>
        <w:rPr>
          <w:rFonts w:ascii="IRNazanin" w:hAnsi="IRNazanin" w:eastAsia="IRNazanin"/>
          <w:color w:val="111111"/>
          <w:sz w:val="28"/>
          <w:sz w:val="28"/>
          <w:szCs w:val="28"/>
          <w:rtl w:val="true"/>
          <w:lang w:bidi="fa-IR"/>
        </w:rPr>
        <w:t>ما تفاوتی عظیم نشان می دهد بسیاری از کشورها فاقد سیستم های آماری هستند که در ابعاد ملی آمارهای کتابخانه ای را گرد آورند این کشورها به روش هایی برای گردآوری منظم و قاعده مند نیاز دارند که بر اساس آن، کتابخانه های علاقمند بتوانند برای ساماندهی کار خود از آن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همچنین تفاوت زیادی در این زمینه بین مناطق شهری و روستایی وجود 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مشکلات جهانی هستند با این همه، نهادهای کتابخانه ای تلاشی دو چندان صرف گردآوری آمارهای تکراری می کنند که تنها بخش کوچکی از آن در ارائه های حرفه ای و تحلیل نتایج </w:t>
      </w:r>
    </w:p>
    <w:p>
      <w:pPr>
        <w:pStyle w:val="BookText"/>
        <w:rPr/>
      </w:pPr>
      <w:r>
        <w:rPr>
          <w:rFonts w:ascii="IRNazanin" w:hAnsi="IRNazanin" w:eastAsia="IRNazanin"/>
          <w:color w:val="111111"/>
          <w:sz w:val="28"/>
          <w:sz w:val="28"/>
          <w:szCs w:val="28"/>
          <w:rtl w:val="true"/>
          <w:lang w:bidi="fa-IR"/>
        </w:rPr>
        <w:t>بکار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کتابداران توجه بسیار کمی به آمارها می کنند و اطلاعات پخش و متفرق می شود و از دسترس پنهان می ماند پژوهشگران حوزه کتابداری و سازمان های کتابخانه ای نیاز دارند که روش ها، داده ها و بحث های خود را روی وب به صورت باز در دسترس قرار دهند وقتی این کار انجام نمی شود، کتابداران طبیعتا به نتایج مطالعات تجربی دسترسی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یادگیری گروهی دچار نقصان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داده های تجربی به اشتراک گذاشته نشود بحث های عمومی بین خبره های حرفه نیز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مجبورند به جای تلاش و کار با داده های واقعی وقت خود را صرف تعریف مفاهیم و تدوین شاخص 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طبیعی است که کارهای مفهومی جایگزین کارهای تجربی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پراکندگی و نوآوری</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حرفه ها نیازمند تلفیقی از یکسانی ها و پراکندگی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استانداردها اجباری کردن افراد به انجام دقیقا یک کار واحد و دقیقا به یک شکل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ها استانداردها را برای رشد و گسترش خود تدوین و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 خلاقیت های جمعی را مد نظر قرار می دهند اگر عده ای یک کار را با یک روش مشترک انجام دهند ارتباط برقرار کردن و به اشتراک گذاشتن تجربه ها خیلی آسان تر می شود تا این که هر کسی به یک روش یک کار را انجام دهد مفاهیم داده ها و رویه های تازه استانداردها ابزاری برای نوآوری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استانداردهای آماری می پردازد مولف نگاهی دارد به وضعیت جاری کتابخانه ها از سه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متخصص آمار، به عنوان یک جامعه شناس و به عنوان یک مدرس و پژوهشگر کتابداری نتایج اصلی من پسند عمومی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کوشیده ایم کارهای آماری کتابخانه ها را در مفاهیم و اجرا از روش از بالا به پایین در کمیته های مختلف تغییر دهیم این رویکرد اساسا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 تواند در بالا ترغیب </w:t>
      </w:r>
      <w:r>
        <w:rPr>
          <w:rStyle w:val="FootnoteAnchor"/>
          <w:rtl w:val="true"/>
        </w:rPr>
        <w:footnoteReference w:id="1229"/>
      </w:r>
      <w:r>
        <w:rPr>
          <w:rFonts w:ascii="IRNazanin" w:hAnsi="IRNazanin" w:eastAsia="IRNazanin"/>
          <w:color w:val="111111"/>
          <w:sz w:val="28"/>
          <w:sz w:val="28"/>
          <w:szCs w:val="28"/>
          <w:rtl w:val="true"/>
          <w:lang w:bidi="fa-IR"/>
        </w:rPr>
        <w:t xml:space="preserve">شود ولی باید در پایین درک و به واقعیت نزدیک </w:t>
      </w:r>
      <w:r>
        <w:rPr>
          <w:rStyle w:val="FootnoteAnchor"/>
          <w:rtl w:val="true"/>
        </w:rPr>
        <w:footnoteReference w:id="1230"/>
      </w:r>
      <w:r>
        <w:rPr>
          <w:rFonts w:ascii="IRNazanin" w:hAnsi="IRNazanin" w:eastAsia="IRNazanin"/>
          <w:color w:val="111111"/>
          <w:sz w:val="28"/>
          <w:sz w:val="28"/>
          <w:szCs w:val="28"/>
          <w:rtl w:val="true"/>
          <w:lang w:bidi="fa-IR"/>
        </w:rPr>
        <w:t>شود ما باید از فردا شروع کنیم ولی باید از خودمان آغاز کنیم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با شیوه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کارکرده اند و از آن استقبال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استانداردهای آماری یکسان برای کاربرد در همه کشورها و مناطق جهان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کمیت و کیفیت گردآوری و استفاده از آمار اطلاعاتی در کتابخانه ها در کشورهای مختلف بطور گسترده متفاوت و متنوع است و با هم تفاوت دارند تعدادی از کشورها سیستم های پیشرفته آماری </w:t>
      </w:r>
    </w:p>
    <w:p>
      <w:pPr>
        <w:pStyle w:val="BookText"/>
        <w:rPr/>
      </w:pPr>
      <w:r>
        <w:rPr>
          <w:rFonts w:ascii="IRNazanin" w:hAnsi="IRNazanin" w:eastAsia="IRNazanin"/>
          <w:color w:val="111111"/>
          <w:sz w:val="28"/>
          <w:sz w:val="28"/>
          <w:szCs w:val="28"/>
          <w:rtl w:val="true"/>
          <w:lang w:bidi="fa-IR"/>
        </w:rPr>
        <w:t>را برای کتابخانه های عمومی، دانشگاهی و تخصصی خود به کار گرفته اند با این همه کتابخانه های آموزشگاهی که کتابخانه هایی کوچک و از نظر نیروی کار ضعیف تر هستند هنوز مشکل آماری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گسترش آمارهای کتابخانه ای به رشد این قبیل کتابخانه ها بستگی خیلی زیادی دارد در کشورها، کتابخانه های تخصصی خدمات خود را به جوامع مختلف براساس خواست آن جامعه مثلا ،پژوهشگران ،پزشکان حقوقدانان و نمایندگان مجلس ارائه می کنند و منطقا برای این کار تجهیز</w:t>
      </w:r>
    </w:p>
    <w:p>
      <w:pPr>
        <w:pStyle w:val="BookText"/>
        <w:rPr/>
      </w:pPr>
      <w:r>
        <w:rPr>
          <w:rFonts w:ascii="IRNazanin" w:hAnsi="IRNazanin" w:eastAsia="IRNazanin"/>
          <w:color w:val="111111"/>
          <w:sz w:val="28"/>
          <w:sz w:val="28"/>
          <w:szCs w:val="28"/>
          <w:rtl w:val="true"/>
          <w:lang w:bidi="fa-IR"/>
        </w:rPr>
        <w:t>شده اند و نیروی مناسب این خدمات را در اختیار دارند و درست در همان شرایط و همان زمان کتابخانه های عمومی کم تعداد، ضعیف و کم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قاره ای نگاه کنیم باید بگوییم بزرگ ترین مشکل در آفریقا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الايشا چیوار </w:t>
      </w: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اشاره می کند به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آفریقا استانداردی برای گردآوری انواع آمار کتابخانه ای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جا هیچ چیزی که بگوید داده ها چگونه باید گردآوری تحلیل، ارائه و بکار گرفته شوند، به اشتراک گذاشته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جا شکاف عظیمی بین انواع و دوره های زمانی آمارگیری، در کتابخانه هایی که از فناوری های پیشرفته برخوردارند با آن ها که فاقد امکانات هستند،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آفریقا پایگاه ملی یا منطقه ای آفریقایی که داده های مقایسه ای کتابخانه ها را در دسترس بگذارد وجود ندارد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سطوح توسعه</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لیکن اجازه بدهید که وضعیت جهانی را با دقت بیشتری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چهار سطح توسعه در مقیاس ملی تمییز قائل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با کم ترین سطح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زاویه کتابخانه هایشان</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به هیچ وجه آمار ملی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 این کشورها داده های کتابخانه ای خود را در سالنامه های آماری و گزارش های آمار فرهنگی خود منتشر می کنند ولی اطلاعات به سختی قابل دستیافت و به سختی قابل کاربرد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 یافتن این آمار، تلاش زیادی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آمارهای بین المللی کتابخانه ای علاقه دارند فرصت کافی برای بازدید از یکایک موسسات تخصصی که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را اطلاعاتی مثل موسسه های ملی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برای استخراج تعداد کمی داده آماری درباره هر کشوری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دوم شامل کشورهایی است که می کوشند آمارهای ملی خود را گردآورند، ولی سیستم های کتابخانه ای پراکنده و ناهمخوان مانع کاری درست و جدی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کتابخانه های عمومی در این فضاها دشوارتر از کتابخانه های دانشگاهی و تخصصی است با این همه، این کتابخانه های نوع دوم نیز از نداشتن یک هماهنگ کننده ملی رنج می برند بسیاری از کشورهای آمریکای لاتین در این دسته دوم جای دارند در آفریقا کشور آفریقای جنوبی موردی خاص و قابل توجه است چون این کشور اقتصاد عظیم صنعتی و شهری را با بخش های بزرگ روستایی و توسعه نیافته در ترکیب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 جنوبی جوامع کتابخانه ای متنوعی دارد و نقش مهمی در آموزش منطقه ای و توسعه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گروه شامل کشورهایی می شود با سیستم های کتابخانه ای خوب تولید شده و آمارهایی در سطح ملی مانند بریتانیا، آلمان، ایتالیا بیشتر کشورهای اروپای شرقی ایالات متحده، شیلی، سنگاپور و چند کشور دیگر مهمترین مساله ای که از بیرون در مورد این کشورها دیده می شود انتشار نیافتن گسترده داده های 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Style w:val="FootnoteAnchor"/>
          <w:rtl w:val="true"/>
        </w:rPr>
        <w:footnoteReference w:id="1234"/>
      </w:r>
      <w:r>
        <w:rPr>
          <w:rFonts w:ascii="IRNazanin" w:hAnsi="IRNazanin" w:eastAsia="IRNazanin"/>
          <w:color w:val="111111"/>
          <w:sz w:val="28"/>
          <w:sz w:val="28"/>
          <w:szCs w:val="28"/>
          <w:rtl w:val="true"/>
          <w:lang w:bidi="fa-IR"/>
        </w:rPr>
        <w:t>روی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 ترین کشورها به نظر می رسد کشورهای اروپای شمالی هستند فنلاند، نروژ، دانمارک و سوئد به علاوه هلند و نیوزیلند،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توانیم به این چند کشور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و ایالت ها ارادهای سیاسی برای سنجش فعالیت های کتابخانه ها و استفاده از وب برای ارائه و اشاعه آمارهای کتابخانه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حرفه ای</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کارهای اجرایی کتابداران بیشترین بخش مورد توجه آمارهای رسمی کتابخانه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تحقیقاتی و طرح ها نقش کوچکی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حرفه ای کتابداران بیشتر درباره مسایلی بحث و مذاکره می کنند که با آن روبرو هستند تا زمانی که این مسایل محلی باشند یا درباره تجربه های محلی باشد، بحث ها هم محلی خواهد بود بحث های آماری که در فرانسه آلمان و بریتانیا و ایتالیا در جریان است بیشتر به مسایل ملی و نه موارد جهانی اختصاص دارند آن ها البته، این بحث ها را به زبان های محلی خود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مباحثات، حتی در اسکاندیناوی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نروژ، سوئد و دانمارک سیستم های کتابخانه ای مشابهی دارند و هر سه زبان رایج در این کشورها از سوی متکلمان دو کشور دیگر تقریبا قابل فهم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 های محلی و در سطح کشور باقی مانده 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وب، به اشتراک گذاشتن این بحث ها را امکان پذیر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راهبرد یا </w:t>
      </w:r>
    </w:p>
    <w:p>
      <w:pPr>
        <w:pStyle w:val="BookText"/>
        <w:rPr/>
      </w:pPr>
      <w:r>
        <w:rPr>
          <w:rFonts w:ascii="IRNazanin" w:hAnsi="IRNazanin" w:eastAsia="IRNazanin"/>
          <w:color w:val="111111"/>
          <w:sz w:val="28"/>
          <w:sz w:val="28"/>
          <w:szCs w:val="28"/>
          <w:rtl w:val="true"/>
          <w:lang w:bidi="fa-IR"/>
        </w:rPr>
        <w:t>مجموعه عملیاتی که من به آن باور دارم، عبارت هستند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سیستم های آماری رایج در کشور خودتان؛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این اطلاعات در 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محلی که راحت جای داده شوند و راحت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هایی درباره آمارهای جاری کتابخانه در دوره های زمانی معین ارائه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داده های خود را در دوره های معین زمانی تفسیر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داشتن داده های خوب محلی داده های خوب جهانی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داده های جهانی، از داده های موسسه های محلی می گذرد استانداردهای، بین المللی آماری هنوز قابل استفاده و مفید هستند لیکن کمیته هایی که استانداردهای آماری را تدوین می کنند نمی توانند جایگزین جوامع و گروه هایی شوند که رویه های آماری را در عمل، آزمایش راه اندازی و ارزشیابی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بطور جدی باور دارم حوزه آمار کتابخانه ای نیازمند بحث های حرفه ای بیشتر، بر اساس گردآوری نظام مندتر داده ها و به اشتراک گذاری وسیع اطلاعات و تحلیل های آماری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 کنم که خبرگان و حرفه ای ها باید بحث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همطراز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را به سوی استفاده از دلایل آماری، جامعه شناختی و اقتصادی رهنمون شوند و نه براساس استدلال های بوروکراتیک ایدئولوژیک و یا سیاسی وب امکان مشارکت افقی و همسطح را در برابر مشارکتی عمودی خیلی آسان تر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کتابخانه ای در بسیاری از نقاط دنیا گسترش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توزیع شده داوطلبان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سپاری</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با تلاش کوچکی برای هماهنگی می تواند این کار را منطقا به نقطه خوبی برساند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های حرفه ای به خوبی در برخی کشورها اتفاق افتاده است در آلمان، نمایه کتابداری بیکس </w:t>
      </w:r>
      <w:r>
        <w:rPr>
          <w:rStyle w:val="FootnoteAnchor"/>
          <w:rtl w:val="true"/>
        </w:rPr>
        <w:footnoteReference w:id="1238"/>
      </w:r>
      <w:r>
        <w:rPr>
          <w:rFonts w:ascii="IRNazanin" w:hAnsi="IRNazanin" w:eastAsia="IRNazanin"/>
          <w:color w:val="111111"/>
          <w:sz w:val="28"/>
          <w:sz w:val="28"/>
          <w:szCs w:val="28"/>
          <w:rtl w:val="true"/>
          <w:lang w:bidi="fa-IR"/>
        </w:rPr>
        <w:t>چه برای کتابخانه های عمومی و چه برای کتابخانه های دانشگاهی کاری قوی و امکان خوبی برای هر دو بخش شده است کتابخانه ها بطور داوطلبانه در آن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پیگیر با داده های واقعی بعد از چندین سال تاثیر 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جهانی کتابخانه ها</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بیل و ملیندا گیتس</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آن را حمایت مالی می کنند اصرار بر گردآوری و ارزشیابی داده های نظام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کتابخانه از این رویکرد عمل گرایانه بهره مند شده اند، و از شیوه نامه آن ها می توان به عنوان مدل و الگویی برای جوامع کتابخان های مختلف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بررسی کلی در این مورد به سُوایا </w:t>
      </w:r>
      <w:r>
        <w:rPr>
          <w:rStyle w:val="FootnoteAnchor"/>
          <w:rtl w:val="true"/>
        </w:rPr>
        <w:footnoteReference w:id="12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نمایه جدید مجله کتابدار </w:t>
      </w:r>
      <w:r>
        <w:rPr>
          <w:rStyle w:val="FootnoteAnchor"/>
          <w:rtl w:val="true"/>
        </w:rPr>
        <w:footnoteReference w:id="1242"/>
      </w:r>
      <w:r>
        <w:rPr>
          <w:rFonts w:ascii="IRNazanin" w:hAnsi="IRNazanin" w:eastAsia="IRNazanin"/>
          <w:color w:val="111111"/>
          <w:sz w:val="28"/>
          <w:sz w:val="28"/>
          <w:szCs w:val="28"/>
          <w:rtl w:val="true"/>
          <w:lang w:bidi="fa-IR"/>
        </w:rPr>
        <w:t>برای کتابخانه های عمومی به صورتی حرفه ای طراحی و خیلی خوب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ائتلافی نیز بین کتابخانه ها و شهرداری ها ایجاد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بیل و ملیندا گیتس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عضو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پیشگام پیشبرد کتابخانه ها</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پیشبرد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برای دسته بندی تدوین کرده که الگویی مقایسه ای و شاخص های طراحی شده برای استفاده به عنوان ابزار سنجش و ارزیابی در بر می گیرد این ابزار به نظر می رسد که خیلی خوب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متوازن واضح و جامع در کتابخانه های دانشگاهی بررسی ها با استفاده از مدل لیبکوال </w:t>
      </w:r>
      <w:r>
        <w:rPr>
          <w:rStyle w:val="FootnoteAnchor"/>
          <w:rtl w:val="true"/>
        </w:rPr>
        <w:footnoteReference w:id="1244"/>
      </w:r>
      <w:r>
        <w:rPr>
          <w:rFonts w:ascii="IRNazanin" w:hAnsi="IRNazanin" w:eastAsia="IRNazanin"/>
          <w:color w:val="111111"/>
          <w:sz w:val="28"/>
          <w:sz w:val="28"/>
          <w:szCs w:val="28"/>
          <w:rtl w:val="true"/>
          <w:lang w:bidi="fa-IR"/>
        </w:rPr>
        <w:t>برای بررسی رضایت مندی کاربران خیلی خوب استفاده می شود و این مدل به الگوی فرهنگ ارزیابی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 جهانی</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کوشش هایی به عمل آمده که آمارهای کتابخانه ای جهانی ایجاد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رویکردی متمرکز در یک پایگاه بزرگ، گزارش های استاندارد مجموعه معین و ثابتی از شاخص ها، یک هیات مدیره انتخابی و چیزهای دیگری نیز در نظر است که با شرایط امروز ثابت و پایدار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 دور و اطراف کره زمین خیلی خیلی متفاوت تر از آن است که بخواهیم کاری با رویکردی یکسان انجام دهیم یونسکو آمار کتابخانه ها در سطح بین المللی را از سال ها سال پیش تهیه می کند ولی در حال حاضر انتشار مجموعه های آماری یونسکو تداوم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آماری مجموعه های یونسکو خیلی ضعیف بود ایفلا تلاش کرد که یونسکو را مجاب کند که این کار را دوباره شروع کند ولی هنوز موفق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الیس </w:t>
      </w:r>
      <w:r>
        <w:rPr>
          <w:rStyle w:val="FootnoteAnchor"/>
          <w:rtl w:val="true"/>
        </w:rPr>
        <w:footnoteReference w:id="1246"/>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سی ال سی هم کوشید که مجموعه ای از آمارهای جهانی کتابخانه ها ایجاد کند که آن تلاش هم ناموفق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بدهید اضافه کنم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پیشگام پیشبرد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باید تمجید شود تا انتقاد حتى شکست های آن هم قابل استفاده خواهد بود در صورتی که ما خطر شکست های آن را بپذیریم خواهیم توانست از خطاها و شکست ها چیزهای زیادی بیاموزیم باید بپذیریم که آمارهای جهانی تکیه بر آمارهای 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آمارهای کشورها از سطح یک تا سطح سه باید محلی باشد و توسط مردمی گردآوری شوند که در آن کشور زندگی و کار می کنند با نظام آماری محلی خود آشنا هستند و می توانند تغییرات مداومی را که هر لحظه امکان وقوع آن ها محتمل است دنبال کنند همه </w:t>
      </w:r>
      <w:bookmarkStart w:id="930" w:name="pg9653_82155"/>
    </w:p>
    <w:p>
      <w:pPr>
        <w:pStyle w:val="BookText"/>
        <w:rPr/>
      </w:pPr>
      <w:bookmarkEnd w:id="930"/>
      <w:r>
        <w:rPr>
          <w:rFonts w:ascii="IRNazanin" w:hAnsi="IRNazanin" w:eastAsia="IRNazanin"/>
          <w:color w:val="111111"/>
          <w:sz w:val="28"/>
          <w:sz w:val="28"/>
          <w:szCs w:val="28"/>
          <w:rtl w:val="true"/>
          <w:lang w:bidi="fa-IR"/>
        </w:rPr>
        <w:t>این کشورها در تلاش برای ارتقاء نظام های آماری خود هستند هر یک به هر شکلی که بتوانند این کار را انجام دهند سطح چهار متفاوت است اطلاعات از هر کشوری در این سطح روی وب برای هر کسی که بخواهد استفاده کند، در دسترس است تعداد مناسبی از کشورها آمارهای کتابخانه ای خود را با جزئیات روی وب در دسترس گذاشته اند من در تعقیب این ،موضوع از کشورهای زیر اطلاع دارم ولی ممکن است کشورهای دیگری هم باشند و من با خبر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شمال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دانمارک، فنلاند، نروژ و سوئد؛ گروه مشترک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 کانادا و نیوزیلند</w:t>
      </w:r>
      <w:r>
        <w:rPr>
          <w:rFonts w:eastAsia="IRNazanin" w:cs="IRNazanin"/>
          <w:color w:val="111111"/>
          <w:sz w:val="28"/>
          <w:szCs w:val="28"/>
          <w:rtl w:val="true"/>
          <w:lang w:bidi="fa-IR"/>
        </w:rPr>
        <w:t>.</w:t>
      </w:r>
    </w:p>
    <w:p>
      <w:pPr>
        <w:pStyle w:val="Heading3"/>
        <w:numPr>
          <w:ilvl w:val="2"/>
          <w:numId w:val="1"/>
        </w:numPr>
        <w:rPr/>
      </w:pPr>
      <w:bookmarkStart w:id="931" w:name="__RefHeading___Toc7766930_2870459653"/>
      <w:bookmarkStart w:id="932" w:name="_Toc340"/>
      <w:bookmarkEnd w:id="931"/>
      <w:r>
        <w:rPr>
          <w:rtl w:val="true"/>
        </w:rPr>
        <w:t>گزارش جهانی ایفلا</w:t>
      </w:r>
      <w:bookmarkEnd w:id="932"/>
    </w:p>
    <w:p>
      <w:pPr>
        <w:pStyle w:val="BookText"/>
        <w:rPr/>
      </w:pPr>
      <w:r>
        <w:rPr>
          <w:rFonts w:ascii="IRNazanin" w:hAnsi="IRNazanin" w:eastAsia="IRNazanin"/>
          <w:color w:val="111111"/>
          <w:sz w:val="28"/>
          <w:sz w:val="28"/>
          <w:szCs w:val="28"/>
          <w:rtl w:val="true"/>
          <w:lang w:bidi="fa-IR"/>
        </w:rPr>
        <w:t xml:space="preserve">گزارش جهانی ایفلا </w:t>
      </w:r>
      <w:r>
        <w:rPr>
          <w:rStyle w:val="FootnoteAnchor"/>
          <w:rtl w:val="true"/>
        </w:rPr>
        <w:footnoteReference w:id="1247"/>
      </w:r>
      <w:r>
        <w:rPr>
          <w:rFonts w:ascii="IRNazanin" w:hAnsi="IRNazanin" w:eastAsia="IRNazanin"/>
          <w:color w:val="111111"/>
          <w:sz w:val="28"/>
          <w:sz w:val="28"/>
          <w:szCs w:val="28"/>
          <w:rtl w:val="true"/>
          <w:lang w:bidi="fa-IR"/>
        </w:rPr>
        <w:t>درباره کتابخانه ها طرحی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به وضوح نشان از پیشرفت کار دارد موارد متعددی درباره داده و مستندسازی وجود دارد که باید به آن بپردازیم ولی در مجموعه کارهای جدیدتر، باید فرصت بزرگی برای ایجاد داده های به اشتراک گذاشته شده روش ها مفاهیم و درک کتابخانه ها از دیدگاهی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محور</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 xml:space="preserve">به وجود آید این مساله موجب تمرکزی می شود که بحث های گسترده حرفه ای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Style w:val="FootnoteAnchor"/>
          <w:rtl w:val="true"/>
        </w:rPr>
        <w:footnoteReference w:id="1249"/>
      </w:r>
      <w:r>
        <w:rPr>
          <w:rFonts w:ascii="IRNazanin" w:hAnsi="IRNazanin" w:eastAsia="IRNazanin"/>
          <w:color w:val="111111"/>
          <w:sz w:val="28"/>
          <w:sz w:val="28"/>
          <w:szCs w:val="28"/>
          <w:rtl w:val="true"/>
          <w:lang w:bidi="fa-IR"/>
        </w:rPr>
        <w:t>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ما آمارهای جهانی را بررسی می کنیم نخستین چیزی که درباره یک کشور می خواهیم بدانیم، تعداد کتابخانه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گفتن، خیلی آسان تر از انجام دادن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مساله اصلی در این مورد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شعبه های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سازمان های کتابخانه ای را شمارش می کنیم که هر یک زیر نظر یک مدیر اداره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تعداد شعبه های مجزای کتابخانه ها را؟</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اندازه و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سازمان های از یک اندازه معین به بالا را شمارش می کنیم؟ یا هر چیزی را که شکل کتابخانه دارد می شماریم؟ مثلا قفس های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یک محل را که برخی نام کتابخانه بر آن گذاشته اند در آمار لحاظ می کنیم؟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بدهید چند مثال بزنم گزارش جهانی ایفلا برای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بر اساس خبرنامه آماری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لايبرى فكت شيت</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 xml:space="preserve">انجمن کتابدران آمریکا، حدود </w:t>
      </w:r>
      <w:r>
        <w:rPr>
          <w:rFonts w:eastAsia="IRNazanin" w:cs="IRNazanin"/>
          <w:color w:val="111111"/>
          <w:sz w:val="28"/>
          <w:szCs w:val="28"/>
          <w:lang w:bidi="fa-IR"/>
        </w:rPr>
        <w:t>16549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در ایالات متحده وجود دارد این خبرنامه آماری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کتابخانه های عمومی را </w:t>
      </w:r>
      <w:r>
        <w:rPr>
          <w:rFonts w:eastAsia="IRNazanin" w:cs="IRNazanin"/>
          <w:color w:val="111111"/>
          <w:sz w:val="28"/>
          <w:szCs w:val="28"/>
          <w:lang w:bidi="fa-IR"/>
        </w:rPr>
        <w:t>9207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گزارش می کند اما شاید این بار با شیوه ای دیگر محاسبه شده است بله؛ درست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تعداد </w:t>
      </w:r>
    </w:p>
    <w:p>
      <w:pPr>
        <w:pStyle w:val="BookText"/>
        <w:rPr/>
      </w:pPr>
      <w:r>
        <w:rPr>
          <w:rFonts w:ascii="IRNazanin" w:hAnsi="IRNazanin" w:eastAsia="IRNazanin"/>
          <w:color w:val="111111"/>
          <w:sz w:val="28"/>
          <w:sz w:val="28"/>
          <w:szCs w:val="28"/>
          <w:rtl w:val="true"/>
          <w:lang w:bidi="fa-IR"/>
        </w:rPr>
        <w:t xml:space="preserve">کتابخانه های عمومی و تعداد شعبه های آن ها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و در مورد اخیر، مجموع کتابخانه های عمومی اصلی یا مرکزی حدود هزار واحد است گزارش ایفلا از </w:t>
      </w:r>
      <w:r>
        <w:rPr>
          <w:rFonts w:eastAsia="IRNazanin" w:cs="IRNazanin"/>
          <w:color w:val="111111"/>
          <w:sz w:val="28"/>
          <w:szCs w:val="28"/>
          <w:lang w:bidi="fa-IR"/>
        </w:rPr>
        <w:t>9207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که در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رسیده است با این همه، در منطقه اروپای شمالی داده ای که ایفلا ارائه کرده، اختلاف زیادی با واقعیت دارد و اشتباه های فاحشی در آمارها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تا زمانی که رویه شمارش کردن کتابخانه ها در کشوری با کشور دیگر تفاوت داشته باشد این داده ها را نمی توان برای اهداف مقایسه ای استفاده کرد تازه این ها کشورهایی هستند که بهترین آمارهای کتابخانه ای را در جهان دارند برای نروژ گزارش ایفلا تعداد کتابخانه های عمومی در این کشور را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سیار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به نمایندگی ها و شعبه های کتابخانه 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کتابخانه های عمومی اصلی در نروژ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که یک کتابخانه به ازای هر شهرداری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ایفلا همچنین می گوید که از زمان گزارش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تعداد کتابخانه های نروژ به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افزایش یافته است، با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سیار براساس آرشیو نروژ مستند کتابخانه ها و موزه ها این مطلب یک اشتباه آشکار است تعداد کتابخانه های مستقل مساوی با تعداد شهرداری ها است این تعداد طی سال 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 تغییر کرده اند و حتی تعداد نقاط خدماتی مرتبا از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ایفلا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آمار کتابخانه های تحقیقاتی دولتی نیز اختلاف فاحشی نشان می دهد ایسلند کشوری با سیصد هزار نفر جمعیت براساس گزارش ایفلا تعداد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از این نوع کتابخانه ها دارد و سوئد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ساکن تنها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از این نوع دارد مسلما این دو کشور با یک روش شمارش کتابخانه های خود را نشمرده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اشتباه ها نیز می توانند خود مساله ساز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تعداد کتابخانه های عمومی سوئد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برآورد می شود که از این تعداد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اصلی و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شعبه های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ایفلا تعداد کتابخانه های عمومی را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گزارش کرده است اشتباه خیلی شبیه اشتباهاتی است که در نوشته های کاتبان </w:t>
      </w:r>
      <w:r>
        <w:rPr>
          <w:rStyle w:val="FootnoteAnchor"/>
          <w:rtl w:val="true"/>
        </w:rPr>
        <w:footnoteReference w:id="1251"/>
      </w:r>
      <w:r>
        <w:rPr>
          <w:rFonts w:ascii="IRNazanin" w:hAnsi="IRNazanin" w:eastAsia="IRNazanin"/>
          <w:color w:val="111111"/>
          <w:sz w:val="28"/>
          <w:sz w:val="28"/>
          <w:szCs w:val="28"/>
          <w:rtl w:val="true"/>
          <w:lang w:bidi="fa-IR"/>
        </w:rPr>
        <w:t xml:space="preserve">قرون وسطی رخ می داده است زمان ورود اطلاعات، تعداد کتابخانه های اصلی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شعبه ها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غلط تایپی، به جای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تبدیل به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جای کتابخانه های تحقیقاتی دولتی قرار گرفته که اختلاف فاحشی ایجاد کرده است در مورد نروژ تعداد کتابخانه های تحقیقاتی دولتی نامعلوم گزارش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آمار هر ساله منتشر می شود و اگر کمی اطلاعات محلی داشته باشید یافتن آن خیلی هم آسان است برای بازیابی این تعداد کافی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 آماری</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نروژ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و نیازی به دریافت گزارش سالانه از مسئولین رسمی کتابخانه ها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ها در یادداشتی که در بلاگ من در اگوست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کوچکی هم در آن جا تعقیب شده نکات بسیار خوبی نیز توسط یک کاربر که نامش را مشخص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آر اُ</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 xml:space="preserve">در بخش نظرات گذاشته شده است یک کتابخانه چه تعریفی دارد و یک کتابخانه شعبه ای چه تعریفی و نیز تعریف یک نقطه خدماتی و غیره چیست؟ در اغلب متون، تعاریف، نسبتا با یکدیگر تفاوت دارند با این همه به نظر من می رسد که داده ها توسط مسئولین رسمی کشوری تهیه و ارائه شده است به استثنای شاید مورد ایسلند، که پاسخ دهنده نمی خواهد نامش فاش شود و در بیشتر موارد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بیشتر پاسخ دهنده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منابعی که داده ها از آن جا گرفته شده نقل کرده اند به نظر من می رسد که گزارش ایفلا قصد مقایسه این داده ها را با هیچ جزئیاتی و در هیچ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ایفلا به نظر من فقط داده هایی را گزارش می کند که پاسخ دهنده 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شخصی من این است در گزارش جهانی ایفلا کاری فراتر از این مورد نیاز است افزودن ارزش به داده های خام گزارش شده توسط انجمن ها من فکر می کنم عبارت گزارش جهانی، نشان می دهد که ویراستاران آن از این موضوع اطلاع دارند به عنوان یک متخصص آمار، من گزارش جهانی را کاری با ارزش می شناسم چون فضایی را آغاز و ایجاد کرده که ما بتوانیم موارد مرتبط با تعاریف رویه ها و تفسیر آمار کتابخانه ها را در آن و در بافتار واقعی جهانی، به بحث بگذاریم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گزارش تحلیلی آماری طراحی نشده بوده، و بخش های آمار و ارزشیابی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 نروژ که خدمتتان ارائه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مشی کاری ویراستاران آن، آن گونه که من می،دانم هرگز لحاظ نشده بود این گزارش در حال حاضر، تنها تعداد کتابخانه ها در انواع گوناگون را پوشش می دهد خیلی جالب است که ببینیم چگونه این پرسش های علی الظاهر کم مایه فورا توجهات را به مواردی مثل اصول و کیفیت داده ها جلب می کنند که اگر بخواهیم از آمار به شکل معنادار استفاده کنیم، باید با آن مواجه شویم و به آن دقت کنیم امیدوارم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گسترشی مرحله به مرحله در راستای خطوط کلی و وسیع طرح آمار جهانی که این بخش ایفلا اخیرا آن را کامل کرده است برای پوشش آمارهای خود هدف جدیدی در پیش گیرد خیلی مهم است که این طرح در ادامه کارش را با داده های واقعی تثبیت کند</w:t>
      </w:r>
      <w:r>
        <w:rPr>
          <w:rFonts w:eastAsia="IRNazanin" w:cs="IRNazanin"/>
          <w:color w:val="111111"/>
          <w:sz w:val="28"/>
          <w:szCs w:val="28"/>
          <w:rtl w:val="true"/>
          <w:lang w:bidi="fa-IR"/>
        </w:rPr>
        <w:t xml:space="preserve">. </w:t>
      </w:r>
      <w:bookmarkStart w:id="933" w:name="pg9653_82158"/>
    </w:p>
    <w:p>
      <w:pPr>
        <w:pStyle w:val="BookText"/>
        <w:rPr/>
      </w:pPr>
      <w:bookmarkEnd w:id="933"/>
      <w:r>
        <w:rPr>
          <w:rFonts w:ascii="IRNazanin" w:hAnsi="IRNazanin" w:eastAsia="IRNazanin"/>
          <w:color w:val="111111"/>
          <w:sz w:val="28"/>
          <w:sz w:val="28"/>
          <w:szCs w:val="28"/>
          <w:rtl w:val="true"/>
          <w:lang w:bidi="fa-IR"/>
        </w:rPr>
        <w:t>چند سال پیش، اُ سی ال سی شروع به گردآوری آمار جهانی در سطحی جهانی نمود از نگاه من، این کار برای شروع، کاری ناامید کننده بود در ویرایش کامل این ،مقاله من توضیح داده ام که چرا و مشکلاتی را که با داده های نروژ داشتم تصویر کرده ام ا سی ال سی در حال حاضر این طرح را متوقف را داده های ام اُ سی را کرده است آمار کتابخانه ای که اُ سی ال سی برای نروژ پیشنهاد کرده بود برای کارهای حساس و مهم اصلا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داده ها بسیار نامطلوب بود اُ سی ال سی با همان مساله ای روبرو شد که قبلا یونسکو روبرو شده بود کشورها با سیستم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 بسیار ضعیف به هیچ وجه آمار قابل استفاده ای نداشتند کشورهای با سیستم های قوی تر آمار بهتری داشتند، ولی آمارهایشان را به شکلی که مناسب استفاده کننده های بیرونی باشد، منتشر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تعاریف و رویه ها اغلب از کشوری به کشور دیگر و حتی درون یک کشور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گردآوری و ،تفسیر از فرانسه و آلمان بگیر یا ،لهستان شما نیاز به دسترسی به منابع آماری و نیز درک سیستم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 مدارس، دانشگاه ها، داوطلبان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کشور دارید و البته دانستن کمی زبان آن کشور کشورهای دارای سیستم کتابخانه ای خوب، آمارهای خوبی هم دارند و داده های خود را روی وب منتشر کرده اند ولی هنوز مشکل زبان را با خود دارند ا سی ال سی تلاش می کند که اطلاعاتش را از منابع دست دوم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ایفلا،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لیبَکن</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و دائره المعارف جهانی خدمات کتابداری و اطلاع رسانی </w:t>
      </w:r>
      <w:r>
        <w:rPr>
          <w:rStyle w:val="FootnoteAnchor"/>
          <w:rtl w:val="true"/>
        </w:rPr>
        <w:footnoteReference w:id="1255"/>
      </w:r>
      <w:r>
        <w:rPr>
          <w:rFonts w:ascii="IRNazanin" w:hAnsi="IRNazanin" w:eastAsia="IRNazanin"/>
          <w:color w:val="111111"/>
          <w:sz w:val="28"/>
          <w:sz w:val="28"/>
          <w:szCs w:val="28"/>
          <w:rtl w:val="true"/>
          <w:lang w:bidi="fa-IR"/>
        </w:rPr>
        <w:t>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کارایی ندارد همه گردآورندگان و تنظیم کننده ها با همین مشکل روبرو هستند دانش محلی مفقود 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باید کشور به کشور درک و واقعیت بخشیده شود، آن هم توسط افرادی که می خواهند میزان زیادی از وقتشان را در پایش </w:t>
      </w:r>
      <w:r>
        <w:rPr>
          <w:rStyle w:val="FootnoteAnchor"/>
          <w:rtl w:val="true"/>
        </w:rPr>
        <w:footnoteReference w:id="1256"/>
      </w:r>
      <w:r>
        <w:rPr>
          <w:rFonts w:ascii="IRNazanin" w:hAnsi="IRNazanin" w:eastAsia="IRNazanin"/>
          <w:color w:val="111111"/>
          <w:sz w:val="28"/>
          <w:sz w:val="28"/>
          <w:szCs w:val="28"/>
          <w:rtl w:val="true"/>
          <w:lang w:bidi="fa-IR"/>
        </w:rPr>
        <w:t>اتفاقاتی که در عمل در جریان است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نروژ کوچک، این تلاش باید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قدم بعدی پردازش داده هایی است که دیگران ممکن است استفاده کنند و دفعات بیشتری مورد استفاده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 لیکن تنها ،روش به باور من تولید آمارهای قابل کاربرد در حوزه کتابداری جهانی است</w:t>
      </w:r>
      <w:r>
        <w:rPr>
          <w:rFonts w:eastAsia="IRNazanin" w:cs="IRNazanin"/>
          <w:color w:val="111111"/>
          <w:sz w:val="28"/>
          <w:szCs w:val="28"/>
          <w:rtl w:val="true"/>
          <w:lang w:bidi="fa-IR"/>
        </w:rPr>
        <w:t>.</w:t>
      </w:r>
    </w:p>
    <w:p>
      <w:pPr>
        <w:pStyle w:val="Heading3"/>
        <w:numPr>
          <w:ilvl w:val="2"/>
          <w:numId w:val="1"/>
        </w:numPr>
        <w:rPr/>
      </w:pPr>
      <w:bookmarkStart w:id="934" w:name="__RefHeading___Toc7766932_2870459653"/>
      <w:bookmarkStart w:id="935" w:name="_Toc341"/>
      <w:bookmarkEnd w:id="934"/>
      <w:r>
        <w:rPr>
          <w:rtl w:val="true"/>
        </w:rPr>
        <w:t>استانداردهای سازمان جهانی استاندارد</w:t>
      </w:r>
      <w:bookmarkEnd w:id="93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آمارهای مقایسه ای کتابخانه ها بستگی به استاندارد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کتابخانه، مفاهیمی مانند کتاب امانت بازدید، و سوال مرجع را دوگونه تعریف ،کنند در واقع موجودیت های مختلفی محاسبه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های آماری آن دو کتابخانه، قابل مقایسه با هم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آماری مشابه، در مورد دو کشوری می تواند بکار گرفته شود که دو تعریف متفاوت از یک مفهوم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دو استاندارد بین المللی متمرکز وجود دارد استاندارد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آمارهای کتابخانه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مفاهیم پایه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مطالعات آماری محاسبه و اندازه گیری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11620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کتابخانه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شاخص هایی را توصیه می کند که می توانند در عمل برای مقایسه کتابخانه ها سیستم های کتابخان های مناطق و کشورها کاربرد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استانداردها باید فراتر از پیشنهادها و طرح های پیشنهادی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 باید بهترین نمونه های اجرایی در حوزه موضوعی خود را بیان و مدوّن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استانداردها بر مبنای کارهای حرفه ای موجود و جاری نیستند ولی به گونه ای دعوت به نوآوری در آن ها دیده می شود اثرات آن ها بایستی مورد رصد دائمی باشند استانداردهایی که توصیه می شوند ولی بکار گرفته نمی شوند حتما جامعه کتابداری با آن مشکل دارد و طراحان باید به آن توجه کنند مانند همه جوامع فرهیخته دیگر، ما باید از تجربیاتمان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بیاموزیم در چند سال گذشته، من کوشیدم از این منظر به آمارهای کتابخانه ملی و بین المللی بنگرم و باید بگویم که از نتایج آن شگفت زده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ما از جست و جو در استفاده شروع کنیم نه قواعد، شکاف عظیم بین طرح و اجرا را متوجه می شویم و آن را به روشنی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دو مثال برایتان بزنم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صندلی های عمومی </w:t>
      </w:r>
      <w:r>
        <w:rPr>
          <w:rStyle w:val="FootnoteAnchor"/>
          <w:rtl w:val="true"/>
        </w:rPr>
        <w:footnoteReference w:id="1258"/>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11620</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شاخص های عملکردی برای کتابخانه ها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شاخص از این شاخص ها به سرانه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استفاده از صندلی های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سرانه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شاخص بسیار خوبی است جست و جوی ساده ای در گوگل برای مجموعه ای دقیق از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سرانه بازدید از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تقریبا خودمان هم اکنون نیز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شاخص اول برای برنامه ریزی مقایسه و دفاع از نتایج به فراوانی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بیش از بیست هزار مدرک یافت شده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ده مورد اول، شامل یا ارجاع داده شده به داده های تجربی درباره شاخص جستجوی مشابهی برای شاخص دوم، نشان از کاربرد تجربی به همراه ندارد تنها چهل مدرک و بی توسط گوگل برای شاخص دوم نمایه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مدارک داده های تجربی و یا ارجاع به آن ها را شامل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نمی گویم هیچ یک نرخ اشغال صندلی ها را محاسبه نمی کنند من خودم در این حوزه اندکی کار تجربی کرده ام همین طور چند مقاله حرفه ای دیده ام که این نرخ را نشان داده اند ولی تعداد آثار منتشر شده که در یک جست و جوی گوگلی دیده شوند، خیلی محدود است من این موضوع را تعبیر می کنم به نبود تقاضا یا علاقه مندی به شاخص دوم بین حرفه مندانی که ما می کوشیم این داده ها را در اختیارشان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مورد را به عنوان موردی می بینم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تدوین کنندگان شاخص های کتابخانه ای</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بررسی کند طرح ها و شاخص های پیشنهادی بدون کاربرد اجرایی، ببرهای کاغذی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سنجش</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 xml:space="preserve">استاندارد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برگرفته از </w:t>
      </w:r>
      <w:r>
        <w:rPr>
          <w:rFonts w:eastAsia="Times New Roman" w:cs="Times New Roman" w:ascii="Times New Roman" w:hAnsi="Times New Roman"/>
          <w:color w:val="111111"/>
          <w:sz w:val="28"/>
          <w:szCs w:val="28"/>
          <w:lang w:val="en-US" w:bidi="en-US"/>
        </w:rPr>
        <w:t>ISO 2789: 2013 : Information and Documentation - International Library statistics http://www.iso.org/iso/home/store/catalogue_ics/catalogue_detail_ics.htm?csnumber=60680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2014/3/7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ویرایش شد ویرایش جدید باید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برسد نظر سنجی روی پیش نویس نهایی در آگوست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کشورها در پردازش پیش نویس ،نهایی استفاده از افراد با تجربه و متخصص غیر از نمایندگان رسمی کشورها در این کمیته ها را در فرایند پردازش مفید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و توصیه های زیر در مورد مفهوم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بر اساس پیش نویسی است که برای گرفتن نظر بین افراد 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بازدید از کتابخانه به ازای هر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سرانه بازدید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نسبت و کسر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بازدیدها صورت کسر و جمعیت وابسته به کتابخانه مخرج کسر است قبل از آن که ما شاخص را بکار گیریم باید به چهار سوال پاسخ دهیم دو سوال اول مفهومی است منظور ما از بازدید از کتابخانه چیست؟ منظور ما از جمعیت وابسته به کتابخانه چیست؟ دو سوال دیگر کاربردی هستند چگونه ما بازدید از کتابخانه را 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چگونه ما جمعیت وابسته به کتابخانه را محاسبه می کنیم؟ به یاد داشته باشید که معنا و سنجش می توانند فرایندهای مختلفی داشته باشند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استاندارد جهانی ایزو به نظر مبهم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سنجش به روشنی از هم تفکیک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ساده یک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ساختمان کتابخانه وارد می شود ولی در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افزاید در جایی که لازم باشد، ورود و خروج کارکنان کتابخانه، و </w:t>
      </w:r>
      <w:bookmarkStart w:id="936" w:name="pg9653_82161"/>
    </w:p>
    <w:p>
      <w:pPr>
        <w:pStyle w:val="BookText"/>
        <w:rPr/>
      </w:pPr>
      <w:bookmarkEnd w:id="936"/>
      <w:r>
        <w:rPr>
          <w:rFonts w:ascii="IRNazanin" w:hAnsi="IRNazanin" w:eastAsia="IRNazanin"/>
          <w:color w:val="111111"/>
          <w:sz w:val="28"/>
          <w:sz w:val="28"/>
          <w:szCs w:val="28"/>
          <w:rtl w:val="true"/>
          <w:lang w:bidi="fa-IR"/>
        </w:rPr>
        <w:t>هر کسی که با بخش ها یا ادارات دیگری کار دارد که در ساختمان کتابخانه قرار دارند از این آمار 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وبر اساس درک شخصی خودم، بازدید کننده اصلی کتابخانه را کسی می دانم که به عنوان کاربر به کتابخانه برای استفاده از یکی از امکانات حرفه ای آن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ورود و خروج کارکنان نظافتچی ها، نمایندگان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پستچی ها و همه کسانی که برای 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کتابخانه وارد می شوند و همه افرادی را که با اهداف غیر کتابخانه ای به کتابخانه می آیند مثل استفاده از بوفه دستشویی کتابخانه یا عبور از ساختمان کتابخانه به عنوان راه میانبر برای رفتن به ساختمانی دیگر را از دایره شمول این تعریف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که برای ثبت بازدیدها تنظیم می کنیم ممکن است برای تفکیک مشتریان کتابخانه از کسانی که به دلایل دیگر به کتابخانه آمده اند قابل استفاده نباشد ولی این دلیل نمی شود که در مورد شمول مفهوم ابهام داشته باشیم اگر اندازه گیری ها در عمل توسط چرخ های گردان جلوی در ورودی کتابخانه ها یا شمارنده های الکترونیکی انجام می شود، نمی توانیم بازدیدها را بشماریم در این حالت ما داریم تعداد چرخش میله گردان یا تعداد زمانی را که حسگر الکترونیکی علامت می گیرد محاسبه می کنیم و عددی را که در دست داریم تقسیم بر 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جانشین آمارهای واقعی و منشاء اشتباهات مختلف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 هدف های دیگر وارد کتابخانه می شوند افرادی که خیلی کنار هم راه می روند و با هم از شمارنده عبور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که یک نفر شمرده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بچه هایی که همراه افراد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که دو نفر شمرده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که یک یا چند بار به کتابخانه وارد یا از آن خارج می شوند مثل بچه های بازیگوش چیزهایی غیر از انسان که حسگر شمارنده الکترونیک را فعال می کنند مانند سگ یا کیف ها و ساک های دستی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عملی دیگری هم برای چرخ های گردان یا شمارنده های الکترونیکی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شمارش دستی می توان از این قبیل اشتباهات جلوگیری کرد اگر کتابخانه فرض را بر این می گذارد که اشتباهات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 و منهای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شمارش های سیستمی،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شمارش دستی همزمان در دوره های خاص زمانی، مقایسه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شوند</w:t>
      </w:r>
      <w:r>
        <w:rPr>
          <w:rFonts w:eastAsia="IRNazanin" w:cs="IRNazanin"/>
          <w:color w:val="111111"/>
          <w:sz w:val="28"/>
          <w:szCs w:val="28"/>
          <w:rtl w:val="true"/>
          <w:lang w:bidi="fa-IR"/>
        </w:rPr>
        <w:t>.</w:t>
      </w:r>
    </w:p>
    <w:p>
      <w:pPr>
        <w:pStyle w:val="Heading3"/>
        <w:numPr>
          <w:ilvl w:val="2"/>
          <w:numId w:val="1"/>
        </w:numPr>
        <w:rPr/>
      </w:pPr>
      <w:bookmarkStart w:id="937" w:name="__RefHeading___Toc7766934_2870459653"/>
      <w:bookmarkStart w:id="938" w:name="_Toc342"/>
      <w:bookmarkEnd w:id="937"/>
      <w:r>
        <w:rPr>
          <w:rtl w:val="true"/>
        </w:rPr>
        <w:t>نتیجه گیری</w:t>
      </w:r>
      <w:bookmarkEnd w:id="93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زودی پایان نامه خود را ارائه خواهم کرد رویکرد فعلی ما به آمارهای کتابخانه ای و تدوین شاخص ها بکار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آمار ناامید نخواهم شد من باور دارم که کتابخانه ها از روش های کمی و تحلیل های عددی نتایج زیادی به دست خواهند آورد ولی ما باید الگوی تدوین خود برای اثرگذاری </w:t>
      </w:r>
    </w:p>
    <w:p>
      <w:pPr>
        <w:pStyle w:val="BookText"/>
        <w:rPr/>
      </w:pPr>
      <w:r>
        <w:rPr>
          <w:rFonts w:ascii="IRNazanin" w:hAnsi="IRNazanin" w:eastAsia="IRNazanin"/>
          <w:color w:val="111111"/>
          <w:sz w:val="28"/>
          <w:sz w:val="28"/>
          <w:szCs w:val="28"/>
          <w:rtl w:val="true"/>
          <w:lang w:bidi="fa-IR"/>
        </w:rPr>
        <w:t xml:space="preserve">واقعی بر کارمان را تغییر دهیم یک رویکرد متمرکز از بالا به پایین، در جایی که ما می خواهیم کاری را شروع کنیم و می خواهیم چیزی را بسنجیم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سنجش فعلی را به بعد موکول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کارمان نخواهد آمد ما این رویکرد را با میزان موفقیت خیلی کم بارها آزموده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جایگزین رویکردی است غیر متمرکز و از پایین به بالا که با آمارهایی شروع می کنیم که کتابداران عملا در کارهایشان و در همکاری هایشان با سایر کتابداران برای پاسخ به مساله ارتقاء عملیات رسمی کتابخانه ها از آن ها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مدیریتی باید غیر مستقیم باشد افراد مسئول باید به دیگران برای تغییر توصیه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کارهای پیچیده، باید به دیگران واگذار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اجتماعی باید مستقیم باشند افراد باید تغییرات را با تغییر روش های کاری شخصی خودشان ارتقاء بدهند من نمی گویم که رویکرد اول غلط است و رویکرد دوم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می گویم رویکرد از بالا به پایین به تکرار آزموده شده و موفقیت زیادی هم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این همه تضمینی وجود ندارد که رویکرد پایین به بالا هم ما را به موفقیت رهنمون شود حوزه کتابداری ممکن است به سادگی نسبت به این رویکرد مقاومت کند ولی افرادی که در عمل درگیر آزمون شاخص ها هستند دست کم خیلی چیزها از روبرو شدن با دنیای واقعی آمار کاربردی خواهند آموخت رویکرد مدیریتی، تدوین شاخص ها را به عنوان یک کار فنی می بیند اگر ما شاخص های خوبی تعریف کنیم افراد خیلی خوشنود می شوند که از آن ها استفاده کنند رویکرد ،اجتماعی تدوین شاخص ها را به عنوان ترکیبی از کارهای فنی ،آموزشی و سیاسی می بیند</w:t>
      </w:r>
    </w:p>
    <w:p>
      <w:pPr>
        <w:pStyle w:val="BookText"/>
        <w:rPr/>
      </w:pPr>
      <w:r>
        <w:rPr>
          <w:rFonts w:ascii="IRNazanin" w:hAnsi="IRNazanin" w:eastAsia="IRNazanin"/>
          <w:color w:val="111111"/>
          <w:sz w:val="28"/>
          <w:sz w:val="28"/>
          <w:szCs w:val="28"/>
          <w:rtl w:val="true"/>
          <w:lang w:bidi="fa-IR"/>
        </w:rPr>
        <w:t>کتابخانه ها با تغییرات عمیقی روبرو هستند تغییرات عمیق سه جزء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سیستم های فنی جدید؛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روش های تازه؛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ساختارهای سازمانی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تغییر سیستم ها نسبتا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تنها به دانش فنی نیاز دارد رایانه ها وقتی برای کاری برنامه ریزی می شود، اعتراض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 یعنی معرفی روش های تازه کاری به مراتب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داریم که انسان ها توان این را دارند که در طول زندگی دائما بیاموزند ولی نمی خواهند بگویند که ما می خواهیم بیاموزیم تعدادی درگیر می شوند و می آموزند ولی بیشتر این کار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بکارگیری روش های تازه همیشه سخت است دوباره دانشجو شدن و کارآموز شدن بعد از بیست سال ،کار برای یک بزرگسال صاحب صلاحیت، حسّ سختی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تغییر ساختار سازمان، بند سوم کاری است به مراتب سخت تر از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زعمای </w:t>
      </w:r>
      <w:bookmarkStart w:id="939" w:name="pg9653_82163"/>
    </w:p>
    <w:p>
      <w:pPr>
        <w:pStyle w:val="BookText"/>
        <w:rPr/>
      </w:pPr>
      <w:bookmarkEnd w:id="939"/>
      <w:r>
        <w:rPr>
          <w:rFonts w:ascii="IRNazanin" w:hAnsi="IRNazanin" w:eastAsia="IRNazanin"/>
          <w:color w:val="111111"/>
          <w:sz w:val="28"/>
          <w:sz w:val="28"/>
          <w:szCs w:val="28"/>
          <w:rtl w:val="true"/>
          <w:lang w:bidi="fa-IR"/>
        </w:rPr>
        <w:t>سازمان های کوچک ترجیح می دهند که قرار و نظم کاریشان حفظ شود و تغییر نکند ولی از فناوری رقومی و آموزش آمار به اندازه کافی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باید موانع ساختاری نیز از سر راه برداشته شوند ما نیاز به آزادی اندیشه، گفتگو و مباحثه و ارتقاء در همه جوانب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گسترش آمار، اجازه دادن به استفاده از فناوری ها و روش های تازه برای ورود به بازی است</w:t>
      </w:r>
      <w:r>
        <w:rPr>
          <w:rFonts w:eastAsia="IRNazanin" w:cs="IRNazanin"/>
          <w:color w:val="111111"/>
          <w:sz w:val="28"/>
          <w:szCs w:val="28"/>
          <w:rtl w:val="true"/>
          <w:lang w:bidi="fa-IR"/>
        </w:rPr>
        <w:t>.</w:t>
      </w:r>
    </w:p>
    <w:p>
      <w:pPr>
        <w:pStyle w:val="Heading3"/>
        <w:numPr>
          <w:ilvl w:val="2"/>
          <w:numId w:val="1"/>
        </w:numPr>
        <w:rPr/>
      </w:pPr>
      <w:bookmarkStart w:id="940" w:name="__RefHeading___Toc7766936_2870459653"/>
      <w:bookmarkStart w:id="941" w:name="_Toc343"/>
      <w:bookmarkEnd w:id="940"/>
      <w:r>
        <w:rPr>
          <w:rtl w:val="true"/>
        </w:rPr>
        <w:t>منابع</w:t>
      </w:r>
      <w:bookmarkEnd w:id="9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Chiware, Elisha (2012) in Hoivik, Tord. Statistics for Advocacy at Makerere (= PL 14/12</w:t>
      </w:r>
    </w:p>
    <w:p>
      <w:pPr>
        <w:pStyle w:val="BookText"/>
        <w:rPr/>
      </w:pPr>
      <w:r>
        <w:rPr>
          <w:rFonts w:eastAsia="Times New Roman" w:cs="Times New Roman" w:ascii="Times New Roman" w:hAnsi="Times New Roman"/>
          <w:color w:val="111111"/>
          <w:sz w:val="28"/>
          <w:szCs w:val="28"/>
          <w:lang w:val="en-US" w:bidi="en-US"/>
        </w:rPr>
        <w:t>Ellis, Simon et al. (2009). Global Library Statistics. IFLA Journal, Vol. 35, No. 2, 123-130</w:t>
      </w:r>
    </w:p>
    <w:p>
      <w:pPr>
        <w:pStyle w:val="BookText"/>
        <w:rPr/>
      </w:pPr>
      <w:r>
        <w:rPr>
          <w:rFonts w:eastAsia="Times New Roman" w:cs="Times New Roman" w:ascii="Times New Roman" w:hAnsi="Times New Roman"/>
          <w:color w:val="111111"/>
          <w:sz w:val="28"/>
          <w:szCs w:val="28"/>
          <w:lang w:val="en-US" w:bidi="en-US"/>
        </w:rPr>
        <w:t>Hoivik, Tord (2012). Improving practices. Statistical standards in global libraries.Long version</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Sawaya, Janet et al. (2009) Building library staff capacity to advocate successfully leads to sustainable libraries. IFLA, Milan</w:t>
      </w:r>
      <w:r>
        <w:rPr>
          <w:rFonts w:eastAsia="Times New Roman" w:cs="Times New Roman" w:ascii="Times New Roman" w:hAnsi="Times New Roman"/>
          <w:color w:val="111111"/>
          <w:sz w:val="28"/>
          <w:szCs w:val="28"/>
          <w:rtl w:val="true"/>
          <w:lang w:val="en-US" w:bidi="en-US"/>
        </w:rPr>
        <w:t xml:space="preserve">. </w:t>
      </w:r>
      <w:bookmarkStart w:id="942" w:name="pg9653_82164"/>
    </w:p>
    <w:p>
      <w:pPr>
        <w:pStyle w:val="Heading2"/>
        <w:numPr>
          <w:ilvl w:val="1"/>
          <w:numId w:val="1"/>
        </w:numPr>
        <w:rPr/>
      </w:pPr>
      <w:bookmarkStart w:id="943" w:name="__RefHeading___Toc7766938_2870459653"/>
      <w:bookmarkStart w:id="944" w:name="_Toc344"/>
      <w:bookmarkEnd w:id="942"/>
      <w:bookmarkEnd w:id="943"/>
      <w:r>
        <w:rPr>
          <w:rtl w:val="true"/>
        </w:rPr>
        <w:t>چکیده</w:t>
      </w:r>
      <w:bookmarkEnd w:id="944"/>
    </w:p>
    <w:p>
      <w:pPr>
        <w:pStyle w:val="BookText"/>
        <w:rPr/>
      </w:pPr>
      <w:r>
        <w:rPr>
          <w:rFonts w:ascii="IRNazanin" w:hAnsi="IRNazanin" w:eastAsia="IRNazanin"/>
          <w:color w:val="111111"/>
          <w:sz w:val="28"/>
          <w:sz w:val="28"/>
          <w:szCs w:val="28"/>
          <w:rtl w:val="true"/>
          <w:lang w:bidi="fa-IR"/>
        </w:rPr>
        <w:t>حقوق انحصاری برای خالق اثر، موجودیت و حقی قانونی است و می تواند به هر شکلی باشد بنابراین حقوق انحصاری ضمانتی برای اطمینان خاطر خالق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اصلی دولت، انجمن های مرتبط و جامعه مدنی است که فرهنگ حقوق انحصاری را در مناطقشان ارتقاء دهند و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بین دارندگان حقوق انحصاری، کتابخانه ها و کاربران بسیار همگانی، تعاملی و یکپارچه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دست اندرکاران اصلی حقوق انحصاری هستند بنابراین مقاله این موضوع را توضیح می دهد که دارندگان حقوق انحصاری کتابخانه ها و کاربران باید همکاری متقابلی را به منظور انتشار و باز کردن مطلب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کار خوانندگان را تسهیل و به پیشرفتشان کمک کند برای کنترل سوء استفاده از اثر خلق شده و برای اطمینان خالق اثر، باید اختیارات مناسبی وجود داشته باشد مخصوصا در فناوری اطلاعات و ارتباطات </w:t>
      </w:r>
      <w:r>
        <w:rPr>
          <w:rStyle w:val="FootnoteAnchor"/>
          <w:rtl w:val="true"/>
        </w:rPr>
        <w:footnoteReference w:id="1262"/>
      </w:r>
      <w:r>
        <w:rPr>
          <w:rFonts w:ascii="IRNazanin" w:hAnsi="IRNazanin" w:eastAsia="IRNazanin"/>
          <w:color w:val="111111"/>
          <w:sz w:val="28"/>
          <w:sz w:val="28"/>
          <w:szCs w:val="28"/>
          <w:rtl w:val="true"/>
          <w:lang w:bidi="fa-IR"/>
        </w:rPr>
        <w:t>طبق زمان، که فناوری اطلاعات کارنسخه برداری ها و رونوشت های هر دوره کاری را که به شکل صوتی و تصویری در دسترس می باشد آسان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این موضوع را بررسی می کند که چطور یک رابطه برای ایمنی آینده تمام دست اندرکاران می تواند حفظ شده و توسعه یابد همچنین بازنگری آثار، نویسنده را راهنمایی می کند که نظرات و پیشنهادات جدید را در این خصوص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انحصاری آثار صوتی تصویری یا هر اثر دیگری موضوع مهمی در کشورهای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این مطلب را توضیح می دهد که چطور می توان دغدغه های تمام دست اندرکاران را به خاطر سپرد تا موضوع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که جلوی این پیشنهاد که دست اندرکاران حق انحصاری آثار را برای افراد آسان و بی دردسر کنند، گرفته شود همچنین در این مقاله کوشیده ایم که بطور خلاصه وضعیت فعلی حقوق انحصاری آثار در پاکستان را شرح و توضیح دهیم که در این منطقه چه محدودیت ها و موانعی بر سر راه پیشرفت حقوق انحصاری آثار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نگاهی اجمالی به قوانین حقوق انحصاری آثار در پاکستان دارد این روزها در آسیای جنوبی مخصوصا در ،پاکستان موضوع حقوق انحصاری آثار بسیار داغ است طبق حکم حقوق انحصاری آثار پاکستان در سال اصلاحیه هایش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اصلی آثار ادبی هنری و علمی صرفنظر از نوع، اهمیت یا هدفشان حمایت و حفاظت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و حفاظت، شامل آثار هنری می شود که به صورت نوشته موسیقی، نقاشی، عکس و فیلم های سینمایی کتاب ها، سخنرانی ها، آثار، شفاهی آثار نمایشی، آثار موسیقیایی، فیلم ها آثار آوایی و هنرهای تزیینی نشان داده شدند چنین آثاری در زمان حیات و عمر نویسنده و نیز پنجاه سال پس از مرگش هم نگهداری و حفاظت می شوند این مقاله روی سه حوزه اصلی تمرکز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بین تمام دست اندرکاران حقوق انحصاری 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و قوانین کنونی در پاکستان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نویسندگان و پیشنهادات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و مشکلات حقوق انحصاری آثار، حقوق انحصاری آثار در پاکستان، حقوق انحصاری دست اندرکاران، کتابخانه های قانونی، روابط بین دارندگان حقوق انحصاری، کتابخانه ها و کاربران </w:t>
      </w:r>
      <w:bookmarkStart w:id="945" w:name="pg9653_82165"/>
    </w:p>
    <w:p>
      <w:pPr>
        <w:pStyle w:val="Heading2"/>
        <w:numPr>
          <w:ilvl w:val="1"/>
          <w:numId w:val="1"/>
        </w:numPr>
        <w:rPr/>
      </w:pPr>
      <w:bookmarkStart w:id="946" w:name="__RefHeading___Toc7766940_2870459653"/>
      <w:bookmarkStart w:id="947" w:name="_Toc345"/>
      <w:bookmarkEnd w:id="945"/>
      <w:bookmarkEnd w:id="946"/>
      <w:r>
        <w:rPr>
          <w:rtl w:val="true"/>
        </w:rPr>
        <w:t>روابط بین دارندگان حقوق انحصاری کتابخانه ها و کاربران</w:t>
      </w:r>
      <w:bookmarkEnd w:id="947"/>
    </w:p>
    <w:p>
      <w:pPr>
        <w:pStyle w:val="Heading3"/>
        <w:numPr>
          <w:ilvl w:val="2"/>
          <w:numId w:val="1"/>
        </w:numPr>
        <w:rPr/>
      </w:pPr>
      <w:bookmarkStart w:id="948" w:name="__RefHeading___Toc7766942_2870459653"/>
      <w:bookmarkStart w:id="949" w:name="_Toc346"/>
      <w:bookmarkEnd w:id="948"/>
      <w:r>
        <w:rPr>
          <w:rtl w:val="true"/>
        </w:rPr>
        <w:t>اشاره</w:t>
      </w:r>
      <w:bookmarkEnd w:id="9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بین دارندگان حقوق انحصاری کتابخانه ها و کاربران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نوشته محمد شفيق </w:t>
      </w:r>
      <w:r>
        <w:rPr>
          <w:rStyle w:val="FootnoteAnchor"/>
          <w:rtl w:val="true"/>
        </w:rPr>
        <w:footnoteReference w:id="1264"/>
      </w:r>
      <w:r>
        <w:rPr>
          <w:rFonts w:ascii="Amiri" w:hAnsi="Amiri" w:eastAsia="Amiri" w:cs="Amiri"/>
          <w:color w:val="111111"/>
          <w:sz w:val="28"/>
          <w:sz w:val="28"/>
          <w:szCs w:val="28"/>
          <w:rtl w:val="true"/>
          <w:lang w:bidi="ar-SA"/>
        </w:rPr>
        <w:t xml:space="preserve">ابيدا حنيف </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سعید غفاری </w:t>
      </w:r>
      <w:r>
        <w:rPr>
          <w:rStyle w:val="FootnoteAnchor"/>
          <w:rtl w:val="true"/>
        </w:rPr>
        <w:footnoteReference w:id="1266"/>
      </w:r>
    </w:p>
    <w:p>
      <w:pPr>
        <w:pStyle w:val="Heading3"/>
        <w:numPr>
          <w:ilvl w:val="2"/>
          <w:numId w:val="1"/>
        </w:numPr>
        <w:rPr/>
      </w:pPr>
      <w:bookmarkStart w:id="950" w:name="__RefHeading___Toc7766944_2870459653"/>
      <w:bookmarkStart w:id="951" w:name="_Toc347"/>
      <w:bookmarkEnd w:id="950"/>
      <w:r>
        <w:rPr>
          <w:rtl w:val="true"/>
        </w:rPr>
        <w:t>مقدمه</w:t>
      </w:r>
      <w:bookmarkEnd w:id="95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انحصاری و حقوق مالکیت روشنفکرانه، موجودیت قانونی و حفاظت حقوقی برای خالق اثر است که می تواند به هر شکلی باشد و ضمانتی برای اطمینان خاطر خالق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دولت انجمن های مرتبط و جامعه مدنی است که فرهنگ حقوق انحصاری و آگاهی اش را در مناطقشان ارتقاء دهند رابطه بین دارندگان حقوق انحصاری، کتابخانه ها و کاربران، بسیار همگانی، تعاملی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ها دست اندرکاران اصلی حقوق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آن ها کاملا لذت می برند یا تحمل می کند طوری که دارندگان حقوق ،انحصاری کتابخانه ها و کاربران باید همکاری متقابلی را برای حفاظت از حقوقشان افزایش دهند می توانم تا آخر برای باز کردن مطلب تا جایی که کار خوانندگان آسان ،شود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این موضوع از نشر غیر مجاز و سوء استفاده از حقوق انحصاری آثار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سوء استفاده از اثر خلق شده و برای اطمینان خاطر خالق اثر باید اختیارات مناسبی در نظر گرفته شود مخصوصا در فناوری اطلاعات و ارتباطات طبق زمان، که فناوری اطلاعات کارنسخه برداری ها و رونوشت های هر دوره کاری را که به شکل صوتی و تصویری در دسترس باشد آسان کرده است</w:t>
      </w:r>
      <w:r>
        <w:rPr>
          <w:rFonts w:eastAsia="IRNazanin" w:cs="IRNazanin"/>
          <w:color w:val="111111"/>
          <w:sz w:val="28"/>
          <w:szCs w:val="28"/>
          <w:rtl w:val="true"/>
          <w:lang w:bidi="fa-IR"/>
        </w:rPr>
        <w:t xml:space="preserve">. </w:t>
      </w:r>
      <w:bookmarkStart w:id="952" w:name="pg9653_82166"/>
    </w:p>
    <w:p>
      <w:pPr>
        <w:pStyle w:val="Heading3"/>
        <w:numPr>
          <w:ilvl w:val="2"/>
          <w:numId w:val="1"/>
        </w:numPr>
        <w:rPr/>
      </w:pPr>
      <w:bookmarkStart w:id="953" w:name="__RefHeading___Toc7766946_2870459653"/>
      <w:bookmarkStart w:id="954" w:name="_Toc348"/>
      <w:bookmarkEnd w:id="952"/>
      <w:bookmarkEnd w:id="953"/>
      <w:r>
        <w:rPr>
          <w:rtl w:val="true"/>
        </w:rPr>
        <w:t>روابط بین تمام دست اندرکاران حقوق انحصاری آثار</w:t>
      </w:r>
      <w:bookmarkEnd w:id="954"/>
    </w:p>
    <w:p>
      <w:pPr>
        <w:pStyle w:val="BookText"/>
        <w:rPr/>
      </w:pPr>
      <w:r>
        <w:rPr>
          <w:rFonts w:ascii="IRNazanin" w:hAnsi="IRNazanin" w:eastAsia="IRNazanin"/>
          <w:color w:val="111111"/>
          <w:sz w:val="28"/>
          <w:sz w:val="28"/>
          <w:szCs w:val="28"/>
          <w:rtl w:val="true"/>
          <w:lang w:bidi="fa-IR"/>
        </w:rPr>
        <w:t>دارندگان حقوق انحصاری، کتابخانه ها و کاربران، روابط دو طرفه ای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مسئولیت ها و وظایف را روی همه متمرکز می کند تا حقوق مالکیت فکری را ارتقاء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حقوق انحصاری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حقوق انحصاری آثار باید راجع به حقوق و امتیازاتشان به خوبی آگاه باشند و همکاری خوبی با سازمان ها انجمن ها و ناشران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ها و سازمان مربوطه اش باید از دستورالعمل های قانونی پیروی کنند و آگاهی لازم نسبت به استفاده درست را به کاربران بدهند کتابخانه ها باید جلسات آشنایی را با کاربران برایدادن اطلاعاتی راجع به موضوعات و مشکلات حقوق انحصاری آثار در نظر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برای کاربران منابع الکترونیکی لازم الاجرا است که طی تحقیقشان و این نوع کارها از این منابع به درستی استفاده کنند کاربران باید اطلاعاتی درباره استفاده درست از اثر دیگران با تأیید خالقان نسخه اصلی اثر داشته باشند دارندگان حقوق انحصاری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حقوق انحصاری</w:t>
      </w:r>
      <w:r>
        <w:rPr>
          <w:rFonts w:eastAsia="IRNazanin" w:cs="IRNazanin"/>
          <w:color w:val="111111"/>
          <w:sz w:val="28"/>
          <w:szCs w:val="28"/>
          <w:rtl w:val="true"/>
          <w:lang w:bidi="fa-IR"/>
        </w:rPr>
        <w:t>.</w:t>
      </w:r>
    </w:p>
    <w:p>
      <w:pPr>
        <w:pStyle w:val="Heading3"/>
        <w:numPr>
          <w:ilvl w:val="2"/>
          <w:numId w:val="1"/>
        </w:numPr>
        <w:rPr/>
      </w:pPr>
      <w:bookmarkStart w:id="955" w:name="__RefHeading___Toc7766948_2870459653"/>
      <w:bookmarkStart w:id="956" w:name="_Toc349"/>
      <w:bookmarkEnd w:id="955"/>
      <w:r>
        <w:rPr>
          <w:rtl w:val="true"/>
        </w:rPr>
        <w:t>قوانین حقوق انحصاری اثر در پاکستان</w:t>
      </w:r>
      <w:bookmarkEnd w:id="956"/>
    </w:p>
    <w:p>
      <w:pPr>
        <w:pStyle w:val="BookText"/>
        <w:rPr/>
      </w:pPr>
      <w:r>
        <w:rPr>
          <w:rFonts w:ascii="IRNazanin" w:hAnsi="IRNazanin" w:eastAsia="IRNazanin"/>
          <w:color w:val="111111"/>
          <w:sz w:val="28"/>
          <w:sz w:val="28"/>
          <w:szCs w:val="28"/>
          <w:rtl w:val="true"/>
          <w:lang w:bidi="fa-IR"/>
        </w:rPr>
        <w:t>موضوعات و مشکلات بسیاری درباره حقوق انحصاری اثر در پاکستان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سعی می کند برای جلوگیری از سوء استفاده برخی قوانین را به مرحله عمل درآورند همچنین پاکستان روی وضع قوانینی برای حقوق مالکیت فکری و قوانین رونوشت و نسخه برداری 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نمایندگی بسیاری زیرچتر دولت پاکستان هستند که روی موضوع حفاظت از حقوق دارندگان حقوق انحصاری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تلاش های دولت پاکستان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حقوق انحصاری اثر سال </w:t>
      </w:r>
      <w:r>
        <w:rPr>
          <w:rFonts w:eastAsia="IRNazanin" w:cs="IRNazanin"/>
          <w:color w:val="111111"/>
          <w:sz w:val="28"/>
          <w:szCs w:val="28"/>
          <w:lang w:bidi="fa-IR"/>
        </w:rPr>
        <w:t>1962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حقوق انحصاری اثر، سال </w:t>
      </w:r>
      <w:r>
        <w:rPr>
          <w:rFonts w:eastAsia="IRNazanin" w:cs="IRNazanin"/>
          <w:color w:val="111111"/>
          <w:sz w:val="28"/>
          <w:szCs w:val="28"/>
          <w:lang w:bidi="fa-IR"/>
        </w:rPr>
        <w:t>1967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بین المللی حقوق انحصاری اثر، سال </w:t>
      </w:r>
      <w:r>
        <w:rPr>
          <w:rFonts w:eastAsia="IRNazanin" w:cs="IRNazanin"/>
          <w:color w:val="111111"/>
          <w:sz w:val="28"/>
          <w:szCs w:val="28"/>
          <w:lang w:bidi="fa-IR"/>
        </w:rPr>
        <w:t>1968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مقررات هیئت حقوق انحصاری اثر سال </w:t>
      </w:r>
      <w:r>
        <w:rPr>
          <w:rFonts w:eastAsia="IRNazanin" w:cs="IRNazanin"/>
          <w:color w:val="111111"/>
          <w:sz w:val="28"/>
          <w:szCs w:val="28"/>
          <w:lang w:bidi="fa-IR"/>
        </w:rPr>
        <w:t>1981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مالکیت معنوی،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سازمان مالکیت معنوی</w:t>
      </w:r>
      <w:r>
        <w:rPr>
          <w:rFonts w:eastAsia="IRNazanin" w:cs="IRNazanin"/>
          <w:color w:val="111111"/>
          <w:sz w:val="28"/>
          <w:szCs w:val="28"/>
          <w:rtl w:val="true"/>
          <w:lang w:bidi="fa-IR"/>
        </w:rPr>
        <w:t xml:space="preserve">) </w:t>
      </w:r>
      <w:r>
        <w:rPr>
          <w:rStyle w:val="FootnoteAnchor"/>
          <w:rtl w:val="true"/>
        </w:rPr>
        <w:footnoteReference w:id="1267"/>
      </w:r>
      <w:bookmarkStart w:id="957" w:name="pg9653_82167"/>
    </w:p>
    <w:p>
      <w:pPr>
        <w:pStyle w:val="Heading3"/>
        <w:numPr>
          <w:ilvl w:val="2"/>
          <w:numId w:val="1"/>
        </w:numPr>
        <w:rPr/>
      </w:pPr>
      <w:bookmarkStart w:id="958" w:name="__RefHeading___Toc7766950_2870459653"/>
      <w:bookmarkStart w:id="959" w:name="_Toc350"/>
      <w:bookmarkEnd w:id="957"/>
      <w:bookmarkEnd w:id="958"/>
      <w:r>
        <w:rPr>
          <w:rtl w:val="true"/>
        </w:rPr>
        <w:t xml:space="preserve">حکم حقوق انحصاری اثر، سال </w:t>
      </w:r>
      <w:r>
        <w:rPr/>
        <w:t>1962</w:t>
      </w:r>
      <w:bookmarkEnd w:id="959"/>
    </w:p>
    <w:p>
      <w:pPr>
        <w:pStyle w:val="BookText"/>
        <w:rPr/>
      </w:pPr>
      <w:r>
        <w:rPr>
          <w:rFonts w:ascii="IRNazanin" w:hAnsi="IRNazanin" w:eastAsia="IRNazanin"/>
          <w:color w:val="111111"/>
          <w:sz w:val="28"/>
          <w:sz w:val="28"/>
          <w:szCs w:val="28"/>
          <w:rtl w:val="true"/>
          <w:lang w:bidi="fa-IR"/>
        </w:rPr>
        <w:t>اقدامات لازم برای اثر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در حکم حقوق انحصاری اثر در پاکستان</w:t>
      </w:r>
    </w:p>
    <w:p>
      <w:pPr>
        <w:pStyle w:val="BookText"/>
        <w:rPr/>
      </w:pPr>
      <w:r>
        <w:rPr>
          <w:rFonts w:ascii="IRNazanin" w:hAnsi="IRNazanin" w:eastAsia="IRNazanin"/>
          <w:color w:val="111111"/>
          <w:sz w:val="28"/>
          <w:sz w:val="28"/>
          <w:szCs w:val="28"/>
          <w:rtl w:val="true"/>
          <w:lang w:bidi="fa-IR"/>
        </w:rPr>
        <w:t xml:space="preserve">تبصره شماره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اثر صوتی تصویری یعنی اثری که شامل مجموعه ای از تصاویر مربوطه است که ذاتا باید با استفاده از ماشین یا وسیله ای مثل آپارات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دستگاه تماشای اسلاید یا وسیله الکترونیکی نشان داده شود که همراه با صوت می باشد، صرفنظر از نوع موضوع مطلب مثل فیلم یا نوار که کار و اثر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سوء استفاده و دزدی اثر ضبط شده یا اثر شنیداری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که کاربرد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کس که برای کاربرد خصوصی به منظور جنبه کاری، درآمد یا سود از هر اثر صوتی ضبط شده یا اثر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سوء استفاده کند یا آن را بدزدد به حبس که ممکن است سه سال به درازا بکشد و یا جریمه که ممکن است به یکصد هزار روپیه برسد یا هر دو، مجازات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حقوق انحصاری پاکستان از موارد زیر حفاظت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ادبی منتشر شده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اصلی هنرهای نمایشی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تنظیم شده موسیقیایی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آثارهنری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های سینمایی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ضبط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دیسک نوار، تلگرام و صوت</w:t>
      </w:r>
      <w:r>
        <w:rPr>
          <w:rFonts w:eastAsia="IRNazanin" w:cs="IRNazanin"/>
          <w:color w:val="111111"/>
          <w:sz w:val="28"/>
          <w:szCs w:val="28"/>
          <w:rtl w:val="true"/>
          <w:lang w:bidi="fa-IR"/>
        </w:rPr>
        <w:t>...)</w:t>
      </w:r>
    </w:p>
    <w:p>
      <w:pPr>
        <w:pStyle w:val="Heading3"/>
        <w:numPr>
          <w:ilvl w:val="2"/>
          <w:numId w:val="1"/>
        </w:numPr>
        <w:rPr/>
      </w:pPr>
      <w:bookmarkStart w:id="960" w:name="__RefHeading___Toc7766952_2870459653"/>
      <w:bookmarkStart w:id="961" w:name="_Toc351"/>
      <w:bookmarkEnd w:id="960"/>
      <w:r>
        <w:rPr>
          <w:rtl w:val="true"/>
        </w:rPr>
        <w:t>موضوعات و مشکلات کنونی درباره حقوق انحصاری آثار در پاکستان</w:t>
      </w:r>
      <w:bookmarkEnd w:id="961"/>
    </w:p>
    <w:p>
      <w:pPr>
        <w:pStyle w:val="Heading4"/>
        <w:numPr>
          <w:ilvl w:val="3"/>
          <w:numId w:val="1"/>
        </w:numPr>
        <w:rPr/>
      </w:pPr>
      <w:bookmarkStart w:id="962" w:name="__RefHeading___Toc7766954_2870459653"/>
      <w:bookmarkStart w:id="963" w:name="_Toc352"/>
      <w:bookmarkEnd w:id="962"/>
      <w:r>
        <w:rPr>
          <w:rtl w:val="true"/>
        </w:rPr>
        <w:t>تولید کارهای صوتی و تصویری در پاکستان</w:t>
      </w:r>
      <w:bookmarkEnd w:id="96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آثار صوتی و تصویری در پاکستان در حال پیشرفت است که بخش عظیمی از درآمد را ایجاد می کند نمایش های صوتی و تصویری خوانندگان هنرهای نمایشی و تئاترهای بین المللی و محلی در مقیاس وسیعی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دست اندرکاران چیزی درباره حقوقشان نمی دانند حتی از آثاری که توسط شرکت های مختلف تولید می شوند نیز، به خطر تولید کار غیر مجاز سوء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موسیقیایی نمایشی و سینمایی در مقیاس وسیعی نسخه برداری یا قاچاق می شوند و حتی در شهرهای کوچک هم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مثل صنایع داخلی روبه رشد است</w:t>
      </w:r>
      <w:r>
        <w:rPr>
          <w:rFonts w:eastAsia="IRNazanin" w:cs="IRNazanin"/>
          <w:color w:val="111111"/>
          <w:sz w:val="28"/>
          <w:szCs w:val="28"/>
          <w:rtl w:val="true"/>
          <w:lang w:bidi="fa-IR"/>
        </w:rPr>
        <w:t xml:space="preserve">. </w:t>
      </w:r>
      <w:bookmarkStart w:id="964" w:name="pg9653_82168"/>
    </w:p>
    <w:p>
      <w:pPr>
        <w:pStyle w:val="Heading4"/>
        <w:numPr>
          <w:ilvl w:val="3"/>
          <w:numId w:val="1"/>
        </w:numPr>
        <w:rPr/>
      </w:pPr>
      <w:bookmarkStart w:id="965" w:name="__RefHeading___Toc7766956_2870459653"/>
      <w:bookmarkStart w:id="966" w:name="_Toc353"/>
      <w:bookmarkEnd w:id="964"/>
      <w:bookmarkEnd w:id="965"/>
      <w:r>
        <w:rPr>
          <w:rtl w:val="true"/>
        </w:rPr>
        <w:t>اقتباس ابزار تأثیر، نفوذ و انتقال اطلاعات</w:t>
      </w:r>
      <w:bookmarkEnd w:id="9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ابزار تأثیر، نفوذ و انتقال اطلاعات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طی دهه اخیر نقش و تأثیر ابزار انتقال فناوری اطلاعات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موضوع باعث سوء استفاده از مطالب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می شود این موضوع می تواند بهره برداری غیر مجاز از اثر اصلی را با یک کلیک گسترش دهد پاکستان یک کشور در حال توسعه است و اختیارات مناسبی برای کنترل این نوع استفاده غیرقانونی از مطالب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مطالب موسیقیایی و نمایشی و حتی کارهای شخصی دیگران را می دانند و آن ها را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واقعا به حقوق انحصاری آثار لطمه وارد می کند</w:t>
      </w:r>
      <w:r>
        <w:rPr>
          <w:rFonts w:eastAsia="IRNazanin" w:cs="IRNazanin"/>
          <w:color w:val="111111"/>
          <w:sz w:val="28"/>
          <w:szCs w:val="28"/>
          <w:rtl w:val="true"/>
          <w:lang w:bidi="fa-IR"/>
        </w:rPr>
        <w:t>.</w:t>
      </w:r>
    </w:p>
    <w:p>
      <w:pPr>
        <w:pStyle w:val="Heading4"/>
        <w:numPr>
          <w:ilvl w:val="3"/>
          <w:numId w:val="1"/>
        </w:numPr>
        <w:rPr/>
      </w:pPr>
      <w:bookmarkStart w:id="967" w:name="__RefHeading___Toc7766958_2870459653"/>
      <w:bookmarkStart w:id="968" w:name="_Toc354"/>
      <w:bookmarkEnd w:id="967"/>
      <w:r>
        <w:rPr>
          <w:rtl w:val="true"/>
        </w:rPr>
        <w:t>نقش رسانه های اجتماعی</w:t>
      </w:r>
      <w:bookmarkEnd w:id="968"/>
    </w:p>
    <w:p>
      <w:pPr>
        <w:pStyle w:val="BookText"/>
        <w:rPr/>
      </w:pPr>
      <w:r>
        <w:rPr>
          <w:rFonts w:ascii="IRNazanin" w:hAnsi="IRNazanin" w:eastAsia="IRNazanin"/>
          <w:color w:val="111111"/>
          <w:sz w:val="28"/>
          <w:sz w:val="28"/>
          <w:szCs w:val="28"/>
          <w:rtl w:val="true"/>
          <w:lang w:bidi="fa-IR"/>
        </w:rPr>
        <w:t>برنامه های رسانه های اجتماعی در کشورهای در حال توسعه منبعی برای سوء استفاده از حقوق انحصاری آثار است افراد مطالب را بدون اعتنا به منبع یا مرجع خالق اثر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این موضوع باید به معنای دقیق کلمه گوش به زنگ و هوشیار بود</w:t>
      </w:r>
      <w:r>
        <w:rPr>
          <w:rFonts w:eastAsia="IRNazanin" w:cs="IRNazanin"/>
          <w:color w:val="111111"/>
          <w:sz w:val="28"/>
          <w:szCs w:val="28"/>
          <w:rtl w:val="true"/>
          <w:lang w:bidi="fa-IR"/>
        </w:rPr>
        <w:t>.</w:t>
      </w:r>
    </w:p>
    <w:p>
      <w:pPr>
        <w:pStyle w:val="Heading4"/>
        <w:numPr>
          <w:ilvl w:val="3"/>
          <w:numId w:val="1"/>
        </w:numPr>
        <w:rPr/>
      </w:pPr>
      <w:bookmarkStart w:id="969" w:name="__RefHeading___Toc7766960_2870459653"/>
      <w:bookmarkStart w:id="970" w:name="_Toc355"/>
      <w:bookmarkEnd w:id="969"/>
      <w:r>
        <w:rPr>
          <w:rtl w:val="true"/>
        </w:rPr>
        <w:t>آگاهی نداشتن درباره حقوق مالکیت فکری</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نداشتن درباره حقوق مالکیت فکری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در کشورهای در حال توسعه مثل پاکستان، دیده شده است که هیچ آگاهی درباره حقوق انحصاری آثار وجود ندارد بنابراین آگاهی نداشتن راجع به حقوق مالکیت فکری هم باعث تجاوز به حقوق انحصاری آثار می شود</w:t>
      </w:r>
      <w:r>
        <w:rPr>
          <w:rFonts w:eastAsia="IRNazanin" w:cs="IRNazanin"/>
          <w:color w:val="111111"/>
          <w:sz w:val="28"/>
          <w:szCs w:val="28"/>
          <w:rtl w:val="true"/>
          <w:lang w:bidi="fa-IR"/>
        </w:rPr>
        <w:t>.</w:t>
      </w:r>
    </w:p>
    <w:p>
      <w:pPr>
        <w:pStyle w:val="Heading4"/>
        <w:numPr>
          <w:ilvl w:val="3"/>
          <w:numId w:val="1"/>
        </w:numPr>
        <w:rPr/>
      </w:pPr>
      <w:bookmarkStart w:id="971" w:name="__RefHeading___Toc7766962_2870459653"/>
      <w:bookmarkStart w:id="972" w:name="_Toc356"/>
      <w:bookmarkEnd w:id="971"/>
      <w:r>
        <w:rPr>
          <w:rtl w:val="true"/>
        </w:rPr>
        <w:t>به تأخیر انداختن عدالت در پرونده های قضایی</w:t>
      </w:r>
      <w:bookmarkEnd w:id="972"/>
    </w:p>
    <w:p>
      <w:pPr>
        <w:pStyle w:val="BookText"/>
        <w:rPr/>
      </w:pPr>
      <w:r>
        <w:rPr>
          <w:rFonts w:ascii="IRNazanin" w:hAnsi="IRNazanin" w:eastAsia="IRNazanin"/>
          <w:color w:val="111111"/>
          <w:sz w:val="28"/>
          <w:sz w:val="28"/>
          <w:szCs w:val="28"/>
          <w:rtl w:val="true"/>
          <w:lang w:bidi="fa-IR"/>
        </w:rPr>
        <w:t>بعضی از دارندگان حقوق انحصاری اثر کوشیدند که با دادگاه ها برای حفاظت از حقوقشان رابطه برقرار کنند و خواستار وضع مجازات نسبت به سوء استفاده از حقوقشان شدند اما مراحل دادرسی بسیار کند و دشوار و پیچیده است این موضوع افراد را هم ناامید کرده است</w:t>
      </w:r>
      <w:r>
        <w:rPr>
          <w:rFonts w:eastAsia="IRNazanin" w:cs="IRNazanin"/>
          <w:color w:val="111111"/>
          <w:sz w:val="28"/>
          <w:szCs w:val="28"/>
          <w:rtl w:val="true"/>
          <w:lang w:bidi="fa-IR"/>
        </w:rPr>
        <w:t>.</w:t>
      </w:r>
    </w:p>
    <w:p>
      <w:pPr>
        <w:pStyle w:val="Heading4"/>
        <w:numPr>
          <w:ilvl w:val="3"/>
          <w:numId w:val="1"/>
        </w:numPr>
        <w:rPr/>
      </w:pPr>
      <w:bookmarkStart w:id="973" w:name="__RefHeading___Toc7766964_2870459653"/>
      <w:bookmarkStart w:id="974" w:name="_Toc357"/>
      <w:bookmarkEnd w:id="973"/>
      <w:r>
        <w:rPr>
          <w:rtl w:val="true"/>
        </w:rPr>
        <w:t>شکست حمله های دفاتر نمایندگی اجرایی</w:t>
      </w:r>
      <w:bookmarkEnd w:id="97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کشورهای در حال توسعه، تولید کننده های غیر مجاز بسیار قوی هستند آن ها ریشه ها و نفوذهایی در دفاتر نمایندگی اجرایی و قانونی دارند بنابراین وقتی که یک شاکی در جایی از حمله ای درباره </w:t>
      </w:r>
      <w:bookmarkStart w:id="975" w:name="pg9653_82169"/>
    </w:p>
    <w:p>
      <w:pPr>
        <w:pStyle w:val="BookText"/>
        <w:rPr/>
      </w:pPr>
      <w:bookmarkEnd w:id="975"/>
      <w:r>
        <w:rPr>
          <w:rFonts w:ascii="IRNazanin" w:hAnsi="IRNazanin" w:eastAsia="IRNazanin"/>
          <w:color w:val="111111"/>
          <w:sz w:val="28"/>
          <w:sz w:val="28"/>
          <w:szCs w:val="28"/>
          <w:rtl w:val="true"/>
          <w:lang w:bidi="fa-IR"/>
        </w:rPr>
        <w:t>سوء استفاده از حقوقشان و تولید مطالب قاچاق شکایت می کند اغلب ناموفق است و به خاطر درز کردن اطلاعات به بیرون شکست می خورد</w:t>
      </w:r>
    </w:p>
    <w:p>
      <w:pPr>
        <w:pStyle w:val="Heading4"/>
        <w:numPr>
          <w:ilvl w:val="3"/>
          <w:numId w:val="1"/>
        </w:numPr>
        <w:rPr/>
      </w:pPr>
      <w:bookmarkStart w:id="976" w:name="__RefHeading___Toc7766966_2870459653"/>
      <w:bookmarkStart w:id="977" w:name="_Toc358"/>
      <w:bookmarkEnd w:id="976"/>
      <w:r>
        <w:rPr>
          <w:rtl w:val="true"/>
        </w:rPr>
        <w:t>عدم انگیزه دولت</w:t>
      </w:r>
      <w:bookmarkEnd w:id="977"/>
    </w:p>
    <w:p>
      <w:pPr>
        <w:pStyle w:val="BookText"/>
        <w:rPr/>
      </w:pPr>
      <w:r>
        <w:rPr>
          <w:rFonts w:ascii="IRNazanin" w:hAnsi="IRNazanin" w:eastAsia="IRNazanin"/>
          <w:color w:val="111111"/>
          <w:sz w:val="28"/>
          <w:sz w:val="28"/>
          <w:szCs w:val="28"/>
          <w:rtl w:val="true"/>
          <w:lang w:bidi="fa-IR"/>
        </w:rPr>
        <w:t xml:space="preserve">به دلیل عدم علاقه از طرف دولت و ادارات گروه ها و واحدهای مربوطه اش، مفهوم حقوق انحصاری اثر برای عموم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بنابراین علاقه دولت بسیار اهمیت دارد برای ارتقاء حقوق انحصاری، نقش دولت بسیار مهم و ضروری است اجرای قوانین حقوق انحصاری تنها زیر پرچم دولت امکان می یابد</w:t>
      </w:r>
      <w:r>
        <w:rPr>
          <w:rFonts w:eastAsia="IRNazanin" w:cs="IRNazanin"/>
          <w:color w:val="111111"/>
          <w:sz w:val="28"/>
          <w:szCs w:val="28"/>
          <w:rtl w:val="true"/>
          <w:lang w:bidi="fa-IR"/>
        </w:rPr>
        <w:t>.</w:t>
      </w:r>
    </w:p>
    <w:p>
      <w:pPr>
        <w:pStyle w:val="Heading4"/>
        <w:numPr>
          <w:ilvl w:val="3"/>
          <w:numId w:val="1"/>
        </w:numPr>
        <w:rPr/>
      </w:pPr>
      <w:bookmarkStart w:id="978" w:name="__RefHeading___Toc7766968_2870459653"/>
      <w:bookmarkStart w:id="979" w:name="_Toc359"/>
      <w:bookmarkEnd w:id="978"/>
      <w:r>
        <w:rPr>
          <w:rtl w:val="true"/>
        </w:rPr>
        <w:t>نقش مقامات</w:t>
      </w:r>
      <w:bookmarkEnd w:id="979"/>
    </w:p>
    <w:p>
      <w:pPr>
        <w:pStyle w:val="BookText"/>
        <w:rPr/>
      </w:pPr>
      <w:r>
        <w:rPr>
          <w:rFonts w:ascii="IRNazanin" w:hAnsi="IRNazanin" w:eastAsia="IRNazanin"/>
          <w:color w:val="111111"/>
          <w:sz w:val="28"/>
          <w:sz w:val="28"/>
          <w:szCs w:val="28"/>
          <w:rtl w:val="true"/>
          <w:lang w:bidi="fa-IR"/>
        </w:rPr>
        <w:t>برایاجرای حقوق انحصاری و تحقق آن در پاکستان نقش مقامات بسیار مهم و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باید اختیاراتی را برای ایجاد رابطه با دارندگان حقوق انحصاری کتابخانه ها و کاربران به دفاتر نمایندگی و انجمن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رابطه بین دارندگان حقوق ،انحصاری کتابخانه ها و کاربران دو طرفه است این موضوع بسیار مهم است که برای نجات منافع یکدیگر، آن ها را یک جا جمع کنیم</w:t>
      </w:r>
      <w:r>
        <w:rPr>
          <w:rFonts w:eastAsia="IRNazanin" w:cs="IRNazanin"/>
          <w:color w:val="111111"/>
          <w:sz w:val="28"/>
          <w:szCs w:val="28"/>
          <w:rtl w:val="true"/>
          <w:lang w:bidi="fa-IR"/>
        </w:rPr>
        <w:t>.</w:t>
      </w:r>
    </w:p>
    <w:p>
      <w:pPr>
        <w:pStyle w:val="Heading3"/>
        <w:numPr>
          <w:ilvl w:val="2"/>
          <w:numId w:val="1"/>
        </w:numPr>
        <w:rPr/>
      </w:pPr>
      <w:bookmarkStart w:id="980" w:name="__RefHeading___Toc7766970_2870459653"/>
      <w:bookmarkStart w:id="981" w:name="_Toc360"/>
      <w:bookmarkEnd w:id="980"/>
      <w:r>
        <w:rPr>
          <w:rtl w:val="true"/>
        </w:rPr>
        <w:t>کارهایی که باید انجام شود</w:t>
      </w:r>
      <w:bookmarkEnd w:id="9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ارتقاء تمام مطالب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آگاهی درباره قوانین حقوق انحصاری در تمام طبقات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نشر غیر مجاز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تصویری در تمام سطوح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قوانین حقوق انحصاری در تمام اقشار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سازمان های بین المللی حقوق مالکیت فکری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ادارات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میزگردها، همایش ها و گفت و گوهایی درباره موضوعات مختلف</w:t>
      </w:r>
    </w:p>
    <w:p>
      <w:pPr>
        <w:pStyle w:val="Heading3"/>
        <w:numPr>
          <w:ilvl w:val="2"/>
          <w:numId w:val="1"/>
        </w:numPr>
        <w:rPr/>
      </w:pPr>
      <w:bookmarkStart w:id="982" w:name="__RefHeading___Toc7766972_2870459653"/>
      <w:bookmarkStart w:id="983" w:name="_Toc361"/>
      <w:bookmarkEnd w:id="982"/>
      <w:r>
        <w:rPr>
          <w:rtl w:val="true"/>
        </w:rPr>
        <w:t>نقش کتابخانه های قانونی</w:t>
      </w:r>
      <w:bookmarkEnd w:id="98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کتابخانه های قانونی برای ارتقاء قوانین حقوق انحصاری بین مشتریانشان بسیار مهمتر از دیگر کتابخانه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کتابخانه باید به مشتریان درباره قوانین و مقررات حقوق انحصاری اثر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دهند کتابخانه های قانونی می توانند بین ناشران و کتابخانه ها برای استفاده درست از مطالب حقوق انحصاری ،آثار ارتباط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همچنین می توانند جلسات آموزنده ای را با حضور ناشران، </w:t>
      </w:r>
      <w:bookmarkStart w:id="984" w:name="pg9653_82170"/>
    </w:p>
    <w:p>
      <w:pPr>
        <w:pStyle w:val="BookText"/>
        <w:rPr/>
      </w:pPr>
      <w:bookmarkEnd w:id="984"/>
      <w:r>
        <w:rPr>
          <w:rFonts w:ascii="IRNazanin" w:hAnsi="IRNazanin" w:eastAsia="IRNazanin"/>
          <w:color w:val="111111"/>
          <w:sz w:val="28"/>
          <w:sz w:val="28"/>
          <w:szCs w:val="28"/>
          <w:rtl w:val="true"/>
          <w:lang w:bidi="fa-IR"/>
        </w:rPr>
        <w:t>دارندگان حقوق انحصاری و کاربران کتابخانه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قانونی می توانند به عنوان انجمن حقوق مالکیت فکری نیز فعالیت کنند</w:t>
      </w:r>
      <w:r>
        <w:rPr>
          <w:rFonts w:eastAsia="IRNazanin" w:cs="IRNazanin"/>
          <w:color w:val="111111"/>
          <w:sz w:val="28"/>
          <w:szCs w:val="28"/>
          <w:rtl w:val="true"/>
          <w:lang w:bidi="fa-IR"/>
        </w:rPr>
        <w:t>.</w:t>
      </w:r>
    </w:p>
    <w:p>
      <w:pPr>
        <w:pStyle w:val="Heading3"/>
        <w:numPr>
          <w:ilvl w:val="2"/>
          <w:numId w:val="1"/>
        </w:numPr>
        <w:rPr/>
      </w:pPr>
      <w:bookmarkStart w:id="985" w:name="__RefHeading___Toc7766974_2870459653"/>
      <w:bookmarkStart w:id="986" w:name="_Toc362"/>
      <w:bookmarkEnd w:id="985"/>
      <w:r>
        <w:rPr>
          <w:rtl w:val="true"/>
        </w:rPr>
        <w:t>پیشنهادات</w:t>
      </w:r>
      <w:r>
        <w:rPr>
          <w:rtl w:val="true"/>
        </w:rPr>
        <w:t xml:space="preserve">/ </w:t>
      </w:r>
      <w:r>
        <w:rPr>
          <w:rtl w:val="true"/>
        </w:rPr>
        <w:t>نتیجه</w:t>
      </w:r>
      <w:bookmarkEnd w:id="9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برنامه های نرم افزاری مجانی و آزاد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قیمت پایین منابع الکترونیکی طبق کشورهای در حال توسعه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ها و پیشنهادات ویژه به کشورهای در حال توسعه در خصوص حقوق انحصاری اثر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مجوز آسان به صنعت داخلی آثار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در شهرهای کوچک برگزاری میزگردها همایش ها و جلسات گفتگوی آگاهی دهنده در سطوح محلی بین 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عادت های مطالعه در کتابخانه های قانونی رسیدگی عادلانه، آسان و فوری از طرف دادگاه ها درباره پرونده های حقوق انحصاری</w:t>
      </w:r>
    </w:p>
    <w:p>
      <w:pPr>
        <w:pStyle w:val="BookText"/>
        <w:rPr/>
      </w:pPr>
      <w:r>
        <w:rPr>
          <w:rFonts w:ascii="IRNazanin" w:hAnsi="IRNazanin" w:eastAsia="IRNazanin"/>
          <w:color w:val="111111"/>
          <w:sz w:val="28"/>
          <w:sz w:val="28"/>
          <w:szCs w:val="28"/>
          <w:rtl w:val="true"/>
          <w:lang w:bidi="fa-IR"/>
        </w:rPr>
        <w:t>با در نظر گرفتن نکات بالا می توانیم محیط دوستانه ای را برای اجرایی کردن قوانین حقوق انحصاری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از حقوق خالق اثر حمایت و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کشورهای در حال توسعه روی این موضوع تمرکز می کند که از تجاوز به قانون حقوق انحصاری جلوگیری کنند و در کنار آن نیز باید راه حل هزینه مناسب و پایین برای کاربران در نظر گرفته شود</w:t>
      </w:r>
      <w:r>
        <w:rPr>
          <w:rFonts w:eastAsia="IRNazanin" w:cs="IRNazanin"/>
          <w:color w:val="111111"/>
          <w:sz w:val="28"/>
          <w:szCs w:val="28"/>
          <w:rtl w:val="true"/>
          <w:lang w:bidi="fa-IR"/>
        </w:rPr>
        <w:t>.</w:t>
      </w:r>
    </w:p>
    <w:p>
      <w:pPr>
        <w:pStyle w:val="Heading3"/>
        <w:numPr>
          <w:ilvl w:val="2"/>
          <w:numId w:val="1"/>
        </w:numPr>
        <w:rPr/>
      </w:pPr>
      <w:bookmarkStart w:id="987" w:name="__RefHeading___Toc7766976_2870459653"/>
      <w:bookmarkStart w:id="988" w:name="_Toc363"/>
      <w:bookmarkEnd w:id="987"/>
      <w:r>
        <w:rPr>
          <w:rtl w:val="true"/>
        </w:rPr>
        <w:t>منابع</w:t>
      </w:r>
      <w:bookmarkEnd w:id="9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www.pakistaneconomist.com/issue2000/issue11&amp;12/cover.htm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www.pakistaneconomist.com/issue2000/issue11&amp;12/cover.htm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www.pakistaneconomist.com/issue2000/issue11&amp;12/cover.htm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global.bsa.org/idcglobalstudy2007/studies/summaryfindings globalstudy07.pdf</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www.iipa.com/rbc/2009/2009SPEC301PAKISTAN.pdf</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www.iipa.com/rbe/2009/2009SPEC301PAKISTAN.pdf</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Intellectual Property (IIPA) 2009 Special 301: Pakistan www.gov.pk</w:t>
      </w:r>
      <w:r>
        <w:rPr>
          <w:rFonts w:eastAsia="Times New Roman" w:cs="Times New Roman" w:ascii="Times New Roman" w:hAnsi="Times New Roman"/>
          <w:color w:val="111111"/>
          <w:sz w:val="28"/>
          <w:szCs w:val="28"/>
          <w:rtl w:val="true"/>
          <w:lang w:val="en-US" w:bidi="en-US"/>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9" w:name="pg9653_82172"/>
      <w:bookmarkStart w:id="990" w:name="pg9653_82172"/>
      <w:bookmarkEnd w:id="990"/>
    </w:p>
    <w:p>
      <w:pPr>
        <w:pStyle w:val="Heading2"/>
        <w:numPr>
          <w:ilvl w:val="1"/>
          <w:numId w:val="1"/>
        </w:numPr>
        <w:rPr/>
      </w:pPr>
      <w:bookmarkStart w:id="991" w:name="pg9653_82172"/>
      <w:bookmarkStart w:id="992" w:name="__RefHeading___Toc7766978_2870459653"/>
      <w:bookmarkStart w:id="993" w:name="_Toc364"/>
      <w:bookmarkEnd w:id="991"/>
      <w:bookmarkEnd w:id="992"/>
      <w:r>
        <w:rPr>
          <w:rtl w:val="true"/>
        </w:rPr>
        <w:t>چکیده</w:t>
      </w:r>
      <w:bookmarkEnd w:id="993"/>
    </w:p>
    <w:p>
      <w:pPr>
        <w:pStyle w:val="Heading3"/>
        <w:numPr>
          <w:ilvl w:val="2"/>
          <w:numId w:val="1"/>
        </w:numPr>
        <w:rPr/>
      </w:pPr>
      <w:bookmarkStart w:id="994" w:name="__RefHeading___Toc7766980_2870459653"/>
      <w:bookmarkStart w:id="995" w:name="_Toc365"/>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 xml:space="preserve">کتابخانه ملی علوم و فناوری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با هدف جمع آوری بایگانی و ارائه رسانه های دیداری شنیداری در میان سایر مواد غیرمتنی از طریق پورتال های ،خود مرکز صلاحیت داری را برای مواد غیرمتنی جهت استفاده کاربران راه اندازی کرده است کسب حقوق ضروری برای رسانه های دیداری شنیداری که وارد پروفایل مجموعه تیب می شوند بسیار دشوار است بازار اطلاعات علمی به صورت بین المللی است و به مرزهای ملی منتهی نمی شود بنابراین مجوز رسانه های دیداری شنیداری علمی تیب نه تنها در آلمان بلکه در سایر کشورها نیز تولید می شود چالش ها زمانی در رابطه با قانون ملی آلمان ایجاد می شوند که با اعطا کنندگان مجوز سایر کشورها و قوانین ملی دیگر مشارکت کند این مقاله معیار قانونی را شرح می دهد که تیب بر اساس آن خدماتی را ایجاد می کند و چالش هایی را بیان می کند که تیب در هنگام صدور مجوز رسانه های دیداری شنیداری الکترونیکی در آلمان با آن مواجه است این اطلاعات با تمرکز خاص بر تحولات جدید و قوانین معتبر واسپاری و حق مولف ارائه می شود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علوم و فناوری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های دیداری شنیداری، مجوز دسترسی، قانون واسپاری </w:t>
      </w:r>
      <w:bookmarkStart w:id="996" w:name="pg9653_82173"/>
    </w:p>
    <w:p>
      <w:pPr>
        <w:pStyle w:val="Heading3"/>
        <w:numPr>
          <w:ilvl w:val="2"/>
          <w:numId w:val="1"/>
        </w:numPr>
        <w:rPr/>
      </w:pPr>
      <w:bookmarkStart w:id="997" w:name="__RefHeading___Toc7766982_2870459653"/>
      <w:bookmarkStart w:id="998" w:name="_Toc366"/>
      <w:bookmarkEnd w:id="996"/>
      <w:bookmarkEnd w:id="997"/>
      <w:r>
        <w:rPr>
          <w:rtl w:val="true"/>
        </w:rPr>
        <w:t>صدور مجوز رسانه های دیداری شنیداری علمی در آلمان</w:t>
      </w:r>
      <w:bookmarkEnd w:id="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مجوز رسانه های دیداری شنیداری علمی در آلمان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نوشته الکه برم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سهیلا فعال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کتابخانه ملی علوم و فناوری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دارا بودن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واحد رسانه ای،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مجله و 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ثبت اختراع به عنوان یکی از بزرگ ترین کتابخانه های تخصصی در سراسر جهان رتبه بندی شده است دولت فدرال و ایالات فدرال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لندر</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آلمان به طور مشترک بودجه این کتابخانه را تامین می کنند تیب عضو انجمن لایب نیتس </w:t>
      </w:r>
      <w:r>
        <w:rPr>
          <w:rStyle w:val="FootnoteAnchor"/>
          <w:rtl w:val="true"/>
        </w:rPr>
        <w:footnoteReference w:id="1275"/>
      </w:r>
      <w:r>
        <w:rPr>
          <w:rFonts w:ascii="IRNazanin" w:hAnsi="IRNazanin" w:eastAsia="IRNazanin"/>
          <w:color w:val="111111"/>
          <w:sz w:val="28"/>
          <w:sz w:val="28"/>
          <w:szCs w:val="28"/>
          <w:rtl w:val="true"/>
          <w:lang w:bidi="fa-IR"/>
        </w:rPr>
        <w:t xml:space="preserve">است این انجمن یک سازمان حمایتی است 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را هدایت و زیرساخت های علمی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تیب به غیر از ارائه خدمات به کاربران محلی، دسترسی به منابع الکترونیکی را امکان پذیر می سازد و خدمات عمده ارائه مدرک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را از طریق پورتال سراسری خود به مشتریان دانشگاهی و همچنین تجاری ارائه می دهد اطلاعاتی که در حال حاضر به دست آمده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تیب دسترسی آزاد را حمایت می کند زیرا انجمن لایب نیتس به عنوان یکی از اولین امضا کنندگان اعلامیه برلین </w:t>
      </w:r>
      <w:r>
        <w:rPr>
          <w:rStyle w:val="FootnoteAnchor"/>
          <w:rtl w:val="true"/>
        </w:rPr>
        <w:footnoteReference w:id="127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999" w:name="pg9653_82174"/>
    </w:p>
    <w:p>
      <w:pPr>
        <w:pStyle w:val="BookText"/>
        <w:rPr/>
      </w:pPr>
      <w:bookmarkEnd w:id="999"/>
      <w:r>
        <w:rPr>
          <w:rFonts w:ascii="IRNazanin" w:hAnsi="IRNazanin" w:eastAsia="IRNazanin"/>
          <w:color w:val="111111"/>
          <w:sz w:val="28"/>
          <w:sz w:val="28"/>
          <w:szCs w:val="28"/>
          <w:rtl w:val="true"/>
          <w:lang w:bidi="fa-IR"/>
        </w:rPr>
        <w:t>تیب مرکز صلاحیت داری را برای مواد غیرمتنی راه اندازی کرده است و مواد غیرمتنی رقومی را در ارتباط با حوزه هایی از قبیل فیلم های دیداری شنیداری، پویانمایی ها مدل های معماری سه بعدی سخنرانی های دانشگاهی و فراداده های مربوطه فراهم کرده است کارشناسان خارجی نتیجه این ابتکار عمل را مثبت ارزیابی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تیب دسترسی مبتنی بر وب به مواد غیرمتنی و همچنین اسناد متنی را برای کاربران خود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به شیوهای سازگار با نوع رسانه ها همراه با فرداداه ها و پیش نمایش هایی از قبیل ،انفرادی متوالی و یا اختصارات، نمایش داده می شوند و اگر برای این منظور مجوز صادر کند بارگذاری </w:t>
      </w:r>
      <w:r>
        <w:rPr>
          <w:rStyle w:val="FootnoteAnchor"/>
          <w:rtl w:val="true"/>
        </w:rPr>
        <w:footnoteReference w:id="1277"/>
      </w:r>
      <w:r>
        <w:rPr>
          <w:rFonts w:ascii="IRNazanin" w:hAnsi="IRNazanin" w:eastAsia="IRNazanin"/>
          <w:color w:val="111111"/>
          <w:sz w:val="28"/>
          <w:sz w:val="28"/>
          <w:szCs w:val="28"/>
          <w:rtl w:val="true"/>
          <w:lang w:bidi="fa-IR"/>
        </w:rPr>
        <w:t>آن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صلاحیت دار تیب همچنین برای بررسی اسناد متنی، چندرسانه ای و دیداری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فرم، گفتار یا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های همکاری با شرکای خارجی، ابزار جدید و شناخته شده ای را توسعه می دهد و یا به کار می گیرد به این صورت که از طریق ایجاد و نمایه سازی افزوده مرتبط با محتوا و فراداده های ساختاری عملگرهای جستجوی بهتری در اختیار کاربران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مواد عمدتا در طرح های پژوهشی خاص پژوهشگران تولید می شوند همچنین ممکن است سازمان های دیگر نیز آن را به تنهایی یا با مشارکت سازمان های دیگر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خدمات پیوسته و صدور مجوز رسانه های دیداری شنیداری علاوه بر قانون حق مولف به جنبه ها و زمینه های بسیار متفاوتی از حقوق، مربوط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مختلف حقوق خصوصی، حقوق فردی و عمومی، قانون ثبت اختراع و قانون حفاظت از 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صرفا بر قانون واسپاری </w:t>
      </w:r>
      <w:r>
        <w:rPr>
          <w:rStyle w:val="FootnoteAnchor"/>
          <w:rtl w:val="true"/>
        </w:rPr>
        <w:footnoteReference w:id="1278"/>
      </w:r>
      <w:r>
        <w:rPr>
          <w:rFonts w:ascii="IRNazanin" w:hAnsi="IRNazanin" w:eastAsia="IRNazanin"/>
          <w:color w:val="111111"/>
          <w:sz w:val="28"/>
          <w:sz w:val="28"/>
          <w:szCs w:val="28"/>
          <w:rtl w:val="true"/>
          <w:lang w:bidi="fa-IR"/>
        </w:rPr>
        <w:t>و حق مولف تاکید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وضعیت قانون و اسپاری آلمان با توجه به رسانه های دیداری شنیداری به تصویر کشیده می شود، سپس چارچوب قانون حق مولف و مسائل ضروری در خصوص حق مولف و صدور مجوز مورد بحث قرار می گیرد</w:t>
      </w:r>
      <w:r>
        <w:rPr>
          <w:rFonts w:eastAsia="IRNazanin" w:cs="IRNazanin"/>
          <w:color w:val="111111"/>
          <w:sz w:val="28"/>
          <w:szCs w:val="28"/>
          <w:rtl w:val="true"/>
          <w:lang w:bidi="fa-IR"/>
        </w:rPr>
        <w:t>.</w:t>
      </w:r>
    </w:p>
    <w:p>
      <w:pPr>
        <w:pStyle w:val="Heading3"/>
        <w:numPr>
          <w:ilvl w:val="2"/>
          <w:numId w:val="1"/>
        </w:numPr>
        <w:rPr/>
      </w:pPr>
      <w:bookmarkStart w:id="1000" w:name="__RefHeading___Toc7766984_2870459653"/>
      <w:bookmarkStart w:id="1001" w:name="_Toc367"/>
      <w:bookmarkEnd w:id="1000"/>
      <w:r>
        <w:rPr>
          <w:rtl w:val="true"/>
        </w:rPr>
        <w:t>قانون واسپاری رسانه های دیداری شنیداری در آلمان</w:t>
      </w:r>
      <w:bookmarkEnd w:id="100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زیادی، فیلم ها به عنوان منابع مهمی برای میراث فرهنگی ملی به رسمیت شناخته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اگر قانون و اسپاری از قرون وسطی در آلمان وجود داشته باشد شامل فیلم های دیداری شنیداری نشده است این گرایش در سطح ملی و بین المللی تغییر کرده است در آلمان ابتدا التزام به </w:t>
      </w:r>
    </w:p>
    <w:p>
      <w:pPr>
        <w:pStyle w:val="BookText"/>
        <w:rPr/>
      </w:pPr>
      <w:r>
        <w:rPr>
          <w:rFonts w:ascii="IRNazanin" w:hAnsi="IRNazanin" w:eastAsia="IRNazanin"/>
          <w:color w:val="111111"/>
          <w:sz w:val="28"/>
          <w:sz w:val="28"/>
          <w:szCs w:val="28"/>
          <w:rtl w:val="true"/>
          <w:lang w:bidi="fa-IR"/>
        </w:rPr>
        <w:t xml:space="preserve">واگذاری حقوق پخش به مدت پنج سال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التزام به واسپاری یک کپی از هر فیلم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آرشیو فدرال آلمان </w:t>
      </w:r>
      <w:r>
        <w:rPr>
          <w:rStyle w:val="FootnoteAnchor"/>
          <w:rtl w:val="true"/>
        </w:rPr>
        <w:footnoteReference w:id="1279"/>
      </w:r>
      <w:r>
        <w:rPr>
          <w:rFonts w:ascii="IRNazanin" w:hAnsi="IRNazanin" w:eastAsia="IRNazanin"/>
          <w:color w:val="111111"/>
          <w:sz w:val="28"/>
          <w:sz w:val="28"/>
          <w:szCs w:val="28"/>
          <w:rtl w:val="true"/>
          <w:lang w:bidi="fa-IR"/>
        </w:rPr>
        <w:t>برای فیلم های سینمایی اعمال شد و هزینه تولید آن از بودجه عمومی و مستقل از مقررات واسپاری ایالات فدرال تامین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توصیه نامه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w:t>
      </w:r>
      <w:r>
        <w:rPr>
          <w:rStyle w:val="FootnoteAnchor"/>
          <w:rtl w:val="true"/>
        </w:rPr>
        <w:footnoteReference w:id="1280"/>
      </w:r>
      <w:r>
        <w:rPr>
          <w:rFonts w:ascii="IRNazanin" w:hAnsi="IRNazanin" w:eastAsia="IRNazanin"/>
          <w:color w:val="111111"/>
          <w:sz w:val="28"/>
          <w:sz w:val="28"/>
          <w:szCs w:val="28"/>
          <w:rtl w:val="true"/>
          <w:lang w:bidi="fa-IR"/>
        </w:rPr>
        <w:t>اهمیت فیلم ها را برای میراث فرهنگی ملی به رسمیت شناخت و واسپاری اجباری فیلم ها را در سطح ملی شامل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اروپا </w:t>
      </w:r>
      <w:r>
        <w:rPr>
          <w:rStyle w:val="FootnoteAnchor"/>
          <w:rtl w:val="true"/>
        </w:rPr>
        <w:footnoteReference w:id="1281"/>
      </w:r>
      <w:r>
        <w:rPr>
          <w:rFonts w:ascii="IRNazanin" w:hAnsi="IRNazanin" w:eastAsia="IRNazanin"/>
          <w:color w:val="111111"/>
          <w:sz w:val="28"/>
          <w:sz w:val="28"/>
          <w:szCs w:val="28"/>
          <w:rtl w:val="true"/>
          <w:lang w:bidi="fa-IR"/>
        </w:rPr>
        <w:t xml:space="preserve">پیمان نامه اروپایی </w:t>
      </w:r>
      <w:r>
        <w:rPr>
          <w:rStyle w:val="FootnoteAnchor"/>
          <w:rtl w:val="true"/>
        </w:rPr>
        <w:footnoteReference w:id="1282"/>
      </w:r>
      <w:r>
        <w:rPr>
          <w:rFonts w:ascii="IRNazanin" w:hAnsi="IRNazanin" w:eastAsia="IRNazanin"/>
          <w:color w:val="111111"/>
          <w:sz w:val="28"/>
          <w:sz w:val="28"/>
          <w:szCs w:val="28"/>
          <w:rtl w:val="true"/>
          <w:lang w:bidi="fa-IR"/>
        </w:rPr>
        <w:t xml:space="preserve">را برای حمایت از میراث دیداری شنیداری ارائه داد این پیمان نامه تعهد قانونی ایالات عضو را برای تعیین یک مجموعه آرشیوی و قانون و اسپاری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متحرک، موادی که بخشی از میراث فرهنگی ملی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مجموعه از تصاویر متحرک ثبت شده توسط هر ابزاری، در هر رسانه ای، خواه به همراه صدا باشد یا نباشد، قادر به انتقال احساس حرکت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این پیمان نامه با لازم الاجرا شدنش سریعا تمام آثار سینمایی و تولیدات تلویزیونی را دربرگرفت اما آن دسته از فیلم هایی که جزء میراث فرهنگی نبودند را شامل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تا به امروز این پیمان نامه را به دلیل روند قانونی طولانی تصویب نکرده است و تمام لوایحی که به موضوعات فرهنگی اشاره می کنند در صلاحیت قانونی ایالات فدرال هستند قبل از این که آلمان این پیمان نامه را در سطح ملی تصویب کند پارلمان های منطقه ای باید رضایت خود را از آن اعلام کنند این فرایند در حال حاضر منعقد شده است</w:t>
      </w:r>
    </w:p>
    <w:p>
      <w:pPr>
        <w:pStyle w:val="BookText"/>
        <w:rPr/>
      </w:pPr>
      <w:r>
        <w:rPr>
          <w:rFonts w:ascii="IRNazanin" w:hAnsi="IRNazanin" w:eastAsia="IRNazanin"/>
          <w:color w:val="111111"/>
          <w:sz w:val="28"/>
          <w:sz w:val="28"/>
          <w:szCs w:val="28"/>
          <w:rtl w:val="true"/>
          <w:lang w:bidi="fa-IR"/>
        </w:rPr>
        <w:t xml:space="preserve">به طوری که این پیمان نامه در دوره قانون گذاری فعلی که در پاییز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تصویب شد اتحادیه اروپا همچنان ایالات عضو را به اعمال واسپاری اجباری برای تمام رسانه های دیداری شنیداری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آلمان به شرح زیر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و اسپاری همواره در حوزه قضایی ایالات فدرال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لندر</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است و هر دولت فدرال دارای قانون و اسپاری جداگانه ای است که می تواند با مقررات سایر ایالات فدرال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ایالات فدرال دارای قانون و اسپاری برای رسانه های رقومی، صوتی و چاپی هستند اما لزوما رسانه های دیداری شنیداری را در بر نمی گیرند برای مثال برخی ایالات مانند بادن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وورتمبر وورتمبرگ </w:t>
      </w:r>
      <w:r>
        <w:rPr>
          <w:rStyle w:val="FootnoteAnchor"/>
          <w:rtl w:val="true"/>
        </w:rPr>
        <w:footnoteReference w:id="1284"/>
      </w:r>
      <w:r>
        <w:rPr>
          <w:rFonts w:ascii="IRNazanin" w:hAnsi="IRNazanin" w:eastAsia="IRNazanin"/>
          <w:color w:val="111111"/>
          <w:sz w:val="28"/>
          <w:sz w:val="28"/>
          <w:szCs w:val="28"/>
          <w:rtl w:val="true"/>
          <w:lang w:bidi="fa-IR"/>
        </w:rPr>
        <w:t xml:space="preserve">و یا نور در این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وستفالن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دارای قانون و اسپاری برای مواد دیداری شنیداری هستند تعابیر و تفاسیر متفاوت مقررات در هر ایالت منجر به وجود شیوه های متفاوت در هر ایالت و کتابخانه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قوانین منطقه ای به قانون و اسپاری در سطح ملی ضمیمه شده اند کتابخانه ملی آلمان ملزم به جمع آوری تمام رسانه های الکترونیکی صوتی و چاپی است این فرایند توسعه یافت و از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نشریات اینترنتی نیز شد ولی شامل رسانه های دیداری شنیداری مانند فیلم 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 مورد فیلم های منتشر شده در وبگاه ها به صورت برخط نیز اعمال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واسپاری یک کپی از هر فیلمی که بودجه آن براساس قانون بودجه فیلم تامین می شود امروزه هنوز هم رایج است پیش نیازهای کمک های مالی به این موارد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بین المللی و فیلم های سینمایی آلمانی تولید شده در آلمان یا اتحادیه اروپا و یا ترجمه شده به زبان آلمانی که به فرهنگ، جامعه تاریخ و غیره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تمام فیلم های تولید شده به صورت سالانه را پوشش می دهد تمام رسانه های دیگر که پیش نیازهای قانون بودجه فیلم را برآورده نمی سازند باید خریداری شوند و در غیر این صورت جمع آوری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برآورد می شود که این میزان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تولیدات فیلم در آلمان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فیلم ها و مستندهای آلمانی که بخشی از میراث فرهنگی را تشکیل می دهند به دلیل عدم وجود یک قانون و اسپاری همه جانبه از دست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آرشیو فدرال آلمان دارای بزرگ ترین مجموعه فیلم های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آرشیو با مشارکت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آلمانی</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 xml:space="preserve">و موسسه فیلم آلمانی </w:t>
      </w:r>
      <w:r>
        <w:rPr>
          <w:rStyle w:val="FootnoteAnchor"/>
          <w:rtl w:val="true"/>
        </w:rPr>
        <w:footnoteReference w:id="1286"/>
      </w:r>
      <w:r>
        <w:rPr>
          <w:rFonts w:ascii="IRNazanin" w:hAnsi="IRNazanin" w:eastAsia="IRNazanin"/>
          <w:color w:val="111111"/>
          <w:sz w:val="28"/>
          <w:sz w:val="28"/>
          <w:szCs w:val="28"/>
          <w:rtl w:val="true"/>
          <w:lang w:bidi="fa-IR"/>
        </w:rPr>
        <w:t>کارهای آرشیوی و بررسی میراث فیلم آلمانی را از دیدگاه سینمایی و تاریخی انجام می دهد آرشیو فدرال آلمان علاوه بر کار آرشیو تمام فیلم های واسپاری شده باتوجه به مقررات قانون بودجه فیلم به لحاظ فرهنگی، مجموعه فیلم های قابل توجهی را برای آلمان فراهم کرده است و وظیفه جمع آوری و آرشیو تمام موادی که توسط سازمان های اداری فدرال تولید می شوند و آن چه که در آینده نیاز است را به عهده دارد</w:t>
      </w:r>
      <w:r>
        <w:rPr>
          <w:rFonts w:eastAsia="IRNazanin" w:cs="IRNazanin"/>
          <w:color w:val="111111"/>
          <w:sz w:val="28"/>
          <w:szCs w:val="28"/>
          <w:rtl w:val="true"/>
          <w:lang w:bidi="fa-IR"/>
        </w:rPr>
        <w:t xml:space="preserve">. </w:t>
      </w:r>
      <w:r>
        <w:rPr>
          <w:rStyle w:val="FootnoteAnchor"/>
          <w:rtl w:val="true"/>
        </w:rPr>
        <w:footnoteReference w:id="128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مراکز رسانه ای، </w:t>
      </w:r>
      <w:r>
        <w:rPr>
          <w:rStyle w:val="FootnoteAnchor"/>
          <w:rtl w:val="true"/>
        </w:rPr>
        <w:footnoteReference w:id="1288"/>
      </w:r>
      <w:r>
        <w:rPr>
          <w:rFonts w:ascii="IRNazanin" w:hAnsi="IRNazanin" w:eastAsia="IRNazanin"/>
          <w:color w:val="111111"/>
          <w:sz w:val="28"/>
          <w:sz w:val="28"/>
          <w:szCs w:val="28"/>
          <w:rtl w:val="true"/>
          <w:lang w:bidi="fa-IR"/>
        </w:rPr>
        <w:t xml:space="preserve">دسترسی به فیلم ها را با اهداف علمی و آموزشی برای عموم مردم امکان </w:t>
      </w:r>
      <w:bookmarkStart w:id="1002" w:name="pg9653_82177"/>
    </w:p>
    <w:p>
      <w:pPr>
        <w:pStyle w:val="BookText"/>
        <w:rPr/>
      </w:pPr>
      <w:bookmarkEnd w:id="1002"/>
      <w:r>
        <w:rPr>
          <w:rFonts w:ascii="IRNazanin" w:hAnsi="IRNazanin" w:eastAsia="IRNazanin"/>
          <w:color w:val="111111"/>
          <w:sz w:val="28"/>
          <w:sz w:val="28"/>
          <w:szCs w:val="28"/>
          <w:rtl w:val="true"/>
          <w:lang w:bidi="fa-IR"/>
        </w:rPr>
        <w:t>پذیر می سازد</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این شبکه با اصلاحیه بعدی مقررات آرشیو ملی آلمان، تعهد به ثبت فیلم ها در آرشیو ملی آلمان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واسپاری اجباری برای تمام مواد سینمایی وضع شود این شبکه هزینه های مربوطه را تخمین می زند دولت آلمان معتقد است که در حال حاضر درخواست های پیمان نامه اروپایی از طریق مقررات وضع شده در قانون بودجه فیلم، برآورده می شود بنابراین در حال حاضر بدون نیاز به قانون و اسپاری برای مواد دیداری شنیداری قانون بودجه فیلم مورد استفاده قرار می گیرد</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معمولا فیلم های علمی جمع آوری شده توسط تیب پیش نیازهای کمک های مالی وضع شده در قانون بودجه فیلم را برآورده نمی سازند و به طور کلی توسط نهادهای دولت فدرال تولید نمی شوند بنابراین امروزه مشروط به ضوابط و مقررات قانون و اسپاری نیستند البته در صورتی که مقررات قانون واسپاری که شامل فیلم های آموزشی مورد علاقه تیب نیز است وضع شود، این امر توجه تیب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اکثر فیلم هایی که تیب جمع آوری می کند در داخل طرح های پژوهشی تولید می شوند توسط ناشرانی که محصولات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و یا فیلم های دیداری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قانون واسپاری است، تولید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بعید است که قانون واسپاری برای رسانه های دیداری شنیداری تولید شده در طرح های پژوهشی غیر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برای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خاکستری</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تیب برای اجرای تعهد به سپرده گذاری این نوع فیلم ها بر مبنای قراردادی تلاش می کند که به عنوان بخشی از دستورالعمل های تامین بودجه سازمان مالی خاصی تامین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قانون و اسپاری موضوع نحوه کسب رسانه ها را حل می کند ولی نمی تواند چگونگی کسب حقوق لازم برای ارائه به روز و دسترسی برخط کاربران را ارائه دهد قانون و اسپاری حداکثر کاربرد در سایت رسانه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تنها برای اهداف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های مطالعه سازمان های آرشیوی امکان پذیر می سازد اما ارائه برخط رسانه ها که تیب در نظر گرفته است را امکان پذیر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لازم را باید به شیوه دیگری کسب کرد</w:t>
      </w:r>
      <w:r>
        <w:rPr>
          <w:rFonts w:eastAsia="IRNazanin" w:cs="IRNazanin"/>
          <w:color w:val="111111"/>
          <w:sz w:val="28"/>
          <w:szCs w:val="28"/>
          <w:rtl w:val="true"/>
          <w:lang w:bidi="fa-IR"/>
        </w:rPr>
        <w:t>.</w:t>
      </w:r>
    </w:p>
    <w:p>
      <w:pPr>
        <w:pStyle w:val="Heading3"/>
        <w:numPr>
          <w:ilvl w:val="2"/>
          <w:numId w:val="1"/>
        </w:numPr>
        <w:rPr/>
      </w:pPr>
      <w:bookmarkStart w:id="1003" w:name="__RefHeading___Toc7766986_2870459653"/>
      <w:bookmarkStart w:id="1004" w:name="_Toc368"/>
      <w:bookmarkEnd w:id="1003"/>
      <w:r>
        <w:rPr>
          <w:rtl w:val="true"/>
        </w:rPr>
        <w:t>معیار بین المللی قانون حق مولف</w:t>
      </w:r>
      <w:bookmarkEnd w:id="100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اصول کلی قانون حق مولف در مورد نمونه هایی که دارای جنبه های بین المللی هستند ارائه می شود </w:t>
      </w:r>
    </w:p>
    <w:p>
      <w:pPr>
        <w:pStyle w:val="BookText"/>
        <w:rPr/>
      </w:pPr>
      <w:r>
        <w:rPr>
          <w:rFonts w:ascii="IRNazanin" w:hAnsi="IRNazanin" w:eastAsia="IRNazanin"/>
          <w:color w:val="111111"/>
          <w:sz w:val="28"/>
          <w:sz w:val="28"/>
          <w:szCs w:val="28"/>
          <w:rtl w:val="true"/>
          <w:lang w:bidi="fa-IR"/>
        </w:rPr>
        <w:t>و پس از آن برخی جنبه های قانون حق مولف اروپا خاطر نشان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حق مولف قانون ملی است و اثر قانونی آن در قلمرو یک کشور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ملی نیز حکم می کند که چگونه و تحت کدام شرایط قانون ملی حق مولف از آثار خارجی ها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قانون حق مولف آلمان حکم می دهد که آیا کار یک نویسنده خارجی در آلمان دارای حق مولف است یا خیر در مواردی که تنها شامل یک ملت و یا قانون ملی حق مولف نمی شود، قانون مدنی و خصوصی بین المللی حکم می دهد که کدام قانون ملی قابل اجرا است و این که آیا این مورد در حوزه قضایی محاکم ملی است یا خیر ممکن است حقوق اعطا شده توسط مقررات متناظر ملی حق مولف و نحوه اجرای آن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تعداد زیادی از معاهدات دوجانبه و چند جانبه در خصوص جنبه های مختلف حق مولف و یا حقوق همسایگی وجود دارد که بر اصول کلی وضع شده در دامنه شمول آن ها تحمیل می شود ممکن است قانونی ماهیتی و هماهنگ شده را دربرگیرند به طوری که مقررات ملی حق مولف مجبور به رایزنی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حداقل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متقابل</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را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به عنوان مثال یک خارجی همان حمایتی را که یک شهروند آلمانی در کشور خارجی مربوطه دریافت می کند در آلمان برای آثار خود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توافقات چند جانبه عبارتند از پیمان نامه برن </w:t>
      </w:r>
      <w:r>
        <w:rPr>
          <w:rStyle w:val="FootnoteAnchor"/>
          <w:rtl w:val="true"/>
        </w:rPr>
        <w:footnoteReference w:id="1293"/>
      </w:r>
      <w:r>
        <w:rPr>
          <w:rFonts w:ascii="IRNazanin" w:hAnsi="IRNazanin" w:eastAsia="IRNazanin"/>
          <w:color w:val="111111"/>
          <w:sz w:val="28"/>
          <w:sz w:val="28"/>
          <w:szCs w:val="28"/>
          <w:rtl w:val="true"/>
          <w:lang w:bidi="fa-IR"/>
        </w:rPr>
        <w:t xml:space="preserve">، پیمان نامه جهانی حق مولف، </w:t>
      </w:r>
      <w:r>
        <w:rPr>
          <w:rStyle w:val="FootnoteAnchor"/>
          <w:rtl w:val="true"/>
        </w:rPr>
        <w:footnoteReference w:id="1294"/>
      </w:r>
      <w:r>
        <w:rPr>
          <w:rFonts w:ascii="IRNazanin" w:hAnsi="IRNazanin" w:eastAsia="IRNazanin"/>
          <w:color w:val="111111"/>
          <w:sz w:val="28"/>
          <w:sz w:val="28"/>
          <w:szCs w:val="28"/>
          <w:rtl w:val="true"/>
          <w:lang w:bidi="fa-IR"/>
        </w:rPr>
        <w:t>و پیمان نامه جنبه های تجاری مربوط به قانون مالکیت معنوی</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از یک طرف پیمان نامه اصلاحی برن که توسط سازمان جهانی مالکیت معنوی </w:t>
      </w:r>
      <w:r>
        <w:rPr>
          <w:rStyle w:val="FootnoteAnchor"/>
          <w:rtl w:val="true"/>
        </w:rPr>
        <w:footnoteReference w:id="1296"/>
      </w:r>
      <w:r>
        <w:rPr>
          <w:rFonts w:ascii="IRNazanin" w:hAnsi="IRNazanin" w:eastAsia="IRNazanin"/>
          <w:color w:val="111111"/>
          <w:sz w:val="28"/>
          <w:sz w:val="28"/>
          <w:szCs w:val="28"/>
          <w:rtl w:val="true"/>
          <w:lang w:bidi="fa-IR"/>
        </w:rPr>
        <w:t xml:space="preserve">اداره می شود شامل اصولی است که اعضای کشورهای شریک به عنوان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پردازند و حداقل استانداردها برای حفاظت از حق مولف آثار اتباع کشورهای عضو را شامل می 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پیمان نامه جهانی حق مولف یونسکو </w:t>
      </w:r>
      <w:r>
        <w:rPr>
          <w:rStyle w:val="FootnoteAnchor"/>
          <w:rtl w:val="true"/>
        </w:rPr>
        <w:footnoteReference w:id="1297"/>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 یکپارچه نمودن ایالات متحده آمریکا اتحادیه جماهیر شوروی سوسیالیستی و چین با پیمان نامه برن بود این پیمان نامه با توجه به حضور پیمان نامه اصلاحی برن بیشتر تاثیر خود را از دست داد پیمان نامه جنبه های تجاری مرتبط با قانون مالکیت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تریپس</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توسط سازمان تجارت جهانی </w:t>
      </w:r>
      <w:r>
        <w:rPr>
          <w:rStyle w:val="FootnoteAnchor"/>
          <w:rtl w:val="true"/>
        </w:rPr>
        <w:footnoteReference w:id="1299"/>
      </w:r>
      <w:r>
        <w:rPr>
          <w:rFonts w:ascii="IRNazanin" w:hAnsi="IRNazanin" w:eastAsia="IRNazanin"/>
          <w:color w:val="111111"/>
          <w:sz w:val="28"/>
          <w:sz w:val="28"/>
          <w:szCs w:val="28"/>
          <w:rtl w:val="true"/>
          <w:lang w:bidi="fa-IR"/>
        </w:rPr>
        <w:t>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مالکیت معنوی را در نظام تجارت جهانی ارائه کرد همان طور که در پیمان نامه </w:t>
      </w:r>
      <w:bookmarkStart w:id="1005" w:name="pg9653_82179"/>
    </w:p>
    <w:p>
      <w:pPr>
        <w:pStyle w:val="BookText"/>
        <w:rPr/>
      </w:pPr>
      <w:bookmarkEnd w:id="1005"/>
      <w:r>
        <w:rPr>
          <w:rFonts w:ascii="IRNazanin" w:hAnsi="IRNazanin" w:eastAsia="IRNazanin"/>
          <w:color w:val="111111"/>
          <w:sz w:val="28"/>
          <w:sz w:val="28"/>
          <w:szCs w:val="28"/>
          <w:rtl w:val="true"/>
          <w:lang w:bidi="fa-IR"/>
        </w:rPr>
        <w:t xml:space="preserve">برن وضع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اصلاحیه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کشورهای شریک با این توافقنامه ملزم به اعطای استانداردهای حفاظت از قانون مالکیت معنوی به اتباع کشورهای شریک و به طور خاص حفاظت از برنامه های رایانه ای و همچنین پایگاه های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علاوه براین قانون مذکور برخی مقررات مربوط به حل اختلافات را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تقریبا تمام کشورهای سراسر جهان تریپس را امضا کردند استانداردهای حفاظت وضع شده در پیمان نامه برن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تقریبا در تمام کشورهای سراسر جهان موثر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غلبه بر چالش های جدید قانون حق مولف معاهده حق مولف دبلیو آی پی او </w:t>
      </w:r>
      <w:r>
        <w:rPr>
          <w:rStyle w:val="FootnoteAnchor"/>
          <w:rtl w:val="true"/>
        </w:rPr>
        <w:footnoteReference w:id="1300"/>
      </w:r>
      <w:r>
        <w:rPr>
          <w:rFonts w:ascii="IRNazanin" w:hAnsi="IRNazanin" w:eastAsia="IRNazanin"/>
          <w:color w:val="111111"/>
          <w:sz w:val="28"/>
          <w:sz w:val="28"/>
          <w:szCs w:val="28"/>
          <w:rtl w:val="true"/>
          <w:lang w:bidi="fa-IR"/>
        </w:rPr>
        <w:t xml:space="preserve">از طریق رقومی سازی و شبکه سازی رقومی معرفی شد پس از این که دستورالعمل </w:t>
      </w:r>
      <w:r>
        <w:rPr>
          <w:rFonts w:eastAsia="IRNazanin" w:cs="IRNazanin"/>
          <w:color w:val="111111"/>
          <w:sz w:val="28"/>
          <w:szCs w:val="28"/>
          <w:lang w:bidi="fa-IR"/>
        </w:rPr>
        <w:t>2001/29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جی براساس هماهنگ سازی برخی جنبه های حق مولف و حقوق مربوط به جامعه اطلاعاتی در کشورهای عضو اتحادیه اروپا اجرا شد کشورهای عضو اتحادیه اروپا این معاهده را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معاهده شامل این قاعده کلی است که مشارکت کنندگان آن باید به عنوان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 حفاظت از حقوق مالکیت معنوی آن ها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مربوط به حقوق و اجاره بهای رسانه های دیداری شنیداری و حفاظت از پایگاه های داده خلاق و نرم افزاری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معاهدات دوجانبه و یا چند جانبه هر گونه مقررات ملی موجود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ممکن است قوانین مختلف اعمال شوند باید وضعیت حقوقی را به طور جداگانه برای هر نمونه و نوع حق تالیف ارزیابی کرد هیچ یک از این معاهدات شامل مقرراتی نیست که کاربرد فیلم ها را همان طور که تیب در نظر دارد امکان پذیر سازد</w:t>
      </w:r>
      <w:r>
        <w:rPr>
          <w:rFonts w:eastAsia="IRNazanin" w:cs="IRNazanin"/>
          <w:color w:val="111111"/>
          <w:sz w:val="28"/>
          <w:szCs w:val="28"/>
          <w:rtl w:val="true"/>
          <w:lang w:bidi="fa-IR"/>
        </w:rPr>
        <w:t>.</w:t>
      </w:r>
    </w:p>
    <w:p>
      <w:pPr>
        <w:pStyle w:val="Heading3"/>
        <w:numPr>
          <w:ilvl w:val="2"/>
          <w:numId w:val="1"/>
        </w:numPr>
        <w:rPr/>
      </w:pPr>
      <w:bookmarkStart w:id="1006" w:name="__RefHeading___Toc7766988_2870459653"/>
      <w:bookmarkStart w:id="1007" w:name="_Toc369"/>
      <w:bookmarkEnd w:id="1006"/>
      <w:r>
        <w:rPr>
          <w:rtl w:val="true"/>
        </w:rPr>
        <w:t>قانون حق مولف و اتحادیه اروپا</w:t>
      </w:r>
      <w:bookmarkEnd w:id="100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 اروپا با هدف ایجاد یک بازار تجاری اروپایی، هفت دستورالعمل </w:t>
      </w:r>
      <w:r>
        <w:rPr>
          <w:rStyle w:val="FootnoteAnchor"/>
          <w:rtl w:val="true"/>
        </w:rPr>
        <w:footnoteReference w:id="1301"/>
      </w:r>
      <w:r>
        <w:rPr>
          <w:rFonts w:ascii="IRNazanin" w:hAnsi="IRNazanin" w:eastAsia="IRNazanin"/>
          <w:color w:val="111111"/>
          <w:sz w:val="28"/>
          <w:sz w:val="28"/>
          <w:szCs w:val="28"/>
          <w:rtl w:val="true"/>
          <w:lang w:bidi="fa-IR"/>
        </w:rPr>
        <w:t>را در خصوص برخی جنبه های خاص قانون حق مولف تصویب کرد که منجر به هماهنگ سازی برخی جنبه های حق مولف در اتحادیه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این دستورالعمل ها با توجه به فعالیت های تیب جنبه های معتبر قانون حق مولف آلمانی را تحت تاثیر قرار می دهند تنها دو دستورالعمل اتحادیه اروپا قابل ذکر است دستورالعمل پایگاه داده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های کلی برای حفاظت از پایگاه های داده اصلی را ایجاد و حفاظت از پایگاه های داده را برای این که چه سرمایه گذاری های قابل توجهی باید انجام شود معرفی می کند در ،نتیجه ممکن است پایگاه های داده ای که حاوی داده های بدون حق مولف هستند براساس حق مولف پایگاه داده حفاظت شوند و گاهی مجموعه های بزرگی از فراداده های کتابشناسی را نیز شامل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دستورالعمل هماهنگ سازی برخی جنبه های حق مولف و حقوق مربوط به جامعه اطلاعاتی سال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معنای اجرای مقررات حق مولف بود و به اندازه کافی توسعه فنی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کشورهای عضو را وادار کرد تعهدات بین المللی ناشی از دو معاهده حق مولف دبلیو آی پی او و تریپس را در ماه دسامبر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ملی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تعهد کشورهای عضو برای معرفی حق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عموم قرار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ارائه 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نویسنده وضع کرد و با صراحت بیان کرد که حق توزیع، با توزیع برخط اثر به انجام نمی رسد به طوری که این امر برای یک شی قابل دسترس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ارائه برخی موارد استثنایی و یا نمونه هایی مانند اهداف آموزشی و علمی را به نفع سازمان های عمومی مانند کتابخانه ها و آرشیوها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کشورهای عضو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گیری در مورد تفسیر مقررات اتحادیه اروپا به صلاحیت دادگاه عدالت اروپا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تاثیر اتحادیه اروپا بر قانون ملی حق مولف به طور مداوم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اتحادیه اروپا به موجب برنامه توسعه اقتصادی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 رقومی سازی را برای اروپا در دستور کار قرار داد و این مراحل قانونی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موضوع این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و یا برنامه ریزی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پیشنهادی قانون گذاری برای ساده سازی صدور مجوز آثار برخط برای سرتاسر اروپا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دستور کار پیشنهادی در مورد آثار بی صاحب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بحث گسترده در مورد حمایت از صنعت فیلم با راه اندازی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برخط آثار دیداری شنیداری در اتحادیه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و چالش های پیش روی بازار رقومی واحد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اتحادیه اروپا هم اکنون این موضوع را بررسی می کند که آیا باید نسخه قدیمی حق مولف اروپایی را فراهم کرد؟ این نسخه دستورالعمل های اتخاذ شده توسط اتحادیه اروپا را تحکیم می بخشد و مستثنیات قانونی را با حقوق انحصاری سازنده و سایر ذیحقان هماهنگ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اروپا و تعدادی از کشورهای دیگر قبلا توافقنامه چند جانبه تجارت ضد جعل و تقلب را امضا کردند این توافقنامه با معرفی استانداردهای بین المللی برای مبارزه با سرقت محصول و تجاوز به حقوق مولف ارائه می شود حتی اگر این توافقنامه هیچ یک از مقررات جدید را ارائه نکند و بر اجرای مقرراتی که در توافقنامه تریپس وضع می شود تمرکز ،کند منجر به اختلافاتی درمیان توده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عدالت اروپا در حال حاضر با توجه به این ،اختلافات مجددا این توافقنامه را ارزیابی می کند و فعلا امضای قرارداد آلمانی را به وقت دیگر موکول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قانون بین المللی حق مولف بسیار پیچیده است تیب مقررات مربوط به مجوز کاربرد رسانه های </w:t>
      </w:r>
      <w:bookmarkStart w:id="1008" w:name="pg9653_82181"/>
    </w:p>
    <w:p>
      <w:pPr>
        <w:pStyle w:val="BookText"/>
        <w:rPr/>
      </w:pPr>
      <w:bookmarkEnd w:id="1008"/>
      <w:r>
        <w:rPr>
          <w:rFonts w:ascii="IRNazanin" w:hAnsi="IRNazanin" w:eastAsia="IRNazanin"/>
          <w:color w:val="111111"/>
          <w:sz w:val="28"/>
          <w:sz w:val="28"/>
          <w:szCs w:val="28"/>
          <w:rtl w:val="true"/>
          <w:lang w:bidi="fa-IR"/>
        </w:rPr>
        <w:t>دیداری شنیداری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طرح های ابتکاری در سطح اروپا با ایجاد یک بازار واحد اروپایی و ترویج صنعت فیلم تجاری، بیشتر از ترویج کاربرد علمی و آموزشی مواد دیداری شنیداری در محیط برخط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حتی اگر تعدادی از طرح های ابتکاری اتخاذ شوند نمی توانند منجر به حمایت از فعالیت های تیب شوند</w:t>
      </w:r>
      <w:r>
        <w:rPr>
          <w:rFonts w:eastAsia="IRNazanin" w:cs="IRNazanin"/>
          <w:color w:val="111111"/>
          <w:sz w:val="28"/>
          <w:szCs w:val="28"/>
          <w:rtl w:val="true"/>
          <w:lang w:bidi="fa-IR"/>
        </w:rPr>
        <w:t>.</w:t>
      </w:r>
    </w:p>
    <w:p>
      <w:pPr>
        <w:pStyle w:val="Heading3"/>
        <w:numPr>
          <w:ilvl w:val="2"/>
          <w:numId w:val="1"/>
        </w:numPr>
        <w:rPr/>
      </w:pPr>
      <w:bookmarkStart w:id="1009" w:name="__RefHeading___Toc7766990_2870459653"/>
      <w:bookmarkStart w:id="1010" w:name="_Toc370"/>
      <w:bookmarkEnd w:id="1009"/>
      <w:r>
        <w:rPr>
          <w:rtl w:val="true"/>
        </w:rPr>
        <w:t>فعالیت های تیب با توجه به قانون حق مولف آلمان</w:t>
      </w:r>
      <w:r>
        <w:rPr>
          <w:rtl w:val="true"/>
        </w:rPr>
        <w:t>:</w:t>
      </w:r>
      <w:bookmarkEnd w:id="1010"/>
    </w:p>
    <w:p>
      <w:pPr>
        <w:pStyle w:val="BookText"/>
        <w:rPr/>
      </w:pPr>
      <w:r>
        <w:rPr>
          <w:rFonts w:ascii="IRNazanin" w:hAnsi="IRNazanin" w:eastAsia="IRNazanin"/>
          <w:color w:val="111111"/>
          <w:sz w:val="28"/>
          <w:sz w:val="28"/>
          <w:szCs w:val="28"/>
          <w:rtl w:val="true"/>
          <w:lang w:bidi="fa-IR"/>
        </w:rPr>
        <w:t>تیب رسانه های دیداری شنیداری علمی مانند فایل های رقومی با فراداده های مربوطه اقلام واحد و یا مجموعه های بزرگ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رسانه های دیداری شنیداری جمع آوری شده توسط تیب منوط به حق مولف و یا حق همسایگی در آلمان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انفرادی فراداده ها موضوع قانون حق مولف نیست اما با توجه به اجرای دستورالعمل پایگاه داده در قانون حق مولف آلمان می توان مجموعه های بزرگ فراداده را با قانونی تحت عنوان پایگاه داده، در اتحادیه اروپا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اطلاعات به کاربران تیب از طریق پورتال آن، امکان بارگذاری رسانه ها به شیوه ای سازگار با نوع رسانه ها اساسا مستلزم حقوق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اختیار عموم قراردادن به طوری که کاربران بتوانند در یک مکان و زمان واحد به رسانه ها دسترسی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ایجاد و ارائه توزیع مشتقات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پیوست ها، اختصارات، تقسیم بندی ها، تغییر قالب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بازتولید آثار در هر نوع و تعداد موردنیاز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دارنده حق مولف باید به همه نوع کاربرد در نظر گرفته شده توسط تیب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تیب به مستثنیات قانونی و یا کاربرد منصفانه اصول حقوقی مقید باشد نیازی به انعقاد مجوزها نیست کاربرد منصفانه اصول قانونی به شکلی که در قانون حق مولف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شناخته شده است در آلمان اجرا نمی شود اما قانون حق مولف آلمان در تعدادی از موارد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حق مولف اثر را بدون رضایت نویسنده امکان پذیر می سازد برخی مستثنیات قانونی برای اهداف علمی و آموزشی وجود دارد اما متاسفانه این مستثنیات فعالیت های تیب را پوشش نمی دهند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حق مولف آلمان محدودیت کلی حق مولف نویسندگان را برای ارائه برخط اثر برای اهداف علمی و آموزشی در برنمی گیرد ارائه برخط بخش محدودی از اثر برای اهداف علمی و یا آموزشی تنها از </w:t>
      </w:r>
      <w:bookmarkStart w:id="1011" w:name="pg9653_82182"/>
    </w:p>
    <w:p>
      <w:pPr>
        <w:pStyle w:val="BookText"/>
        <w:rPr/>
      </w:pPr>
      <w:bookmarkEnd w:id="1011"/>
      <w:r>
        <w:rPr>
          <w:rFonts w:ascii="IRNazanin" w:hAnsi="IRNazanin" w:eastAsia="IRNazanin"/>
          <w:color w:val="111111"/>
          <w:sz w:val="28"/>
          <w:sz w:val="28"/>
          <w:szCs w:val="28"/>
          <w:rtl w:val="true"/>
          <w:lang w:bidi="fa-IR"/>
        </w:rPr>
        <w:t>طريق رمز عبور مانند اینترانت و یا پایانه های رایانه ای خاص در اتاق مطالعه کتابخانه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ایجاد مشتقات تنها برای اهداف داخلی مجاز ،است بنابراین تیب قادر به ارائه پیوست ها و یا سایر اشکال دیداری برخط نیست</w:t>
      </w:r>
    </w:p>
    <w:p>
      <w:pPr>
        <w:pStyle w:val="BookText"/>
        <w:rPr/>
      </w:pPr>
      <w:r>
        <w:rPr>
          <w:rFonts w:ascii="IRNazanin" w:hAnsi="IRNazanin" w:eastAsia="IRNazanin"/>
          <w:color w:val="111111"/>
          <w:sz w:val="28"/>
          <w:sz w:val="28"/>
          <w:szCs w:val="28"/>
          <w:rtl w:val="true"/>
          <w:lang w:bidi="fa-IR"/>
        </w:rPr>
        <w:t>حتی اگر تولید نسخه های رقومی اثر برای سازمانی مانند تیب به طور خاص برای اهداف آرشیوی امکان پذیر باشد امکان ندارد چنین نسخه هایی به صورت برخط ،ارائه و یا به صورت رقومی برای کاربران توزیع شود هیچ یک از مستثنیات قانونی دیگر موجود در قانون حق مولف آلمان به کاربرد مورد نظر تیب اعمال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دولت فدرال برای تجدید نظر و انطباق حق مولف با نیازهای مدرن، پیش نویس جدیدی را ارائه می دهد اطلاعات پیش نویس جدید تاکنون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موضوع مشخص نیست که آیا معیارهای جدید دسترسی آزاد به نتایج علمی را حمایت می کنند یا خیر؟ و یا مستثنیات قانونی جدید، برای حقوق انحصاری صاحبان حق مولف به نفع اهداف علمی و آموزش اتخاذ می شوند؟ و یا این که مستثنیات قانونی فعلی برای کاربرد علمی و یا آموزشی تایید می شوند یا خیر؟</w:t>
      </w:r>
    </w:p>
    <w:p>
      <w:pPr>
        <w:pStyle w:val="BookText"/>
        <w:rPr/>
      </w:pPr>
      <w:r>
        <w:rPr>
          <w:rFonts w:ascii="IRNazanin" w:hAnsi="IRNazanin" w:eastAsia="IRNazanin"/>
          <w:color w:val="111111"/>
          <w:sz w:val="28"/>
          <w:sz w:val="28"/>
          <w:szCs w:val="28"/>
          <w:rtl w:val="true"/>
          <w:lang w:bidi="fa-IR"/>
        </w:rPr>
        <w:t>حتی اگر قانون حق مولف آلمان دارای برخی مستثنیات قانونی حق مولف انحصاری سازنده و یا صاحبان حقوق باشد این حقوق قانونی به تیب اجازه نمی دهد رسانه ها را به صورت برخط و به روشی مناسب با امکانات فنی و همان طور که کاربران درخواست می کنند برای آن ها آماده و ارائه کند</w:t>
      </w:r>
      <w:r>
        <w:rPr>
          <w:rFonts w:eastAsia="IRNazanin" w:cs="IRNazanin"/>
          <w:color w:val="111111"/>
          <w:sz w:val="28"/>
          <w:szCs w:val="28"/>
          <w:rtl w:val="true"/>
          <w:lang w:bidi="fa-IR"/>
        </w:rPr>
        <w:t>.</w:t>
      </w:r>
    </w:p>
    <w:p>
      <w:pPr>
        <w:pStyle w:val="Heading3"/>
        <w:numPr>
          <w:ilvl w:val="2"/>
          <w:numId w:val="1"/>
        </w:numPr>
        <w:rPr/>
      </w:pPr>
      <w:bookmarkStart w:id="1012" w:name="__RefHeading___Toc7766992_2870459653"/>
      <w:bookmarkStart w:id="1013" w:name="_Toc371"/>
      <w:bookmarkEnd w:id="1012"/>
      <w:r>
        <w:rPr>
          <w:rtl w:val="true"/>
        </w:rPr>
        <w:t>کسب و صدور مجوز رسانه های دیداری شنیداری</w:t>
      </w:r>
      <w:bookmarkEnd w:id="1013"/>
    </w:p>
    <w:p>
      <w:pPr>
        <w:pStyle w:val="BookText"/>
        <w:rPr/>
      </w:pPr>
      <w:r>
        <w:rPr>
          <w:rFonts w:ascii="IRNazanin" w:hAnsi="IRNazanin" w:eastAsia="IRNazanin"/>
          <w:color w:val="111111"/>
          <w:sz w:val="28"/>
          <w:sz w:val="28"/>
          <w:szCs w:val="28"/>
          <w:rtl w:val="true"/>
          <w:lang w:bidi="fa-IR"/>
        </w:rPr>
        <w:t>در نتیجه، زمانی که رسانه های دیداری شنیداری که اخیرا تولید شده اند تهیه شوند تولید کنندگان فیلم و یا سایر دارندگان حقوق باید قراردادهای صدور مجوز را منعقد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اجرای واسپاری اجباری در سطح کشور به معنای داشتن هرگونه تاثیر بر ضرورت صدور مجوز برای بهره برداری از حق مولف نیست این فرایند به همین روش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شرکای قرارداد تیب می توانند دانشمندان و یا سازمان های بزرگ، سازندگان و یا صاحبان حق مولف باشند که قبلا حقوق لازم را از سوی سازندگان کسب کرده اند خوشبختانه در صورتی که سازمان بزرگ تری برای تولید فیلم مورد نیاز باشد، تیب می تواند با توجه به مقررات قانونی خاصی که برای سهولت بهره برداری از فیلم ها ارائه می شود حقوق را از یک شریک قراردادی واحد و تهیه کننده فیلم کسب 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تیب باید حقوق لازم برای حق مولف خود اثر و مجموعه فراداده ها را فراهم کند هدف، ارائه بیشترین امکان دسترسی به این رسانه ها و کسب حقوق لازم برای پردازش فنی رسانه ها و ارائه ابزار </w:t>
      </w:r>
    </w:p>
    <w:p>
      <w:pPr>
        <w:pStyle w:val="BookText"/>
        <w:rPr/>
      </w:pPr>
      <w:r>
        <w:rPr>
          <w:rFonts w:ascii="IRNazanin" w:hAnsi="IRNazanin" w:eastAsia="IRNazanin"/>
          <w:color w:val="111111"/>
          <w:sz w:val="28"/>
          <w:sz w:val="28"/>
          <w:szCs w:val="28"/>
          <w:rtl w:val="true"/>
          <w:lang w:bidi="fa-IR"/>
        </w:rPr>
        <w:t>جستجوی به روز و ارائه برخط به کاربران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تیب تلاش می کند بر اساس یکی از مجوزهای قانونی دسترسی آزاد مربوط به سازمان غیرانتفاعی برای پدیدآوران عامه، رسانه های دیداری شنیداری را فراهم نماید پدیدآوران عامه متون، مجوز استانداردی را ارائه می کنند که درک و کنترل آن با توجه به توضیح ساده متن مجوز برای کاربران بسیار آسان است این مجوزها در سطح بین المللی شناخته شده هستند و به کار می روند همچنین توزیع آزاد نتایج علمی را امکان پذیر می سازند کنترل این مجوزها در زمینه ارتباطات علمی که در حال حاضر بین المللی است و در آینده بیش از پیش بین المللی می شود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سازنده درست نامگذاری شود صاحبان حقوق از آن و در عین حال از قانون حق مولف آلمان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مجوزهای پدیدآوران عامه برای ارائه همان اندازه از حقوق که قانون حق مولف به دارنده جواز اجازه می دهد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توزیع آزاد مفاد پیوسته و یا ناپیوسته را امکان پذیر می سازند و در نتیجه این مواد را برای اهداف علمی و آموزشی در سراسر جهان قابل دسترس می سازند در صورتی که صاحب حقوق آلمانی نباشد، مهمترین قضایای صدور مجوز در اکثر کشورهای دیگر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مجوزها منوط به دعاوی حقوقی در محاکم قانونی آلمان هستند و پیش بینی می شود که باید مجوزهای معتبری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تیب گزینه انتخاب مجوز را به عهده صاحبان حقوق می گذارد، و مجازترین مجوزها را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شریک قراردادی براساس مجوز دسترسی آزاد، تمایلی به صدور مجوز رسانه های دیداری شنیداری نداشته باشد تیب مجوز نه چندان مجاز را با صاحبان حقوق منعقد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می تواند یکی از سه حالت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تیب رسانه های دیداری شنیداری و فراداده ها را دریافت می کند و کاربر می تواند بارگذاری کند اما مجددا فیلم ها را توزیع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تیب رسانه های دیداری شنیداری و فراداده ها را دریافت می کند اما ممکن است رسانه های دیداری شنیداری را تنها برای مقاصد داخلی استفاده کند و صرفا ارتباطی را برای فیلم های وبگاه صاحبان حقوق، برای کاربران فراهم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تیب صرفا داده ها را کسب می 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فراداده ها با توجه به مشارکت تیب در طرح میراث مرتبط، براساس مجوز جهانی وقف مالکیت عمومی به دست می آیند</w:t>
      </w:r>
      <w:r>
        <w:rPr>
          <w:rFonts w:eastAsia="IRNazanin" w:cs="IRNazanin"/>
          <w:color w:val="111111"/>
          <w:sz w:val="28"/>
          <w:szCs w:val="28"/>
          <w:rtl w:val="true"/>
          <w:lang w:bidi="fa-IR"/>
        </w:rPr>
        <w:t xml:space="preserve">. </w:t>
      </w:r>
      <w:bookmarkStart w:id="1014" w:name="pg9653_82184"/>
    </w:p>
    <w:p>
      <w:pPr>
        <w:pStyle w:val="Heading3"/>
        <w:numPr>
          <w:ilvl w:val="2"/>
          <w:numId w:val="1"/>
        </w:numPr>
        <w:rPr/>
      </w:pPr>
      <w:bookmarkStart w:id="1015" w:name="__RefHeading___Toc7766994_2870459653"/>
      <w:bookmarkStart w:id="1016" w:name="_Toc372"/>
      <w:bookmarkEnd w:id="1014"/>
      <w:bookmarkEnd w:id="1015"/>
      <w:r>
        <w:rPr>
          <w:rtl w:val="true"/>
        </w:rPr>
        <w:t>چالش های تیب</w:t>
      </w:r>
      <w:bookmarkEnd w:id="1016"/>
    </w:p>
    <w:p>
      <w:pPr>
        <w:pStyle w:val="BookText"/>
        <w:rPr/>
      </w:pPr>
      <w:r>
        <w:rPr>
          <w:rFonts w:ascii="IRNazanin" w:hAnsi="IRNazanin" w:eastAsia="IRNazanin"/>
          <w:color w:val="111111"/>
          <w:sz w:val="28"/>
          <w:sz w:val="28"/>
          <w:szCs w:val="28"/>
          <w:rtl w:val="true"/>
          <w:lang w:bidi="fa-IR"/>
        </w:rPr>
        <w:t>زمانی که تیب برای راه اندازی خدمات مورد بحث در محیط قانونی تلاش می کند با چالش های بسیار زیادی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متقاعد کردن سازندگان و تولید کنندگان برای امضای توافقنامه های صدور مجوز با توجه به زبان حقوقی همواره آسان نیست هرچند به طور خاص برای اطلاع رسانی برنامه های کاربردی به مجوز دهنده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تیب باید رسانه های دیداری شنیداری علمی قدیمی تر را از نهادهای دیگری که تولید کننده و یا سازنده نیستند کسب کند، وضعیت حقوقی بسیار پیچیده است اینترنت و تمام خدمات آن تا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کاربرد اینترنت برای مقاصد مدنی توسعه یافت وجود نداشت بنابراین معمولا قراردادهای قدیمی تر هیچ گونه شرایطی را در خصوص این خدمات جدید در بر نمی گیرند در مورد نحوه تفسیر قراردادهای قدیمی تر با توجه به روش های جدید استفاده در میان متخصصان حقوقی، عدم اطمینان قابل توجهی وجود دارد از آن جایی که مقررات قانون حق مولف آلمان چند بار در خصوص این سوال تغییر کرده است که چرا و چگونه روش های کاربردی ناشناخته می توانست و می تواند مجوز بگیرد این امر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معمولا باید رضایت سازندگان و یا تولید کنندگان را برای توسعه مجوزهای موجود برای ویدئو، بنا به درخواست و یا سایر خدمات اینترنتی، به طور جداگانه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اوقات جزئیات تماس فعلی سازنده و یا تولید کننده و یا جانشینان آن ها شناخته شده نیست و یا بنا به دلایل مختلف نمی توان به آن ها دست یافت از آن جایی که ثبت نام حق مولف وجود ندارد لازم است بررسی زمان بری انجام شود خوشبختانه ممکن است موضوع نحوه صدور مجوز آثار جدا افتاده به زودی حل شود و پارلمان و شورای اروپا دستورالعمل آثار بی صاحب اتحادیه اروپا را تصویب کند و به قانون آلمانی برگرداند در حال حاضر دولت فدرال آلمان پیشنهادی را برای اجرای آن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تهیه پیش نویس قرارداد با شرکای قراردادی خارج از آلمان و یا اتحادیه اروپا باید فرهنگ های حقوقی مختلف را در نظر گرفت ممکن است قوانین مختلف به مطالب دارای مجوز در آلمان و کشور شریک قراردادی، نیز اعمال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حق پایگاه داده اتحادیه اروپا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تیب باید تدابیر احتیاطی لازم را در نظر بگیرد و در صورتی که اشخاصی قانون حق مولف را نقض کردند مورد استفاده قرار گیرد بحث قابل توجهی در میان کارشناسان در مورد تعهد آرشیوهای برخط در مقابل قانون شکنی حق مولف وجود دارد که البته ارزیابی خطرات تعهد را مشکل می سازد</w:t>
      </w:r>
      <w:r>
        <w:rPr>
          <w:rFonts w:eastAsia="IRNazanin" w:cs="IRNazanin"/>
          <w:color w:val="111111"/>
          <w:sz w:val="28"/>
          <w:szCs w:val="28"/>
          <w:rtl w:val="true"/>
          <w:lang w:bidi="fa-IR"/>
        </w:rPr>
        <w:t xml:space="preserve">. </w:t>
      </w:r>
      <w:bookmarkStart w:id="1017" w:name="pg9653_82185"/>
    </w:p>
    <w:p>
      <w:pPr>
        <w:pStyle w:val="Heading3"/>
        <w:numPr>
          <w:ilvl w:val="2"/>
          <w:numId w:val="1"/>
        </w:numPr>
        <w:rPr/>
      </w:pPr>
      <w:bookmarkStart w:id="1018" w:name="__RefHeading___Toc7766996_2870459653"/>
      <w:bookmarkStart w:id="1019" w:name="_Toc373"/>
      <w:bookmarkEnd w:id="1017"/>
      <w:bookmarkEnd w:id="1018"/>
      <w:r>
        <w:rPr>
          <w:rtl w:val="true"/>
        </w:rPr>
        <w:t>نتیجه گیری ها</w:t>
      </w:r>
      <w:bookmarkEnd w:id="1019"/>
    </w:p>
    <w:p>
      <w:pPr>
        <w:pStyle w:val="BookText"/>
        <w:rPr/>
      </w:pPr>
      <w:r>
        <w:rPr>
          <w:rFonts w:ascii="IRNazanin" w:hAnsi="IRNazanin" w:eastAsia="IRNazanin"/>
          <w:color w:val="111111"/>
          <w:sz w:val="28"/>
          <w:sz w:val="28"/>
          <w:szCs w:val="28"/>
          <w:rtl w:val="true"/>
          <w:lang w:bidi="fa-IR"/>
        </w:rPr>
        <w:t>بحث ها و تلاش های قانونی اتحادیه اروپا متوجه ترویج بازار تجاری فیلم های سینمایی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 رسد ساده سازی توزیع اطلاعات علمی و همچنین فیلم های علمی مورد نظر باشد ممکن است این فرایند برای اکتساب و توزیع اکثر فیلم های علمی غیر تجاری که تیب برای کسب خدمات آن تلاش می کند اثرات جانبی منفی داشته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توسعه قانون همواره از توسعه فناوری و توسعه مدل های جدید کسب و کار آهسته تر است ارائه خدمات به روز و کاربرد مدل های جدید کسب و کار همواره دشوار است و چالش جالب توجهی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خدماتی مانند پورتال برخط تیب برای رسانه های دیداری شنیداری همواره باید با کسب حقوق لازم برای در نظر گرفتن پژوهش مدرن، بازیابی و یا ارائه رسانه ها بواسطه سازندگان و یا تولید کنندگان رسانه های دیداری شنیداری باشد و به طور مستقیم بر ابهامات حقوقی غلبه کنند</w:t>
      </w:r>
      <w:r>
        <w:rPr>
          <w:rFonts w:eastAsia="IRNazanin" w:cs="IRNazanin"/>
          <w:color w:val="111111"/>
          <w:sz w:val="28"/>
          <w:szCs w:val="28"/>
          <w:rtl w:val="true"/>
          <w:lang w:bidi="fa-IR"/>
        </w:rPr>
        <w:t xml:space="preserve">. </w:t>
      </w:r>
      <w:bookmarkStart w:id="1020" w:name="pg9653_82186"/>
    </w:p>
    <w:p>
      <w:pPr>
        <w:pStyle w:val="Heading2"/>
        <w:numPr>
          <w:ilvl w:val="1"/>
          <w:numId w:val="1"/>
        </w:numPr>
        <w:rPr/>
      </w:pPr>
      <w:bookmarkStart w:id="1021" w:name="__RefHeading___Toc7766998_2870459653"/>
      <w:bookmarkStart w:id="1022" w:name="_Toc374"/>
      <w:bookmarkEnd w:id="1020"/>
      <w:bookmarkEnd w:id="1021"/>
      <w:r>
        <w:rPr>
          <w:rtl w:val="true"/>
        </w:rPr>
        <w:t>چکیده</w:t>
      </w:r>
      <w:bookmarkEnd w:id="1022"/>
    </w:p>
    <w:p>
      <w:pPr>
        <w:pStyle w:val="BookText"/>
        <w:rPr/>
      </w:pPr>
      <w:r>
        <w:rPr>
          <w:rFonts w:ascii="IRNazanin" w:hAnsi="IRNazanin" w:eastAsia="IRNazanin"/>
          <w:color w:val="111111"/>
          <w:sz w:val="28"/>
          <w:sz w:val="28"/>
          <w:szCs w:val="28"/>
          <w:rtl w:val="true"/>
          <w:lang w:bidi="fa-IR"/>
        </w:rPr>
        <w:t>کتابخانه های مجازی در مقایسه با بافتار کتابخانه های رقومی فاقد راه حل های متن باز هستند کتابخانه های رقومی مجموعه توسعه یافته ای برای پشتیبانی از این نظام های اطلاعاتی نظیر دی اسپیس، گرین استون و فدورا دارد بنیاد پژوهشی سائوپائولو کتابخانه ای مجازی را به عنوان راه حلی برای کتابخانه های مجازی مؤسسات سرمایه گذار پژوهشی به منظور ذخیره سازی و نمایه سازی فراداده برای طرح های پژوهشی و انتشارات علمی و تخصصی خود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می تواند دسترسی جامعه به اطلاعات یافته های پژوهشی و دسترسی بدون محدودیت و آزادانه دانشگاهیان به فراداده های پژوهش های علمی و انتشارات دانشگاهی در وب و ایجاد دسترسی برای کارکنان این مؤسسات به منظور تحلیل الگوهای موضوعی در پژوهش های یک منطقه خاص و ارزیابی یافته های پژوهشی را فراهم کند کتابخانه مجازی بنیاد پژوهشی سائوپائولو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 و به طور مستمر توسط یک نرم افزار منبع باز در حال روزآمدسازی و ارتقاء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بر چارچوب مبتنی بر وب دی جانگو ایجاد شده است که به زبان پایتون با استفاده از مای اسکیوال به عنوان یک نظام مدیریت پایگاه داده رابطه ای آپاچی اس ا ال آر به عنوان سرور جستجو و سایر ماژول های پایتون دی جانگو به وسیله مجموعه های منبع باز نظیر هی استک توسعه یافته اند و به آسانی دی جانگو را به اس ا ال آر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مجازی بنیاد پژوهشی سائوپائولو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بازدید صفحه داشته است و نرم افزار آن در مرحله اشتراک گذاری با سایر مؤسسات سرمایه گذار در برزیل است که تاکنون تعدادی از آن ها ابراز کرده 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مجازی، نرم افزار متن باز، مؤسسات سرمایه گذار پژوهشی، طرح های پژوهشی، انتشارات علمی </w:t>
      </w:r>
      <w:bookmarkStart w:id="1023" w:name="pg9653_82187"/>
    </w:p>
    <w:p>
      <w:pPr>
        <w:pStyle w:val="Heading2"/>
        <w:numPr>
          <w:ilvl w:val="1"/>
          <w:numId w:val="1"/>
        </w:numPr>
        <w:rPr/>
      </w:pPr>
      <w:bookmarkStart w:id="1024" w:name="__RefHeading___Toc7767000_2870459653"/>
      <w:bookmarkStart w:id="1025" w:name="_Toc375"/>
      <w:bookmarkEnd w:id="1023"/>
      <w:bookmarkEnd w:id="1024"/>
      <w:r>
        <w:rPr>
          <w:rtl w:val="true"/>
        </w:rPr>
        <w:t>کتابخانه های مجازی در مؤسسات سرمایه گذار پژوهشی</w:t>
      </w:r>
      <w:r>
        <w:rPr>
          <w:rtl w:val="true"/>
        </w:rPr>
        <w:t xml:space="preserve">: </w:t>
      </w:r>
      <w:r>
        <w:rPr>
          <w:rtl w:val="true"/>
        </w:rPr>
        <w:t>رویکرد متن باز به اشاعه اطلاعات برای دانشگاهیان، گروه های پژوهشی و جامعه</w:t>
      </w:r>
      <w:bookmarkEnd w:id="1025"/>
    </w:p>
    <w:p>
      <w:pPr>
        <w:pStyle w:val="Heading3"/>
        <w:numPr>
          <w:ilvl w:val="2"/>
          <w:numId w:val="1"/>
        </w:numPr>
        <w:rPr/>
      </w:pPr>
      <w:bookmarkStart w:id="1026" w:name="__RefHeading___Toc7767002_2870459653"/>
      <w:bookmarkStart w:id="1027" w:name="_Toc376"/>
      <w:bookmarkEnd w:id="1026"/>
      <w:r>
        <w:rPr>
          <w:rtl w:val="true"/>
        </w:rPr>
        <w:t>اشاره</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های مجازی در مؤسسات سرمایه گذار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متن باز به اشاعه اطلاعات برای دانشگاهیان، گروه های پژوهشی و جامعه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نوشتهٔ دیه گو فریرا اوکا </w:t>
      </w:r>
      <w:r>
        <w:rPr>
          <w:rStyle w:val="FootnoteAnchor"/>
          <w:rtl w:val="true"/>
        </w:rPr>
        <w:footnoteReference w:id="1304"/>
      </w:r>
      <w:r>
        <w:rPr>
          <w:rFonts w:ascii="IRNazanin" w:hAnsi="IRNazanin" w:eastAsia="IRNazanin"/>
          <w:color w:val="111111"/>
          <w:sz w:val="28"/>
          <w:sz w:val="28"/>
          <w:szCs w:val="28"/>
          <w:rtl w:val="true"/>
          <w:lang w:bidi="fa-IR"/>
        </w:rPr>
        <w:t xml:space="preserve">گیلرمه گیاکتو موریرا </w:t>
      </w:r>
      <w:r>
        <w:rPr>
          <w:rStyle w:val="FootnoteAnchor"/>
          <w:rtl w:val="true"/>
        </w:rPr>
        <w:footnoteReference w:id="1305"/>
      </w:r>
      <w:r>
        <w:rPr>
          <w:rFonts w:ascii="Amiri" w:hAnsi="Amiri" w:eastAsia="Amiri" w:cs="Amiri"/>
          <w:color w:val="111111"/>
          <w:sz w:val="28"/>
          <w:sz w:val="28"/>
          <w:szCs w:val="28"/>
          <w:rtl w:val="true"/>
          <w:lang w:bidi="ar-SA"/>
        </w:rPr>
        <w:t xml:space="preserve">رُزالی فاوِرو کِرزیزانووسکی </w:t>
      </w:r>
      <w:r>
        <w:rPr>
          <w:rStyle w:val="FootnoteAnchor"/>
          <w:rtl w:val="true"/>
        </w:rPr>
        <w:footnoteReference w:id="1306"/>
      </w:r>
      <w:r>
        <w:rPr>
          <w:rFonts w:ascii="IRNazanin" w:hAnsi="IRNazanin" w:eastAsia="IRNazanin"/>
          <w:color w:val="111111"/>
          <w:sz w:val="28"/>
          <w:sz w:val="28"/>
          <w:szCs w:val="28"/>
          <w:rtl w:val="true"/>
          <w:lang w:bidi="fa-IR"/>
        </w:rPr>
        <w:t xml:space="preserve">اینِس ماریا دِموریس ایمپراتریز </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محبوبه قربانی </w:t>
      </w:r>
      <w:r>
        <w:rPr>
          <w:rStyle w:val="FootnoteAnchor"/>
          <w:rtl w:val="true"/>
        </w:rPr>
        <w:footnoteReference w:id="1308"/>
      </w:r>
    </w:p>
    <w:p>
      <w:pPr>
        <w:pStyle w:val="Heading3"/>
        <w:numPr>
          <w:ilvl w:val="2"/>
          <w:numId w:val="1"/>
        </w:numPr>
        <w:rPr/>
      </w:pPr>
      <w:bookmarkStart w:id="1028" w:name="__RefHeading___Toc7767004_2870459653"/>
      <w:bookmarkStart w:id="1029" w:name="_Toc377"/>
      <w:bookmarkEnd w:id="1028"/>
      <w:r>
        <w:rPr>
          <w:rtl w:val="true"/>
        </w:rPr>
        <w:t>مقدمه</w:t>
      </w:r>
      <w:bookmarkEnd w:id="1029"/>
    </w:p>
    <w:p>
      <w:pPr>
        <w:pStyle w:val="BookText"/>
        <w:rPr/>
      </w:pPr>
      <w:r>
        <w:rPr>
          <w:rFonts w:ascii="IRNazanin" w:hAnsi="IRNazanin" w:eastAsia="IRNazanin"/>
          <w:color w:val="111111"/>
          <w:sz w:val="28"/>
          <w:sz w:val="28"/>
          <w:szCs w:val="28"/>
          <w:rtl w:val="true"/>
          <w:lang w:bidi="fa-IR"/>
        </w:rPr>
        <w:t xml:space="preserve">یکی از تعاریف کتابخانه های مجازی نظام های اطلاعات وبی است که دسترسی به پایگاه های داده متمرکز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فراداده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منابعی که معمولا در شبکه ای از نظام ها پراکنده اند فراهم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مارچیوری؛ </w:t>
      </w:r>
      <w:r>
        <w:rPr>
          <w:rFonts w:eastAsia="IRNazanin" w:cs="IRNazanin"/>
          <w:color w:val="111111"/>
          <w:sz w:val="28"/>
          <w:szCs w:val="28"/>
          <w:lang w:bidi="fa-IR"/>
        </w:rPr>
        <w:t>1997</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منابع نمایه سازی و سازماندهی می شوند و به سهولت و اقتصادی در دسترس قرار می گیرند از سوی دیگر کتابخانه های رقومی مجموعه های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چاپی، دست نوشته و تصاویر باکیفیت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گردآوری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ژانگ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نظم و توانایی بازیابی اطلاعات همانند را در مقایسه با کتابخانه های مجازی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کتابخانه رقومی، یک مجموعه توسعه یافته برای حمایت از نظام های اطلاعاتی متن باز مانند دی اِسپیس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اسمیت و دیگران،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 xml:space="preserve">گرین اِستون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ویتِن و </w:t>
      </w:r>
      <w:bookmarkStart w:id="1030" w:name="pg9653_82188"/>
    </w:p>
    <w:p>
      <w:pPr>
        <w:pStyle w:val="BookText"/>
        <w:rPr/>
      </w:pPr>
      <w:bookmarkEnd w:id="1030"/>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1312"/>
      </w:r>
      <w:r>
        <w:rPr>
          <w:rFonts w:ascii="IRNazanin" w:hAnsi="IRNazanin" w:eastAsia="IRNazanin"/>
          <w:color w:val="111111"/>
          <w:sz w:val="28"/>
          <w:sz w:val="28"/>
          <w:szCs w:val="28"/>
          <w:rtl w:val="true"/>
          <w:lang w:bidi="fa-IR"/>
        </w:rPr>
        <w:t xml:space="preserve">و فدورا </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اِستَپلز، وِیلند و پییِت،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است از سوی دیگر کتابخانه های مجازی فاقد راه حل های متن بازی هستند که جدیدترین فناوری ها را در بازیابی اطلاعات، حافظه، مدیریت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راه حلی برای کتابخانه های مجازی در مؤسسات سرمایه گذار پژوهشی بنیاد پژوهشی سائوپائولو کتابخان های مجازی برای نگهداری و نمایه سازی فراداده های طرح های پژوهشی و انتشارات دانشگاهی و علمی خود، ایجاد کرده است این کتابخانه مجازی می تواند در برآوردن نیازهای جامعه مدنی برای دسترسی به اطلاعات ارجاعی یافته های پژوهشی سرمایه گذار شده و تأمین نیازهای جامعه دانشگاهی به منظور دسترس پذیری آزادانه و بدون محدودیت فراداده های تحقیقات علمی و انتشارات دانشگاهی در وب و همچنین در تحلیل الگوهای موضوعی تحقیقات علمی منطقه ای توسط کارکنان سازمان تحقیقاتی مشارکت کند و نتایج هر طرح تحقیقاتی در حال اجرا یا کامل شده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نظام کتابخانه مجازی در مرحله به اشتراک گذاری با دیگر سازمان های تحقیقاتی در برزیل است و برخی از این مؤسسات تا به حال برای این کار ابراز علاقه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بعدی به موضوعات زیر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کتابخانه های مجازی می توانند به مؤسسات تحقیقاتی به ویژه بنیاد پژوهشی سائوپائولو در رسیدن به هدف توزیع و انتشار اطلاعات علمی در جامعه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پیشنهادی کتابخانه های مجازی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آینده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از نتایج و البته پیشنهادها</w:t>
      </w:r>
    </w:p>
    <w:p>
      <w:pPr>
        <w:pStyle w:val="Heading3"/>
        <w:numPr>
          <w:ilvl w:val="2"/>
          <w:numId w:val="1"/>
        </w:numPr>
        <w:rPr/>
      </w:pPr>
      <w:bookmarkStart w:id="1031" w:name="__RefHeading___Toc7767006_2870459653"/>
      <w:bookmarkStart w:id="1032" w:name="_Toc378"/>
      <w:bookmarkEnd w:id="1031"/>
      <w:r>
        <w:rPr/>
        <w:t>2</w:t>
      </w:r>
      <w:r>
        <w:rPr>
          <w:rtl w:val="true"/>
        </w:rPr>
        <w:t xml:space="preserve">- </w:t>
      </w:r>
      <w:r>
        <w:rPr>
          <w:rtl w:val="true"/>
        </w:rPr>
        <w:t>کتابخانه های مجازی در سازمان تحقیقاتی</w:t>
      </w:r>
      <w:bookmarkEnd w:id="1032"/>
    </w:p>
    <w:p>
      <w:pPr>
        <w:pStyle w:val="Heading4"/>
        <w:numPr>
          <w:ilvl w:val="3"/>
          <w:numId w:val="1"/>
        </w:numPr>
        <w:rPr/>
      </w:pPr>
      <w:bookmarkStart w:id="1033" w:name="__RefHeading___Toc7767008_2870459653"/>
      <w:bookmarkStart w:id="1034" w:name="_Toc379"/>
      <w:bookmarkEnd w:id="1033"/>
      <w:r>
        <w:rPr>
          <w:rtl w:val="true"/>
        </w:rPr>
        <w:t>اشاره</w:t>
      </w:r>
      <w:bookmarkEnd w:id="103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اشاره شد کتابخانه های مجازی دسترسی به پایگاه داده های متمرکز منابع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مؤسسات پژوهشی، کتابخانه های مجازی، فراداده هر طرح تحقیقاتی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دانشگاهی را ذخیره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مؤسساتی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سازمان ملی علوم آمریکا و سازمان ملی علوم سوییس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قادرند برای هر طرح دارای کمک هزینه مالی، فراداده انتشاراتی را گردآوری، ذخیره و در معرض دسترسی عموم قرار دهند شیوه گردآوری این انتشارات می تواند خودکار یا دستی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1035" w:name="pg9653_82189"/>
    </w:p>
    <w:p>
      <w:pPr>
        <w:pStyle w:val="BookText"/>
        <w:rPr/>
      </w:pPr>
      <w:bookmarkEnd w:id="1035"/>
      <w:r>
        <w:rPr>
          <w:rFonts w:ascii="IRNazanin" w:hAnsi="IRNazanin" w:eastAsia="IRNazanin"/>
          <w:color w:val="111111"/>
          <w:sz w:val="28"/>
          <w:sz w:val="28"/>
          <w:szCs w:val="28"/>
          <w:rtl w:val="true"/>
          <w:lang w:bidi="fa-IR"/>
        </w:rPr>
        <w:t xml:space="preserve">مثال روش دستی شامل فهرست انتشارات علمی است که هر پژوهشگر تهیه می کند در حالی که روش خودکار نیازمند جستجوگر خزنده ای است که در انباره ها يا پایگاه های داده انتشارات علمی مورد نظر به دنبال الگوها بگردد سازمان ملی علوم سوییس این کار را به شیوه دستی انجام می دهد در حالی که بنیاد پژوهشی سائوپائولو از شیوه خودکار برای این کار استفاده می کند که در بخش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هایی که معمولاً در کتابخانه های مجازی مؤسسات پژوهشی در دسترس هستند شامل جستجوی آزاد و پیشرفته جستجو با پالایش ضبط و اصلاح نتیجه ها دانلود نتایج جستجو در قالب متنی و پیوندی برای دسترسی به جزییات نتایج هر جستجو است با توجه به موارد ذکر شده کتابخانه های مجازی مؤسسات پژوهشی ابزار قدرتمندی برای توزیع اطلاعات در شبکه جهانی اینترنت هستند که با توجه به پژوهش هر کاربر قادر خواهد بود تا دقیقاً اطلاعاتی که نیاز دارد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یکی از اهداف اصلی هر مؤسسه پژوهشی آگاهی دادن به جامعه مدنی در مورد نتایج به دست آمده ،است امکانات کتابخانه مجازی در تحقق هدف آگاهی رسانی به مردم موثر هستند</w:t>
      </w:r>
      <w:r>
        <w:rPr>
          <w:rFonts w:eastAsia="IRNazanin" w:cs="IRNazanin"/>
          <w:color w:val="111111"/>
          <w:sz w:val="28"/>
          <w:szCs w:val="28"/>
          <w:rtl w:val="true"/>
          <w:lang w:bidi="fa-IR"/>
        </w:rPr>
        <w:t>.</w:t>
      </w:r>
    </w:p>
    <w:p>
      <w:pPr>
        <w:pStyle w:val="Heading4"/>
        <w:numPr>
          <w:ilvl w:val="3"/>
          <w:numId w:val="1"/>
        </w:numPr>
        <w:rPr/>
      </w:pPr>
      <w:bookmarkStart w:id="1036" w:name="__RefHeading___Toc7767010_2870459653"/>
      <w:bookmarkStart w:id="1037" w:name="_Toc380"/>
      <w:bookmarkEnd w:id="1036"/>
      <w:r>
        <w:rPr/>
        <w:t>2-1</w:t>
      </w:r>
      <w:r>
        <w:rPr>
          <w:rtl w:val="true"/>
        </w:rPr>
        <w:t xml:space="preserve">- </w:t>
      </w:r>
      <w:r>
        <w:rPr>
          <w:rtl w:val="true"/>
        </w:rPr>
        <w:t>کتابخانه های مجازی در بنیاد پژوهشی سائوپائولو</w:t>
      </w:r>
      <w:bookmarkEnd w:id="1037"/>
    </w:p>
    <w:p>
      <w:pPr>
        <w:pStyle w:val="BookText"/>
        <w:rPr/>
      </w:pPr>
      <w:r>
        <w:rPr>
          <w:rFonts w:ascii="IRNazanin" w:hAnsi="IRNazanin" w:eastAsia="IRNazanin"/>
          <w:color w:val="111111"/>
          <w:sz w:val="28"/>
          <w:sz w:val="28"/>
          <w:szCs w:val="28"/>
          <w:rtl w:val="true"/>
          <w:lang w:bidi="fa-IR"/>
        </w:rPr>
        <w:t xml:space="preserve">کتابخانه مجازی بنیاد پژوهشی سائوپائولو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فعالیت دارد و با نرم افزارهای متن باز همواره به روزرسانی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رکورد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بازدید صفحه در سال رسید که نشان دهنده افزایش استقبال سالیانه از نرم افزار است این مؤسسه از مؤسسات پیشگام تحقیقات علمی در برزیل است که در عرصه های مختلف علمی از جمله تبادل و توسعه علم و فناوری در جامعه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 پرورش و توسعه تحقیقات علمی با اهدای بورسیه تحصیلی اعطای پژوهانه و کمک هزینه تحصیلی به پژوهشگران در سطوح علمی بالاتر و مؤسسات تحقیقاتی دیگر در ایالت سائوپائولو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کرد و طبق قانون ایالتی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ایالت به عنوان بودجه در اختیار آن قرار می گیرد در کنار تلاش برای فراهم کردن دسترسی عموم مردم به فراداده های طرح های تحقیقاتی و بورسیه ها کتابخانه مجازی سازمان در امور زیر نیز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کمک هزینه برنامه های تحقیقاتی بر اساس ملاک های جغرافیایی و تاریخی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نامزدهای دریافت بورسیه تحصیلی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المللی کردن ارزشیابی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الگو در انتشارات علمی حاصل از حمایت های مالی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این نتیجه رسیده ایم که با فراهم کردن دسترسی عمومی به فراداده های طرح های تحقیقاتی </w:t>
      </w:r>
      <w:bookmarkStart w:id="1038" w:name="pg9653_82190"/>
    </w:p>
    <w:p>
      <w:pPr>
        <w:pStyle w:val="BookText"/>
        <w:rPr/>
      </w:pPr>
      <w:bookmarkEnd w:id="1038"/>
      <w:r>
        <w:rPr>
          <w:rFonts w:ascii="IRNazanin" w:hAnsi="IRNazanin" w:eastAsia="IRNazanin"/>
          <w:color w:val="111111"/>
          <w:sz w:val="28"/>
          <w:sz w:val="28"/>
          <w:szCs w:val="28"/>
          <w:rtl w:val="true"/>
          <w:lang w:bidi="fa-IR"/>
        </w:rPr>
        <w:t xml:space="preserve">توسط کتابخانه های مجازی، در نهایت کاربران اینترنت از این اطلاعات به نحو جالبی استفاده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قسمتی از خلاصه طرح های تحقیقاتی برای پاسخ به سؤالات در تالارهای گفتگو و ابزارهای پرسش و پاسخ؛ و یا در فهرست منابع در یک مقاله ویکی پدیا یا تاریخچه مختصری از زندگی پژوهشگران</w:t>
      </w:r>
      <w:r>
        <w:rPr>
          <w:rFonts w:eastAsia="IRNazanin" w:cs="IRNazanin"/>
          <w:color w:val="111111"/>
          <w:sz w:val="28"/>
          <w:szCs w:val="28"/>
          <w:rtl w:val="true"/>
          <w:lang w:bidi="fa-IR"/>
        </w:rPr>
        <w:t>)</w:t>
      </w:r>
    </w:p>
    <w:p>
      <w:pPr>
        <w:pStyle w:val="Heading3"/>
        <w:numPr>
          <w:ilvl w:val="2"/>
          <w:numId w:val="1"/>
        </w:numPr>
        <w:rPr/>
      </w:pPr>
      <w:bookmarkStart w:id="1039" w:name="__RefHeading___Toc7767012_2870459653"/>
      <w:bookmarkStart w:id="1040" w:name="_Toc381"/>
      <w:bookmarkEnd w:id="1039"/>
      <w:r>
        <w:rPr/>
        <w:t>3</w:t>
      </w:r>
      <w:r>
        <w:rPr>
          <w:rtl w:val="true"/>
        </w:rPr>
        <w:t xml:space="preserve">- </w:t>
      </w:r>
      <w:r>
        <w:rPr>
          <w:rtl w:val="true"/>
        </w:rPr>
        <w:t>نظام کتابخانه مجازی ارائه شده</w:t>
      </w:r>
      <w:bookmarkEnd w:id="1040"/>
    </w:p>
    <w:p>
      <w:pPr>
        <w:pStyle w:val="Heading4"/>
        <w:numPr>
          <w:ilvl w:val="3"/>
          <w:numId w:val="1"/>
        </w:numPr>
        <w:rPr/>
      </w:pPr>
      <w:bookmarkStart w:id="1041" w:name="__RefHeading___Toc7767014_2870459653"/>
      <w:bookmarkStart w:id="1042" w:name="_Toc382"/>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 xml:space="preserve">نظام ارائه شده برای کتابخانه مجازی برای مشخص کردن نیازهای یک موسسه پژوهشی مخصوصاً بنیاد پژوهشی سائوپائولو توسعه یافته است ثابت شده است که استفاده از نرم افزارهای متن باز برای ساخت این ،نظام تلاش های ضروری گروه توسعه دهنده را ساده کرده است، چون آن ها می توانند نظام را عیب یابی کنند و در برخی موارد کدها را مطابق نیازشان برای هر نرم افزار متن باز تنظیم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سادگی با نرم افزارهای اختصاصی که امکان تحلیل منبع کد داخلی خودشان را فراهم نمی کنند به انجام نمی رسد</w:t>
      </w:r>
      <w:r>
        <w:rPr>
          <w:rFonts w:eastAsia="IRNazanin" w:cs="IRNazanin"/>
          <w:color w:val="111111"/>
          <w:sz w:val="28"/>
          <w:szCs w:val="28"/>
          <w:rtl w:val="true"/>
          <w:lang w:bidi="fa-IR"/>
        </w:rPr>
        <w:t>.</w:t>
      </w:r>
    </w:p>
    <w:p>
      <w:pPr>
        <w:pStyle w:val="Heading4"/>
        <w:numPr>
          <w:ilvl w:val="3"/>
          <w:numId w:val="1"/>
        </w:numPr>
        <w:rPr/>
      </w:pPr>
      <w:bookmarkStart w:id="1043" w:name="__RefHeading___Toc7767016_2870459653"/>
      <w:bookmarkStart w:id="1044" w:name="_Toc383"/>
      <w:bookmarkEnd w:id="1043"/>
      <w:r>
        <w:rPr/>
        <w:t>3-1</w:t>
      </w:r>
      <w:r>
        <w:rPr>
          <w:rtl w:val="true"/>
        </w:rPr>
        <w:t xml:space="preserve">- </w:t>
      </w:r>
      <w:r>
        <w:rPr>
          <w:rtl w:val="true"/>
        </w:rPr>
        <w:t>راه حل های اتخاذ شده اصلی برای نرم افزارهای متن باز</w:t>
      </w:r>
      <w:bookmarkEnd w:id="1044"/>
    </w:p>
    <w:p>
      <w:pPr>
        <w:pStyle w:val="BookText"/>
        <w:rPr/>
      </w:pPr>
      <w:r>
        <w:rPr>
          <w:rFonts w:ascii="IRNazanin" w:hAnsi="IRNazanin" w:eastAsia="IRNazanin"/>
          <w:color w:val="111111"/>
          <w:sz w:val="28"/>
          <w:sz w:val="28"/>
          <w:szCs w:val="28"/>
          <w:rtl w:val="true"/>
          <w:lang w:bidi="fa-IR"/>
        </w:rPr>
        <w:t xml:space="preserve">نظام ارائه شده برای کتابخانه های مجازی بر پایه چارچوب مبتنی بر وب دی جانگو </w:t>
      </w:r>
      <w:r>
        <w:rPr>
          <w:rStyle w:val="FootnoteAnchor"/>
          <w:rtl w:val="true"/>
        </w:rPr>
        <w:footnoteReference w:id="1315"/>
      </w:r>
      <w:r>
        <w:rPr>
          <w:rFonts w:ascii="IRNazanin" w:hAnsi="IRNazanin" w:eastAsia="IRNazanin"/>
          <w:color w:val="111111"/>
          <w:sz w:val="28"/>
          <w:sz w:val="28"/>
          <w:szCs w:val="28"/>
          <w:rtl w:val="true"/>
          <w:lang w:bidi="fa-IR"/>
        </w:rPr>
        <w:t>که به زبان پایتون نوشته شده است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 جانگو و پایتون هر دو، جلوگیری از اتلاف وقت برنامه نویس در کار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 جانگو دارای یک رابط کاربری خودکار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نرم افزار دی جانگو،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و پایتون هم در مقایسه با زبان های دیگر نیازمند به کد نویسی کوتاه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ارائه شده برای کتابخانه های مجازی نگهداری آسان تری برای گروه توسعه دهنده نیاز دارد و از این جنبه ویژگی مهمی محسوب می شود که نظام در طول زمان به رشد قابلیت هایش گرایش دارد و گروه همچنان قادر خواهد بود که به سرعت کار کند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 اس کیو ال </w:t>
      </w:r>
      <w:r>
        <w:rPr>
          <w:rStyle w:val="FootnoteAnchor"/>
          <w:rtl w:val="true"/>
        </w:rPr>
        <w:footnoteReference w:id="1317"/>
      </w:r>
      <w:r>
        <w:rPr>
          <w:rFonts w:ascii="IRNazanin" w:hAnsi="IRNazanin" w:eastAsia="IRNazanin"/>
          <w:color w:val="111111"/>
          <w:sz w:val="28"/>
          <w:sz w:val="28"/>
          <w:szCs w:val="28"/>
          <w:rtl w:val="true"/>
          <w:lang w:bidi="fa-IR"/>
        </w:rPr>
        <w:t xml:space="preserve">به عنوان مدیریت پایگاه داده رابطه ای که یک نرم افزار متن باز محبوب با یک اجتماع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اوراکل،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است، انتخاب شده است دی جانگو پیوستگی جدایی ناپذیری با مای اس کیو ال دارد که گسترش آن را ساده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آپاچی سول </w:t>
      </w:r>
      <w:r>
        <w:rPr>
          <w:rStyle w:val="FootnoteAnchor"/>
          <w:rtl w:val="true"/>
        </w:rPr>
        <w:footnoteReference w:id="1319"/>
      </w:r>
      <w:r>
        <w:rPr>
          <w:rFonts w:ascii="IRNazanin" w:hAnsi="IRNazanin" w:eastAsia="IRNazanin"/>
          <w:color w:val="111111"/>
          <w:sz w:val="28"/>
          <w:sz w:val="28"/>
          <w:szCs w:val="28"/>
          <w:rtl w:val="true"/>
          <w:lang w:bidi="fa-IR"/>
        </w:rPr>
        <w:t xml:space="preserve">به عنوان بستر جستجو انتخاب </w:t>
      </w:r>
      <w:bookmarkStart w:id="1045" w:name="pg9653_82191"/>
    </w:p>
    <w:p>
      <w:pPr>
        <w:pStyle w:val="BookText"/>
        <w:rPr/>
      </w:pPr>
      <w:bookmarkEnd w:id="1045"/>
      <w:r>
        <w:rPr>
          <w:rFonts w:ascii="IRNazanin" w:hAnsi="IRNazanin" w:eastAsia="IRNazanin"/>
          <w:color w:val="111111"/>
          <w:sz w:val="28"/>
          <w:sz w:val="28"/>
          <w:szCs w:val="28"/>
          <w:rtl w:val="true"/>
          <w:lang w:bidi="fa-IR"/>
        </w:rPr>
        <w:t xml:space="preserve">شد تا سرعت جستجو را افزایش دهد و ویژگی های جدیدترین فناوری بازیابی اطلاعات مانند غلط گیر املایی، جستجو با قابلیت جستجوی لغات مشابه </w:t>
      </w:r>
      <w:r>
        <w:rPr>
          <w:rStyle w:val="FootnoteAnchor"/>
          <w:rtl w:val="true"/>
        </w:rPr>
        <w:footnoteReference w:id="1320"/>
      </w:r>
      <w:r>
        <w:rPr>
          <w:rFonts w:ascii="IRNazanin" w:hAnsi="IRNazanin" w:eastAsia="IRNazanin"/>
          <w:color w:val="111111"/>
          <w:sz w:val="28"/>
          <w:sz w:val="28"/>
          <w:szCs w:val="28"/>
          <w:rtl w:val="true"/>
          <w:lang w:bidi="fa-IR"/>
        </w:rPr>
        <w:t>او حذف نتایج نامناسب را برای کاربر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یکپارچگی آپاچی سول و دی جانگو هی اِستک </w:t>
      </w:r>
      <w:r>
        <w:rPr>
          <w:rStyle w:val="FootnoteAnchor"/>
          <w:rtl w:val="true"/>
        </w:rPr>
        <w:footnoteReference w:id="1321"/>
      </w:r>
      <w:r>
        <w:rPr>
          <w:rFonts w:ascii="IRNazanin" w:hAnsi="IRNazanin" w:eastAsia="IRNazanin"/>
          <w:color w:val="111111"/>
          <w:sz w:val="28"/>
          <w:sz w:val="28"/>
          <w:szCs w:val="28"/>
          <w:rtl w:val="true"/>
          <w:lang w:bidi="fa-IR"/>
        </w:rPr>
        <w:t>برای لایه دی جانگو و پای سول برای لایه پایتون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راهی برای کاهش زمان نمایش صفحات وب به کاربر و بهینه کردن عملکرد سرور از مِمکَشد </w:t>
      </w:r>
      <w:r>
        <w:rPr>
          <w:rStyle w:val="FootnoteAnchor"/>
          <w:rtl w:val="true"/>
        </w:rPr>
        <w:footnoteReference w:id="1322"/>
      </w:r>
      <w:r>
        <w:rPr>
          <w:rFonts w:ascii="IRNazanin" w:hAnsi="IRNazanin" w:eastAsia="IRNazanin"/>
          <w:color w:val="111111"/>
          <w:sz w:val="28"/>
          <w:sz w:val="28"/>
          <w:szCs w:val="28"/>
          <w:rtl w:val="true"/>
          <w:lang w:bidi="fa-IR"/>
        </w:rPr>
        <w:t>به عنوان نرم افزار حافظه کمکی ذخیره شی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خیلی ساده با دی جانگو توسط بخش مدیریت حافظه جانبی </w:t>
      </w:r>
      <w:r>
        <w:rPr>
          <w:rStyle w:val="FootnoteAnchor"/>
          <w:rtl w:val="true"/>
        </w:rPr>
        <w:footnoteReference w:id="1323"/>
      </w:r>
      <w:r>
        <w:rPr>
          <w:rFonts w:ascii="IRNazanin" w:hAnsi="IRNazanin" w:eastAsia="IRNazanin"/>
          <w:color w:val="111111"/>
          <w:sz w:val="28"/>
          <w:sz w:val="28"/>
          <w:szCs w:val="28"/>
          <w:rtl w:val="true"/>
          <w:lang w:bidi="fa-IR"/>
        </w:rPr>
        <w:t>خود یکپارچه 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در یک سرور لینوکس با استفاده از سرور پروتکل انتقال فرامتن آپاچی و از طریق رابط درگاه وب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 اس جي آي</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توسعه داده شده است</w:t>
      </w:r>
      <w:r>
        <w:rPr>
          <w:rFonts w:eastAsia="IRNazanin" w:cs="IRNazanin"/>
          <w:color w:val="111111"/>
          <w:sz w:val="28"/>
          <w:szCs w:val="28"/>
          <w:rtl w:val="true"/>
          <w:lang w:bidi="fa-IR"/>
        </w:rPr>
        <w:t>.</w:t>
      </w:r>
    </w:p>
    <w:p>
      <w:pPr>
        <w:pStyle w:val="Heading4"/>
        <w:numPr>
          <w:ilvl w:val="3"/>
          <w:numId w:val="1"/>
        </w:numPr>
        <w:rPr/>
      </w:pPr>
      <w:bookmarkStart w:id="1046" w:name="__RefHeading___Toc7767018_2870459653"/>
      <w:bookmarkStart w:id="1047" w:name="_Toc384"/>
      <w:bookmarkEnd w:id="1046"/>
      <w:r>
        <w:rPr/>
        <w:t>3-2</w:t>
      </w:r>
      <w:r>
        <w:rPr>
          <w:rtl w:val="true"/>
        </w:rPr>
        <w:t xml:space="preserve">- </w:t>
      </w:r>
      <w:r>
        <w:rPr>
          <w:rtl w:val="true"/>
        </w:rPr>
        <w:t>معماری نظام</w:t>
      </w:r>
      <w:bookmarkEnd w:id="1047"/>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معماری نظام برای کتابخانه مجازی پیشنهادی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افزارهای داخل نمودار در بخش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نظام کتابخانه مجازی پیشنهادی </w:t>
      </w:r>
    </w:p>
    <w:p>
      <w:pPr>
        <w:pStyle w:val="BookText"/>
        <w:rPr/>
      </w:pPr>
      <w:r>
        <w:rPr>
          <w:rFonts w:ascii="IRNazanin" w:hAnsi="IRNazanin" w:eastAsia="IRNazanin"/>
          <w:color w:val="111111"/>
          <w:sz w:val="28"/>
          <w:sz w:val="28"/>
          <w:szCs w:val="28"/>
          <w:rtl w:val="true"/>
          <w:lang w:bidi="fa-IR"/>
        </w:rPr>
        <w:t xml:space="preserve">نسخه انتخاب شده هر نرم افزار سرور پروتکل انتقال فرامتن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پایتون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دی جانگو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 سول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پایگاه داده های اس کیو 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هی ایستک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تام کت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آپاچی سول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مای اس کیو 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مِمکَشد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راه حل های نرم افزاری بالا می توانند جایگزین راه حل های متن باز شوند که برای مؤسساتی که زیر ساخت نرم افزاری مناسب دارند ایده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موارد زیر می توانند جایگزین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آپاچی اچ تی تی پی سِروِر </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دبلیو اس جی </w:t>
      </w:r>
      <w:r>
        <w:rPr>
          <w:rStyle w:val="FootnoteAnchor"/>
          <w:rtl w:val="true"/>
        </w:rPr>
        <w:footnoteReference w:id="1326"/>
      </w:r>
      <w:r>
        <w:rPr>
          <w:rFonts w:ascii="IRNazanin" w:hAnsi="IRNazanin" w:eastAsia="IRNazanin"/>
          <w:color w:val="111111"/>
          <w:sz w:val="28"/>
          <w:sz w:val="28"/>
          <w:szCs w:val="28"/>
          <w:rtl w:val="true"/>
          <w:lang w:bidi="fa-IR"/>
        </w:rPr>
        <w:t xml:space="preserve">می تواند جایگزین سایر سرورهای اچ تی تی پی </w:t>
      </w:r>
      <w:r>
        <w:rPr>
          <w:rStyle w:val="FootnoteAnchor"/>
          <w:rtl w:val="true"/>
        </w:rPr>
        <w:footnoteReference w:id="1327"/>
      </w:r>
      <w:r>
        <w:rPr>
          <w:rFonts w:ascii="IRNazanin" w:hAnsi="IRNazanin" w:eastAsia="IRNazanin"/>
          <w:color w:val="111111"/>
          <w:sz w:val="28"/>
          <w:sz w:val="28"/>
          <w:szCs w:val="28"/>
          <w:rtl w:val="true"/>
          <w:lang w:bidi="fa-IR"/>
        </w:rPr>
        <w:t xml:space="preserve">و سرویس های دبلیو اس جی آی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 اس جی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گونیکوم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جينكس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 تی تی پی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 اس کیو ال می تواند جایگزین پست گری اس کیوال </w:t>
      </w:r>
      <w:r>
        <w:rPr>
          <w:rStyle w:val="FootnoteAnchor"/>
          <w:rtl w:val="true"/>
        </w:rPr>
        <w:footnoteReference w:id="1330"/>
      </w:r>
      <w:r>
        <w:rPr>
          <w:rFonts w:ascii="IRNazanin" w:hAnsi="IRNazanin" w:eastAsia="IRNazanin"/>
          <w:color w:val="111111"/>
          <w:sz w:val="28"/>
          <w:sz w:val="28"/>
          <w:szCs w:val="28"/>
          <w:rtl w:val="true"/>
          <w:lang w:bidi="fa-IR"/>
        </w:rPr>
        <w:t xml:space="preserve">یا اس کیولایت </w:t>
      </w:r>
      <w:r>
        <w:rPr>
          <w:rStyle w:val="FootnoteAnchor"/>
          <w:rtl w:val="true"/>
        </w:rPr>
        <w:footnoteReference w:id="1331"/>
      </w:r>
      <w:r>
        <w:rPr>
          <w:rFonts w:ascii="IRNazanin" w:hAnsi="IRNazanin" w:eastAsia="IRNazanin"/>
          <w:color w:val="111111"/>
          <w:sz w:val="28"/>
          <w:sz w:val="28"/>
          <w:szCs w:val="28"/>
          <w:rtl w:val="true"/>
          <w:lang w:bidi="fa-IR"/>
        </w:rPr>
        <w:t>شود زیرا دی جانگو از هر دو آن ها پشتیبانی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یک، پایگاه داده به هم پیوسته پایتون </w:t>
      </w:r>
      <w:r>
        <w:rPr>
          <w:rStyle w:val="FootnoteAnchor"/>
          <w:rtl w:val="true"/>
        </w:rPr>
        <w:footnoteReference w:id="1332"/>
      </w:r>
      <w:r>
        <w:rPr>
          <w:rFonts w:ascii="IRNazanin" w:hAnsi="IRNazanin" w:eastAsia="IRNazanin"/>
          <w:color w:val="111111"/>
          <w:sz w:val="28"/>
          <w:sz w:val="28"/>
          <w:szCs w:val="28"/>
          <w:rtl w:val="true"/>
          <w:lang w:bidi="fa-IR"/>
        </w:rPr>
        <w:t>وجود دارد که می تواند جایگزین پایگاه داده مای اس کیوال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داده به هم پیوسته برای پُست گری اس کیو ال، پُست گری اس کیو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سایکوپ جی تو </w:t>
      </w:r>
      <w:r>
        <w:rPr>
          <w:rStyle w:val="FootnoteAnchor"/>
          <w:rtl w:val="true"/>
        </w:rPr>
        <w:footnoteReference w:id="1333"/>
      </w:r>
      <w:r>
        <w:rPr>
          <w:rFonts w:ascii="IRNazanin" w:hAnsi="IRNazanin" w:eastAsia="IRNazanin"/>
          <w:color w:val="111111"/>
          <w:sz w:val="28"/>
          <w:sz w:val="28"/>
          <w:szCs w:val="28"/>
          <w:rtl w:val="true"/>
          <w:lang w:bidi="fa-IR"/>
        </w:rPr>
        <w:t xml:space="preserve">است و اس کیولایت یک پایگاه داده به هم پیوسته مجزا در پایتون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مِمکَشد که داده را در حافظه رَم ذخیره می کند می تواند با یک پایگاه داده یا نظام ذخیره فایل </w:t>
      </w:r>
      <w:r>
        <w:rPr>
          <w:rStyle w:val="FootnoteAnchor"/>
          <w:rtl w:val="true"/>
        </w:rPr>
        <w:footnoteReference w:id="1334"/>
      </w:r>
      <w:r>
        <w:rPr>
          <w:rFonts w:ascii="IRNazanin" w:hAnsi="IRNazanin" w:eastAsia="IRNazanin"/>
          <w:color w:val="111111"/>
          <w:sz w:val="28"/>
          <w:sz w:val="28"/>
          <w:szCs w:val="28"/>
          <w:rtl w:val="true"/>
          <w:lang w:bidi="fa-IR"/>
        </w:rPr>
        <w:t>جایگزین شود که هر دو در مدیریت حافظه جانبی دی جانگو قابل دسترسی اند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سول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کَت </w:t>
      </w:r>
      <w:r>
        <w:rPr>
          <w:rStyle w:val="FootnoteAnchor"/>
          <w:rtl w:val="true"/>
        </w:rPr>
        <w:footnoteReference w:id="1336"/>
      </w:r>
      <w:r>
        <w:rPr>
          <w:rFonts w:ascii="IRNazanin" w:hAnsi="IRNazanin" w:eastAsia="IRNazanin"/>
          <w:color w:val="111111"/>
          <w:sz w:val="28"/>
          <w:sz w:val="28"/>
          <w:szCs w:val="28"/>
          <w:rtl w:val="true"/>
          <w:lang w:bidi="fa-IR"/>
        </w:rPr>
        <w:t xml:space="preserve">آپاچی سول می تواند با هی استک که توسط موتورهای جستجویی نظیر الاستیک، </w:t>
      </w:r>
      <w:r>
        <w:rPr>
          <w:rStyle w:val="FootnoteAnchor"/>
          <w:rtl w:val="true"/>
        </w:rPr>
        <w:footnoteReference w:id="1337"/>
      </w:r>
      <w:r>
        <w:rPr>
          <w:rFonts w:ascii="IRNazanin" w:hAnsi="IRNazanin" w:eastAsia="IRNazanin"/>
          <w:color w:val="111111"/>
          <w:sz w:val="28"/>
          <w:sz w:val="28"/>
          <w:szCs w:val="28"/>
          <w:rtl w:val="true"/>
          <w:lang w:bidi="fa-IR"/>
        </w:rPr>
        <w:t xml:space="preserve">هوش </w:t>
      </w:r>
      <w:r>
        <w:rPr>
          <w:rStyle w:val="FootnoteAnchor"/>
          <w:rtl w:val="true"/>
        </w:rPr>
        <w:footnoteReference w:id="1338"/>
      </w:r>
      <w:r>
        <w:rPr>
          <w:rFonts w:ascii="IRNazanin" w:hAnsi="IRNazanin" w:eastAsia="IRNazanin"/>
          <w:color w:val="111111"/>
          <w:sz w:val="28"/>
          <w:sz w:val="28"/>
          <w:szCs w:val="28"/>
          <w:rtl w:val="true"/>
          <w:lang w:bidi="fa-IR"/>
        </w:rPr>
        <w:t xml:space="preserve">و ایکس ای پیانیک </w:t>
      </w:r>
      <w:r>
        <w:rPr>
          <w:rStyle w:val="FootnoteAnchor"/>
          <w:rtl w:val="true"/>
        </w:rPr>
        <w:footnoteReference w:id="1339"/>
      </w:r>
      <w:r>
        <w:rPr>
          <w:rFonts w:ascii="IRNazanin" w:hAnsi="IRNazanin" w:eastAsia="IRNazanin"/>
          <w:color w:val="111111"/>
          <w:sz w:val="28"/>
          <w:sz w:val="28"/>
          <w:szCs w:val="28"/>
          <w:rtl w:val="true"/>
          <w:lang w:bidi="fa-IR"/>
        </w:rPr>
        <w:t>پشتیبانی می شود، جایگزین شود</w:t>
      </w:r>
      <w:r>
        <w:rPr>
          <w:rFonts w:eastAsia="IRNazanin" w:cs="IRNazanin"/>
          <w:color w:val="111111"/>
          <w:sz w:val="28"/>
          <w:szCs w:val="28"/>
          <w:rtl w:val="true"/>
          <w:lang w:bidi="fa-IR"/>
        </w:rPr>
        <w:t xml:space="preserve">. </w:t>
      </w:r>
      <w:bookmarkStart w:id="1048" w:name="pg9653_82193"/>
    </w:p>
    <w:p>
      <w:pPr>
        <w:pStyle w:val="Heading4"/>
        <w:numPr>
          <w:ilvl w:val="3"/>
          <w:numId w:val="1"/>
        </w:numPr>
        <w:rPr/>
      </w:pPr>
      <w:bookmarkStart w:id="1049" w:name="__RefHeading___Toc7767020_2870459653"/>
      <w:bookmarkStart w:id="1050" w:name="_Toc385"/>
      <w:bookmarkEnd w:id="1048"/>
      <w:bookmarkEnd w:id="1049"/>
      <w:r>
        <w:rPr/>
        <w:t>3-3</w:t>
      </w:r>
      <w:r>
        <w:rPr>
          <w:rtl w:val="true"/>
        </w:rPr>
        <w:t xml:space="preserve">- </w:t>
      </w:r>
      <w:r>
        <w:rPr>
          <w:rtl w:val="true"/>
        </w:rPr>
        <w:t>ویژگی ها</w:t>
      </w:r>
      <w:bookmarkEnd w:id="1050"/>
    </w:p>
    <w:p>
      <w:pPr>
        <w:pStyle w:val="Heading5"/>
        <w:numPr>
          <w:ilvl w:val="4"/>
          <w:numId w:val="1"/>
        </w:numPr>
        <w:rPr/>
      </w:pPr>
      <w:bookmarkStart w:id="1051" w:name="__RefHeading___Toc7767022_2870459653"/>
      <w:bookmarkStart w:id="1052" w:name="_Toc386"/>
      <w:bookmarkEnd w:id="1051"/>
      <w:r>
        <w:rPr>
          <w:rtl w:val="true"/>
        </w:rPr>
        <w:t>اشاره</w:t>
      </w:r>
      <w:bookmarkEnd w:id="1052"/>
    </w:p>
    <w:p>
      <w:pPr>
        <w:pStyle w:val="BookText"/>
        <w:rPr/>
      </w:pPr>
      <w:r>
        <w:rPr>
          <w:rFonts w:ascii="IRNazanin" w:hAnsi="IRNazanin" w:eastAsia="IRNazanin"/>
          <w:color w:val="111111"/>
          <w:sz w:val="28"/>
          <w:sz w:val="28"/>
          <w:szCs w:val="28"/>
          <w:rtl w:val="true"/>
          <w:lang w:bidi="fa-IR"/>
        </w:rPr>
        <w:t xml:space="preserve">در آخرین بند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ویژگی های مشترک قابل دسترس در کتابخانه های مجازی مؤسسات سرمایه گذار پژوهشی بحث کردیم در ذیل به ویژگی های خاص قابل دسترسی در کتابخانه مجازی پیشنهادی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های متن باز توصیف شده در بخش 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ویژگی های زیر ضروری بودند</w:t>
      </w:r>
      <w:r>
        <w:rPr>
          <w:rFonts w:eastAsia="IRNazanin" w:cs="IRNazanin"/>
          <w:color w:val="111111"/>
          <w:sz w:val="28"/>
          <w:szCs w:val="28"/>
          <w:rtl w:val="true"/>
          <w:lang w:bidi="fa-IR"/>
        </w:rPr>
        <w:t>.</w:t>
      </w:r>
    </w:p>
    <w:p>
      <w:pPr>
        <w:pStyle w:val="Heading5"/>
        <w:numPr>
          <w:ilvl w:val="4"/>
          <w:numId w:val="1"/>
        </w:numPr>
        <w:rPr/>
      </w:pPr>
      <w:bookmarkStart w:id="1053" w:name="__RefHeading___Toc7767024_2870459653"/>
      <w:bookmarkStart w:id="1054" w:name="_Toc387"/>
      <w:bookmarkEnd w:id="1053"/>
      <w:r>
        <w:rPr>
          <w:rtl w:val="true"/>
        </w:rPr>
        <w:t>الف</w:t>
      </w:r>
      <w:r>
        <w:rPr>
          <w:rtl w:val="true"/>
        </w:rPr>
        <w:t xml:space="preserve">. </w:t>
      </w:r>
      <w:r>
        <w:rPr>
          <w:rtl w:val="true"/>
        </w:rPr>
        <w:t>گردآوری انتشارات علمی</w:t>
      </w:r>
      <w:bookmarkEnd w:id="1054"/>
    </w:p>
    <w:p>
      <w:pPr>
        <w:pStyle w:val="BookText"/>
        <w:rPr/>
      </w:pPr>
      <w:r>
        <w:rPr>
          <w:rFonts w:ascii="IRNazanin" w:hAnsi="IRNazanin" w:eastAsia="IRNazanin"/>
          <w:color w:val="111111"/>
          <w:sz w:val="28"/>
          <w:sz w:val="28"/>
          <w:szCs w:val="28"/>
          <w:rtl w:val="true"/>
          <w:lang w:bidi="fa-IR"/>
        </w:rPr>
        <w:t xml:space="preserve">ما نظام خودکاری را توسعه داده ایم که انتشارات علمی حمایت شده توسط بنیاد پژوهشی سائوپائولو و موجود در شبکه علوم </w:t>
      </w:r>
      <w:r>
        <w:rPr>
          <w:rStyle w:val="FootnoteAnchor"/>
          <w:rtl w:val="true"/>
        </w:rPr>
        <w:footnoteReference w:id="1340"/>
      </w:r>
      <w:r>
        <w:rPr>
          <w:rFonts w:ascii="IRNazanin" w:hAnsi="IRNazanin" w:eastAsia="IRNazanin"/>
          <w:color w:val="111111"/>
          <w:sz w:val="28"/>
          <w:sz w:val="28"/>
          <w:szCs w:val="28"/>
          <w:rtl w:val="true"/>
          <w:lang w:bidi="fa-IR"/>
        </w:rPr>
        <w:t>را گردآوری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همان طور که در ادامه توضیح داده شده است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اول از شبکه علوم در مورد ورودی های سازمان سؤال می کند مواردی که توسط پدیدآوران در آثارشان تأیید شده است در بخش مجزایی به نام سازمان قرار می گیرند برای هر دسته از نتایج یک فایل با قالب بیب تکست </w:t>
      </w:r>
      <w:r>
        <w:rPr>
          <w:rStyle w:val="FootnoteAnchor"/>
          <w:rtl w:val="true"/>
        </w:rPr>
        <w:footnoteReference w:id="1341"/>
      </w:r>
      <w:r>
        <w:rPr>
          <w:rFonts w:ascii="IRNazanin" w:hAnsi="IRNazanin" w:eastAsia="IRNazanin"/>
          <w:color w:val="111111"/>
          <w:sz w:val="28"/>
          <w:sz w:val="28"/>
          <w:szCs w:val="28"/>
          <w:rtl w:val="true"/>
          <w:lang w:bidi="fa-IR"/>
        </w:rPr>
        <w:t>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نظام، فایل های بیب تکست را تجزیه می کند و اگر هنوز در کتابخانه مجازی در دسترس نباشند فراداده را وارد پایگاه داده کتابخانه مجازی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 فرادادهای مهم در این فرایند شماره کمک هزینه است که رابطه بین کمک هزینه تحصیلی و انتشارات علمی را برقرار می کند؛ یعنی امکان این که انتشارات علمی به عنوان نتیجه یک کمک هزینه خاص به حساب آورده شود را میسر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یکی از فرآیندهای کلیدی در کتابخانه مجازی یک موسسه پژوهشی است زیرا قادر خواهد بود که نتایج به دست آمده از هر کمک هزینه تحصیلی را در معرض دید جامعه مدنی و دانشگاهی قرار دهد</w:t>
      </w:r>
      <w:r>
        <w:rPr>
          <w:rFonts w:eastAsia="IRNazanin" w:cs="IRNazanin"/>
          <w:color w:val="111111"/>
          <w:sz w:val="28"/>
          <w:szCs w:val="28"/>
          <w:rtl w:val="true"/>
          <w:lang w:bidi="fa-IR"/>
        </w:rPr>
        <w:t>.</w:t>
      </w:r>
    </w:p>
    <w:p>
      <w:pPr>
        <w:pStyle w:val="Heading5"/>
        <w:numPr>
          <w:ilvl w:val="4"/>
          <w:numId w:val="1"/>
        </w:numPr>
        <w:rPr/>
      </w:pPr>
      <w:bookmarkStart w:id="1055" w:name="__RefHeading___Toc7767026_2870459653"/>
      <w:bookmarkStart w:id="1056" w:name="_Toc388"/>
      <w:bookmarkEnd w:id="1055"/>
      <w:r>
        <w:rPr>
          <w:rtl w:val="true"/>
        </w:rPr>
        <w:t>ب</w:t>
      </w:r>
      <w:r>
        <w:rPr>
          <w:rtl w:val="true"/>
        </w:rPr>
        <w:t xml:space="preserve">. </w:t>
      </w:r>
      <w:r>
        <w:rPr>
          <w:rtl w:val="true"/>
        </w:rPr>
        <w:t>گردآوری برنامه درسی پژوهشگران</w:t>
      </w:r>
      <w:bookmarkEnd w:id="1056"/>
    </w:p>
    <w:p>
      <w:pPr>
        <w:pStyle w:val="BookText"/>
        <w:rPr/>
      </w:pPr>
      <w:r>
        <w:rPr>
          <w:rFonts w:ascii="IRNazanin" w:hAnsi="IRNazanin" w:eastAsia="IRNazanin"/>
          <w:color w:val="111111"/>
          <w:sz w:val="28"/>
          <w:sz w:val="28"/>
          <w:szCs w:val="28"/>
          <w:rtl w:val="true"/>
          <w:lang w:bidi="fa-IR"/>
        </w:rPr>
        <w:t xml:space="preserve">بیشتر مؤسسات پژوهشی برزیل راه حل موسسه سرمایه گذار فدرال را برای ثبت رزومه تحت وب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پلاتفورما لتز</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اتخاذ کرده اند که از پژوهشگران خواسته می شود در آن ثبت نام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فراهم کردن اطلاعات بیشتر درباره هر پژوهشگر کتابخانه مجازی پیوندی به رزومه آن ها نشان می دهد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این کار نظام خودکاری توسعه داده شد که رزومه را برای پیوند هر پژوهشگر درخواست </w:t>
      </w:r>
      <w:bookmarkStart w:id="1057" w:name="pg9653_82194"/>
    </w:p>
    <w:p>
      <w:pPr>
        <w:pStyle w:val="BookText"/>
        <w:rPr/>
      </w:pPr>
      <w:bookmarkEnd w:id="1057"/>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پیوندهای گردآوری شده در صفحه اینترنت هر پژوهش در کتابخانه نمایش داده می شوند</w:t>
      </w:r>
      <w:r>
        <w:rPr>
          <w:rFonts w:eastAsia="IRNazanin" w:cs="IRNazanin"/>
          <w:color w:val="111111"/>
          <w:sz w:val="28"/>
          <w:szCs w:val="28"/>
          <w:rtl w:val="true"/>
          <w:lang w:bidi="fa-IR"/>
        </w:rPr>
        <w:t>.</w:t>
      </w:r>
    </w:p>
    <w:p>
      <w:pPr>
        <w:pStyle w:val="Heading5"/>
        <w:numPr>
          <w:ilvl w:val="4"/>
          <w:numId w:val="1"/>
        </w:numPr>
        <w:rPr/>
      </w:pPr>
      <w:bookmarkStart w:id="1058" w:name="__RefHeading___Toc7767028_2870459653"/>
      <w:bookmarkStart w:id="1059" w:name="_Toc389"/>
      <w:bookmarkEnd w:id="1058"/>
      <w:r>
        <w:rPr>
          <w:rtl w:val="true"/>
        </w:rPr>
        <w:t>ج</w:t>
      </w:r>
      <w:r>
        <w:rPr>
          <w:rtl w:val="true"/>
        </w:rPr>
        <w:t xml:space="preserve">. </w:t>
      </w:r>
      <w:r>
        <w:rPr>
          <w:rtl w:val="true"/>
        </w:rPr>
        <w:t>صفحات اختصاصی برای فیلدهای خاص فراداده</w:t>
      </w:r>
      <w:bookmarkEnd w:id="1059"/>
    </w:p>
    <w:p>
      <w:pPr>
        <w:pStyle w:val="BookText"/>
        <w:rPr/>
      </w:pPr>
      <w:r>
        <w:rPr>
          <w:rFonts w:ascii="IRNazanin" w:hAnsi="IRNazanin" w:eastAsia="IRNazanin"/>
          <w:color w:val="111111"/>
          <w:sz w:val="28"/>
          <w:sz w:val="28"/>
          <w:szCs w:val="28"/>
          <w:rtl w:val="true"/>
          <w:lang w:bidi="fa-IR"/>
        </w:rPr>
        <w:t>در اولین نسخه کتابخانه مجازی پیشنهادی، نتایج جستجوی کلمات کلیدی که نشانگر نام پژوهشگر بودند، اطلاعات کمک هزینه های تحصیلی یا موضوع پژوهش ها به عنوان نتایج استاندارد جستجو به کاربر نشان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فیلدهای خاص فراداده صفحات اختصاصی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صفحات محتوای قابل دسترس در کتابخانه مجازی را به نحو قابل فهمتری نسبت به یک فهرست از نتایج جستجو خلاصه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ثابت شده است که این راه حل روش خوبی برای بهبود دسترسی به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صفحات اختصاصی پژوهشگران تا الآن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دسترسی ها را شامل می شوند برای مثال صفحات پژوهشگران شامل رزومه کوتاه پژوهشگر عکس پژوهشگر، فهرست طرح هایی که پژوهشگر در آن ها شرکت داشته فهرست مهمترین همکارانش در طرح ها و پیوندهایی به پایگاه پژوهشگران تامسون رویترز </w:t>
      </w:r>
      <w:r>
        <w:rPr>
          <w:rStyle w:val="FootnoteAnchor"/>
          <w:rtl w:val="true"/>
        </w:rPr>
        <w:footnoteReference w:id="1343"/>
      </w:r>
      <w:r>
        <w:rPr>
          <w:rFonts w:ascii="IRNazanin" w:hAnsi="IRNazanin" w:eastAsia="IRNazanin"/>
          <w:color w:val="111111"/>
          <w:sz w:val="28"/>
          <w:sz w:val="28"/>
          <w:szCs w:val="28"/>
          <w:rtl w:val="true"/>
          <w:lang w:bidi="fa-IR"/>
        </w:rPr>
        <w:t xml:space="preserve">و گوگل مای سایتیشن </w:t>
      </w:r>
      <w:r>
        <w:rPr>
          <w:rStyle w:val="FootnoteAnchor"/>
          <w:rtl w:val="true"/>
        </w:rPr>
        <w:footnoteReference w:id="13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60" w:name="__RefHeading___Toc7767030_2870459653"/>
      <w:bookmarkStart w:id="1061" w:name="_Toc390"/>
      <w:bookmarkEnd w:id="1060"/>
      <w:r>
        <w:rPr>
          <w:rtl w:val="true"/>
        </w:rPr>
        <w:t>د</w:t>
      </w:r>
      <w:r>
        <w:rPr>
          <w:rtl w:val="true"/>
        </w:rPr>
        <w:t xml:space="preserve">. </w:t>
      </w:r>
      <w:r>
        <w:rPr>
          <w:rtl w:val="true"/>
        </w:rPr>
        <w:t>نقشه توزیع کمک هزینه در هر شهر ایالت سائوپائولو</w:t>
      </w:r>
      <w:bookmarkEnd w:id="1061"/>
    </w:p>
    <w:p>
      <w:pPr>
        <w:pStyle w:val="BookText"/>
        <w:rPr/>
      </w:pPr>
      <w:r>
        <w:rPr>
          <w:rFonts w:ascii="IRNazanin" w:hAnsi="IRNazanin" w:eastAsia="IRNazanin"/>
          <w:color w:val="111111"/>
          <w:sz w:val="28"/>
          <w:sz w:val="28"/>
          <w:szCs w:val="28"/>
          <w:rtl w:val="true"/>
          <w:lang w:bidi="fa-IR"/>
        </w:rPr>
        <w:t xml:space="preserve">در هر صفحه اختصاصی برای فیلدهای خاص فراداده، همان طور که 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یک نقشه نشان داده می شود که ایالت سائوپائولو را با تعیین تمرکز کمک هزینه ها در مقیاس شهری نشان می دهد این ویژگی از گوگل مپ </w:t>
      </w:r>
      <w:r>
        <w:rPr>
          <w:rStyle w:val="FootnoteAnchor"/>
          <w:rtl w:val="true"/>
        </w:rPr>
        <w:footnoteReference w:id="1345"/>
      </w:r>
      <w:r>
        <w:rPr>
          <w:rFonts w:ascii="IRNazanin" w:hAnsi="IRNazanin" w:eastAsia="IRNazanin"/>
          <w:color w:val="111111"/>
          <w:sz w:val="28"/>
          <w:sz w:val="28"/>
          <w:szCs w:val="28"/>
          <w:rtl w:val="true"/>
          <w:lang w:bidi="fa-IR"/>
        </w:rPr>
        <w:t>برای ارائه نقشه استفاده می کند و در یک فرآیند خودکار غیر برخط طول و عرض جغرافیایی را برای هر موسسه پژوهشی که کمک هزینه می دهد گردآوری می کند این نقشه تنها با دادن طول و عرض جغرافیایی و مقدار کمک هزینه تحصیلی برای هر منطقه از جهان قابل استفاده است</w:t>
      </w:r>
      <w:r>
        <w:rPr>
          <w:rFonts w:eastAsia="IRNazanin" w:cs="IRNazanin"/>
          <w:color w:val="111111"/>
          <w:sz w:val="28"/>
          <w:szCs w:val="28"/>
          <w:rtl w:val="true"/>
          <w:lang w:bidi="fa-IR"/>
        </w:rPr>
        <w:t>.</w:t>
      </w:r>
    </w:p>
    <w:p>
      <w:pPr>
        <w:pStyle w:val="Heading5"/>
        <w:numPr>
          <w:ilvl w:val="4"/>
          <w:numId w:val="1"/>
        </w:numPr>
        <w:rPr/>
      </w:pPr>
      <w:bookmarkStart w:id="1062" w:name="__RefHeading___Toc7767032_2870459653"/>
      <w:bookmarkStart w:id="1063" w:name="_Toc391"/>
      <w:bookmarkEnd w:id="1062"/>
      <w:r>
        <w:rPr>
          <w:rtl w:val="true"/>
        </w:rPr>
        <w:t>ه</w:t>
      </w:r>
      <w:r>
        <w:rPr>
          <w:rtl w:val="true"/>
        </w:rPr>
        <w:t xml:space="preserve">. </w:t>
      </w:r>
      <w:r>
        <w:rPr>
          <w:rtl w:val="true"/>
        </w:rPr>
        <w:t>نگاه تاریخی به واگذاری کمک هزینه تحصیلی در طول زمان</w:t>
      </w:r>
      <w:bookmarkEnd w:id="106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یک نمودار پویا است که تعداد بورسیه های اعطا شده در سال را نشان می دهد و توسط گوگل چارت </w:t>
      </w:r>
      <w:r>
        <w:rPr>
          <w:rStyle w:val="FootnoteAnchor"/>
          <w:rtl w:val="true"/>
        </w:rPr>
        <w:footnoteReference w:id="1346"/>
      </w:r>
      <w:r>
        <w:rPr>
          <w:rFonts w:ascii="IRNazanin" w:hAnsi="IRNazanin" w:eastAsia="IRNazanin"/>
          <w:color w:val="111111"/>
          <w:sz w:val="28"/>
          <w:sz w:val="28"/>
          <w:szCs w:val="28"/>
          <w:rtl w:val="true"/>
          <w:lang w:bidi="fa-IR"/>
        </w:rPr>
        <w:t>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درک الگوهای تاریخی به ویژه برنامه های ویژه یا موضوعات تخصصی پژوهش در ارزیابی را ساده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ارزیابی، سنجش تکامل یا توصیف در مقطعی تاریخی است</w:t>
      </w:r>
      <w:r>
        <w:rPr>
          <w:rFonts w:eastAsia="IRNazanin" w:cs="IRNazanin"/>
          <w:color w:val="111111"/>
          <w:sz w:val="28"/>
          <w:szCs w:val="28"/>
          <w:rtl w:val="true"/>
          <w:lang w:bidi="fa-IR"/>
        </w:rPr>
        <w:t xml:space="preserve">. </w:t>
      </w:r>
      <w:bookmarkStart w:id="1064" w:name="pg9653_82195"/>
    </w:p>
    <w:p>
      <w:pPr>
        <w:pStyle w:val="Heading5"/>
        <w:numPr>
          <w:ilvl w:val="4"/>
          <w:numId w:val="1"/>
        </w:numPr>
        <w:rPr/>
      </w:pPr>
      <w:bookmarkStart w:id="1065" w:name="__RefHeading___Toc7767034_2870459653"/>
      <w:bookmarkStart w:id="1066" w:name="_Toc392"/>
      <w:bookmarkEnd w:id="1064"/>
      <w:bookmarkEnd w:id="1065"/>
      <w:r>
        <w:rPr>
          <w:rtl w:val="true"/>
        </w:rPr>
        <w:t>و</w:t>
      </w:r>
      <w:r>
        <w:rPr>
          <w:rtl w:val="true"/>
        </w:rPr>
        <w:t xml:space="preserve">. </w:t>
      </w:r>
      <w:r>
        <w:rPr>
          <w:rtl w:val="true"/>
        </w:rPr>
        <w:t>افزایش شفافیت موتورهای جستجو</w:t>
      </w:r>
      <w:bookmarkEnd w:id="1066"/>
    </w:p>
    <w:p>
      <w:pPr>
        <w:pStyle w:val="BookText"/>
        <w:rPr/>
      </w:pPr>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بهینه سازی در موتورهای جستجوی تمام صفحات کتابخانه مجازی پیشنهادی معرفی شد این بهینه سازی روشی به نام بهینه سازی موتور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w:t>
      </w:r>
      <w:r>
        <w:rPr>
          <w:rFonts w:eastAsia="IRNazanin" w:cs="IRNazanin"/>
          <w:color w:val="111111"/>
          <w:sz w:val="28"/>
          <w:szCs w:val="28"/>
          <w:rtl w:val="true"/>
          <w:lang w:bidi="fa-IR"/>
        </w:rPr>
        <w:t xml:space="preserve">) </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گراپون و کازین،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348"/>
      </w:r>
      <w:r>
        <w:rPr>
          <w:rFonts w:ascii="IRNazanin" w:hAnsi="IRNazanin" w:eastAsia="IRNazanin"/>
          <w:color w:val="111111"/>
          <w:sz w:val="28"/>
          <w:sz w:val="28"/>
          <w:szCs w:val="28"/>
          <w:rtl w:val="true"/>
          <w:lang w:bidi="fa-IR"/>
        </w:rPr>
        <w:t>است که بر فهرست بهتر صفحات وب توسط خزنده های مورتورهای جستجو تمرکز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بهینه سازی شفافیت کتابخانه مجازی را افزایش داد میزان دسترسی بین سال های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سال های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افزایش خیره کننده ای در اعداد ثبت شد</w:t>
      </w:r>
      <w:r>
        <w:rPr>
          <w:rFonts w:eastAsia="IRNazanin" w:cs="IRNazanin"/>
          <w:color w:val="111111"/>
          <w:sz w:val="28"/>
          <w:szCs w:val="28"/>
          <w:rtl w:val="true"/>
          <w:lang w:bidi="fa-IR"/>
        </w:rPr>
        <w:t>.</w:t>
      </w:r>
    </w:p>
    <w:p>
      <w:pPr>
        <w:pStyle w:val="Heading5"/>
        <w:numPr>
          <w:ilvl w:val="4"/>
          <w:numId w:val="1"/>
        </w:numPr>
        <w:rPr/>
      </w:pPr>
      <w:bookmarkStart w:id="1067" w:name="__RefHeading___Toc7767036_2870459653"/>
      <w:bookmarkStart w:id="1068" w:name="_Toc393"/>
      <w:bookmarkEnd w:id="1067"/>
      <w:r>
        <w:rPr>
          <w:rtl w:val="true"/>
        </w:rPr>
        <w:t>ز</w:t>
      </w:r>
      <w:r>
        <w:rPr>
          <w:rtl w:val="true"/>
        </w:rPr>
        <w:t xml:space="preserve">. </w:t>
      </w:r>
      <w:r>
        <w:rPr>
          <w:rtl w:val="true"/>
        </w:rPr>
        <w:t>بین المللی کردن</w:t>
      </w:r>
      <w:bookmarkEnd w:id="1068"/>
    </w:p>
    <w:p>
      <w:pPr>
        <w:pStyle w:val="BookText"/>
        <w:rPr/>
      </w:pPr>
      <w:r>
        <w:rPr>
          <w:rFonts w:ascii="IRNazanin" w:hAnsi="IRNazanin" w:eastAsia="IRNazanin"/>
          <w:color w:val="111111"/>
          <w:sz w:val="28"/>
          <w:sz w:val="28"/>
          <w:szCs w:val="28"/>
          <w:rtl w:val="true"/>
          <w:lang w:bidi="fa-IR"/>
        </w:rPr>
        <w:t>به عنوان ویژگی اصلی توزیع اطلاعات بین گروه بزرگتری از کاربران در اینترنت نظام پیشنهادی کتابخانه مجازی قادر است که اطلاعات فراداده ای را در زبان های مختلف منتقل کند در سازمان تحقیقات سائوپائولو از زبان های پرتغالی برزیلی و انگلیسی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لاینفک پشتیبانی شده توسط دی جانگو، فرایند بین المللی کردن است که کار ترجمه را ساده می کند تمام رشته هایی که به طور صریح مشخص شده اند تا ترجمه شوند در یک فایل بی همتا به صورت الفبایی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خواهند شد تا توسط گروه مترجمین ترجمه شوند بعد از ترجمه، گروه توسعه دهنده باید فایل ها را گردآوری کند تا دی جانگو برای جایگزین کردن خودکار رشته های مشخص شده در هر صفحه وب فعال شود</w:t>
      </w:r>
      <w:r>
        <w:rPr>
          <w:rFonts w:eastAsia="IRNazanin" w:cs="IRNazanin"/>
          <w:color w:val="111111"/>
          <w:sz w:val="28"/>
          <w:szCs w:val="28"/>
          <w:rtl w:val="true"/>
          <w:lang w:bidi="fa-IR"/>
        </w:rPr>
        <w:t>.</w:t>
      </w:r>
    </w:p>
    <w:p>
      <w:pPr>
        <w:pStyle w:val="Heading5"/>
        <w:numPr>
          <w:ilvl w:val="4"/>
          <w:numId w:val="1"/>
        </w:numPr>
        <w:rPr/>
      </w:pPr>
      <w:bookmarkStart w:id="1069" w:name="__RefHeading___Toc7767038_2870459653"/>
      <w:bookmarkStart w:id="1070" w:name="_Toc394"/>
      <w:bookmarkEnd w:id="1069"/>
      <w:r>
        <w:rPr>
          <w:rtl w:val="true"/>
        </w:rPr>
        <w:t>ح</w:t>
      </w:r>
      <w:r>
        <w:rPr>
          <w:rtl w:val="true"/>
        </w:rPr>
        <w:t xml:space="preserve">. </w:t>
      </w:r>
      <w:r>
        <w:rPr>
          <w:rtl w:val="true"/>
        </w:rPr>
        <w:t>قابلیت دسترسی آمارهای دسترسی به صفحات کمک هزینه تحصیلی برای کارمندان مؤسسه پژوهشی</w:t>
      </w:r>
      <w:bookmarkEnd w:id="1070"/>
    </w:p>
    <w:p>
      <w:pPr>
        <w:pStyle w:val="BookText"/>
        <w:rPr/>
      </w:pPr>
      <w:r>
        <w:rPr>
          <w:rFonts w:ascii="IRNazanin" w:hAnsi="IRNazanin" w:eastAsia="IRNazanin"/>
          <w:color w:val="111111"/>
          <w:sz w:val="28"/>
          <w:sz w:val="28"/>
          <w:szCs w:val="28"/>
          <w:rtl w:val="true"/>
          <w:lang w:bidi="fa-IR"/>
        </w:rPr>
        <w:t>کارمندان مؤسسه پژوهشی توسط کتابخانه مجازی قادر به ارزیابی آمار هر کمک هزینه در دسترس اند این ویژگی با تحلیلگر گوگل برای گردآوری اطلاعات آماری صفحات وب کمک هزینه تکمیل شده و توسط گوگل چارت با نمودارهای پویا نمایش داده می شود این ویژگی برای ارزیابی روند کار هر صفحه در دسترسی ساده به اطلاعات برای کارمندان مؤسسه پژوهشی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نیاز به آموزش ابزارهای تحلیل وب به کارمندان از بین می رود</w:t>
      </w:r>
    </w:p>
    <w:p>
      <w:pPr>
        <w:pStyle w:val="Heading5"/>
        <w:numPr>
          <w:ilvl w:val="4"/>
          <w:numId w:val="1"/>
        </w:numPr>
        <w:rPr/>
      </w:pPr>
      <w:bookmarkStart w:id="1071" w:name="__RefHeading___Toc7767040_2870459653"/>
      <w:bookmarkStart w:id="1072" w:name="_Toc395"/>
      <w:bookmarkEnd w:id="1071"/>
      <w:r>
        <w:rPr>
          <w:rtl w:val="true"/>
        </w:rPr>
        <w:t>و</w:t>
      </w:r>
      <w:r>
        <w:rPr>
          <w:rtl w:val="true"/>
        </w:rPr>
        <w:t xml:space="preserve">. </w:t>
      </w:r>
      <w:r>
        <w:rPr>
          <w:rtl w:val="true"/>
        </w:rPr>
        <w:t>حوزه اختیارات کارمندان کتابخانه مجازی برای ایجاد، ویرایش و حذف محتوا</w:t>
      </w:r>
      <w:bookmarkEnd w:id="107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کتابداران با اختیارات اداری خود پس از تأیید اعتبار از طریق ورود در صفحه، قادر به ایجاد ویرایش </w:t>
      </w:r>
      <w:bookmarkStart w:id="1073" w:name="pg9653_82196"/>
    </w:p>
    <w:p>
      <w:pPr>
        <w:pStyle w:val="BookText"/>
        <w:rPr/>
      </w:pPr>
      <w:bookmarkEnd w:id="1073"/>
      <w:r>
        <w:rPr>
          <w:rFonts w:ascii="IRNazanin" w:hAnsi="IRNazanin" w:eastAsia="IRNazanin"/>
          <w:color w:val="111111"/>
          <w:sz w:val="28"/>
          <w:sz w:val="28"/>
          <w:szCs w:val="28"/>
          <w:rtl w:val="true"/>
          <w:lang w:bidi="fa-IR"/>
        </w:rPr>
        <w:t>حذف محتوا از کتابخانه مجازی هستند این حوزه مدیریتی با ویژگی های دی جانگو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جانگو با نمونه سازی از نظام قادر است رابط کاربری خودکاری برای راهبر ایجاد کند این امکان توسعه دهندگان را قادر می سازد تا رابط کاربری راهبر را مطابق نیاز خودشان بر مبنای طرح شخصی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ذاتی، به دلیل حذف ضرورت کدنویسی بخش مهمی از محدوده کاربری راهبر، باعث صرفه جویی قابل توجهی در وقت توسعه دهندگان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از ویژگی های ایجاد شده برای کتابخانه مجازی ارائه گزارش کتابداران است که قادر است فعالیت های روزانه کتابداران را ارزیابی کند و به دلیل این که ثبت روزانه فعالیت ها توسط کتابداران انجام نمی شود باعث صرفه جویی در وقت آن ها نیز می شود</w:t>
      </w:r>
      <w:r>
        <w:rPr>
          <w:rFonts w:eastAsia="IRNazanin" w:cs="IRNazanin"/>
          <w:color w:val="111111"/>
          <w:sz w:val="28"/>
          <w:szCs w:val="28"/>
          <w:rtl w:val="true"/>
          <w:lang w:bidi="fa-IR"/>
        </w:rPr>
        <w:t>.</w:t>
      </w:r>
    </w:p>
    <w:p>
      <w:pPr>
        <w:pStyle w:val="Heading5"/>
        <w:numPr>
          <w:ilvl w:val="4"/>
          <w:numId w:val="1"/>
        </w:numPr>
        <w:rPr/>
      </w:pPr>
      <w:bookmarkStart w:id="1074" w:name="__RefHeading___Toc7767042_2870459653"/>
      <w:bookmarkStart w:id="1075" w:name="_Toc396"/>
      <w:bookmarkEnd w:id="1074"/>
      <w:r>
        <w:rPr>
          <w:rtl w:val="true"/>
        </w:rPr>
        <w:t>ز</w:t>
      </w:r>
      <w:r>
        <w:rPr>
          <w:rtl w:val="true"/>
        </w:rPr>
        <w:t xml:space="preserve">. </w:t>
      </w:r>
      <w:r>
        <w:rPr>
          <w:rtl w:val="true"/>
        </w:rPr>
        <w:t>فرستادن نامه های الکترونیکی هشداردهنده به مشترکین</w:t>
      </w:r>
      <w:bookmarkEnd w:id="1075"/>
    </w:p>
    <w:p>
      <w:pPr>
        <w:pStyle w:val="BookText"/>
        <w:rPr/>
      </w:pPr>
      <w:r>
        <w:rPr>
          <w:rFonts w:ascii="IRNazanin" w:hAnsi="IRNazanin" w:eastAsia="IRNazanin"/>
          <w:color w:val="111111"/>
          <w:sz w:val="28"/>
          <w:sz w:val="28"/>
          <w:szCs w:val="28"/>
          <w:rtl w:val="true"/>
          <w:lang w:bidi="fa-IR"/>
        </w:rPr>
        <w:t>در هر بار نمایش نتیجه جستجو کاربر می تواند نشانی پست الکترونیکی خود را وارد کند تا آخرین اطلاعات ورودی در آینده برای او ارسال شود نتایج جدید تنها در صورتی که با جستجوی کاربر مطابقت داشته باشند برای او ارسال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کاربر با گذاشتن نشانی پست الکترونیکی در رابط کاربری ابراز علاقه به دریافت اطلاعات در زمینه ای خاص می کند نظام این اطلاعات را همراه کلمات کلیدی وارد شده توسط کاربر با فیلترهای انتخاب شده ثبت می کند و اطلاعات را در پایگاه داده ذخیره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ای یک بار نظام به طور خودکار پایگاه داده را بررسی و کنترل می کند که آیا از وقتی که نامه قبلی برای کاربران فرستاده شده است ورودی جدیدی در کتابخانه مجازی وجود دارد یا خیر؟ فرایند با ارسال نامه های الکترونیکی شخصی شده برای کاربران با محتوای ورودی های جدید مطابق درخواست کاربر پایان می یابد</w:t>
      </w:r>
      <w:r>
        <w:rPr>
          <w:rFonts w:eastAsia="IRNazanin" w:cs="IRNazanin"/>
          <w:color w:val="111111"/>
          <w:sz w:val="28"/>
          <w:szCs w:val="28"/>
          <w:rtl w:val="true"/>
          <w:lang w:bidi="fa-IR"/>
        </w:rPr>
        <w:t>.</w:t>
      </w:r>
    </w:p>
    <w:p>
      <w:pPr>
        <w:pStyle w:val="Heading4"/>
        <w:numPr>
          <w:ilvl w:val="3"/>
          <w:numId w:val="1"/>
        </w:numPr>
        <w:rPr/>
      </w:pPr>
      <w:bookmarkStart w:id="1076" w:name="__RefHeading___Toc7767044_2870459653"/>
      <w:bookmarkStart w:id="1077" w:name="_Toc397"/>
      <w:bookmarkEnd w:id="1076"/>
      <w:r>
        <w:rPr>
          <w:rtl w:val="true"/>
        </w:rPr>
        <w:t>اقدام آینده</w:t>
      </w:r>
      <w:bookmarkEnd w:id="107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مهم برای نظام کتابخانه مجازی پیشنهادی بنیاد پژوهشی به اشتراک گذاری رایگان بین مؤسسات پژوهشی است از آن جایی که بنیاد پژوهشی سائوپائولو در حال امضای قراردادهای همکاری با سازمان های تحقیقاتی برزیل است این فرآیند در مرحله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بعدی در نظام بر تلخیص داده به شکل گرافیکی برای ساده کردن تصمیم گیری برای کارمندان و دستیابی به اطلاعات برای جامعه مدنی و دانشگاهی متمرکز خواهد بود</w:t>
      </w:r>
      <w:r>
        <w:rPr>
          <w:rFonts w:eastAsia="IRNazanin" w:cs="IRNazanin"/>
          <w:color w:val="111111"/>
          <w:sz w:val="28"/>
          <w:szCs w:val="28"/>
          <w:rtl w:val="true"/>
          <w:lang w:bidi="fa-IR"/>
        </w:rPr>
        <w:t xml:space="preserve">. </w:t>
      </w:r>
      <w:bookmarkStart w:id="1078" w:name="pg9653_82197"/>
    </w:p>
    <w:p>
      <w:pPr>
        <w:pStyle w:val="Heading3"/>
        <w:numPr>
          <w:ilvl w:val="2"/>
          <w:numId w:val="1"/>
        </w:numPr>
        <w:rPr/>
      </w:pPr>
      <w:bookmarkStart w:id="1079" w:name="__RefHeading___Toc7767046_2870459653"/>
      <w:bookmarkStart w:id="1080" w:name="_Toc398"/>
      <w:bookmarkEnd w:id="1078"/>
      <w:bookmarkEnd w:id="1079"/>
      <w:r>
        <w:rPr>
          <w:rtl w:val="true"/>
        </w:rPr>
        <w:t>نتیجه گیری</w:t>
      </w:r>
      <w:bookmarkEnd w:id="1080"/>
    </w:p>
    <w:p>
      <w:pPr>
        <w:pStyle w:val="BookText"/>
        <w:rPr/>
      </w:pPr>
      <w:r>
        <w:rPr>
          <w:rFonts w:ascii="IRNazanin" w:hAnsi="IRNazanin" w:eastAsia="IRNazanin"/>
          <w:color w:val="111111"/>
          <w:sz w:val="28"/>
          <w:sz w:val="28"/>
          <w:szCs w:val="28"/>
          <w:rtl w:val="true"/>
          <w:lang w:bidi="fa-IR"/>
        </w:rPr>
        <w:t>اگرچه بافتار کتابخانه رقومی یک مجموعه توسعه یافته برای پشتیبانی نظام های اطلاعات متن باز دارد از فقدان راه حل های متن باز که فناوری های جدید را به کار بگیرند رنج می برد یک راه حل برای کتابخانه های مجازی بنیاد پژوهشی کتابخانه مجازی پیشنهادی در این مقاله است که راه حل های متن بازی که مجموعه توسعه یافته ای از توسعه دهندگان آن را پشتیبانی می کنند را برای تأثیرگذاری زیاد بر جامعه دانشگاهیان و کارکنان، گردآوری کرده است</w:t>
      </w:r>
      <w:r>
        <w:rPr>
          <w:rFonts w:eastAsia="IRNazanin" w:cs="IRNazanin"/>
          <w:color w:val="111111"/>
          <w:sz w:val="28"/>
          <w:szCs w:val="28"/>
          <w:rtl w:val="true"/>
          <w:lang w:bidi="fa-IR"/>
        </w:rPr>
        <w:t>.</w:t>
      </w:r>
    </w:p>
    <w:p>
      <w:pPr>
        <w:pStyle w:val="Heading3"/>
        <w:numPr>
          <w:ilvl w:val="2"/>
          <w:numId w:val="1"/>
        </w:numPr>
        <w:rPr/>
      </w:pPr>
      <w:bookmarkStart w:id="1081" w:name="__RefHeading___Toc7767048_2870459653"/>
      <w:bookmarkStart w:id="1082" w:name="_Toc399"/>
      <w:bookmarkEnd w:id="1081"/>
      <w:r>
        <w:rPr>
          <w:rtl w:val="true"/>
        </w:rPr>
        <w:t>منابع</w:t>
      </w:r>
      <w:bookmarkEnd w:id="1082"/>
    </w:p>
    <w:p>
      <w:pPr>
        <w:pStyle w:val="BookText"/>
        <w:rPr/>
      </w:pPr>
      <w:r>
        <w:rPr>
          <w:rFonts w:eastAsia="Times New Roman" w:cs="Times New Roman" w:ascii="Times New Roman" w:hAnsi="Times New Roman"/>
          <w:color w:val="111111"/>
          <w:sz w:val="28"/>
          <w:szCs w:val="28"/>
          <w:lang w:val="en-US" w:bidi="en-US"/>
        </w:rPr>
        <w:t>Django Software Foundation. (2013). The Django admin site. Retrieved March 13, 2013, from Django: https://docs.djangoproject.com/en/1.5/ref/contrib/admin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Grappone, J., &amp; Couzin, G. (2010). Search Engine Optimization (SEO): An Hour a Day. Indianapolis: Wiley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Marchiori, P. Z. (1997). "Ciberteca" ou biblioteca virtual: uma perspectiva de gerenciamento de recursos de informação. Ciência da Informação, 26(2). Norvig, P. (n.d.). How to Write a Spelling Corrector. Retrieved March 13, 2013, from Peter@Norvig.com: http://norvig.com/spell-correct.html</w:t>
      </w:r>
    </w:p>
    <w:p>
      <w:pPr>
        <w:pStyle w:val="BookText"/>
        <w:rPr/>
      </w:pPr>
      <w:r>
        <w:rPr>
          <w:rFonts w:eastAsia="Times New Roman" w:cs="Times New Roman" w:ascii="Times New Roman" w:hAnsi="Times New Roman"/>
          <w:color w:val="111111"/>
          <w:sz w:val="28"/>
          <w:szCs w:val="28"/>
          <w:lang w:val="en-US" w:bidi="en-US"/>
        </w:rPr>
        <w:t>Oracle Corporation. (2013). Download MySQL Community Server. Retrieved March 13, 2013, from MySQL : http://dev.mysql.com/downloads/mysql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M., Barton, M., Bass, M., Branschofsky, M., McClellan, G., Stuve, D., et al. (2003). DSpace: An Open Source Dynamic Digital Repository. D-Lib Magazine, 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Staples, T., Wayland, R., &amp; Payette, S. (2003). The Fedora Project: An Open- source Digital Object Repository Management System. D-Lib Magazine, 9(4). Swiss National Science Foundation (SNSF). (n.d.). Output of research. Retrieved March 15, 2013, from Swiss National Science Foundation (SNSF): http://www.snf.ch/E/current/Dossiers/Pages/output-of-research.aspx</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Witten, I. H., Boddie, S. J., Bainbridge, D., &amp; McNab, R. J. (2000). Greenstone: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comprehensive open-source digital library software system. Proceedings of the fifth ACM conference on Digital libraries (pp. 113-121). New York: ACM</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Zhang, Y. (2010). Developing a Holistic Model for Digital Library Evaluation. Journal of the American Society for Information Science and Technology, 61(1), 88-110</w:t>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3" w:name="pg9653_82200"/>
      <w:bookmarkStart w:id="1084" w:name="pg9653_82200"/>
      <w:bookmarkEnd w:id="1084"/>
    </w:p>
    <w:p>
      <w:pPr>
        <w:pStyle w:val="Heading2"/>
        <w:numPr>
          <w:ilvl w:val="1"/>
          <w:numId w:val="1"/>
        </w:numPr>
        <w:rPr/>
      </w:pPr>
      <w:bookmarkStart w:id="1085" w:name="pg9653_82200"/>
      <w:bookmarkStart w:id="1086" w:name="__RefHeading___Toc7767050_2870459653"/>
      <w:bookmarkStart w:id="1087" w:name="_Toc400"/>
      <w:bookmarkEnd w:id="1085"/>
      <w:bookmarkEnd w:id="1086"/>
      <w:r>
        <w:rPr>
          <w:rtl w:val="true"/>
        </w:rPr>
        <w:t>چکیده</w:t>
      </w:r>
      <w:bookmarkEnd w:id="1087"/>
    </w:p>
    <w:p>
      <w:pPr>
        <w:pStyle w:val="BookText"/>
        <w:rPr/>
      </w:pPr>
      <w:r>
        <w:rPr>
          <w:rFonts w:ascii="IRNazanin" w:hAnsi="IRNazanin" w:eastAsia="IRNazanin"/>
          <w:color w:val="111111"/>
          <w:sz w:val="28"/>
          <w:sz w:val="28"/>
          <w:szCs w:val="28"/>
          <w:rtl w:val="true"/>
          <w:lang w:bidi="fa-IR"/>
        </w:rPr>
        <w:t xml:space="preserve">هدف این مقاله بررسی معنای رایج کتابشناسی ملی است و می کوشد تا چشم انداز آینده آن را شناسایی کند ما در جستجوی پاسخ به این پرسش هستیم که آیا کتابشناسی ملی در آینده هنوز هم مورد نیاز خواهد بود و آيا انتقال كامل آن به محیط شبکه، کار با ارزشی خواهد بود؟ اگر این اتفاق رخ دهد معنای رایج کتابشناسی ملی به قوت خود باقی خواهد ماند؟ با وجود فهرست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پیشینه های کتابشناختی معتبر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خوبی در محیط شبکه سازگار شده است آیا کتابشناسی ملی می تواند نیازهای کاربران مختلف را برآورد؟ کتابشناسی بر حسب تقاضا آیا نیازی هست که کتابشناسی ملی در چندین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های اطلاعاتی، فایل های پی دی اف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 آیا در جایی که اطلاعات مشابه با استفاده از ابزارهای رقابتی که قبلا توسط مؤسسات ملی کتابشناسی ایجاد شده و برای کاربران قابل حصول است، کتابشناسی ملی به یک کالای تجملی غیر ضروری تبدیل خواهد شد؟</w:t>
      </w:r>
    </w:p>
    <w:p>
      <w:pPr>
        <w:pStyle w:val="BookText"/>
        <w:rPr/>
      </w:pPr>
      <w:r>
        <w:rPr>
          <w:rFonts w:ascii="IRNazanin" w:hAnsi="IRNazanin" w:eastAsia="IRNazanin"/>
          <w:color w:val="111111"/>
          <w:sz w:val="28"/>
          <w:sz w:val="28"/>
          <w:szCs w:val="28"/>
          <w:rtl w:val="true"/>
          <w:lang w:bidi="fa-IR"/>
        </w:rPr>
        <w:t>کتابشناسی ملی سه مسیر اصلی برای تغییر پیش رو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عملکرد و اهداف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موضوع و واحد توصیف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روند خلق و نمایش</w:t>
      </w:r>
    </w:p>
    <w:p>
      <w:pPr>
        <w:pStyle w:val="BookText"/>
        <w:rPr/>
      </w:pPr>
      <w:r>
        <w:rPr>
          <w:rFonts w:ascii="IRNazanin" w:hAnsi="IRNazanin" w:eastAsia="IRNazanin"/>
          <w:color w:val="111111"/>
          <w:sz w:val="28"/>
          <w:sz w:val="28"/>
          <w:szCs w:val="28"/>
          <w:rtl w:val="true"/>
          <w:lang w:bidi="fa-IR"/>
        </w:rPr>
        <w:t xml:space="preserve">در این مقاله، ما روش هایی را ارائه خواهیم کرد که در ایجاد تغییرات در عملکرد و اهداف کتابشناسی ملی در منابع اطلاعاتی مانند دایره المعارف ها، واژه نامه ها و در رهنمودهای تخصصی منتشر شده در سال 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سی پی </w:t>
      </w:r>
      <w:r>
        <w:rPr>
          <w:rStyle w:val="FootnoteAnchor"/>
          <w:rtl w:val="true"/>
        </w:rPr>
        <w:footnoteReference w:id="1349"/>
      </w:r>
      <w:r>
        <w:rPr>
          <w:rFonts w:ascii="IRNazanin" w:hAnsi="IRNazanin" w:eastAsia="IRNazanin"/>
          <w:color w:val="111111"/>
          <w:sz w:val="28"/>
          <w:sz w:val="28"/>
          <w:szCs w:val="28"/>
          <w:rtl w:val="true"/>
          <w:lang w:bidi="fa-IR"/>
        </w:rPr>
        <w:t>کتابشناسی های ملی در عصر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 و مسیرهای جدید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 شود همچنین درک مشترکی از کتابشناسی ملی را در منابع اطلاعاتی رایج و عمومی نشان خواهیم داد ویژگی های کلیدی کتابشناسی ملی و ارزیابی آن ها بر اساس مجموعه تعاریف موجود در بافت محیط شبکه و نیازهای کاربران معاصر شناسایی خواهد 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ملی، اصول فهرست نویسی بین المللی، اینترنت محیط رقومی </w:t>
      </w:r>
      <w:bookmarkStart w:id="1088" w:name="pg9653_82201"/>
    </w:p>
    <w:p>
      <w:pPr>
        <w:pStyle w:val="Heading2"/>
        <w:numPr>
          <w:ilvl w:val="1"/>
          <w:numId w:val="1"/>
        </w:numPr>
        <w:rPr/>
      </w:pPr>
      <w:bookmarkStart w:id="1089" w:name="__RefHeading___Toc7767052_2870459653"/>
      <w:bookmarkStart w:id="1090" w:name="_Toc401"/>
      <w:bookmarkEnd w:id="1088"/>
      <w:bookmarkEnd w:id="1089"/>
      <w:r>
        <w:rPr>
          <w:rtl w:val="true"/>
        </w:rPr>
        <w:t>کتابشناسی ملی از اینترنت می پرسد</w:t>
      </w:r>
      <w:r>
        <w:rPr>
          <w:rtl w:val="true"/>
        </w:rPr>
        <w:t xml:space="preserve">: </w:t>
      </w:r>
      <w:r>
        <w:rPr>
          <w:rtl w:val="true"/>
        </w:rPr>
        <w:t>آیا تلاش می کنی مرا از میان برداری؟</w:t>
      </w:r>
      <w:bookmarkEnd w:id="1090"/>
    </w:p>
    <w:p>
      <w:pPr>
        <w:pStyle w:val="Heading3"/>
        <w:numPr>
          <w:ilvl w:val="2"/>
          <w:numId w:val="1"/>
        </w:numPr>
        <w:rPr/>
      </w:pPr>
      <w:bookmarkStart w:id="1091" w:name="__RefHeading___Toc7767054_2870459653"/>
      <w:bookmarkStart w:id="1092" w:name="_Toc402"/>
      <w:bookmarkEnd w:id="1091"/>
      <w:r>
        <w:rPr>
          <w:rtl w:val="true"/>
        </w:rPr>
        <w:t>اشاره</w:t>
      </w:r>
      <w:bookmarkEnd w:id="10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ملی از اینترنت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تلاش می کنی مرا از میان برداری؟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نوشته یِروسلاو پاسِک </w:t>
      </w:r>
      <w:r>
        <w:rPr>
          <w:rStyle w:val="FootnoteAnchor"/>
          <w:rtl w:val="true"/>
        </w:rPr>
        <w:footnoteReference w:id="1351"/>
      </w:r>
      <w:r>
        <w:rPr>
          <w:rFonts w:ascii="IRNazanin" w:hAnsi="IRNazanin" w:eastAsia="IRNazanin"/>
          <w:color w:val="111111"/>
          <w:sz w:val="28"/>
          <w:sz w:val="28"/>
          <w:szCs w:val="28"/>
          <w:rtl w:val="true"/>
          <w:lang w:bidi="fa-IR"/>
        </w:rPr>
        <w:t xml:space="preserve">مَگدانلا کرینیسکا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معصومه کربلا آقایی کامران </w:t>
      </w:r>
      <w:r>
        <w:rPr>
          <w:rStyle w:val="FootnoteAnchor"/>
          <w:rtl w:val="true"/>
        </w:rPr>
        <w:footnoteReference w:id="1353"/>
      </w:r>
    </w:p>
    <w:p>
      <w:pPr>
        <w:pStyle w:val="Heading3"/>
        <w:numPr>
          <w:ilvl w:val="2"/>
          <w:numId w:val="1"/>
        </w:numPr>
        <w:rPr/>
      </w:pPr>
      <w:bookmarkStart w:id="1093" w:name="__RefHeading___Toc7767056_2870459653"/>
      <w:bookmarkStart w:id="1094" w:name="_Toc403"/>
      <w:bookmarkEnd w:id="1093"/>
      <w:r>
        <w:rPr>
          <w:rtl w:val="true"/>
        </w:rPr>
        <w:t>مقدمه</w:t>
      </w:r>
      <w:bookmarkEnd w:id="109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نخست قرن بیست و یکم برای کتابشناسی ها دوره ای متلاطم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تغییرات فراوانی در هر دو حوزه بررسی های تئوری و فعالیت های عملی کتابشناختی بودیم به ویژه مشکلات فروان جدیدی در نقطه تلاقی کتابشناسی با محیط های رقومی و شبکه پدیدار شد امکان به کارگیری خدمات مختلف اینترنتی بیش از پیش رایج شده است به هر حال همه افراد نمی دانند که کتابشناسی بخصوص کتابشناسی ملی چیست، چیزی که موضوع اصلی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دانش کتابشناختی را به اندازه اینترنت مردم پسند کنیم، و هدف ما این نیست ویژگی کتابشناسی های ملی به دلیل به کارگیری فناوری های جدید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مورد علاقه کتابشناختی همچنان واحدهای جدید توصیف بنیادی خواهد بود ما در اینترنت برای تحویل داده های کتابشناختی ابزار اندکی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این ابزارها می توانند نوعی رقابت برای فهرست ملی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فهرست های کتابخانه های ملی از نرم افزارهای پیشرفته استفاده می کنند که بطور قابل ملاحظه ای سودمندی خودشان را بهبود داده اند این فهرست ها می توانند به عنوان مشابه خوبی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بسیار مهم برای تعمق این است که امروزه کتابشناسی های ملی چه هستند؛ کارکردهای آن ها چیست و چه باید باشد؛ اینترنت از چه راه هایی کتابشناسی های ملی را تهدید می کند؛ آیا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 با ابزارهای گوگل فرصتی برای کسب کاربران جدید دارند؛ و سرانجام آیا در عصر اینترنت هنوز کتابشناسی های ملی مورد نیاز هستند</w:t>
      </w:r>
      <w:r>
        <w:rPr>
          <w:rFonts w:eastAsia="IRNazanin" w:cs="IRNazanin"/>
          <w:color w:val="111111"/>
          <w:sz w:val="28"/>
          <w:szCs w:val="28"/>
          <w:rtl w:val="true"/>
          <w:lang w:bidi="fa-IR"/>
        </w:rPr>
        <w:t xml:space="preserve">. </w:t>
      </w:r>
      <w:bookmarkStart w:id="1095" w:name="pg9653_82202"/>
    </w:p>
    <w:p>
      <w:pPr>
        <w:pStyle w:val="Heading3"/>
        <w:numPr>
          <w:ilvl w:val="2"/>
          <w:numId w:val="1"/>
        </w:numPr>
        <w:rPr/>
      </w:pPr>
      <w:bookmarkStart w:id="1096" w:name="__RefHeading___Toc7767058_2870459653"/>
      <w:bookmarkStart w:id="1097" w:name="_Toc404"/>
      <w:bookmarkEnd w:id="1095"/>
      <w:bookmarkEnd w:id="1096"/>
      <w:r>
        <w:rPr>
          <w:rtl w:val="true"/>
        </w:rPr>
        <w:t>مفهوم و کارکردهای کتابشناسی های ملی</w:t>
      </w:r>
      <w:bookmarkEnd w:id="1097"/>
    </w:p>
    <w:p>
      <w:pPr>
        <w:pStyle w:val="BookText"/>
        <w:rPr/>
      </w:pPr>
      <w:r>
        <w:rPr>
          <w:rFonts w:ascii="IRNazanin" w:hAnsi="IRNazanin" w:eastAsia="IRNazanin"/>
          <w:color w:val="111111"/>
          <w:sz w:val="28"/>
          <w:sz w:val="28"/>
          <w:szCs w:val="28"/>
          <w:rtl w:val="true"/>
          <w:lang w:bidi="fa-IR"/>
        </w:rPr>
        <w:t>واژه نامه برخط علوم کتابداری و اطلاع رسانی درک سنتی از کتابشناسی های ملی را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این واژه نامه، کتاب در نسخه چاپیاش موضوع اصلی سودمندی ثبت ملی است در حالی که رسانه های رقومی به عنوان یک مشکل حاشیه ای کتابشناسی های ملی مورد بحث قرار گرفته اند</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فقط این نکته که کتابشناسی ملی می تواند شامل رسانه های غیر چاپی نیز باشد مطلب جدیدی است که در این جا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رهنمودهایی برای کتابشناسی های ملی در عصر الکترونیک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اصطلاح مرتبط با ایده کتابشناسی ملی را تعریف کرده است در آن جا ما می توانیم تعاریف این اصطلاح ها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ملی بنگاه ملی کتابشناختی و ثبت ملی کتابشناختی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ملی این چنین تعریف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پیشینه های جامع و معتبر برونداد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تولیدات ملی صنعت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که به طور منظم و با حداقل تاخیر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ملی کتابشناختی آن را مطابق با استانداردهای بین المللی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نشر و تالیف در آن ها به طور کامل، وارسی و بازبینی می شود</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 xml:space="preserve">کنترل کتابشناختی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فعالیت هایی است که به منظور یافتن شناسایی و ثبت کلیه بروندادهای انتشاراتی یک کشور انجام می شود که هدف آن توسعه مجموعه کتابخانه و آرشیو ملی برآورده کردن نیازهای اطلاعاتی کشور، و همکاری در ایجاد زیر ساخت کتابخانه، مرکز اسناد و آرشیوی یکپارچه می باشد</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نقش بنگاه های ملی کتابشناختی تنظیم پیشینه های مستند و جامع برای انتشارات جدیدی است که در کشور پدیدار می 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رهنمودهایی برای کتابشناسی 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پیشینه هایی که عمده آن ها را انتشارات چاپی، به خصوص کتاب ها، تشکیل می دهند، از درک سنتی کتابشناسی ملی دور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بالا، قالب و نوع منابع ثبت شده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تعاریف، کتابشناسی با شکل های مختلف منابعه مانند مدارک رقومی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کنترل ملی، توصیف نوع خاصی از منابع نیست، بلکه هدف آن توصیف تمام بروندادهای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 های اطلاعات به قدری سریع تغییر می کنند که توصیف فقط برخی از انواع انتشارات، نارسا خواهد بود همچنین بکارگیری استانداردهای بین المللی به دلیل فراهم کردن امکان همکاری و ارتباط با یکدیگر اهمیت دارد </w:t>
      </w:r>
      <w:bookmarkStart w:id="1098" w:name="pg9653_82203"/>
    </w:p>
    <w:p>
      <w:pPr>
        <w:pStyle w:val="BookText"/>
        <w:rPr/>
      </w:pPr>
      <w:bookmarkEnd w:id="1098"/>
      <w:r>
        <w:rPr>
          <w:rFonts w:ascii="IRNazanin" w:hAnsi="IRNazanin" w:eastAsia="IRNazanin"/>
          <w:color w:val="111111"/>
          <w:sz w:val="28"/>
          <w:sz w:val="28"/>
          <w:szCs w:val="28"/>
          <w:rtl w:val="true"/>
          <w:lang w:bidi="fa-IR"/>
        </w:rPr>
        <w:t xml:space="preserve">متاسفانه در دایره المعارف علم کتابداری و اطلاع رسانی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کتابشناسی 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 پیرامون کتابشناسی ملی در سایر مدخل ها بحث و بررسی شده است یان مک گوان، </w:t>
      </w:r>
      <w:r>
        <w:rPr>
          <w:rStyle w:val="FootnoteAnchor"/>
          <w:rtl w:val="true"/>
        </w:rPr>
        <w:footnoteReference w:id="1357"/>
      </w:r>
      <w:r>
        <w:rPr>
          <w:rFonts w:ascii="IRNazanin" w:hAnsi="IRNazanin" w:eastAsia="IRNazanin"/>
          <w:color w:val="111111"/>
          <w:sz w:val="28"/>
          <w:sz w:val="28"/>
          <w:szCs w:val="28"/>
          <w:rtl w:val="true"/>
          <w:lang w:bidi="fa-IR"/>
        </w:rPr>
        <w:t>در مقاله اش تحت عنوان کتابخانه های ملی اشاره می کند که ویژگی جهانی اینترنت تعیین مبادی انتشارات رقومی را که آنسوی قلمرو ملی ظاهر می شود دشوار کرده است کتابخانه های ملی از وظایف و خدمات استاندارد خودشان فراتر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دنبال شیوه های جدیدی برای دسترس پذیر ساختن منابع رقومی و آنالوگ هستند</w:t>
      </w:r>
      <w:r>
        <w:rPr>
          <w:rFonts w:eastAsia="IRNazanin" w:cs="IRNazanin"/>
          <w:color w:val="111111"/>
          <w:sz w:val="28"/>
          <w:szCs w:val="28"/>
          <w:rtl w:val="true"/>
          <w:lang w:bidi="fa-IR"/>
        </w:rPr>
        <w:t xml:space="preserve">.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 xml:space="preserve">به دلیل رواج گسترده منابع اینترنتی، شامل ویکی پدیاها استفاده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عمومیت بخشیدن به مفهوم کتابشناسی ملی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نسخه لهستانی ویکی پدیا دارای تعریف کتابشناسی ملی نیست، به همین دلیل ما در حال حاضر روی این قضیه کار می کنیم اما نسخه فرانسوی و آلمانی ویکی پدیا شامل این مدخل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فرانسوی ما توانستیم کتابشناسی ملی عطف به ما سبق شده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شرح کوتاه که به وسیله آن می توانیم یاد بگیریم که کتابشناسی ملی یک مفهوم سنتی است و یک فهرست چاپی است که طبق رشته های علمی پوشش ملی، یک کشور یا یک زبان نوشته شده است از چند سال پیش تاکنون کتابشناسی های ملی به صورت پایگاه های برخط وجود دارند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مدخل های دیگر ویکی پدیا ظاهر شود، که اگر چنین شود، در یک بافت سنتی تر درک خواهد شد اطلاعات اندک درباره کتابشناسی های ملی در ویکی پدیا نشانگر رواج اندک ابزارهای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نشانگر این است که گردآورندگان کتابشناسی ها به قدر کافی در عمومیت بخشیدن به اثرشان فعال نبودند</w:t>
      </w:r>
      <w:r>
        <w:rPr>
          <w:rFonts w:eastAsia="IRNazanin" w:cs="IRNazanin"/>
          <w:color w:val="111111"/>
          <w:sz w:val="28"/>
          <w:szCs w:val="28"/>
          <w:rtl w:val="true"/>
          <w:lang w:bidi="fa-IR"/>
        </w:rPr>
        <w:t>.</w:t>
      </w:r>
    </w:p>
    <w:p>
      <w:pPr>
        <w:pStyle w:val="Heading3"/>
        <w:numPr>
          <w:ilvl w:val="2"/>
          <w:numId w:val="1"/>
        </w:numPr>
        <w:rPr/>
      </w:pPr>
      <w:bookmarkStart w:id="1099" w:name="__RefHeading___Toc7767060_2870459653"/>
      <w:bookmarkStart w:id="1100" w:name="_Toc405"/>
      <w:bookmarkEnd w:id="1099"/>
      <w:r>
        <w:rPr>
          <w:rtl w:val="true"/>
        </w:rPr>
        <w:t>چشم انداز کتابشناسی های ملی</w:t>
      </w:r>
      <w:bookmarkEnd w:id="110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قوانین گزینش مواد، برخی از عناصر توصیف قراردادی و روش های دسترس پذیر ساختن کتابشناسی های ملی بازبینی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فناوری های اطلاعاتی مدرن بر کتابشناسی های ملی امروزه تاثیر گذاشته اند ما می توانیم همگرایی منابع کتابشناختی را شاهد باشیم بسیاری از بنگاه ها خدماتی ایجاد کرده اند که وظیفه آن ها ارائه پیشینه های مختلف در یک جا است در خدمات کتابخانه های مدرن مدل اف آر بی آر، بیشتر و بیشتر متداول شده است فناوری جدید وب معنایی با ایجاد پیوند میان داده ها می تواند مفید باشد جستجو در این نوع خدمات به وسیله یک جعبه محاوره ساده انجام </w:t>
      </w:r>
      <w:bookmarkStart w:id="1101" w:name="pg9653_82204"/>
    </w:p>
    <w:p>
      <w:pPr>
        <w:pStyle w:val="BookText"/>
        <w:rPr/>
      </w:pPr>
      <w:bookmarkEnd w:id="1101"/>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نتیجه عملکرد کاربران امروز است که از مدل اکتشافی استفاده می کنند و قدردان موتور جستجوی گوگل هستند اغلب مواقع حاضران در شبکه درک نمی کنند که از چه مدرکی استفاده می کنند آیا آن مدرک یک فهرست کتابشناسی کتابخانه رقومی آرشیو یا موتور جستجوی بیرونی است؟ آیا داده ها از یک یا چند موسسه دریافت شده اند؟ برای آن ها معمولا این نوع آگاهی نسبت به امکان دسترسی سریع به اطلاعات، از اهمیت کمتری برخوردار است برای ارائه کتابشناسی ملی و ارائه داده هایی درباره منابع موجود در مخازن کتابخانه های ملی به طور مجزا هیچ دلیلی وجود ندارد برای کاربران این مهم است که منابع اطلاعاتی را خودشان برگزینند و درباره تفاوت های موجود در محتوا و هدف آن ها اطلاعات به دست آورند متخصصان چشم انتظار دریافت اطلاعات هستند درباره پایگاه اطلاعاتی که در آن مشغول جستجو هستند، و این که کدام پایگاه مجهز به تحلیل های مستمر می باشد که این وضعیت بعضی اوقات بسیار مشکل است</w:t>
      </w:r>
      <w:r>
        <w:rPr>
          <w:rFonts w:eastAsia="IRNazanin" w:cs="IRNazanin"/>
          <w:color w:val="111111"/>
          <w:sz w:val="28"/>
          <w:szCs w:val="28"/>
          <w:rtl w:val="true"/>
          <w:lang w:bidi="fa-IR"/>
        </w:rPr>
        <w:t>.</w:t>
      </w:r>
    </w:p>
    <w:p>
      <w:pPr>
        <w:pStyle w:val="Heading3"/>
        <w:numPr>
          <w:ilvl w:val="2"/>
          <w:numId w:val="1"/>
        </w:numPr>
        <w:rPr/>
      </w:pPr>
      <w:bookmarkStart w:id="1102" w:name="__RefHeading___Toc7767062_2870459653"/>
      <w:bookmarkStart w:id="1103" w:name="_Toc406"/>
      <w:bookmarkEnd w:id="1102"/>
      <w:r>
        <w:rPr>
          <w:rtl w:val="true"/>
        </w:rPr>
        <w:t>کتابشناسی در مقابل فهرست</w:t>
      </w:r>
      <w:bookmarkEnd w:id="1103"/>
    </w:p>
    <w:p>
      <w:pPr>
        <w:pStyle w:val="BookText"/>
        <w:rPr/>
      </w:pPr>
      <w:r>
        <w:rPr>
          <w:rFonts w:ascii="IRNazanin" w:hAnsi="IRNazanin" w:eastAsia="IRNazanin"/>
          <w:color w:val="111111"/>
          <w:sz w:val="28"/>
          <w:sz w:val="28"/>
          <w:szCs w:val="28"/>
          <w:rtl w:val="true"/>
          <w:lang w:bidi="fa-IR"/>
        </w:rPr>
        <w:t>نیازهای اطلاعاتی کاربران درباره مجموعه کتابخانه های ملی به وسیله یک فهرست برآورده می شود آن فهرست شامل پیشینه های کتابشناختی منابعی است که به وسیله کتابشناسی ملی مطابق با قوانین گزینش ،منابع انتخاب شده اند این فرایند تا حدی می تواند خودکار باشد باید بر این نکته تاکید شود که فهرست کتابخانه ملی با کتابشناسی ملی یکسان نیستند محتوای برخی از فهرست های کتابخانه های ملی مشابه محتوای کتابشناسی ملی است، اما کاملا یکسان نیستند، آن ها مجموعه های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ملی اغلب اوقات با سایر موسسات در ارتباط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با دانشگاه ها و مجالس قانون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در مخزن آن ها منابع خارجی نیز وجود 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های کتابخانه ها دائما تغییر می کنند مجموعه های آن ها روزآمد و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اساسی و اهداف کتابشناسی ملی ثابت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یاد داشته باشیم که کتابشناسی ملی یک ماموریت تاریخی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ملی به جهت مستندسازی اطلاعات درباره برونداد ملی و دانش قدرت خلاقه انسان در مقیاس جهانی ضروری است کتابشناسی ملی برای ما این امکان را فراهم می کند که به تحلیل گرایش ها یادبی فرهنگی و هنری دوره های تاریخی مختلف بپردازیم و داده های آماری مستمری را به دست آوریم برای مثال کدام نویسندگان ملی و خارجی اثری منتشر کرده بودند متون چه زبان هایی ترجمه شده بود، کدام مترجم ها فعال بودند، میزان انتشارات علمی چقدر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کتاب هایی برای کودکان نوشته شده بود چه ناشرانی در بازار نشر فعال بودند و کدام یک از آن ها تخصصی بودند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کتابشناسی های ملی باید دربردارنده فراداده هایی با کیفیت بالا باشند دسترسی راحت و متعارف به آن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های موجود در کتابشناسی های ملی در زمینه موضوع و توصیف رسمی، محتوای هوشمندانه و هنرمندانه کاملا وارسی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کتابشناسی ملی نقاط دسترسی معتبری به نام نویسندگان و نویسندگان همکار ناشران و محتوای منابع و غیره تحویل می دهد در جایی که برای پیشبرد فرایندهای علمی اثبات اعتبار و سودمندی ضروری است کتابشناسی ملی از ابزارهای دیگر اینترنت بهتر است</w:t>
      </w:r>
    </w:p>
    <w:p>
      <w:pPr>
        <w:pStyle w:val="BookText"/>
        <w:rPr/>
      </w:pPr>
      <w:r>
        <w:rPr>
          <w:rFonts w:ascii="IRNazanin" w:hAnsi="IRNazanin" w:eastAsia="IRNazanin"/>
          <w:color w:val="111111"/>
          <w:sz w:val="28"/>
          <w:sz w:val="28"/>
          <w:szCs w:val="28"/>
          <w:rtl w:val="true"/>
          <w:lang w:bidi="fa-IR"/>
        </w:rPr>
        <w:t>احتمالا ویژگی تحویل اطلاعات موضوعی بهترین شانس برای کتابشناسی های 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حفظ امکان جستجوی موضوعی در پایگاه های اطلاعاتی همچنان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رهنمودهای ایفلا برای دسترسی موضوعی در کتابشناسی های ملی توصیه های مشابهی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یک طرح نمایه سازی واژه به واژه جهانی؛ پوشش کلیه موضوعات و رشته های دانش؛ دسترس پذیر ساختن نمایه سازی کنترل شده به خوبی نمایه سازی کنترل نشده برای کاربران استفاده از یک طرح رده بندی بین المللی؛ مهیا ساختن داده های محتوایی غنی به عنوان مکملی برای دیگر ابزارهای دسترسی موضوعی؛ تنظیم پیشینه های کتابشناسی ملی بر اساس موضوع ها؛ استفاده از رده های گسترده و رده بندی سلسله مراتبی؛ نمایش سرعنوان ها و شماره های رده بندی در پیشینه های کتابشناختی؛ مهیا کردن جستجوی موضوعی کاملا کاربر پسند و کارکردگرایانه</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eastAsia="Times New Roman" w:cs="Times New Roman" w:ascii="Times New Roman" w:hAnsi="Times New Roman"/>
          <w:color w:val="111111"/>
          <w:sz w:val="28"/>
          <w:szCs w:val="28"/>
          <w:lang w:val="en-US" w:bidi="en-US"/>
        </w:rPr>
        <w:t>http://www.ifla.org/fils/classificition-and-indexing/subject-access-by-national-bibliographic-agencies/ nba guidelines draft 2011-05.pdf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که ما می توانیم اظهار کنیم که هدف از یک فهرست تحویل سریع اطلاعات درباره وجود اقلام خاص در مجموعه کتابخانه بوده و خواهد بود آن مجموعه می تواند وسیع تر از پوشش کتابشناسی ملی باشد به هر حال خلق کتابشناسی ملی به جهت انعکاس مستمر فرهنگ ملی ضروری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بالا اشاره کردیم کتابشناسی های ملی در خدمت مستندسازی و کارکردهای تاریخی هستند که می تواند به معنای نخبه سالاری باشد با این حال دسترس پذیر ساختن فراداده هایی با کیفیت بالا قابل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های ملی می توانند دریافت کنندگانی را که متقاضی کیفیت بالای اطلاعات هستند، به هدفشان برساند کتابشناسی های ملی، در سایه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بقا دارند کتابشناسی های ملی باید کماکان ابزارهای نمایه سازی موضوعی مانند نظم موضوعی و رده ای را به کار گیرند به همین دلیل کتابشناسی های ملی قادر خواهند بود درباره برونداد ملی در یک رشته خاص، به کاربران خود دانش وسیعی ارائه دهند</w:t>
      </w:r>
      <w:r>
        <w:rPr>
          <w:rFonts w:eastAsia="IRNazanin" w:cs="IRNazanin"/>
          <w:color w:val="111111"/>
          <w:sz w:val="28"/>
          <w:szCs w:val="28"/>
          <w:rtl w:val="true"/>
          <w:lang w:bidi="fa-IR"/>
        </w:rPr>
        <w:t xml:space="preserve">. </w:t>
      </w:r>
      <w:bookmarkStart w:id="1104" w:name="pg9653_82206"/>
    </w:p>
    <w:p>
      <w:pPr>
        <w:pStyle w:val="Heading3"/>
        <w:numPr>
          <w:ilvl w:val="2"/>
          <w:numId w:val="1"/>
        </w:numPr>
        <w:rPr/>
      </w:pPr>
      <w:bookmarkStart w:id="1105" w:name="__RefHeading___Toc7767064_2870459653"/>
      <w:bookmarkStart w:id="1106" w:name="_Toc407"/>
      <w:bookmarkEnd w:id="1104"/>
      <w:bookmarkEnd w:id="1105"/>
      <w:r>
        <w:rPr>
          <w:rtl w:val="true"/>
        </w:rPr>
        <w:t>به کارگیری قابلیت های محیط رقومی</w:t>
      </w:r>
      <w:bookmarkEnd w:id="1106"/>
    </w:p>
    <w:p>
      <w:pPr>
        <w:pStyle w:val="BookText"/>
        <w:rPr/>
      </w:pPr>
      <w:r>
        <w:rPr>
          <w:rFonts w:ascii="IRNazanin" w:hAnsi="IRNazanin" w:eastAsia="IRNazanin"/>
          <w:color w:val="111111"/>
          <w:sz w:val="28"/>
          <w:sz w:val="28"/>
          <w:szCs w:val="28"/>
          <w:rtl w:val="true"/>
          <w:lang w:bidi="fa-IR"/>
        </w:rPr>
        <w:t xml:space="preserve">در حال حاضر، کتابشناسی ملی در یک مرحله انتقالی قرار دارد از شکل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 اما اغلب، در فایل های متنی به شیوه ،چاپی به شیوه ای که مدارک چاپ می شدند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نسبت به نسخه چاپی و دسته بندی شدن پیشینه ها در یک زمینه موضوعی برتری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کتابشناسی های چاپی منابع را با نظم موضوعی نمایش می دهند و تورق اطلاعات دسته بندی شده در بخش های موضوعی را امکان پذیر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کتابشناسی های چاپی نمایه ها فقط به عنوان یک ابزار جستجوی اضافی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های کتابشناختی وضعیت برعکس شده است، نمایه ها به ابزارهای اصلی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جستجوی موضوعی موثر با استفاده از نمایه ها اغلب اوقات مستلزم داشتن دانش زبان های اطلاعاتی است گردآورندگان کتابشناسی ها به ندرت به یاد می سپارند که امکان تورق منابع به وسیله بخش های موضوعی را در پایگاه های اطلاعاتی تعبیه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بهره گیری از کتابشناسی های ملی به شیوه چاپی هنوز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ملی لهستان تا چند وقت قبل به شکل چاپی بود پیشینه ها در پایگاه های ارتقاء یافته و فایل های پی دی اف قابل دسترسی هستند این یک فرم همگرا از کتابشناسی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کتابشناسی یک طرح بندی معمولی برای امکان چاپ از سوی کاربران و ارزش افزوده ای در شکل فراپیوندها ،دارد که استفاده از کتابشناسی را سرعت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چاپی کتابشناسی تک نگاشت های لهستانی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شِوُودنیک بیبلیوگرافیزنا</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با همان توانایی های اشاره شده در ترجمه کتاب رهنمودهای کتابشناختی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مثال عالی از خدمات ،مدرن ترو استرالیا </w:t>
      </w:r>
      <w:r>
        <w:rPr>
          <w:rStyle w:val="FootnoteAnchor"/>
          <w:rtl w:val="true"/>
        </w:rPr>
        <w:footnoteReference w:id="13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خدمات فراداده های بالغ بر هزار منبع کتابخانه ها و سایر مراکز فرهنگی استرالیا شامل پایگاه اطلاعات کتابشناختی ملی استرالیای ان بی دی </w:t>
      </w:r>
      <w:r>
        <w:rPr>
          <w:rStyle w:val="FootnoteAnchor"/>
          <w:rtl w:val="true"/>
        </w:rPr>
        <w:footnoteReference w:id="1362"/>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ماهیتا یک فهرستگان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کرده است انواع منابعی که در ترو نمایان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مجلات نوارهای، موسیقی نوارهای صدا و نوارهای ویدئویی دفتر خاطرات روزانه نامه ها عکس ها، نقشه ها، مقالات مجلات و روزنامه های رقومی شده، منابع شبکه ای از آرشیو پاندورا </w:t>
      </w:r>
      <w:r>
        <w:rPr>
          <w:rStyle w:val="FootnoteAnchor"/>
          <w:rtl w:val="true"/>
        </w:rPr>
        <w:footnoteReference w:id="1363"/>
      </w:r>
      <w:r>
        <w:rPr>
          <w:rFonts w:ascii="IRNazanin" w:hAnsi="IRNazanin" w:eastAsia="IRNazanin"/>
          <w:color w:val="111111"/>
          <w:sz w:val="28"/>
          <w:sz w:val="28"/>
          <w:szCs w:val="28"/>
          <w:rtl w:val="true"/>
          <w:lang w:bidi="fa-IR"/>
        </w:rPr>
        <w:t xml:space="preserve">همچنین سایر سایت ها مانند ویکی پدیا آمازون، گوگل بوک و اطلاعات درباره مردم و سازمان ها در خدمات ترو، ما می توانیم درباره انواع خاصی از منابع که در بلوک های جداگانه نمایش داده شده است، اطلاعات به دست آوریم که هر یک می تواند به طور مستقل عمل کند در خدمات ترو، قابلیت </w:t>
      </w:r>
    </w:p>
    <w:p>
      <w:pPr>
        <w:pStyle w:val="BookText"/>
        <w:rPr/>
      </w:pPr>
      <w:r>
        <w:rPr>
          <w:rFonts w:ascii="IRNazanin" w:hAnsi="IRNazanin" w:eastAsia="IRNazanin"/>
          <w:color w:val="111111"/>
          <w:sz w:val="28"/>
          <w:sz w:val="28"/>
          <w:szCs w:val="28"/>
          <w:rtl w:val="true"/>
          <w:lang w:bidi="fa-IR"/>
        </w:rPr>
        <w:t xml:space="preserve">محدود کردن چهریزه ای نتایج جستجو نمایش میزان ربط یک آیتم در ارتباط با پرسش و مهیا کردن نوع خاصی از خدمات برای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ملی بریتانیا </w:t>
      </w:r>
      <w:r>
        <w:rPr>
          <w:rStyle w:val="FootnoteAnchor"/>
          <w:rtl w:val="true"/>
        </w:rPr>
        <w:footnoteReference w:id="1364"/>
      </w:r>
      <w:r>
        <w:rPr>
          <w:rFonts w:ascii="IRNazanin" w:hAnsi="IRNazanin" w:eastAsia="IRNazanin"/>
          <w:color w:val="111111"/>
          <w:sz w:val="28"/>
          <w:sz w:val="28"/>
          <w:szCs w:val="28"/>
          <w:rtl w:val="true"/>
          <w:lang w:bidi="fa-IR"/>
        </w:rPr>
        <w:t xml:space="preserve">نیز فناوری های جدید را به خدمت گرفته است پیشینه های کتابشناختی با بکارگیری ترکیب تجهیزات پایانه ای و برنامه های رایانه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آلفز پرایمو</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کاهش عملکرد چند چهریزهایی مانند انتخاب نویسندگان، موضوع، زمان، زبان، نام ناشر و نوع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اف آر بی آر در اپک </w:t>
      </w:r>
      <w:r>
        <w:rPr>
          <w:rStyle w:val="FootnoteAnchor"/>
          <w:rtl w:val="true"/>
        </w:rPr>
        <w:footnoteReference w:id="1366"/>
      </w:r>
      <w:r>
        <w:rPr>
          <w:rFonts w:ascii="IRNazanin" w:hAnsi="IRNazanin" w:eastAsia="IRNazanin"/>
          <w:color w:val="111111"/>
          <w:sz w:val="28"/>
          <w:sz w:val="28"/>
          <w:szCs w:val="28"/>
          <w:rtl w:val="true"/>
          <w:lang w:bidi="fa-IR"/>
        </w:rPr>
        <w:t>برای ارائه اطلاعات درباره سایر انواع منابع توصیف شده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تفضیلی درباره منابع در فهرست کشویی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 با اطلاعات مربوط به خلاصه ها و جلد کتاب ها پر بارتر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فراپیوندهایی به پیشینه های موجود در راهنماهای بیرونی مانند وُرلدکت، </w:t>
      </w:r>
      <w:r>
        <w:rPr>
          <w:rStyle w:val="FootnoteAnchor"/>
          <w:rtl w:val="true"/>
        </w:rPr>
        <w:footnoteReference w:id="1367"/>
      </w:r>
      <w:r>
        <w:rPr>
          <w:rFonts w:ascii="IRNazanin" w:hAnsi="IRNazanin" w:eastAsia="IRNazanin"/>
          <w:color w:val="111111"/>
          <w:sz w:val="28"/>
          <w:sz w:val="28"/>
          <w:szCs w:val="28"/>
          <w:rtl w:val="true"/>
          <w:lang w:bidi="fa-IR"/>
        </w:rPr>
        <w:t xml:space="preserve">آمازون </w:t>
      </w:r>
      <w:r>
        <w:rPr>
          <w:rStyle w:val="FootnoteAnchor"/>
          <w:rtl w:val="true"/>
        </w:rPr>
        <w:footnoteReference w:id="1368"/>
      </w:r>
      <w:r>
        <w:rPr>
          <w:rFonts w:ascii="IRNazanin" w:hAnsi="IRNazanin" w:eastAsia="IRNazanin"/>
          <w:color w:val="111111"/>
          <w:sz w:val="28"/>
          <w:sz w:val="28"/>
          <w:szCs w:val="28"/>
          <w:rtl w:val="true"/>
          <w:lang w:bidi="fa-IR"/>
        </w:rPr>
        <w:t xml:space="preserve">کوپک </w:t>
      </w:r>
      <w:r>
        <w:rPr>
          <w:rStyle w:val="FootnoteAnchor"/>
          <w:rtl w:val="true"/>
        </w:rPr>
        <w:footnoteReference w:id="1369"/>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این پیشینه ها را به فهرست خودمان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مثال های خوبی از کاربرد فناوری مدرن پذیرفته شده در بسیاری از ابزارهای شبکه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داده های کتابشناختی موجود در فهرست های کتابخانه برای کاربران با توانایی متوسط آسان تر شده است امکان جستجو و تورق چند چهریزه ای این داده ها و محدود کردن نتایج جستجو، پیشرفت های بسیار مهمی برای نظام های کتابخانه ای به شمار می رود نیازی نیست مخاطبان برروی ماهیت و شمول کتابشناسی های ملی تمرکز داشته باشند اما آن ها باید برای جستجوی ابتکاری داده های کتابشناختی در بخش های مختلف و پایگاه های تخصصی مهارت ویژه ای داشته باشند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تر این است که آثار کتابشناختی با استفاده از میانجی های آسان کاربرد و مساعد ارائه می شوند، در ضمن، نظام باید امکان تطبیق جزئیات و نوع منابع تولید شده را متناسب با نیازهای کاربران در زمینه رسانه، محتوا حامل و غیره فراهم آورد تا کاربران فهرست های خودشان را بر اساس معیارهای معین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کنونی در این زمینه آن قدرها تخصصی نیستند، اما با پیشرفت های فناورانه سریع، که شاهد آن هستیم این امر به زودی امکان 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رایج تسهیم کتابشناسی به عنوان پایگاه های مستقل برای انواع مختلف منابع، در ساختار خدمات کتابخانه عمیقا پنهان شده است، و آن را یک ابزار ممتاز، ویژه و با کاربرد در مقیاس محدود 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کردن کتابشناسی های ملی به دیگر ابزارهای مدرن کتابشناسی ملی را یاری می دهد تا کاربران </w:t>
      </w:r>
    </w:p>
    <w:p>
      <w:pPr>
        <w:pStyle w:val="BookText"/>
        <w:rPr/>
      </w:pPr>
      <w:r>
        <w:rPr>
          <w:rFonts w:ascii="IRNazanin" w:hAnsi="IRNazanin" w:eastAsia="IRNazanin"/>
          <w:color w:val="111111"/>
          <w:sz w:val="28"/>
          <w:sz w:val="28"/>
          <w:szCs w:val="28"/>
          <w:rtl w:val="true"/>
          <w:lang w:bidi="fa-IR"/>
        </w:rPr>
        <w:t>بیشتری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گرایش های اخیر، چنین وجهه دوستانه ای برای کتابشناسی راه خوبی برای جلب توجه کاربران معاصر است در این خصوص اصطلاح کتابشناسی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شاید با بهره گیری از درخواست های اخیر، خدمات وب، استانداردها و زبان های توصیف فراداده مدرن و نیز همکاری بین دریافت کنندگان اطلاعات به معنای گرایش جدید در حوزه فعالیت های کتابشناسی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می تواند دانش کتابشناختی را بسیار متداول سازد</w:t>
      </w:r>
      <w:r>
        <w:rPr>
          <w:rFonts w:eastAsia="IRNazanin" w:cs="IRNazanin"/>
          <w:color w:val="111111"/>
          <w:sz w:val="28"/>
          <w:szCs w:val="28"/>
          <w:rtl w:val="true"/>
          <w:lang w:bidi="fa-IR"/>
        </w:rPr>
        <w:t xml:space="preserve">.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به هر حال ما باید به یاد داشته باشیم که کتابشناسی باید تاحدی محافظه کارانه عمل کند مداخله کنترل نشده در محتوا و ساختار فهرست ها توسط کاربران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مداخله می تواند به معنى فقدان کیفیت و اعتبار داده تلقی شود که از مزایای اصلی کتابشناسی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کتابشناسی می تواند گرایش های شبکه سازی های اجتماعی را منحصرا در برخی جنبه ها محقق سازد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دریافت کنندگان اطلاعات، که برای سامان دادن یک کارگاه علمی خوب آماده نشده اند همانند تولید کنندگان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سازندگان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مدیران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افزارهای مدیریت کتابشناختی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 های کاربردی سهل الاستفاده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هایی که در خدمات گوگل بوک یافته شده است به آسانی می تواند در برنامه هایی مانند رِف وُرک، </w:t>
      </w:r>
      <w:r>
        <w:rPr>
          <w:rStyle w:val="FootnoteAnchor"/>
          <w:rtl w:val="true"/>
        </w:rPr>
        <w:footnoteReference w:id="1371"/>
      </w:r>
      <w:r>
        <w:rPr>
          <w:rFonts w:ascii="Amiri" w:hAnsi="Amiri" w:eastAsia="Amiri" w:cs="Amiri"/>
          <w:color w:val="111111"/>
          <w:sz w:val="28"/>
          <w:sz w:val="28"/>
          <w:szCs w:val="28"/>
          <w:rtl w:val="true"/>
          <w:lang w:bidi="ar-SA"/>
        </w:rPr>
        <w:t xml:space="preserve">اِند نوت </w:t>
      </w:r>
      <w:r>
        <w:rPr>
          <w:rStyle w:val="FootnoteAnchor"/>
          <w:rtl w:val="true"/>
        </w:rPr>
        <w:footnoteReference w:id="1372"/>
      </w:r>
      <w:r>
        <w:rPr>
          <w:rFonts w:ascii="IRNazanin" w:hAnsi="IRNazanin" w:eastAsia="IRNazanin"/>
          <w:color w:val="111111"/>
          <w:sz w:val="28"/>
          <w:sz w:val="28"/>
          <w:szCs w:val="28"/>
          <w:rtl w:val="true"/>
          <w:lang w:bidi="fa-IR"/>
        </w:rPr>
        <w:t xml:space="preserve">و مدیریت مرجع </w:t>
      </w:r>
      <w:r>
        <w:rPr>
          <w:rStyle w:val="FootnoteAnchor"/>
          <w:rtl w:val="true"/>
        </w:rPr>
        <w:footnoteReference w:id="1373"/>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فهرست های مدرن کتابخانه های ملی با فراداده های مشابه قابل دسترسی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منابع فراداده ها به منظور خلق ارجاع های کتابشناختی منابع بازیابی شده در شبکه می تواند به همان روش مانند بوک مارک های برخط مثلا با استفاده از زوترو، </w:t>
      </w:r>
      <w:r>
        <w:rPr>
          <w:rStyle w:val="FootnoteAnchor"/>
          <w:rtl w:val="true"/>
        </w:rPr>
        <w:footnoteReference w:id="1374"/>
      </w:r>
      <w:r>
        <w:rPr>
          <w:rFonts w:ascii="IRNazanin" w:hAnsi="IRNazanin" w:eastAsia="IRNazanin"/>
          <w:color w:val="111111"/>
          <w:sz w:val="28"/>
          <w:sz w:val="28"/>
          <w:szCs w:val="28"/>
          <w:rtl w:val="true"/>
          <w:lang w:bidi="fa-IR"/>
        </w:rPr>
        <w:t xml:space="preserve">کونوتیا، </w:t>
      </w:r>
      <w:r>
        <w:rPr>
          <w:rStyle w:val="FootnoteAnchor"/>
          <w:rtl w:val="true"/>
        </w:rPr>
        <w:footnoteReference w:id="1375"/>
      </w:r>
      <w:r>
        <w:rPr>
          <w:rFonts w:ascii="IRNazanin" w:hAnsi="IRNazanin" w:eastAsia="IRNazanin"/>
          <w:color w:val="111111"/>
          <w:sz w:val="28"/>
          <w:sz w:val="28"/>
          <w:szCs w:val="28"/>
          <w:rtl w:val="true"/>
          <w:lang w:bidi="fa-IR"/>
        </w:rPr>
        <w:t xml:space="preserve">سایت یو لایک، </w:t>
      </w:r>
      <w:r>
        <w:rPr>
          <w:rStyle w:val="FootnoteAnchor"/>
          <w:rtl w:val="true"/>
        </w:rPr>
        <w:footnoteReference w:id="1376"/>
      </w:r>
      <w:r>
        <w:rPr>
          <w:rFonts w:ascii="IRNazanin" w:hAnsi="IRNazanin" w:eastAsia="IRNazanin"/>
          <w:color w:val="111111"/>
          <w:sz w:val="28"/>
          <w:sz w:val="28"/>
          <w:szCs w:val="28"/>
          <w:rtl w:val="true"/>
          <w:lang w:bidi="fa-IR"/>
        </w:rPr>
        <w:t>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مدیریت منابع فراداده ایی که در رایانه تانگرد آوری کرده اید،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برنامه کاربردی مانند ایزی بیب </w:t>
      </w:r>
      <w:r>
        <w:rPr>
          <w:rStyle w:val="FootnoteAnchor"/>
          <w:rtl w:val="true"/>
        </w:rPr>
        <w:footnoteReference w:id="1377"/>
      </w:r>
      <w:r>
        <w:rPr>
          <w:rFonts w:ascii="IRNazanin" w:hAnsi="IRNazanin" w:eastAsia="IRNazanin"/>
          <w:color w:val="111111"/>
          <w:sz w:val="28"/>
          <w:sz w:val="28"/>
          <w:szCs w:val="28"/>
          <w:rtl w:val="true"/>
          <w:lang w:bidi="fa-IR"/>
        </w:rPr>
        <w:t xml:space="preserve">می تواند برای اسکن شماره های آی اس بی ان </w:t>
      </w:r>
      <w:r>
        <w:rPr>
          <w:rStyle w:val="FootnoteAnchor"/>
          <w:rtl w:val="true"/>
        </w:rPr>
        <w:footnoteReference w:id="1378"/>
      </w:r>
      <w:r>
        <w:rPr>
          <w:rFonts w:ascii="IRNazanin" w:hAnsi="IRNazanin" w:eastAsia="IRNazanin"/>
          <w:color w:val="111111"/>
          <w:sz w:val="28"/>
          <w:sz w:val="28"/>
          <w:szCs w:val="28"/>
          <w:rtl w:val="true"/>
          <w:lang w:bidi="fa-IR"/>
        </w:rPr>
        <w:t>و بازیابی سریع داده های کتابشناختی و تولید خودکار یک فهرست از ارجاع های کتابشناختی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برنامه های کاربردی، به طور فزاینده ای برای دستگاه های تلفن همراه فراهم شده است به طوری که ما می توانیم فهرست هایی را که قبلا در کتابخانه ها و کتابفروشی ها ایجاد می شد، به </w:t>
      </w:r>
    </w:p>
    <w:p>
      <w:pPr>
        <w:pStyle w:val="BookText"/>
        <w:rPr/>
      </w:pPr>
      <w:r>
        <w:rPr>
          <w:rFonts w:ascii="IRNazanin" w:hAnsi="IRNazanin" w:eastAsia="IRNazanin"/>
          <w:color w:val="111111"/>
          <w:sz w:val="28"/>
          <w:sz w:val="28"/>
          <w:szCs w:val="28"/>
          <w:rtl w:val="true"/>
          <w:lang w:bidi="fa-IR"/>
        </w:rPr>
        <w:t>سهولت خلق کنیم موارد مطرح شده آماده سازی کتابشناسی را برای همه مقدور می سازد این سهولت نتیجه همکاری خوب میان متخصصان کتابشناسی و فناوری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سودمندی کتابشناسی های ملی به دلیل غنای منابع اینترنتی چالش برانگیز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مهیاشدن خدمات پاسخ به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موتورهای جستجوی اینترنت و کارگزاران وب ممکن است به ذهن برسد که منابع سنتی و معتبر دیگر کمک مفیدی نیستند البته این فقط یک خیال باطل است این تفکر از این حقیقت بر می خیزد که شبکه به آسانی می تواند اخبار موضوعات عمومی و موضوعات رایج را پیدا کند اما هنگامی که اطلاعات خیلی تخصصی می شود پیدا کردن آن بسیار دشوار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وجود دارد که ممکن استدر شبکه، حقایق یا دانشی که رایج و مشهور نیستند و یا مبهم هستند، برای متوسط کاربران اینترنت به اندازه کافی منعکس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که حائز اهمیت است درک کتابشناسی ملی به عنوان یک منبع جامع اطلاعات درباره میراث فکری و هنری یک ملت در هر ناحیه و صرف نظر از شیوه تثبیت مصنوعات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استفاده موثر از اطلاعات بازیابی شده سنجش میزان اعتبار آن اطلاعات است که به شما امکان می دهد تا دانش علمی و در پی آن علم را بسازید در جامعه اطلاعاتی علم به موتور محرکه اصلی فضای اقتصادی تبدیل شده است و یک جامعه فرهیخته که با دانش ارتباط دارد به سرعت گسترش یافته است بهبود دسترسی به منابعی که وب پنهان یا وب عمیق نامیده می شوند مانند درگاه های ویژه فهرست ها پایگاه های اطلاعاتی، مجلات ،الکترونیکی کتابشناسی ها، که به دلیل انجام اعتبار سنجی مورد رضایت هستند از مهمترین فعالیت هایی است که صورت می گیرد کتابشناسی های ملی به جهت فراهم نمودن چنین اطلاعاتی، ابزارهای ارزشمندی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موتورهای جستجوی ،تجاری با استفاده از فهرست های کتابخانه ای به شما اجازه می دهند تا اطلاعات کتابشناختی را برحسب تقاضا تولید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به تولید فهرست های حرفه ای با این خودکارسازی اندک از بین نمی رود در حقیقت فقط فهرست ها و کتابشناسی ها عرضه کنندگان اصلی محتوا برای ابزارهای کتابشناختی هستند این محتوا شامل اطلاعات ویژهای با کیفیت بالا در خدمت علم و مفید برای تحقیقات آتی است کتابشناسی ملی قصد ندارد با فهرست ها یا حتی بیش از آن با موتورهای جستجو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توسعه بیشتر کتابشناسی های ملی نیازمند ترکیب کامل تری از یکپارچه سازی این ابزارها است کاربران انتظار دارند فهرست های کنونی با ابزارهای بیرونی، مانند خدمات فراهم شده به وسیله گوگل، ترکیب شوند مدت ها بود که لازم دیده می شد درباره آزاد شدن فهرست های </w:t>
      </w:r>
      <w:bookmarkStart w:id="1107" w:name="pg9653_82210"/>
    </w:p>
    <w:p>
      <w:pPr>
        <w:pStyle w:val="BookText"/>
        <w:rPr/>
      </w:pPr>
      <w:bookmarkEnd w:id="1107"/>
      <w:r>
        <w:rPr>
          <w:rFonts w:ascii="IRNazanin" w:hAnsi="IRNazanin" w:eastAsia="IRNazanin"/>
          <w:color w:val="111111"/>
          <w:sz w:val="28"/>
          <w:sz w:val="28"/>
          <w:szCs w:val="28"/>
          <w:rtl w:val="true"/>
          <w:lang w:bidi="fa-IR"/>
        </w:rPr>
        <w:t>کتابخانه ای برای نمایه سازی موتورهای جستجو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کارن کالون </w:t>
      </w:r>
      <w:r>
        <w:rPr>
          <w:rStyle w:val="FootnoteAnchor"/>
          <w:rtl w:val="true"/>
        </w:rPr>
        <w:footnoteReference w:id="1379"/>
      </w:r>
      <w:r>
        <w:rPr>
          <w:rFonts w:ascii="IRNazanin" w:hAnsi="IRNazanin" w:eastAsia="IRNazanin"/>
          <w:color w:val="111111"/>
          <w:sz w:val="28"/>
          <w:sz w:val="28"/>
          <w:szCs w:val="28"/>
          <w:rtl w:val="true"/>
          <w:lang w:bidi="fa-IR"/>
        </w:rPr>
        <w:t>به این نکته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جایی که مجموعه ای از منابع ،دیگر به جز منابع داده های غیر معتبر نمی توانند جایگزین کتابشناسی های ملی شوند عامه پسند کردن نقش آن ها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مزایای کتابشناسی های ملی که معمولا نادیده گرفته می،شود این واقعیت است که آن ها به وسیله سرمایه های مالی دولتی اداره می شوند که باعث ثبات آن ها است و در عین حال توسط موسسات غیر انتفاعی تهیه می شوند که این نکته آن ها را از موسسات تجاری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تقاضا و یا تغییر در مشخصات پایگاه های اطلاعاتی تجاری، ممکن است آن ها به مدت طولانی به حیات خود ادامه ندهند یا از روزآمد شدن محروم شوند مگر این که برای دسترسی به آن ها هزینه های هنگفتی پرداخته شود</w:t>
      </w:r>
      <w:r>
        <w:rPr>
          <w:rFonts w:eastAsia="IRNazanin" w:cs="IRNazanin"/>
          <w:color w:val="111111"/>
          <w:sz w:val="28"/>
          <w:szCs w:val="28"/>
          <w:rtl w:val="true"/>
          <w:lang w:bidi="fa-IR"/>
        </w:rPr>
        <w:t>.</w:t>
      </w:r>
    </w:p>
    <w:p>
      <w:pPr>
        <w:pStyle w:val="Heading3"/>
        <w:numPr>
          <w:ilvl w:val="2"/>
          <w:numId w:val="1"/>
        </w:numPr>
        <w:rPr/>
      </w:pPr>
      <w:bookmarkStart w:id="1108" w:name="__RefHeading___Toc7767066_2870459653"/>
      <w:bookmarkStart w:id="1109" w:name="_Toc408"/>
      <w:bookmarkEnd w:id="1108"/>
      <w:r>
        <w:rPr>
          <w:rtl w:val="true"/>
        </w:rPr>
        <w:t>موضوع کتابشناسی و واحد توصیف</w:t>
      </w:r>
      <w:bookmarkEnd w:id="1109"/>
    </w:p>
    <w:p>
      <w:pPr>
        <w:pStyle w:val="BookText"/>
        <w:rPr/>
      </w:pPr>
      <w:r>
        <w:rPr>
          <w:rFonts w:ascii="IRNazanin" w:hAnsi="IRNazanin" w:eastAsia="IRNazanin"/>
          <w:color w:val="111111"/>
          <w:sz w:val="28"/>
          <w:sz w:val="28"/>
          <w:szCs w:val="28"/>
          <w:rtl w:val="true"/>
          <w:lang w:bidi="fa-IR"/>
        </w:rPr>
        <w:t>کتابشناسی ملی، که در ابتدا فقط شامل کتاب ها بود، به مرور زمان انواع مدارک نوظهور دیگر را هم در برگرفت در قرن نوزدهم کتابشناسی ملی غیر از کتاب ها شامل روزنامه ها و مجلات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هایی که در آن ها ظاهر می شد، فقط در کتابشناسی های موضوعی ثبت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بعدی در این زمینه در اواخر قرن نوزدهم و بیستم ظاهر شد هنگامی که در کتابشناسی پیشرفت گسترده ای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جدیدی از مدارک که کتابشناسی ها برای مدتی آن ها را نادیده می گرفتند به مرور زمان پذیرفته شدند امروزه هم روند مشابهی در زمینه منابع منتشر شده در قالب ها یا انواع رسانه های جدید مشاهده می 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مدارک با کیفیت ،خاص می توان به تصاویر ،ثابت از جمله تصاویر گرافیکی و مواد جغرافیایی اشاره کرد این مدارک همزمان با کتاب ها وجود داشتند ولی کتابشناسی های ملی به طور محدودی شامل آن ها می شد امروزه بیشتر به آن ها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اغلب رقومی شده اند و در کتابخانه های رقومی قابل دسترسی هستند روند مشابهی در چند رسانه ای ها بخصوص انواع مختلفی از ذخیره سازی ها مانند صوتی، تصویری و غیره آثار ترکیبی محتوای مجلات و غیره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ذخیره سازی مناسب نوارهای صوتی همواره باید محتوا را در نظر داشته باشید چون در مورد این نوع منابع، بیش از انواع دیگر منابع، ما با مجموعه ها و یا مجموعه ای از آثار یک هنرمند و یا یک گروه هنری، یا منتخبی از آوازها برحسب موضوع روبرو هستیم در این منابع فارغ از قالبی </w:t>
      </w:r>
    </w:p>
    <w:p>
      <w:pPr>
        <w:pStyle w:val="BookText"/>
        <w:rPr/>
      </w:pPr>
      <w:r>
        <w:rPr>
          <w:rFonts w:ascii="IRNazanin" w:hAnsi="IRNazanin" w:eastAsia="IRNazanin"/>
          <w:color w:val="111111"/>
          <w:sz w:val="28"/>
          <w:sz w:val="28"/>
          <w:szCs w:val="28"/>
          <w:rtl w:val="true"/>
          <w:lang w:bidi="fa-IR"/>
        </w:rPr>
        <w:t>که در آن انتشار یافته اند توجه بسیار بیشتری به محتوای واقعی اثر معطوف می شود پایگاه های کتابشناختی که در آن ها علاوه بر کتاب ها و مقالات تمام متن شما می توانید ویدئوها، صفحات صوتی مانند رادیو، موسیقی و نیز منابع گرافیکی را بیابید، دارای بیشترین اقبال هستند درباره موضوع آماده سازی مجموعه ها در کتابشناسی های ملی مطالب اندکی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دلیل منابع بسیاری که انتشار می یابد و باید در نظر گرفته شود،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 توجه به مدل اف آر بی آر این کار اهمیت زیادی دارد گویا باید برای بررسی گنجانده شدن تمام آثار از گلچین های ،ادبی مجلدات و منابع همایش ها زمان زیادی منتظر بمانیم در ،آینده فناوری های جدید و افزایش خود کارسازی در آماده سازی فعالیت های کتابشناختی ما را در رسیدن به این موضوع مهم یاری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می توان نتیجه گرفت که در قرن بیست و یکم کتابشناسی ملی باید به طور گسترده ای به سوی تمام انواع منابع جدید گشوده شود لازم است از کتابشناسی های موضوعی درک گسترده ای فراهم شود و چگونگی استخراج واحدهای اصلی توصیف کشف و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نمایش دستاوردهای هنری و فکری یک ملت فقط آگاهی رسانی درباره منابع چاپی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ثبت موثر منابع الکترونیکی به ویژه شبکه ها هنوز به مشکلات زیادی منجر می شود</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آن ها درباره موارد زیر نگرانی هایی به وجود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استانداردهای توصیف؛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 نهادن حوزه های موضوعی و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جنبه های معیارهای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محمل های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زمینه فایل بندی و ثبت منابع شبکه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معاصر، آیینه تمام نمای تغییرات در ساختار ارتباطات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 با قالب های جدید اطلاعات، که تلاش می شود در کتابشناسی های مدرن گنجانده شوند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دلیل آن می تواند این ها باشند دشواری تعریف بعضی از اجزاء منابع جدید و محدودیت های به کار رفته در قالب های داده های قبلی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بیستم در مفهوم همگرایی رقومی که فردریک کیتلر </w:t>
      </w:r>
      <w:r>
        <w:rPr>
          <w:rStyle w:val="FootnoteAnchor"/>
          <w:rtl w:val="true"/>
        </w:rPr>
        <w:footnoteReference w:id="1381"/>
      </w:r>
      <w:r>
        <w:rPr>
          <w:rFonts w:ascii="IRNazanin" w:hAnsi="IRNazanin" w:eastAsia="IRNazanin"/>
          <w:color w:val="111111"/>
          <w:sz w:val="28"/>
          <w:sz w:val="28"/>
          <w:szCs w:val="28"/>
          <w:rtl w:val="true"/>
          <w:lang w:bidi="fa-IR"/>
        </w:rPr>
        <w:t>ارائه می کند، با برتری رسانه رقومی خلق یک فرهنگ از دوره پست مدرن توصیف شده است که قرن گوگل نیز نامیده می شود زیرا بر حوزه های زیادی از زندگی تاثیر دارد و به کتابشناسی نیز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های متمادی است </w:t>
      </w:r>
    </w:p>
    <w:p>
      <w:pPr>
        <w:pStyle w:val="BookText"/>
        <w:rPr/>
      </w:pPr>
      <w:r>
        <w:rPr>
          <w:rFonts w:ascii="IRNazanin" w:hAnsi="IRNazanin" w:eastAsia="IRNazanin"/>
          <w:color w:val="111111"/>
          <w:sz w:val="28"/>
          <w:sz w:val="28"/>
          <w:szCs w:val="28"/>
          <w:rtl w:val="true"/>
          <w:lang w:bidi="fa-IR"/>
        </w:rPr>
        <w:t>که شیوه های پیشین فراهم آوری کتابشناسی، حقیقتا تغییر چندانی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عمومی ايفلا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بوستون،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آنی کناتسن </w:t>
      </w:r>
      <w:r>
        <w:rPr>
          <w:rStyle w:val="FootnoteAnchor"/>
          <w:rtl w:val="true"/>
        </w:rPr>
        <w:footnoteReference w:id="1382"/>
      </w:r>
      <w:r>
        <w:rPr>
          <w:rFonts w:ascii="IRNazanin" w:hAnsi="IRNazanin" w:eastAsia="IRNazanin"/>
          <w:color w:val="111111"/>
          <w:sz w:val="28"/>
          <w:sz w:val="28"/>
          <w:szCs w:val="28"/>
          <w:rtl w:val="true"/>
          <w:lang w:bidi="fa-IR"/>
        </w:rPr>
        <w:t>نتایج یک تحقیق بر روی کتابشناسی های ملی را ارائه کرد، زوال نقش بارز منابع چاپی خود را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اکثر کتابشناسی های ملی فقط در قالب الکترونیکی به اشتراک گذاشته می شوند</w:t>
      </w:r>
      <w:r>
        <w:rPr>
          <w:rFonts w:eastAsia="IRNazanin" w:cs="IRNazanin"/>
          <w:color w:val="111111"/>
          <w:sz w:val="28"/>
          <w:szCs w:val="28"/>
          <w:rtl w:val="true"/>
          <w:lang w:bidi="fa-IR"/>
        </w:rPr>
        <w:t xml:space="preserve">. </w:t>
      </w:r>
      <w:r>
        <w:rPr>
          <w:rStyle w:val="FootnoteAnchor"/>
          <w:rtl w:val="true"/>
        </w:rPr>
        <w:footnoteReference w:id="1383"/>
      </w:r>
    </w:p>
    <w:p>
      <w:pPr>
        <w:pStyle w:val="BookText"/>
        <w:rPr/>
      </w:pPr>
      <w:r>
        <w:rPr>
          <w:rFonts w:eastAsia="Times New Roman" w:cs="Times New Roman" w:ascii="Times New Roman" w:hAnsi="Times New Roman"/>
          <w:color w:val="111111"/>
          <w:sz w:val="28"/>
          <w:szCs w:val="28"/>
          <w:lang w:val="en-US" w:bidi="en-US"/>
        </w:rPr>
        <w:t>http://archive.ifla.org/IV/ifla67/papers/143-199e.pdf. 10 See: National Bibliographic Register [online]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http://www.ifla.org/en/node/2216</w:t>
      </w:r>
    </w:p>
    <w:p>
      <w:pPr>
        <w:pStyle w:val="BookText"/>
        <w:rPr/>
      </w:pPr>
      <w:r>
        <w:rPr>
          <w:rFonts w:ascii="IRNazanin" w:hAnsi="IRNazanin" w:eastAsia="IRNazanin"/>
          <w:color w:val="111111"/>
          <w:sz w:val="28"/>
          <w:sz w:val="28"/>
          <w:szCs w:val="28"/>
          <w:rtl w:val="true"/>
          <w:lang w:bidi="fa-IR"/>
        </w:rPr>
        <w:t xml:space="preserve">اصول فهرستنویسی بین المللی هنوز هم در حال تغییر هستند قوانین فهرستنویسی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هلند که بر اساس آی اس بی 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آی اس بی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انگلو امریکن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 ای سی آر تو، بزودی آر دی ای</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 xml:space="preserve">در کتابشناسی های ملی به کار گرفته می شوند استفاده از قالب های مختلف فراداده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مارک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یونی مارک مارک سی ایکس ام ال، دوبلین کور</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 xml:space="preserve">امکان پذیر است اما خیلی اوقات قالب مارک بخصوص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مدت زمان طولانی آنی کناتسن به طور مکرر می نوشت و می گفت که به کارگیری وسیع قالب مارک با فناوری های مدرن اطلاعات برابر نیست، این مطلب اکنون توسط کارن کویل </w:t>
      </w:r>
      <w:r>
        <w:rPr>
          <w:rStyle w:val="FootnoteAnchor"/>
          <w:rtl w:val="true"/>
        </w:rPr>
        <w:footnoteReference w:id="1386"/>
      </w:r>
      <w:r>
        <w:rPr>
          <w:rFonts w:ascii="IRNazanin" w:hAnsi="IRNazanin" w:eastAsia="IRNazanin"/>
          <w:color w:val="111111"/>
          <w:sz w:val="28"/>
          <w:sz w:val="28"/>
          <w:szCs w:val="28"/>
          <w:rtl w:val="true"/>
          <w:lang w:bidi="fa-IR"/>
        </w:rPr>
        <w:t>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اجرای یک استاندارد فرادادهای جدید ضروری است که دسترسی به داده های ثبت شده در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کند، و درعین حال قابلیت همکاری با موتورهای جسجو را به خوبی همکاری با فناوری های معاصر و آینده، مشابه وب معنایی، را داشته باشد نخستین قدم، کارکردن بر روی قوانین فهرستنویسی جدید است در طول مدت آماده شدن روزآمد سازی قوانین آی اس بی دی برای خلق یک سند برای تمام انواع منابع تصمیم 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ویرایش جدید، ادغام شدن آی اس بی دیدر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شامل اطلاعات درباره نوع منبع است بر طبق این ناحیه اصطلاحات نوع منبع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داده های عددی، داده های محیطی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مانند باز، تکثیرها نقش ها نقشه های برجسته عکس ها تصاویر سنجش از راه دور، استریوگراف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سه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تصاویر متحرک و لیتوگرافی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نمادهای رقص، اجراهای زنده، طراحی باله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 های محتوایی چندگانه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نوارهای ضبط شده در قالب آنالوگ و رقومی، نمادهای موسیقی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کره های جغرافیایی، مدل های برجسته و اقلام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 های محتوایی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سیستم های عامل نرم افزارهای کاربردی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صدای گفتگوی انسان رسانه رادیو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های چاپی و الکترونیکی، مکاتبات، پایگاه های مجلات و میکروفیلم، روزنامه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رده فرم محتوایی بوسیله یک یا چند زیررده توصیف محتوا بسط یافته اند که بر روی منابعی که توصیف شده اند اجرا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شوند در صورتی که عوامل دیگر قابلیت فرم محتوا را داشته باشند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دو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سه بعدی</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کتابشناسی های ملی به مدت طولانی برخی از این انواع را در بر می گرفت اما انواعی هم وجود دارد که برای کتابخانه ها نادر و کمیاب هستند و احتمالا خیلی اتفاق نمی افتد سؤال این جاست که آیا به کارگیری چنین نوع شناسی عملا مفید خواهد بود؟ این سؤال تعداد کتاب دارانی را که از چگونگی اجرای قوانین جدید در حیرت و تعجب بودند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پیشینیان بر روی توسعه قوانین فهرستنویسی انگلوامریکن جدید کار کرده بودند طی آماده سازی گروه کاری قبلا درک کرده بودند که نسخه بعدی را به دلیل نیاز به تغییر در رویکرد فهرستنویسی نمی توانند تنزل یافته منتشر کنند بنابراین آر دی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و دسترسی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استاندارد جدید فهرستنویسی پس از چندین سال کار و فرایند آزمایش کدهای جدید منتشر شد اجرای آردی اِی از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از دیدگاه ما، مباحث زیر مهم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آردی ای بر اساس مدل مفهومی اف آر بی آرو فراد </w:t>
      </w:r>
      <w:r>
        <w:rPr>
          <w:rStyle w:val="FootnoteAnchor"/>
          <w:rtl w:val="true"/>
        </w:rPr>
        <w:footnoteReference w:id="138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 دی ای نیز شامل قوانین نمایه سازی تمام انواع سرعنوان های مستند می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تسمیه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انگلو امریکن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عنصر در کد آر دی ای جابجا شده </w:t>
      </w:r>
      <w:bookmarkStart w:id="1110" w:name="pg9653_82214"/>
    </w:p>
    <w:p>
      <w:pPr>
        <w:pStyle w:val="BookText"/>
        <w:rPr/>
      </w:pPr>
      <w:bookmarkEnd w:id="11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محتوا نوع رسانه، و نوع حامل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که در ناحیه صفر آی اس بی دی وجود دارد اما فرم نام های آن ها متمایز شده است واژگان آردی ای برای نوع محتوا، رسانه و محمل مشترک با اونیکس </w:t>
      </w:r>
      <w:r>
        <w:rPr>
          <w:rStyle w:val="FootnoteAnchor"/>
          <w:rtl w:val="true"/>
        </w:rPr>
        <w:footnoteReference w:id="1390"/>
      </w:r>
      <w:r>
        <w:rPr>
          <w:rFonts w:ascii="IRNazanin" w:hAnsi="IRNazanin" w:eastAsia="IRNazanin"/>
          <w:color w:val="111111"/>
          <w:sz w:val="28"/>
          <w:sz w:val="28"/>
          <w:szCs w:val="28"/>
          <w:rtl w:val="true"/>
          <w:lang w:bidi="fa-IR"/>
        </w:rPr>
        <w:t>توسعه یافته است ممکن استواژگان اصطلاحات به منظور نمایش در یک اوپک به وسیله اصطلاحات یا آیکون های دیگری که توسط یک بنگاه محلی انتخاب شده است جابجا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ممکن است به طور اضافی یا فقط برای فیلتر یا محدود کردن جستجوها به کار گرفته شوند</w:t>
      </w:r>
      <w:r>
        <w:rPr>
          <w:rFonts w:eastAsia="IRNazanin" w:cs="IRNazanin"/>
          <w:color w:val="111111"/>
          <w:sz w:val="28"/>
          <w:szCs w:val="28"/>
          <w:rtl w:val="true"/>
          <w:lang w:bidi="fa-IR"/>
        </w:rPr>
        <w:t xml:space="preserve">. </w:t>
      </w:r>
      <w:r>
        <w:rPr>
          <w:rStyle w:val="FootnoteAnchor"/>
          <w:rtl w:val="true"/>
        </w:rPr>
        <w:footnoteReference w:id="1391"/>
      </w:r>
    </w:p>
    <w:p>
      <w:pPr>
        <w:pStyle w:val="Heading3"/>
        <w:numPr>
          <w:ilvl w:val="2"/>
          <w:numId w:val="1"/>
        </w:numPr>
        <w:rPr/>
      </w:pPr>
      <w:bookmarkStart w:id="1111" w:name="__RefHeading___Toc7767068_2870459653"/>
      <w:bookmarkStart w:id="1112" w:name="_Toc409"/>
      <w:bookmarkEnd w:id="1111"/>
      <w:r>
        <w:rPr>
          <w:rtl w:val="true"/>
        </w:rPr>
        <w:t>انواع محتوا درآر دی ای</w:t>
      </w:r>
      <w:bookmarkEnd w:id="11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اطلاعاتی جغرافیایی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جغرافیایی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متحرک جغرافیایی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لمسی جغرافیایی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سه بعدی لمسی جغرافیایی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های سه بعدی جغرافیایی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اطلاعاتی رایانه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رایانه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نشانه گذاری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تصنیف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اجرا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ثابت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لمسی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نشان شده لمسی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نشان شده لمسی </w:t>
      </w:r>
      <w:bookmarkStart w:id="1113" w:name="pg9653_82215"/>
    </w:p>
    <w:p>
      <w:pPr>
        <w:pStyle w:val="BookText"/>
        <w:rPr/>
      </w:pPr>
      <w:bookmarkEnd w:id="11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لمسی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لمسی سه بعدی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سه بعدی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متحرک سه بعدی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متحرک دو بعدی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p>
    <w:p>
      <w:pPr>
        <w:pStyle w:val="BookText"/>
        <w:rPr/>
      </w:pPr>
      <w:r>
        <w:rPr>
          <w:rFonts w:ascii="IRNazanin" w:hAnsi="IRNazanin" w:eastAsia="IRNazanin"/>
          <w:color w:val="111111"/>
          <w:sz w:val="28"/>
          <w:sz w:val="28"/>
          <w:szCs w:val="28"/>
          <w:rtl w:val="true"/>
          <w:lang w:bidi="fa-IR"/>
        </w:rPr>
        <w:t xml:space="preserve">اصولی که در بالا اشاره شد به منظور توسعه منابع در تطابق با آی اس بی دی و آر دی ای به فیلدها و زیر فیلدهای جدید در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دشوار است که بگویم این ها چگونه برای دسترسی به منبع مفید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جستجوی یک کتاب چاپی ساده در نسخه اپک 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آر دی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دی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آر دی اِی</w:t>
      </w:r>
    </w:p>
    <w:p>
      <w:pPr>
        <w:pStyle w:val="BookText"/>
        <w:rPr/>
      </w:pPr>
      <w:r>
        <w:rPr>
          <w:rFonts w:ascii="IRNazanin" w:hAnsi="IRNazanin" w:eastAsia="IRNazanin"/>
          <w:color w:val="111111"/>
          <w:sz w:val="28"/>
          <w:sz w:val="28"/>
          <w:szCs w:val="28"/>
          <w:rtl w:val="true"/>
          <w:lang w:bidi="fa-IR"/>
        </w:rPr>
        <w:t>هر دو مجموعه قوانین فهرست نویسی آی اس بیدی وآردی اِی به تعیین جزئیات نوع محتوا رسانه و قالبی که منبع به آن شکل توزیع شده است نیاز دارند در این رویکرد، وجه تسمیه مواد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وجه تسمیه با دقت کمتری تعریف می شد و فقط اگر منابع در فرم خاصی مانند منابع الکترونیکی نوارهای صوتی ضبط شده تصاویر ثابت و متحرک موجود بودند، آن هنگام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گام جدی در جهت اتخاذ رفتار واحد با تمام انواع منابع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حتی مهم تر از آن است که رسانه های گوناگون تعداد کانال های ارتباطی را توسعه داده و دسترسی به میراث فرهنگی را آسان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اطلاعات در زمینه محتوا و موضوع فهرستنویسی منابع بیش از هر زمان دیگری اهمیت یافت</w:t>
      </w:r>
      <w:r>
        <w:rPr>
          <w:rFonts w:eastAsia="IRNazanin" w:cs="IRNazanin"/>
          <w:color w:val="111111"/>
          <w:sz w:val="28"/>
          <w:szCs w:val="28"/>
          <w:rtl w:val="true"/>
          <w:lang w:bidi="fa-IR"/>
        </w:rPr>
        <w:t>.</w:t>
      </w:r>
    </w:p>
    <w:p>
      <w:pPr>
        <w:pStyle w:val="Heading3"/>
        <w:numPr>
          <w:ilvl w:val="2"/>
          <w:numId w:val="1"/>
        </w:numPr>
        <w:rPr/>
      </w:pPr>
      <w:bookmarkStart w:id="1114" w:name="__RefHeading___Toc7767070_2870459653"/>
      <w:bookmarkStart w:id="1115" w:name="_Toc410"/>
      <w:bookmarkEnd w:id="1114"/>
      <w:r>
        <w:rPr>
          <w:rtl w:val="true"/>
        </w:rPr>
        <w:t>نتیجه گیری</w:t>
      </w:r>
      <w:bookmarkEnd w:id="111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اینترنت یک تهدید واقعی است؟ موضوع این مقاله یک شعار بازاریابی است؟ اینترنت با کاربردهای شخصی و یا تجاری ما را به تغییرات فناورانه و طراحی ابزارهای جدید و ادار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همه حوزه های حوزه های دیگر دانش کم و بیش در این روند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اخیر تغییراتی در استانداردهای فراداده </w:t>
      </w:r>
    </w:p>
    <w:p>
      <w:pPr>
        <w:pStyle w:val="BookText"/>
        <w:rPr/>
      </w:pPr>
      <w:r>
        <w:rPr>
          <w:rFonts w:ascii="IRNazanin" w:hAnsi="IRNazanin" w:eastAsia="IRNazanin"/>
          <w:color w:val="111111"/>
          <w:sz w:val="28"/>
          <w:sz w:val="28"/>
          <w:szCs w:val="28"/>
          <w:rtl w:val="true"/>
          <w:lang w:bidi="fa-IR"/>
        </w:rPr>
        <w:t>های کتابشناختی و نرم افزارهای مورد استفاده در ایک ها شامل کتابشناسی های ملی را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نشان می دهد که آن ها چالش های جدیدی را در مسیر سازندهای قرار داده اند چطور اینترنت می تواند کتابشناسی ملی را تخریب کند یا حتی از میان بردارد؟ ممکن است نادیده گرفتن قدرت عظیم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رواج دسترس پذیری، مفید بودن و دیگر ویژگی های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کتابشناسی ملی بزرگ ترین تهدید محسوب شود ابزارهای حرفه ای اینترنت، بر اساس روش های طراحی شده در فعالیت های کتابشناسی هستند که در آن ها نمایه سازی فهرستنویسی توصیفی فهرستنویسی موضوعی و نقاط دسترسی کنترل شده انجام می شود و سال هاست که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کتابداران در جهت مهمترین اصول راهنمای ساخت کدهای فهرستنویسی بر اساس بیانیه اصول فهرستویسی بین المللی </w:t>
      </w:r>
      <w:r>
        <w:rPr>
          <w:rStyle w:val="FootnoteAnchor"/>
          <w:rtl w:val="true"/>
        </w:rPr>
        <w:footnoteReference w:id="1392"/>
      </w:r>
      <w:r>
        <w:rPr>
          <w:rFonts w:ascii="IRNazanin" w:hAnsi="IRNazanin" w:eastAsia="IRNazanin"/>
          <w:color w:val="111111"/>
          <w:sz w:val="28"/>
          <w:sz w:val="28"/>
          <w:szCs w:val="28"/>
          <w:rtl w:val="true"/>
          <w:lang w:bidi="fa-IR"/>
        </w:rPr>
        <w:t>کوشش هایی را بعمل آوردند یکی از شروط تلقیق توصیف ها برای تمام انواع منابع و فرم های کنترل شده اسامی تمام انواع مدخل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بر اساس مجموعه قوانین معمول برای فراداده های مرتبط با منابع بازیابی شده، بنیان نهاده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ملی که انواع جدیدی از منابع را در خود جای می دهد و هرجا که ممکن باشد آن ها را تلفیق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بسیار مهمی از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احتمالا کتابشناسی ملی در صورتی قادر به ادامه حیات خواهد بود که در قالب فراداده ها و نرم افزار فهرستنویسی مورد استفاده اش به منظور کسب همکاری کامل تر و بهره گیری از منابع شبکه ای تغییر پدید آورد کتابشناسی ملی با تولید پویای داده های کتابشناختی از طریق فهرست های کتابخانه ها به منظور محدود کردن نتایج جستجو بر حسب نیازهای کاربران و به منظور مهیا کردن راهبری سهل الاستفاده میان منابع، کالای مفیدی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های ملی و بنگاه های کتابشناختی در آینده ممکن است به صورت یک خدمت شبکه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خدمت شبکه ای از طریق خدمات ویژه ای که می تواند فراداده ها را از انواع مختلف منابع گردآورد به ما این امکان را خواهد داد که توصیف های کتابشناختی را همراه با منابع کامل به طور یکجا در اختیار داشته باشیم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6" w:name="pg9653_82218"/>
      <w:bookmarkStart w:id="1117" w:name="pg9653_82218"/>
      <w:bookmarkEnd w:id="1117"/>
    </w:p>
    <w:p>
      <w:pPr>
        <w:pStyle w:val="Heading2"/>
        <w:numPr>
          <w:ilvl w:val="1"/>
          <w:numId w:val="1"/>
        </w:numPr>
        <w:rPr/>
      </w:pPr>
      <w:bookmarkStart w:id="1118" w:name="pg9653_82218"/>
      <w:bookmarkStart w:id="1119" w:name="__RefHeading___Toc7767072_2870459653"/>
      <w:bookmarkStart w:id="1120" w:name="_Toc411"/>
      <w:bookmarkEnd w:id="1118"/>
      <w:bookmarkEnd w:id="1119"/>
      <w:r>
        <w:rPr>
          <w:rtl w:val="true"/>
        </w:rPr>
        <w:t>چکیده</w:t>
      </w:r>
      <w:bookmarkEnd w:id="1120"/>
    </w:p>
    <w:p>
      <w:pPr>
        <w:pStyle w:val="BookText"/>
        <w:rPr/>
      </w:pPr>
      <w:r>
        <w:rPr>
          <w:rFonts w:ascii="IRNazanin" w:hAnsi="IRNazanin" w:eastAsia="IRNazanin"/>
          <w:color w:val="111111"/>
          <w:sz w:val="28"/>
          <w:sz w:val="28"/>
          <w:szCs w:val="28"/>
          <w:rtl w:val="true"/>
          <w:lang w:bidi="fa-IR"/>
        </w:rPr>
        <w:t>با انبوه زیر ساخت های پردازش ساختارهای گروهی و خدمات تلفن های سیار تولید اطلاعات و جمع آوری دانش به سطح جدیدی از پویایی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بخش های مدیریتی، هوشمندانه تر خود به دنبال دستیابی به اطلاعات ساختار نیافته و آگاهی در اطلاعات غیر طبقه بندی شده برای حمایت از تصمیم های خود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عهده مدیریت است تا بسترهای گروهی و گسترده تری برای بهره وری از اطلاعات و دانش بیشتر برای کاربران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افزایش منابع اطلاعاتی به جای استفاده از روش های سنتی و همچنین سنجش و بررسی مدیریت دانش بنا به شرایط و محیط اطراف و پردازش شبکه های اجتماعی بر عهده مدیریت است این مقاله برنامه ای مشترک ارائه می کند برای ارائه سیستم مدیریتی سریع و هوشمند در سازمان هایی که اطلاعات طبقه بندی دارند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مشترک، پردازش های اجتماعی، مدیریت دانش، مدیریت هوشمند </w:t>
      </w:r>
      <w:bookmarkStart w:id="1121" w:name="pg9653_82219"/>
    </w:p>
    <w:p>
      <w:pPr>
        <w:pStyle w:val="Heading2"/>
        <w:numPr>
          <w:ilvl w:val="1"/>
          <w:numId w:val="1"/>
        </w:numPr>
        <w:rPr/>
      </w:pPr>
      <w:bookmarkStart w:id="1122" w:name="__RefHeading___Toc7767074_2870459653"/>
      <w:bookmarkStart w:id="1123" w:name="_Toc412"/>
      <w:bookmarkEnd w:id="1121"/>
      <w:bookmarkEnd w:id="1122"/>
      <w:r>
        <w:rPr>
          <w:rtl w:val="true"/>
        </w:rPr>
        <w:t>پیاده سازی نظام مدیریتی هوشمند از طریق پردازش شبکه های اجتماعی</w:t>
      </w:r>
      <w:bookmarkEnd w:id="1123"/>
    </w:p>
    <w:p>
      <w:pPr>
        <w:pStyle w:val="Heading3"/>
        <w:numPr>
          <w:ilvl w:val="2"/>
          <w:numId w:val="1"/>
        </w:numPr>
        <w:rPr/>
      </w:pPr>
      <w:bookmarkStart w:id="1124" w:name="__RefHeading___Toc7767076_2870459653"/>
      <w:bookmarkStart w:id="1125" w:name="_Toc413"/>
      <w:bookmarkEnd w:id="1124"/>
      <w:r>
        <w:rPr>
          <w:rtl w:val="true"/>
        </w:rPr>
        <w:t>اشاره</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سازی نظام مدیریتی هوشمند از طریق پردازش شبکه های اجتماعی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نوشته مارگارت تان </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احترام کیانمهر </w:t>
      </w:r>
      <w:r>
        <w:rPr>
          <w:rStyle w:val="FootnoteAnchor"/>
          <w:rtl w:val="true"/>
        </w:rPr>
        <w:footnoteReference w:id="1395"/>
      </w:r>
    </w:p>
    <w:p>
      <w:pPr>
        <w:pStyle w:val="Heading3"/>
        <w:numPr>
          <w:ilvl w:val="2"/>
          <w:numId w:val="1"/>
        </w:numPr>
        <w:rPr/>
      </w:pPr>
      <w:bookmarkStart w:id="1126" w:name="__RefHeading___Toc7767078_2870459653"/>
      <w:bookmarkStart w:id="1127" w:name="_Toc414"/>
      <w:bookmarkEnd w:id="1126"/>
      <w:r>
        <w:rPr>
          <w:rtl w:val="true"/>
        </w:rPr>
        <w:t>مقدمه</w:t>
      </w:r>
      <w:r>
        <w:rPr>
          <w:rtl w:val="true"/>
        </w:rPr>
        <w:t>:</w:t>
      </w:r>
      <w:bookmarkEnd w:id="1127"/>
    </w:p>
    <w:p>
      <w:pPr>
        <w:pStyle w:val="BookText"/>
        <w:rPr/>
      </w:pPr>
      <w:r>
        <w:rPr>
          <w:rFonts w:ascii="IRNazanin" w:hAnsi="IRNazanin" w:eastAsia="IRNazanin"/>
          <w:color w:val="111111"/>
          <w:sz w:val="28"/>
          <w:sz w:val="28"/>
          <w:szCs w:val="28"/>
          <w:rtl w:val="true"/>
          <w:lang w:bidi="fa-IR"/>
        </w:rPr>
        <w:t>گسترش زیرساخت های پردازش ساختارهای گروهی، تلفن های همراه، تولید اطلاعات و جمع آوری دانش به سطح جدیدی از پویایی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رسانه های اجتماعی رقومی به سرعت شگفت انگیزی در ایجاد فضاهای مشارکتی جدید مجازی و ارائه الگو و تغییرات به منظور افزایش محیط های اقتصادی اجتماعی و تولید دانش و اطلاعات و به اشتراک گذاری آن ها پیشرفت داشته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گزارش شده است که گروه های رسانه ای رقومی به ارائه روزافزون و هرچه بیشتر اطلاعات به کاربران و نیز بر قابلیت های نوآورانه و جدید در زمینه های گسترده نسبت به فعالیت کاربران روی آورده اند به طور مثال آموزش، تحقیق، برقراری ارتباط در بخش های جذاب و سرگرم کننده در واقع گروه های رسانه ای اجتماعی نیز به سرعت به یک نیاز اساسی برای کاربران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فیس بوک، توییتر، پیوند داین، گوگل پلاس و</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 xml:space="preserve">گردیده است چنین شبکه های اجتماعی گسترده ای نه تنها </w:t>
      </w:r>
    </w:p>
    <w:p>
      <w:pPr>
        <w:pStyle w:val="BookText"/>
        <w:rPr/>
      </w:pPr>
      <w:r>
        <w:rPr>
          <w:rFonts w:ascii="IRNazanin" w:hAnsi="IRNazanin" w:eastAsia="IRNazanin"/>
          <w:color w:val="111111"/>
          <w:sz w:val="28"/>
          <w:sz w:val="28"/>
          <w:szCs w:val="28"/>
          <w:rtl w:val="true"/>
          <w:lang w:bidi="fa-IR"/>
        </w:rPr>
        <w:t>به عنوان یک مسیر ارزشمند برای اداره امور روزمره اجتماعی است بلکه به عنوان سرمایه های فکری و تولیدات اجتماعی هم محسوب می گردد در واقع اتصال آسان در برنامه های کاربردی رسانه های رقومی در زیرساخت ها به صورت گسترده به عنوان یک توانایی و ابزار برای افراد و جوامع امروز برای انتقال اطلاعات در سراسر فضا و زمان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دیگر تولیدات اجتماعی به عنوان یکی از عوامل مهم در تبدیل اقتصاد مبتنی بر دانش است و به رسمیت شناختن آن بسیار اهمیت دارد زیرا کلیدی برای نوآوری های درحال توسعه و ظرفیتی برای توانایی و مهار تولیدات اجتماعی ناخواسته امروزی و همچنین به عنوان اقدامات راهبردی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سازمانی در سطح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ها همانند هر سازمان دیگری باید مشتاق و پیشقدم در استفاده از گروه های رسانه ای رقومی برای حمایت از کاربران خود در هر مکان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اکثر وبگاه ها و شبکه ها و برنامه های کاربردی به سیستم های پردازش و سرور نیاز دارند در نتیجه کتابخانه ها باید پیش قدم در آماده سازی و سرمایه گذاری در این زیرساخت های نسبتا جدید و ارائه منابع و اطلاعات بر روی شبکه باشند و بنا به درخواست و تقاضا در مقیاس های مورد نیاز و قابل اطمینان و قابلیت جابه جایی در هر مکان برای استفاده کاربران از رسانه های اجتماعی، برای آن ها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ساده تر، با پردازش و محاسبه بنابر تعاریف قبل، مدل پردازش فعال و برای استفاده در هر جا و مکان و مناسب برحسب تقاضا و دسترسی متفاوت به یک منبع مشترک و حتی منابع دیگر قابل تنظیم است به عنوان مثال شبکه ها سرورها ذخیره سازی ها، </w:t>
      </w:r>
      <w:r>
        <w:rPr>
          <w:rStyle w:val="FootnoteAnchor"/>
          <w:rtl w:val="true"/>
        </w:rPr>
        <w:footnoteReference w:id="1397"/>
      </w:r>
      <w:r>
        <w:rPr>
          <w:rFonts w:ascii="IRNazanin" w:hAnsi="IRNazanin" w:eastAsia="IRNazanin"/>
          <w:color w:val="111111"/>
          <w:sz w:val="28"/>
          <w:sz w:val="28"/>
          <w:szCs w:val="28"/>
          <w:rtl w:val="true"/>
          <w:lang w:bidi="fa-IR"/>
        </w:rPr>
        <w:t xml:space="preserve">نرم افزارهای کاربردی، </w:t>
      </w:r>
      <w:r>
        <w:rPr>
          <w:rStyle w:val="FootnoteAnchor"/>
          <w:rtl w:val="true"/>
        </w:rPr>
        <w:footnoteReference w:id="1398"/>
      </w:r>
      <w:r>
        <w:rPr>
          <w:rFonts w:ascii="IRNazanin" w:hAnsi="IRNazanin" w:eastAsia="IRNazanin"/>
          <w:color w:val="111111"/>
          <w:sz w:val="28"/>
          <w:sz w:val="28"/>
          <w:szCs w:val="28"/>
          <w:rtl w:val="true"/>
          <w:lang w:bidi="fa-IR"/>
        </w:rPr>
        <w:t xml:space="preserve">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بنا بر شرایطی با سرعت و با کمی تلاش مدیریت و با تعاملات ارائه دهنده خدماتی انتشار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 و گرانس،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39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قابلیت ها به ارائه سریع و آنی و تحویل سریع برنامه های، کاربردی خدمات ذخیره سازی و فیلتر کردن عوامل مخرب همراه با تغییرات وسیع با استفاده از منابع پردازشی و محاسباتی در سازمان ها به طور گسترده و شناخته شده به عنوان یک فناوری رو به رشد حتی در تعویض بازی ها تا به افزایش کارآیی های اثربخش و علاوه بر آن به کاهش سرمایه گذاری در فناوری سازمان به ارمغان آورد یکی از عوامل اساسی و کلید راهبردی برای کتابخانه های امروزی، اتخاذ تعامل اجتماعی کتابخانه ای مبتنی بر وب و اجرای زیرساخت های مناسب در آن مکان ها برای ارائه خدمات و سرویس های بهتر به خوانندگان </w:t>
      </w:r>
      <w:bookmarkStart w:id="1128" w:name="pg9653_82221"/>
    </w:p>
    <w:p>
      <w:pPr>
        <w:pStyle w:val="BookText"/>
        <w:rPr/>
      </w:pPr>
      <w:bookmarkEnd w:id="1128"/>
      <w:r>
        <w:rPr>
          <w:rFonts w:ascii="IRNazanin" w:hAnsi="IRNazanin" w:eastAsia="IRNazanin"/>
          <w:color w:val="111111"/>
          <w:sz w:val="28"/>
          <w:sz w:val="28"/>
          <w:szCs w:val="28"/>
          <w:rtl w:val="true"/>
          <w:lang w:bidi="fa-IR"/>
        </w:rPr>
        <w:t>و آموزندگان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ارائه خدمات و اطلاعات رقومی یک ابتکار ساده برای ساختن یک وبلاگ ساده در میان کتابداران، برای ایجاد آگاهی، دانش و توسعه عامل ارتباط و اطلاعات در پورتال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کننده ها و کاربران با ابزارهای مختلف برخط، می توانند با به اشتراک گذاشتن مطالب خود بهره مند گردند به عبارت دیگر در زمینه مربوط به فناوری رقومی امروزی، کتابداران باید در حمایت از جامعه رقومی و کتابخانه رقومی پیش قدم باشند</w:t>
      </w:r>
    </w:p>
    <w:p>
      <w:pPr>
        <w:pStyle w:val="Heading3"/>
        <w:numPr>
          <w:ilvl w:val="2"/>
          <w:numId w:val="1"/>
        </w:numPr>
        <w:rPr/>
      </w:pPr>
      <w:bookmarkStart w:id="1129" w:name="__RefHeading___Toc7767080_2870459653"/>
      <w:bookmarkStart w:id="1130" w:name="_Toc415"/>
      <w:bookmarkEnd w:id="1129"/>
      <w:r>
        <w:rPr/>
        <w:t>2</w:t>
      </w:r>
      <w:r>
        <w:rPr>
          <w:rtl w:val="true"/>
        </w:rPr>
        <w:t xml:space="preserve">. </w:t>
      </w:r>
      <w:r>
        <w:rPr>
          <w:rtl w:val="true"/>
        </w:rPr>
        <w:t>ساختار شبکه های اجتماعی</w:t>
      </w:r>
      <w:bookmarkEnd w:id="1130"/>
    </w:p>
    <w:p>
      <w:pPr>
        <w:pStyle w:val="BookText"/>
        <w:rPr/>
      </w:pPr>
      <w:r>
        <w:rPr>
          <w:rFonts w:ascii="IRNazanin" w:hAnsi="IRNazanin" w:eastAsia="IRNazanin"/>
          <w:color w:val="111111"/>
          <w:sz w:val="28"/>
          <w:sz w:val="28"/>
          <w:szCs w:val="28"/>
          <w:rtl w:val="true"/>
          <w:lang w:bidi="fa-IR"/>
        </w:rPr>
        <w:t xml:space="preserve">به طور خلاصه شبکه های اجتماعی از جمله فیس بوک توییتر به وسیله ایجاد وبلاگ به برقراری ارتباط و تبادل و اشتراک گذاری اطلاعات میان کاربران و مردم در جوامع مجازی می پردازند به گفته کاپلان و هائلن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 xml:space="preserve">رسانه های اجتماعی به عنوان یک گروه از برنامه های کاربردی مبتنی بر اینترنت هستند که بر پایه ایدئولوژیک فناوری ساختاری از 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و تبادل تغییر محتوا توسط کاربر منتهی شده است رسانه های اجتماعی به فناوری ها و بسترهای تعاملی از طریق افراد و جوامع و شرکت ها برای بررسی بحث، گفتگوها و تغییرات بستگی دارد این معرفی ها به تغییرات اساسی و فراگیر در مورد ارتباط بین سازمان و افراد جوامع می پردازد در زمان های اخیر رسانه های اجتماعی به سرعت محبوب و مردمی شده اند و برای کاربران، طیف وسیعی از خدمات فرکانس، کاربردی و ارتباط مستقیم و قابل دسترس با دیگران را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اجتماعی مجمع مشترکی از جوامع هستند که با تلاش برای داشتن اطلاعات یک عامل موفقیت مجازی مهار قدرت در سازمان ها موسسات و جوامع شده اند و می کوشند اجتماع وسیعی از جوامع را در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های رقومی باعث پدید آوردن و کارآمدتر شدن ارتباطات و اطلاعات در داخل و خارج از سازمان با بهره وری و قدرت و تاثیرپذیری در عملکرد هرچه بیشتر آن 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با حرکت سریع و اقتصاد جهانی مردم باید دسترسی سریع و آسان داشته باشند به خصوص آن دسته از افراد و کارمندانی که نیاز به اطلاعات برای انجام امور و تصمیم گیری ها دارند</w:t>
      </w:r>
      <w:r>
        <w:rPr>
          <w:rFonts w:eastAsia="IRNazanin" w:cs="IRNazanin"/>
          <w:color w:val="111111"/>
          <w:sz w:val="28"/>
          <w:szCs w:val="28"/>
          <w:rtl w:val="true"/>
          <w:lang w:bidi="fa-IR"/>
        </w:rPr>
        <w:t>.</w:t>
      </w:r>
    </w:p>
    <w:p>
      <w:pPr>
        <w:pStyle w:val="Heading3"/>
        <w:numPr>
          <w:ilvl w:val="2"/>
          <w:numId w:val="1"/>
        </w:numPr>
        <w:rPr/>
      </w:pPr>
      <w:bookmarkStart w:id="1131" w:name="__RefHeading___Toc7767082_2870459653"/>
      <w:bookmarkStart w:id="1132" w:name="_Toc416"/>
      <w:bookmarkEnd w:id="1131"/>
      <w:r>
        <w:rPr/>
        <w:t>3</w:t>
      </w:r>
      <w:r>
        <w:rPr>
          <w:rtl w:val="true"/>
        </w:rPr>
        <w:t xml:space="preserve">. </w:t>
      </w:r>
      <w:r>
        <w:rPr>
          <w:rtl w:val="true"/>
        </w:rPr>
        <w:t>همکاری گروه های دانش بنیانی</w:t>
      </w:r>
      <w:bookmarkEnd w:id="113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اهمیت افزایش تولیدات اجتماعی را به رسمیت بشناسیم می توان این طور استدلال کرد که برای دستیابی به سمت درک بیشتر از سیستم، باید فراتر از روش های سنتی رفت و تمرکز را به </w:t>
      </w:r>
    </w:p>
    <w:p>
      <w:pPr>
        <w:pStyle w:val="BookText"/>
        <w:rPr/>
      </w:pPr>
      <w:r>
        <w:rPr>
          <w:rFonts w:ascii="IRNazanin" w:hAnsi="IRNazanin" w:eastAsia="IRNazanin"/>
          <w:color w:val="111111"/>
          <w:sz w:val="28"/>
          <w:sz w:val="28"/>
          <w:szCs w:val="28"/>
          <w:rtl w:val="true"/>
          <w:lang w:bidi="fa-IR"/>
        </w:rPr>
        <w:t>مدیریت در بخش دانش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مدیریت دانش سنتی ما را به سمت بهره گیری از سازمان های اطلاعاتی و سازوکارهای نهادی برای هدایت و تشویق به تولید علم و به اشتراک گذاشتن آن و گروه های دانش بنیان منعطف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قریشی و کین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 کین و تان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وبلاگ ها و شرکت های بزرگ که خود تا حد زیادی توسط فرد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پتانسیل بسیار زیادی برای تبدیل شدن این شرکت ها به گروه های دانش بنیان در خارج و داخل سازمان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کیتزمن و هرمکنز،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 xml:space="preserve">به نظر می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سیفرای</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 xml:space="preserve">مدیر عامل شرکت سی ایی اُ </w:t>
      </w:r>
      <w:r>
        <w:rPr>
          <w:rStyle w:val="FootnoteAnchor"/>
          <w:rtl w:val="true"/>
        </w:rPr>
        <w:footnoteReference w:id="1404"/>
      </w:r>
      <w:r>
        <w:rPr>
          <w:rFonts w:ascii="IRNazanin" w:hAnsi="IRNazanin" w:eastAsia="IRNazanin"/>
          <w:color w:val="111111"/>
          <w:sz w:val="28"/>
          <w:sz w:val="28"/>
          <w:szCs w:val="28"/>
          <w:rtl w:val="true"/>
          <w:lang w:bidi="fa-IR"/>
        </w:rPr>
        <w:t xml:space="preserve">اذعان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نویسان نقش بسیار مفید و موثر در بخش ارتباطات با مردم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کلاین و بورستاین،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بنابراین این فناوری، امکان یک اتصال قابل اطمینان بین مردم و اطلاعات را فراهم می سازد به طور مثال این گروه های رقومی به صورت زیر همکاری های متعددی را بین مردم و بخش اطلاعات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طریق کاربران، توسعه بهبود محتوای کاربر محور ابزارهای اجتماعی مانند ویکی پدیا، وبلاگ ها، انجمن ها، توییتر، تشویق مردم برای پردازش و استفاده از اطلاعات به طور غریزی و خلاقانه و حتی ایجاد و تولید محتوای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این گروه ها می تواند بر دیدگاه های اجتماعی و فرهنگی و همچنین انتقال ایده های افراد تاثیر بگذارد همچنین در آن ها می توان بر اساس محتوا و اطلاعات خاص و بر حسب جستجو در زمینه های مختلف، اطلاعات را به دست آورد با استفاده از کلیدواژه ها موقعیت، فرایند کسب و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با استفاده از کلیدواژه ها کاربران می توانند اطلاعات خود را به دست آورند مدیریت دانش همواره با گذر زمان در سازمان های بزرگ توسعه می یابد ولی توسعه آن از سازمانی نسبت به سازمان دیگر، غیر قابل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سازمان ها این تغییرات همواره با کوشش فراوان و همراه با تجربه امکان پذیر خواهد بود در حالی که در سازمان های مبتنی بر دانش و نرم افزاری فقط با حفظ دانش سازمانی خود به موفقیت های بزرگ دست می یابند ولی در واقع این روش یک راه نو است و البته در هر دو ،روش امکان شکست و ناکامی وجود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شرکت هایی با مشاغل شغلی بیشتر، تشویق به مدیریت پژوهشی و بررسی دلایل به بیش از حد محدود کردن و کنترل کردن اتفاقات ناخواسته منجر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با این وجود مدیریت باید از </w:t>
      </w:r>
      <w:bookmarkStart w:id="1133" w:name="pg9653_82223"/>
    </w:p>
    <w:p>
      <w:pPr>
        <w:pStyle w:val="BookText"/>
        <w:rPr/>
      </w:pPr>
      <w:bookmarkEnd w:id="1133"/>
      <w:r>
        <w:rPr>
          <w:rFonts w:ascii="IRNazanin" w:hAnsi="IRNazanin" w:eastAsia="IRNazanin"/>
          <w:color w:val="111111"/>
          <w:sz w:val="28"/>
          <w:sz w:val="28"/>
          <w:szCs w:val="28"/>
          <w:rtl w:val="true"/>
          <w:lang w:bidi="fa-IR"/>
        </w:rPr>
        <w:t>راهنمایی های لازم در مورد اولویت ها و ارزش های سازمان و دور نبودن از مدیریت های مبتنی بر دانش در سازمان ها اطمینان یابد و مدام به ارزیابی افراد و ایجاد روابط دوستانه همراه با جدیت در زمینه های مختلف در صنعت بپردازند و تحت تاثیر مدل سازمانی شرکت ها و سازمان های دیگر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گرچه شبکه های اجتماعی پدیده نسبتا پیچیده ای در ارتباطات است ولی رسانه های رقومی در حال پدید آوردن شکل جدیدی از ارتباطات در سازمان ها برای اشتراک گذاری منابع اطلاعاتی دانش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مدیریت مبتنی بر دانش در سازمان ها به دانش جمعی، قدرت و پشتکار نیروی انسانی برای دستیابی به هدف نیاز است هدف و اطمینان از خلاق بودن افراد، اشتراک پذیری و استفاده از دانش برای عملکرد بهتر به صورت یکپارچه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کلید این موفقیت، مجموعه ای از افراد هستند که در زمینه دانش، از تلاش مشترک بهره مند هستند هدف این مقاله بررسی چگونگی تاثیر کتابداران در مدیریت هوشمند و همراه با استفاده از رسانه های رقومی و ایجاد کتابخانه های رقومی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یک مقاله در دانشگاه فناوری نانیان </w:t>
      </w:r>
      <w:r>
        <w:rPr>
          <w:rStyle w:val="FootnoteAnchor"/>
          <w:rtl w:val="true"/>
        </w:rPr>
        <w:footnoteReference w:id="1406"/>
      </w:r>
      <w:r>
        <w:rPr>
          <w:rFonts w:ascii="IRNazanin" w:hAnsi="IRNazanin" w:eastAsia="IRNazanin"/>
          <w:color w:val="111111"/>
          <w:sz w:val="28"/>
          <w:sz w:val="28"/>
          <w:szCs w:val="28"/>
          <w:rtl w:val="true"/>
          <w:lang w:bidi="fa-IR"/>
        </w:rPr>
        <w:t>در خصوص کتابداری و حمایت از وبلاگ و کتابداری رقومی و همچنین پدید آمدن دانش در جوامع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 </w:t>
      </w:r>
      <w:r>
        <w:rPr>
          <w:rStyle w:val="FootnoteAnchor"/>
          <w:rtl w:val="true"/>
        </w:rPr>
        <w:footnoteReference w:id="1407"/>
      </w:r>
      <w:r>
        <w:rPr>
          <w:rFonts w:ascii="IRNazanin" w:hAnsi="IRNazanin" w:eastAsia="IRNazanin"/>
          <w:color w:val="111111"/>
          <w:sz w:val="28"/>
          <w:sz w:val="28"/>
          <w:szCs w:val="28"/>
          <w:rtl w:val="true"/>
          <w:lang w:bidi="fa-IR"/>
        </w:rPr>
        <w:t xml:space="preserve">و تان،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Heading3"/>
        <w:numPr>
          <w:ilvl w:val="2"/>
          <w:numId w:val="1"/>
        </w:numPr>
        <w:rPr/>
      </w:pPr>
      <w:bookmarkStart w:id="1134" w:name="__RefHeading___Toc7767084_2870459653"/>
      <w:bookmarkStart w:id="1135" w:name="_Toc417"/>
      <w:bookmarkEnd w:id="1134"/>
      <w:r>
        <w:rPr/>
        <w:t>4</w:t>
      </w:r>
      <w:r>
        <w:rPr>
          <w:rtl w:val="true"/>
        </w:rPr>
        <w:t xml:space="preserve">. </w:t>
      </w:r>
      <w:r>
        <w:rPr>
          <w:rtl w:val="true"/>
        </w:rPr>
        <w:t>مشخصات یک ساختار مشترک</w:t>
      </w:r>
      <w:bookmarkEnd w:id="1135"/>
    </w:p>
    <w:p>
      <w:pPr>
        <w:pStyle w:val="BookText"/>
        <w:rPr/>
      </w:pPr>
      <w:r>
        <w:rPr>
          <w:rFonts w:ascii="IRNazanin" w:hAnsi="IRNazanin" w:eastAsia="IRNazanin"/>
          <w:color w:val="111111"/>
          <w:sz w:val="28"/>
          <w:sz w:val="28"/>
          <w:szCs w:val="28"/>
          <w:rtl w:val="true"/>
          <w:lang w:bidi="fa-IR"/>
        </w:rPr>
        <w:t xml:space="preserve">دانشگاه فناوری نانیان، یک سیستم برای بررسی شبکه ها و ساختارهای رسانه های اجتماعی جدید برای تولید دانش توسعه، مدیریت و همچنین تعامل همه جانبه با کتابداران در خصوص موضوع کتابداری ایجاد کرد اگرچه رویکرد این تیم همواره همسو با مدیریت مبتنی بر دانش است ولی باز پیشنهاد شد برای شناختن ساختارهای رسانه ای جدید به منظور دسترسی راحت و همکاری مشترک در تحقق بخشیدن و دستیابی به نتایج نهایی و تعامل رقومی، بهترین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بخش مدیریت دانش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آموزش و به اشتراک گذاری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آرونی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40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ایده تولید یک شبکه وبلاگی با هدف اولیه دانش کتابداران برای ارتباطات داخلی آغاز شد و سپس به اطلاع رسانی از رسانه های اجتماعی جدید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سواد رسانه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این یک رویکرد ساده است اول برای کتابداران برای انجام فعالیت های روزانه و همچنین اسکن کردن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کار یا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استخراج موضوعات جالب و مهم توسط کتابداران سوم قراردادن و نوشتن مطالب خود در وبلاگ و چهارم در نهایت کتابداران دیگر پس از قرار دادن و نوشتن مطالب خود در وبلاگ به نویسندگان و خوانندگان آن تبدیل شده اند و از طریق یک پیوند ساده </w:t>
      </w:r>
      <w:r>
        <w:rPr>
          <w:rStyle w:val="FootnoteAnchor"/>
          <w:rtl w:val="true"/>
        </w:rPr>
        <w:footnoteReference w:id="1409"/>
      </w:r>
      <w:r>
        <w:rPr>
          <w:rFonts w:ascii="IRNazanin" w:hAnsi="IRNazanin" w:eastAsia="IRNazanin"/>
          <w:color w:val="111111"/>
          <w:sz w:val="28"/>
          <w:sz w:val="28"/>
          <w:szCs w:val="28"/>
          <w:rtl w:val="true"/>
          <w:lang w:bidi="fa-IR"/>
        </w:rPr>
        <w:t>به ارائه مطالب و دیدن نظرات دیگران و کتابداران دیگر برای حرفه ای تر شدن وبلاگ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با فعالیت هایی مانند ارسال نظرات و مطالب توسعه فرهنگ در زمینه وبلاگ نویسی در کتابخانه به اثبات رسد و با روند رو به رشدی به فعالیت خود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هندریکس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استیونز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شکل یک به فرایند این موضوعات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شکل یک فعالیت های روزانه در یک فلوچارت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 تجزیه و تحلیل بستر قسمت های مهم در یک موتور جستجوی وبلاگ مانند مخاطب محور بودن، اداری، قابلیت حمل، ایجاد محتوا، پیوندهای وبگاه ها، مدیریت مشترک، طراحی و مدیریت رسانه ای، این اطمینان برای بهبود حاصل گردد زیرا این بسترها در اختیار یک وبلاگ برای استفاده در اکوسیستم قرار می گیرند البته بعضی از قسمت ها تنها در اختیار بخش فنی قرار می گیرند ولی با </w:t>
      </w:r>
    </w:p>
    <w:p>
      <w:pPr>
        <w:pStyle w:val="BookText"/>
        <w:rPr/>
      </w:pPr>
      <w:r>
        <w:rPr>
          <w:rFonts w:ascii="IRNazanin" w:hAnsi="IRNazanin" w:eastAsia="IRNazanin"/>
          <w:color w:val="111111"/>
          <w:sz w:val="28"/>
          <w:sz w:val="28"/>
          <w:szCs w:val="28"/>
          <w:rtl w:val="true"/>
          <w:lang w:bidi="fa-IR"/>
        </w:rPr>
        <w:t>این حال، این مجموعه با یکدیگر بستری بهتر و روبه رشد به رسیدن و تحقق به اهداف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این شبکه ها باید به ارائه مطالب اسامی محور بپردازند و به کاربران و خوانندگان مطالب، امکان اتصال و برخط بودن از طریق های متفاوت و فعالیت های قبل از انتخاب مطالب برچسب زدن و پیوند و اجتماع با سایت های دیگر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پرورش ویژگی های قوی در بخش مخاطبان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وبستر و کیزیازک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به روش مطالعه جزء به جزء برای مطالعات بیشتر در بخش وبگاه عقیده دارند و این شیوه را روشی برای کشف شواهد جدیدی در تعامل با دنیای رقومی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ساختارهای انتخاب شده باید انعطاف پذیر و مدولار قابل گسترش بر اساس نیازهای مخاطبان باشد اداره امور این شبکه ها بر عهده مدیران وبلاگ ها است که گسترش تعداد نویسندگان ارائه برنامه مدیریتی کاربردی، تسهیل در انجام امور کار ایجاد ارائه ایمیل اطلاع رسانی و نظارت بر سیستم را برای آن ها امکان پذیر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فناوری اشتراک گذاری در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لیندال و بلانت،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 xml:space="preserve">مدیریت وبلاگ باید کاربری مناسبی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کاربران و چه برای تولید کنندگان در سیستم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با توجه به این مدل انتشار در وب، کاربران باید حداقل مهارت های لازم را برای استفاده از منابع مورد نیاز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تولید کنندگان باید از مهارت های تخصصی بالایی در تولید چنین ابزارهای پیچیده 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است که به ساختار این زیرساخت ها استانداردها و ورود و خروج اطلاعات دقت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وبلاگ نویسی موضوع اصلی قابلیت انتقال و جابه جایی داده ها و همچنین استفاده و سازگاری داشتن با شبکه های اجتماعی دیگر از جمله فیس بوک و توییتر است به عنوان یک وبلاگ نویس ایجاد مطالب و محتوا برای تولید پست و نظرات در وبلاگ بسیار مهم است اگرچه ایمیل های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کاربرانی که پست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 ها انتخاب مطالب، مدیریت رسانه و آپلود کردن از توجه خاص و بالایی برخوردار است و از آن ها حمایت های زیادی به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هدف اصلی پذیرفته شدن از طرف کاربران است که این امر با سهولت استفاده از وبلاگ و همراه با فناوری بالا و راحتی تحقق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 xml:space="preserve">، میچل </w:t>
      </w:r>
      <w:r>
        <w:rPr>
          <w:rStyle w:val="FootnoteAnchor"/>
          <w:rtl w:val="true"/>
        </w:rPr>
        <w:footnoteReference w:id="1415"/>
      </w:r>
      <w:r>
        <w:rPr>
          <w:rFonts w:ascii="IRNazanin" w:hAnsi="IRNazanin" w:eastAsia="IRNazanin"/>
          <w:color w:val="111111"/>
          <w:sz w:val="28"/>
          <w:sz w:val="28"/>
          <w:szCs w:val="28"/>
          <w:rtl w:val="true"/>
          <w:lang w:bidi="fa-IR"/>
        </w:rPr>
        <w:t xml:space="preserve">و گیوبتسن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41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طراحی وبگاه باید بسیار خلاقانه همراه با زیبایی هایی از قبیل نور، رنگ، قالب بندی، </w:t>
      </w:r>
      <w:bookmarkStart w:id="1136" w:name="pg9653_82226"/>
    </w:p>
    <w:p>
      <w:pPr>
        <w:pStyle w:val="BookText"/>
        <w:rPr/>
      </w:pPr>
      <w:bookmarkEnd w:id="1136"/>
      <w:r>
        <w:rPr>
          <w:rFonts w:ascii="IRNazanin" w:hAnsi="IRNazanin" w:eastAsia="IRNazanin"/>
          <w:color w:val="111111"/>
          <w:sz w:val="28"/>
          <w:sz w:val="28"/>
          <w:szCs w:val="28"/>
          <w:rtl w:val="true"/>
          <w:lang w:bidi="fa-IR"/>
        </w:rPr>
        <w:t>طرح مناسب باشد و مدیران باید در زمینه تم ها و قالب ها از آگاهی بالایی برای جذب کاربران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این وبلاگ ها می تواند به صورت خدماتی یا پیوند به سایر وبلاگ 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را می توان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 بک پینگ</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و پیوند به داده ها انجام داد و وبلاگ را بر تعامل هرچه بیشتر با رسانه های رقومی نگه داشت</w:t>
      </w:r>
      <w:r>
        <w:rPr>
          <w:rFonts w:eastAsia="IRNazanin" w:cs="IRNazanin"/>
          <w:color w:val="111111"/>
          <w:sz w:val="28"/>
          <w:szCs w:val="28"/>
          <w:rtl w:val="true"/>
          <w:lang w:bidi="fa-IR"/>
        </w:rPr>
        <w:t>.</w:t>
      </w:r>
    </w:p>
    <w:p>
      <w:pPr>
        <w:pStyle w:val="Heading3"/>
        <w:numPr>
          <w:ilvl w:val="2"/>
          <w:numId w:val="1"/>
        </w:numPr>
        <w:rPr/>
      </w:pPr>
      <w:bookmarkStart w:id="1137" w:name="__RefHeading___Toc7767086_2870459653"/>
      <w:bookmarkStart w:id="1138" w:name="_Toc418"/>
      <w:bookmarkEnd w:id="1137"/>
      <w:r>
        <w:rPr>
          <w:rtl w:val="true"/>
        </w:rPr>
        <w:t>ساختار شبکه ها برای برقراری تعامل و ارتباط</w:t>
      </w:r>
      <w:bookmarkEnd w:id="1138"/>
    </w:p>
    <w:p>
      <w:pPr>
        <w:pStyle w:val="BookText"/>
        <w:rPr/>
      </w:pPr>
      <w:r>
        <w:rPr>
          <w:rFonts w:ascii="IRNazanin" w:hAnsi="IRNazanin" w:eastAsia="IRNazanin"/>
          <w:color w:val="111111"/>
          <w:sz w:val="28"/>
          <w:sz w:val="28"/>
          <w:szCs w:val="28"/>
          <w:rtl w:val="true"/>
          <w:lang w:bidi="fa-IR"/>
        </w:rPr>
        <w:t xml:space="preserve">ساخت یک زیرساخت برای ایجاد آگاهی و تعامل و همچنین فرهنگ سازی در جامعه به عنوان هدف اصلی این طرح مورد توجه واقع گردیده است بر اساس پژوهش ونکلی </w:t>
      </w:r>
      <w:r>
        <w:rPr>
          <w:rStyle w:val="FootnoteAnchor"/>
          <w:rtl w:val="true"/>
        </w:rPr>
        <w:footnoteReference w:id="1418"/>
      </w:r>
      <w:r>
        <w:rPr>
          <w:rFonts w:ascii="IRNazanin" w:hAnsi="IRNazanin" w:eastAsia="IRNazanin"/>
          <w:color w:val="111111"/>
          <w:sz w:val="28"/>
          <w:sz w:val="28"/>
          <w:szCs w:val="28"/>
          <w:rtl w:val="true"/>
          <w:lang w:bidi="fa-IR"/>
        </w:rPr>
        <w:t xml:space="preserve">و همکاران در قالب و چارچوب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این ساختارها به عنوان یک فعالیت خارج از مدرسه و دانشگاهی برای دانش پذیران و آماری از افراد جامعه برای بالا بردن سطح آگاهی و افزایش میزان پتانسیل این افراد در یادگیری مطالب و اطلاعات در خصوص میراث فرهنگی و منابع ملی در راستای روبه رشد به وجود آمده است و این اهداف تحت الشعاع آموزش، یادگیری و مدیریت منابع تحقیقاتی در دراز مدت به سرانجام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پژوهش موریس و بوسکه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 در هر مورد و موضوع راهنماها، کتابداران، همراه با رشد و پویش و تغییرات فناوری و استفاده از وب بوده و در دهه های گذشته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استفاده از وبلاگ ها و شبکه های اجتماعی بسیار کارآمدتر از روش قبل خواهد بود، به ویژه اگر آن ها به عنوان منابع و سیستم عامل ها مورد استفاده قرار گیرند البته باید به این نکته هم توجه کرد که پس از تصویب خدمات برخط در کتابخانه ها منحنی روبه رشدی در کتابداران جهت یادگیری بیشتر مشاهده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به جای افزایش در دانش و مهارت تمرکز خود را فقط در ایجاد محتوا معطوف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و با مجموعه ای از تجهیزات تمرکز این تیم در تولید و سهولت در ساخت و ساز در بخش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نصب ویدئو پروژکتورها برای ایجاد توسعه تعامل و همچنین به عنوان مکمل در برقراری ارتباط های گرافیکی و بصری در وبگاه ها</w:t>
      </w:r>
      <w:r>
        <w:rPr>
          <w:rFonts w:eastAsia="IRNazanin" w:cs="IRNazanin"/>
          <w:color w:val="111111"/>
          <w:sz w:val="28"/>
          <w:szCs w:val="28"/>
          <w:rtl w:val="true"/>
          <w:lang w:bidi="fa-IR"/>
        </w:rPr>
        <w:t xml:space="preserve">. </w:t>
      </w:r>
      <w:r>
        <w:rPr>
          <w:rStyle w:val="FootnoteAnchor"/>
          <w:rtl w:val="true"/>
        </w:rPr>
        <w:footnoteReference w:id="142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ارائه شده در قالب های تصویری، صوتی، اطلاعات گرافیکی بر اساس دانش و منابع </w:t>
      </w:r>
    </w:p>
    <w:p>
      <w:pPr>
        <w:pStyle w:val="BookText"/>
        <w:rPr/>
      </w:pPr>
      <w:r>
        <w:rPr>
          <w:rFonts w:ascii="IRNazanin" w:hAnsi="IRNazanin" w:eastAsia="IRNazanin"/>
          <w:color w:val="111111"/>
          <w:sz w:val="28"/>
          <w:sz w:val="28"/>
          <w:szCs w:val="28"/>
          <w:rtl w:val="true"/>
          <w:lang w:bidi="fa-IR"/>
        </w:rPr>
        <w:t>کتابخانه ای در سایت دانشگاه موجود است</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 xml:space="preserve">این تیم همچنین با نظام یکپارچه قصد بهبود افزایش محتوا و تغییر شاخص بهبود کیفیت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شبکه های اجتماعی ،دیگر از قبیل فیس 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قالب این طرح، کاربر می تواند از طریق رسانه های اجتماعی مانند فیس بوک فعالیت های روزانه خود را به اشتراک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امکانات در توییتر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دانش در حال اشتراک گذاری به حالت گروهی است از نظر برقراری ارتباط و تعامل رقومی نیز این شبکه ها مانند هر وبلاگ دیگر وبگاهی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وبگاه بخش موضوعات برای بهتر جستجو کردن باز است و کاربران به راحتی به برداشتن اطلاعات و جستجو در این ساختارها می پردازند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کاربران جستجوی ساده از طریق موتورهای جستجو مانند گوگل، یاهو، بینگ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اطلاعات و </w:t>
      </w:r>
      <w:bookmarkStart w:id="1139" w:name="pg9653_82228"/>
    </w:p>
    <w:p>
      <w:pPr>
        <w:pStyle w:val="BookText"/>
        <w:rPr/>
      </w:pPr>
      <w:bookmarkEnd w:id="1139"/>
      <w:r>
        <w:rPr>
          <w:rFonts w:ascii="IRNazanin" w:hAnsi="IRNazanin" w:eastAsia="IRNazanin"/>
          <w:color w:val="111111"/>
          <w:sz w:val="28"/>
          <w:sz w:val="28"/>
          <w:szCs w:val="28"/>
          <w:rtl w:val="true"/>
          <w:lang w:bidi="fa-IR"/>
        </w:rPr>
        <w:t xml:space="preserve">موضوعات طبقه بندی شده توسط کتابداران دست می یابند و می توانند آن ها را به اشتراک گذارند، آن گاه به نظرات و بازخوردهای آنان در مورد منابع و وب بپردازند هنگامی که آن ها به راهنما در خصوص موضوعات نیاز دارند می توانند به کتابخانه و مخزن اطلاعات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در این ،حالت فرایند به حالت حفاظت از اطلاعات در برابر کاربران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تبدیل شدن از روش سنتی به روش مدرن، نقش کتابداران کم رنگ تر می گردد ولی با این تفاصیل آن ها بخش اصلی تغییرات و ایجاد راهکارهای مهم و تلاش برای آشنایی کاربران با این سیستم و کمتر شدن حضور فیزیکی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هدف اصلی این تیم علاوه بر ایجاد وبلاگ آوردن چنین سیستم و ساختاری در شبکه کتابداری بوده است</w:t>
      </w:r>
      <w:r>
        <w:rPr>
          <w:rFonts w:eastAsia="IRNazanin" w:cs="IRNazanin"/>
          <w:color w:val="111111"/>
          <w:sz w:val="28"/>
          <w:szCs w:val="28"/>
          <w:rtl w:val="true"/>
          <w:lang w:bidi="fa-IR"/>
        </w:rPr>
        <w:t>.</w:t>
      </w:r>
    </w:p>
    <w:p>
      <w:pPr>
        <w:pStyle w:val="Heading3"/>
        <w:numPr>
          <w:ilvl w:val="2"/>
          <w:numId w:val="1"/>
        </w:numPr>
        <w:rPr/>
      </w:pPr>
      <w:bookmarkStart w:id="1140" w:name="__RefHeading___Toc7767088_2870459653"/>
      <w:bookmarkStart w:id="1141" w:name="_Toc419"/>
      <w:bookmarkEnd w:id="1140"/>
      <w:r>
        <w:rPr>
          <w:rtl w:val="true"/>
        </w:rPr>
        <w:t>نتیجه گیری</w:t>
      </w:r>
      <w:bookmarkEnd w:id="114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یک فرایند روبه رشد است</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روش مجازی و رسانه ای یکی از راه های بالقوه و پتانسیل برای ،کتابداران برای برقراری منابع و اطلاعات خود یا جامعه است این فعالیت ها می تواند در نقش یک مدل برای دانشگاهی ها و جامعه دانشگاهی برای ورود به فضای وبلاگ نویسی و با استفاده از و سیستم های رقومی برای برقراری هر چه تعامل بیشتر با رسانه های رقومی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این تیم به بررسی نمونه های دیگری از این رسانه های اجتماعی مانند فیسبوک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این شبکه ها و سیستم های عامل برای وبگاه های جوامع دانشگاهی می پردازد اگرچه در حال حاضر شبکه ها سیستم عامل های بسیار قوی مشترکی برای همکاری وجود دارند ولی با یک چشم انداز بهتر از آینده می توان به خلق راهبردهای بهتر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تماما به تعیین دقیق الگوها و سطح اتصال بهتر و مطالب قابل ارائه از طریق شبکه ها و رسانه های رسمی نیاز دارند اگر برنامه هایی که برای ارائه آن شبکه ها و اتصال آن ها طرح می شود بدون برنامه فنی و تلاش سازمانی و تمرین و تمرکر برای بهبود شدن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خواسته یا ناخواسته باعث از بین رفتن کل سیستم و سازمان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گیرندگان باید در مورد مدیریت مخاطبان و همچنین محتوای منابع خود بسیار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مدیران، بسیار مهم است، که چگونه به ایجاد روابط و تغییراتی که به نفع سازمان و افراد هستند، بپردازد و از روابط و تغییرات غیر مناسب بپرهیزند با این حال افزایش تولیدات اجتماعی بر پایه دانش امروزی می تواند نتیجه مطلوب و خوبی را برای سازمان ها و مردم به ارمغان آورد </w:t>
      </w:r>
      <w:bookmarkStart w:id="1142" w:name="pg9653_82229"/>
    </w:p>
    <w:p>
      <w:pPr>
        <w:pStyle w:val="Heading3"/>
        <w:numPr>
          <w:ilvl w:val="2"/>
          <w:numId w:val="1"/>
        </w:numPr>
        <w:rPr/>
      </w:pPr>
      <w:bookmarkStart w:id="1143" w:name="__RefHeading___Toc7767090_2870459653"/>
      <w:bookmarkStart w:id="1144" w:name="_Toc420"/>
      <w:bookmarkEnd w:id="1142"/>
      <w:bookmarkEnd w:id="1143"/>
      <w:r>
        <w:rPr>
          <w:rtl w:val="true"/>
        </w:rPr>
        <w:t>منابع</w:t>
      </w:r>
      <w:bookmarkEnd w:id="1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Aharony, N. 2008. Web 2.0 in U.S. LIS schools: Are they missing the boat? Ariande. 30(54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Aziz, N.A &amp; Tan, M. 2012. Building a platform for knowledge engagement: Sowing seedling in new media. 6th IEEE International Conference on Digital Ecosystems and</w:t>
      </w:r>
    </w:p>
    <w:p>
      <w:pPr>
        <w:pStyle w:val="BookText"/>
        <w:rPr/>
      </w:pPr>
      <w:r>
        <w:rPr>
          <w:rFonts w:eastAsia="Times New Roman" w:cs="Times New Roman" w:ascii="Times New Roman" w:hAnsi="Times New Roman"/>
          <w:color w:val="111111"/>
          <w:sz w:val="28"/>
          <w:szCs w:val="28"/>
          <w:lang w:val="en-US" w:bidi="en-US"/>
        </w:rPr>
        <w:t>Technologies (DEST) - Complex Environment Engineering, Campione d'Italia, Italy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Benkler, Y. 2006. The Wealth of Networks: How Social Production Transforms Markets and Freedom, Yale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Carr, N. 2008. The Big Switch: Rewiring the World, from Edison to Google, WW Norton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Cross, R., Liedtka, J. &amp; Weiss, L. 2005. A Practical Guide to Social Networks. Harvard Business Review, 124-132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Gwynn, D. 2009. Open Source Web Content Management Systems in a Library Environment. from http://davidgwynn.com/pdf/631_final.pdf</w:t>
      </w:r>
    </w:p>
    <w:p>
      <w:pPr>
        <w:pStyle w:val="BookText"/>
        <w:rPr/>
      </w:pPr>
      <w:r>
        <w:rPr>
          <w:rFonts w:eastAsia="Times New Roman" w:cs="Times New Roman" w:ascii="Times New Roman" w:hAnsi="Times New Roman"/>
          <w:color w:val="111111"/>
          <w:sz w:val="28"/>
          <w:szCs w:val="28"/>
          <w:lang w:val="en-US" w:bidi="en-US"/>
        </w:rPr>
        <w:t>Hendricks, A. 2010. Bloggership, or is publishing a blog scholarship? A survey of academic librarians. Library Hi Tech, 28(3), 470-477. and</w:t>
      </w:r>
    </w:p>
    <w:p>
      <w:pPr>
        <w:pStyle w:val="BookText"/>
        <w:rPr/>
      </w:pPr>
      <w:r>
        <w:rPr>
          <w:rFonts w:eastAsia="Times New Roman" w:cs="Times New Roman" w:ascii="Times New Roman" w:hAnsi="Times New Roman"/>
          <w:color w:val="111111"/>
          <w:sz w:val="28"/>
          <w:szCs w:val="28"/>
          <w:lang w:val="en-US" w:bidi="en-US"/>
        </w:rPr>
        <w:t>Kaplan A.M. &amp; Haenlein M. 2010, Users of the world, unite! The challenges opportunities of social media. Business Horizons, 53(1), 61</w:t>
      </w:r>
    </w:p>
    <w:p>
      <w:pPr>
        <w:pStyle w:val="BookText"/>
        <w:rPr/>
      </w:pPr>
      <w:r>
        <w:rPr>
          <w:rFonts w:eastAsia="Times New Roman" w:cs="Times New Roman" w:ascii="Times New Roman" w:hAnsi="Times New Roman"/>
          <w:color w:val="111111"/>
          <w:sz w:val="28"/>
          <w:szCs w:val="28"/>
          <w:lang w:val="en-US" w:bidi="en-US"/>
        </w:rPr>
        <w:t>Keen, P. &amp; Tan, M. 2007. Knowledge Fusion: A framework for extending the rigor of knowledge management, International Journal of Knowledge Management, 3, 4. the</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Kietzmann, H.J. &amp; Hermkens, K. 2011. Social media? Get serious! Understanding functional building blocks of social media. Business Horizons, 54: 241-251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Kline, D &amp; Burstein, D. 2005. Blog! How the newest media revolution is changing politics, business, and culture, CDS Books, New York, 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Lackie, R.J. &amp; LeMasney, J.W. (2008). Blogger, WordPress.com, and Their Pseudoblog Alternatives: A Comparison of Focus, Features, and Feel. Journal of Library Administration, 46(3-4), 139-180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Lindahl, C., &amp; Blount, E. 2003. Weblogs: simplifying web publishing. Computer, 36(11), 114-116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Mell, P. &amp; Grance, T. 2011. The NIST of cloud computing. Recommendations of the National Institute of Standards and Technology. Available at http://csrc.nist. gov/publications/nistpubs/800- 145/SP800-145.pdf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Mitchell, E., &amp; Gilbertson, K. 2008. Using Open Source Social Software as Digital Library Interface. D-Lib Magazine, 14 (3/4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Morris, S.E. &amp; Bosque, D.D. 2010. Forgotten Resources: Subject Guides in the Era of Web 2.0. Technical Services Quarterly, 27(2), 178-193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Qureshi, S. &amp; Keen, P. 2004. Activating Knowledge through Electronic Collaboration, ERIM Report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Vanclay, F., Lane, R., Wills, J., Coates, I. A. N., &amp; Lucas, D. (2004). "Committing to Place" and Evaluating The Higher Purpose: Increasing Engagement in Natural Resource Management Through Museum Outreach and Educational Activities. Journal of Environmental Assessment Policy &amp; Management, 6(4), 539-564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Wasko M.M. &amp; Faraj, S. 2005. Why should I share? Examing Social Capital and Knowledge Contribution in Electronic Networks of Practice, MIS Quarterly, 29(1), 35-57</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Webster, J.G. &amp; Ksiazek, T.B. 2012. The Dynamics of Audience Fragmentation: Public Attention in an Age of Digital Media. Journal of Communication, 62(1), 39-56</w:t>
      </w:r>
      <w:r>
        <w:rPr>
          <w:rFonts w:eastAsia="Times New Roman" w:cs="Times New Roman" w:ascii="Times New Roman" w:hAnsi="Times New Roman"/>
          <w:color w:val="111111"/>
          <w:sz w:val="28"/>
          <w:szCs w:val="28"/>
          <w:rtl w:val="true"/>
          <w:lang w:val="en-US" w:bidi="en-US"/>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5" w:name="pg9653_82232"/>
      <w:bookmarkStart w:id="1146" w:name="pg9653_82232"/>
      <w:bookmarkEnd w:id="1146"/>
    </w:p>
    <w:p>
      <w:pPr>
        <w:pStyle w:val="Heading2"/>
        <w:numPr>
          <w:ilvl w:val="1"/>
          <w:numId w:val="1"/>
        </w:numPr>
        <w:rPr/>
      </w:pPr>
      <w:bookmarkStart w:id="1147" w:name="pg9653_82232"/>
      <w:bookmarkStart w:id="1148" w:name="__RefHeading___Toc7767092_2870459653"/>
      <w:bookmarkStart w:id="1149" w:name="_Toc421"/>
      <w:bookmarkEnd w:id="1147"/>
      <w:bookmarkEnd w:id="1148"/>
      <w:r>
        <w:rPr>
          <w:rtl w:val="true"/>
        </w:rPr>
        <w:t>چکیده</w:t>
      </w:r>
      <w:bookmarkEnd w:id="1149"/>
    </w:p>
    <w:p>
      <w:pPr>
        <w:pStyle w:val="BookText"/>
        <w:rPr/>
      </w:pPr>
      <w:r>
        <w:rPr>
          <w:rFonts w:ascii="IRNazanin" w:hAnsi="IRNazanin" w:eastAsia="IRNazanin"/>
          <w:color w:val="111111"/>
          <w:sz w:val="28"/>
          <w:sz w:val="28"/>
          <w:szCs w:val="28"/>
          <w:rtl w:val="true"/>
          <w:lang w:bidi="fa-IR"/>
        </w:rPr>
        <w:t>تولید و واسطه گری انواع مختلف داده های کتابشناختی یکی از فعالیت های اصلی کتابخانه است اما امروزه شماری از روش های اجرایی، فناوری ها و حوزه های موضوعی بر این حوزه گسترده اثر می گذارند کتابشناسی عموما به عنوان محصول الگوهای علم کتابداری شناخته می شود اما این حوزه انواع معینی از پژوهش های تجربی زبان شناسی و تاریخچه کتاب از دیگر حوزه های علمی را نیز در بر 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جامعه کتابداری بر وضعیت حاضر تغییرات مستمر فناورانه، ظهور فناوری های نوین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کاربر </w:t>
      </w:r>
      <w:r>
        <w:rPr>
          <w:rStyle w:val="FootnoteAnchor"/>
          <w:rtl w:val="true"/>
        </w:rPr>
        <w:footnoteReference w:id="1423"/>
      </w:r>
      <w:r>
        <w:rPr>
          <w:rFonts w:ascii="IRNazanin" w:hAnsi="IRNazanin" w:eastAsia="IRNazanin"/>
          <w:color w:val="111111"/>
          <w:sz w:val="28"/>
          <w:sz w:val="28"/>
          <w:szCs w:val="28"/>
          <w:rtl w:val="true"/>
          <w:lang w:bidi="fa-IR"/>
        </w:rPr>
        <w:t xml:space="preserve">ادغام فهرست ها با کتابشناسی ها یکپارچه سازی فهرست های کتابخانه در اَبَر فهرست ها </w:t>
      </w:r>
      <w:r>
        <w:rPr>
          <w:rStyle w:val="FootnoteAnchor"/>
          <w:rtl w:val="true"/>
        </w:rPr>
        <w:footnoteReference w:id="1424"/>
      </w:r>
      <w:r>
        <w:rPr>
          <w:rFonts w:ascii="IRNazanin" w:hAnsi="IRNazanin" w:eastAsia="IRNazanin"/>
          <w:color w:val="111111"/>
          <w:sz w:val="28"/>
          <w:sz w:val="28"/>
          <w:szCs w:val="28"/>
          <w:rtl w:val="true"/>
          <w:lang w:bidi="fa-IR"/>
        </w:rPr>
        <w:t xml:space="preserve">و برنامه های گسترده رقومی سازی </w:t>
      </w:r>
      <w:r>
        <w:rPr>
          <w:rStyle w:val="FootnoteAnchor"/>
          <w:rtl w:val="true"/>
        </w:rPr>
        <w:footnoteReference w:id="1425"/>
      </w:r>
      <w:r>
        <w:rPr>
          <w:rFonts w:ascii="IRNazanin" w:hAnsi="IRNazanin" w:eastAsia="IRNazanin"/>
          <w:color w:val="111111"/>
          <w:sz w:val="28"/>
          <w:sz w:val="28"/>
          <w:szCs w:val="28"/>
          <w:rtl w:val="true"/>
          <w:lang w:bidi="fa-IR"/>
        </w:rPr>
        <w:t xml:space="preserve">توجه زیادی شده است عینیت بخشیدن و به کارگیری ملزومات کار کردی برای پیشینه های کتابشناختی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آر بی آر</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 xml:space="preserve">داده های پیوندی </w:t>
      </w:r>
      <w:r>
        <w:rPr>
          <w:rStyle w:val="FootnoteAnchor"/>
          <w:rtl w:val="true"/>
        </w:rPr>
        <w:footnoteReference w:id="1427"/>
      </w:r>
      <w:r>
        <w:rPr>
          <w:rFonts w:ascii="IRNazanin" w:hAnsi="IRNazanin" w:eastAsia="IRNazanin"/>
          <w:color w:val="111111"/>
          <w:sz w:val="28"/>
          <w:sz w:val="28"/>
          <w:szCs w:val="28"/>
          <w:rtl w:val="true"/>
          <w:lang w:bidi="fa-IR"/>
        </w:rPr>
        <w:t xml:space="preserve">و فناوری های معنایی </w:t>
      </w:r>
      <w:r>
        <w:rPr>
          <w:rStyle w:val="FootnoteAnchor"/>
          <w:rtl w:val="true"/>
        </w:rPr>
        <w:footnoteReference w:id="1428"/>
      </w:r>
      <w:r>
        <w:rPr>
          <w:rFonts w:ascii="IRNazanin" w:hAnsi="IRNazanin" w:eastAsia="IRNazanin"/>
          <w:color w:val="111111"/>
          <w:sz w:val="28"/>
          <w:sz w:val="28"/>
          <w:szCs w:val="28"/>
          <w:rtl w:val="true"/>
          <w:lang w:bidi="fa-IR"/>
        </w:rPr>
        <w:t>از دیگر حوزه های مورد توجه بوده است</w:t>
      </w:r>
      <w:r>
        <w:rPr>
          <w:rFonts w:eastAsia="IRNazanin" w:cs="IRNazanin"/>
          <w:color w:val="111111"/>
          <w:sz w:val="28"/>
          <w:szCs w:val="28"/>
          <w:rtl w:val="true"/>
          <w:lang w:bidi="fa-IR"/>
        </w:rPr>
        <w:t xml:space="preserve">. </w:t>
      </w:r>
      <w:bookmarkStart w:id="1150" w:name="pg9653_82233"/>
    </w:p>
    <w:p>
      <w:pPr>
        <w:pStyle w:val="Heading2"/>
        <w:numPr>
          <w:ilvl w:val="1"/>
          <w:numId w:val="1"/>
        </w:numPr>
        <w:rPr/>
      </w:pPr>
      <w:bookmarkStart w:id="1151" w:name="__RefHeading___Toc7767094_2870459653"/>
      <w:bookmarkStart w:id="1152" w:name="_Toc422"/>
      <w:bookmarkEnd w:id="1150"/>
      <w:bookmarkEnd w:id="1151"/>
      <w:r>
        <w:rPr>
          <w:rtl w:val="true"/>
        </w:rPr>
        <w:t>آماده سازی کتابشناسی ها برای آینده</w:t>
      </w:r>
      <w:r>
        <w:rPr>
          <w:rtl w:val="true"/>
        </w:rPr>
        <w:t xml:space="preserve">: </w:t>
      </w:r>
      <w:r>
        <w:rPr>
          <w:rtl w:val="true"/>
        </w:rPr>
        <w:t>الگویی پژوهش محور برای کتابشناسی ها</w:t>
      </w:r>
      <w:bookmarkEnd w:id="1152"/>
    </w:p>
    <w:p>
      <w:pPr>
        <w:pStyle w:val="Heading3"/>
        <w:numPr>
          <w:ilvl w:val="2"/>
          <w:numId w:val="1"/>
        </w:numPr>
        <w:rPr/>
      </w:pPr>
      <w:bookmarkStart w:id="1153" w:name="__RefHeading___Toc7767096_2870459653"/>
      <w:bookmarkStart w:id="1154" w:name="_Toc423"/>
      <w:bookmarkEnd w:id="1153"/>
      <w:r>
        <w:rPr>
          <w:rtl w:val="true"/>
        </w:rPr>
        <w:t>اشاره</w:t>
      </w:r>
      <w:bookmarkEnd w:id="1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کتابشناسی ها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پژوهش محور برای کتابشناسی ها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 xml:space="preserve">نوشته هِگ اِستنسرود حسین، </w:t>
      </w:r>
      <w:r>
        <w:rPr>
          <w:rStyle w:val="FootnoteAnchor"/>
          <w:rtl w:val="true"/>
        </w:rPr>
        <w:footnoteReference w:id="1430"/>
      </w:r>
      <w:r>
        <w:rPr>
          <w:rFonts w:ascii="IRNazanin" w:hAnsi="IRNazanin" w:eastAsia="IRNazanin"/>
          <w:color w:val="111111"/>
          <w:sz w:val="28"/>
          <w:sz w:val="28"/>
          <w:szCs w:val="28"/>
          <w:rtl w:val="true"/>
          <w:lang w:bidi="fa-IR"/>
        </w:rPr>
        <w:t xml:space="preserve">ایرن هول </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عباس گیلوری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 xml:space="preserve">تاکنون در تولید کتابشناسی های خاص، </w:t>
      </w:r>
      <w:r>
        <w:rPr>
          <w:rStyle w:val="FootnoteAnchor"/>
          <w:rtl w:val="true"/>
        </w:rPr>
        <w:footnoteReference w:id="1433"/>
      </w:r>
      <w:r>
        <w:rPr>
          <w:rFonts w:ascii="IRNazanin" w:hAnsi="IRNazanin" w:eastAsia="IRNazanin"/>
          <w:color w:val="111111"/>
          <w:sz w:val="28"/>
          <w:sz w:val="28"/>
          <w:szCs w:val="28"/>
          <w:rtl w:val="true"/>
          <w:lang w:bidi="fa-IR"/>
        </w:rPr>
        <w:t>بر تقویت زیر ساختارهای پژوهش ملی تاکید می شد به هر حال، اکنون کتابشناسی های خاص نیز می کوشند داده های پژوهشی و الگوهای نظری جامعه دانشگاهی را در هم 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درباره الگوی کتابخانه ملی نروژ برای تولید کتابشناسی های خاص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هایی از سه کتابشناسی خاص یعنی هامسون، </w:t>
      </w:r>
      <w:r>
        <w:rPr>
          <w:rStyle w:val="FootnoteAnchor"/>
          <w:rtl w:val="true"/>
        </w:rPr>
        <w:footnoteReference w:id="1434"/>
      </w:r>
      <w:r>
        <w:rPr>
          <w:rFonts w:ascii="IRNazanin" w:hAnsi="IRNazanin" w:eastAsia="IRNazanin"/>
          <w:color w:val="111111"/>
          <w:sz w:val="28"/>
          <w:sz w:val="28"/>
          <w:szCs w:val="28"/>
          <w:rtl w:val="true"/>
          <w:lang w:bidi="fa-IR"/>
        </w:rPr>
        <w:t xml:space="preserve">بیورنسون </w:t>
      </w:r>
      <w:r>
        <w:rPr>
          <w:rStyle w:val="FootnoteAnchor"/>
          <w:rtl w:val="true"/>
        </w:rPr>
        <w:footnoteReference w:id="1435"/>
      </w:r>
      <w:r>
        <w:rPr>
          <w:rFonts w:ascii="IRNazanin" w:hAnsi="IRNazanin" w:eastAsia="IRNazanin"/>
          <w:color w:val="111111"/>
          <w:sz w:val="28"/>
          <w:sz w:val="28"/>
          <w:szCs w:val="28"/>
          <w:rtl w:val="true"/>
          <w:lang w:bidi="fa-IR"/>
        </w:rPr>
        <w:t xml:space="preserve">و سولستد، </w:t>
      </w:r>
      <w:r>
        <w:rPr>
          <w:rStyle w:val="FootnoteAnchor"/>
          <w:rtl w:val="true"/>
        </w:rPr>
        <w:footnoteReference w:id="1436"/>
      </w:r>
      <w:r>
        <w:rPr>
          <w:rFonts w:ascii="IRNazanin" w:hAnsi="IRNazanin" w:eastAsia="IRNazanin"/>
          <w:color w:val="111111"/>
          <w:sz w:val="28"/>
          <w:sz w:val="28"/>
          <w:szCs w:val="28"/>
          <w:rtl w:val="true"/>
          <w:lang w:bidi="fa-IR"/>
        </w:rPr>
        <w:t>نشانگر آرمان های فعلی برای کتابشناسی های خاص هستند یعنی کتابشناسی هایی پژوهش محور مشارکتی و از جنبه فناورانه پویا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چالشی که نشست کمیته ایفلا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کتابشناسی ها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است به نظر می رسد پیش از شروع به تفکر درباره شیوه آماده سازی کتابشناسی ها برای آینده </w:t>
      </w:r>
    </w:p>
    <w:p>
      <w:pPr>
        <w:pStyle w:val="BookText"/>
        <w:rPr/>
      </w:pPr>
      <w:r>
        <w:rPr>
          <w:rFonts w:ascii="IRNazanin" w:hAnsi="IRNazanin" w:eastAsia="IRNazanin"/>
          <w:color w:val="111111"/>
          <w:sz w:val="28"/>
          <w:sz w:val="28"/>
          <w:szCs w:val="28"/>
          <w:rtl w:val="true"/>
          <w:lang w:bidi="fa-IR"/>
        </w:rPr>
        <w:t xml:space="preserve">مناسب است که بپرسیم امروزه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و کتابخانه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چه معنایی دارد؟ واژه کتابشناسی از کلمه یونانی بیبلیوگرافیا </w:t>
      </w:r>
      <w:r>
        <w:rPr>
          <w:rStyle w:val="FootnoteAnchor"/>
          <w:rtl w:val="true"/>
        </w:rPr>
        <w:footnoteReference w:id="1437"/>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نویسی</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یونانی ابتدا از این واژه برای اشاره به نسخه برداری دستی کتاب ها استفاده می کردند در قرن دوازده میلادی استفاده از واژه کتابشناسی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فکری تدوین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اما 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کتاب ها</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به عنوان معنای جدید این واژه متداول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تامل بر عنوان این نشست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کتابشناسی ها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دریافتم که عنوان این نشست، به تنهایی، و استفاده منفرد و خاص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 چیزی است که من علاقه دارم به آن اشاره کنم من فکر می کنم عنوانی که پیشتر برای این نشست در نظر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عنوان، بیانگر برداشتی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اسم، یک محصول یا مجموعه ای از محصولات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برداشتی دیگر از این واژه یک قالب کتابشناسی یا توافقی ضمنی است که ما به استفاده از آن در کتابخانه عادت کرده ایم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نگاشت نظام یافته</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که فهرستی نظام یافته از کتاب ها است، مثل یک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این باره از جایگاه کتابخانه،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را با کتابشناسی ها و فعالیت های کتابشناختی احاطه و غوطه ور ساخته،ایم یعنی فراداده های کتابشناختی را ثبت و وساطت می کنیم از استانداردها و قواعد آن ها سخن می گوییم و درباره فهرست ماشین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 xml:space="preserve">طرح فراداده ای توصیف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 xml:space="preserve">طرح فراداده ای هسته دوبلین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دوبلین کور</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 xml:space="preserve">و قالب توصیف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اف</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گفت و گو می کنیم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در دانشگاه ها و جوامع دانشگاهی به نوع دیگری از کتابشناسی یعنی کتابشناسی توصیفی </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نمودها، تحلیل ها و جنبه های تاریخی مختلف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کتابشناسی نظام مند است و اغلب توصیف بسیار مختصری از کتاب ها به عنوان اشیای فیزیکی به عنوان موضوعات مختلف زبانشناسی و به عنوان عناصری را در بر دارند که بیش از پیش حوزه های بین رشته ای جامعه دانشگاهی به آن علاقمند است و می توانیم آن را تاریخ کتاب بنامیم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مکنزی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 xml:space="preserve">استاد کتابشناسی و منتقد متون در دانشگاه آکسفورد در مقدمه مقاله اثر گذار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و جامعه شناسی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کتابشناسان جدید نیوزلند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فرآیندهای آشنای تاریخی که در طول قرن ها، متون با استفاده از آن ها قالب و محتوای خود را تغییر داده اند اکنون به درجه ای از رشد رسیده اند که به سختی می توان تعریف و مکان مرجع متنی آن را در قالب های قدیمی تعریف کرد کتابداران متخصص، در اثر فشار تغییرات غیر قابل مقاومت فناورانه و اجتماعی در حال تعریف دوباره رشته خود هستند تا بتوانند شیوه دستیابی و مکان صداها، تصاویر صامت و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 بدون استفاده از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اطلاعات ذخیره شده در رایانه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فقط در حال حاضر است که کتابشناسی دانشگاهی انگیزه تازه ای برای گرایش به این توسعه ها را یافته و از تجربیات و علایق دانشجویانی استفاده کرده است که 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ساختار متنی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تدوین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مکنزی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مکنزی در جملاتی معدود، نکاتی چند را بر می شمرد که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گفت و گو درباره کتابشناسی مکنزی هم به کتابشناسی شمارشی </w:t>
      </w:r>
      <w:r>
        <w:rPr>
          <w:rStyle w:val="FootnoteAnchor"/>
          <w:rtl w:val="true"/>
        </w:rPr>
        <w:footnoteReference w:id="1447"/>
      </w:r>
      <w:r>
        <w:rPr>
          <w:rFonts w:ascii="IRNazanin" w:hAnsi="IRNazanin" w:eastAsia="IRNazanin"/>
          <w:color w:val="111111"/>
          <w:sz w:val="28"/>
          <w:sz w:val="28"/>
          <w:szCs w:val="28"/>
          <w:rtl w:val="true"/>
          <w:lang w:bidi="fa-IR"/>
        </w:rPr>
        <w:t xml:space="preserve">و هم به کتابشناسی توصیفی اشاره می کند؛ اما به کتابشناسی بیشتر به عنوان یک حوزه یا رشته می نگرد تا به عنوان یک محصول او چگونگی فرآیندی را شرح می دهد که متون با استفاده از آن، تغییر قالب و محتوی خود را تسریع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هر فرد شاغل در کتابخانه می تواند به سادگی آن را درک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کتابداران چگونه در حال تعریف دوباره رشته خود هستند تا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دستیابی و مکان صداها، تصاویر صامت و متحرک با یا بدون استفاده از کلمات و جریان اطلاعات ذخیره شده در رایانه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بیانگر گسترده شدن حوزه ای است که ما به طور سنتی آن را موضوع کتابشناسی، یعنی کتاب، یا حداقل نوعی منابع نوشتاری می دانیم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مقایسه با کتابداران حرفه ای که با تعریف دوباره رشته در برابر تغییرات غیر قابل مقاومت </w:t>
      </w:r>
      <w:r>
        <w:rPr>
          <w:rStyle w:val="FootnoteAnchor"/>
          <w:rtl w:val="true"/>
        </w:rPr>
        <w:footnoteReference w:id="1448"/>
      </w:r>
      <w:r>
        <w:rPr>
          <w:rFonts w:ascii="IRNazanin" w:hAnsi="IRNazanin" w:eastAsia="IRNazanin"/>
          <w:color w:val="111111"/>
          <w:sz w:val="28"/>
          <w:sz w:val="28"/>
          <w:szCs w:val="28"/>
          <w:rtl w:val="true"/>
          <w:lang w:bidi="fa-IR"/>
        </w:rPr>
        <w:t xml:space="preserve">فناورانه موافق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مکنزی کتابشناسی دانشگاهی را مطرح می کند که فقط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فناوری ها در حال اثر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تعیین دو حوزه مختلف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مرتبط با علم کتابداری و دیگری مربوط به کتابشناسی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مسئله منطقی به نظر می رسد که دو مکتب یاد شده نه تنها در خصوص آن چه یک کتابشناسی به عنوان یک محصول یا به عنوان یک رشته از آن تشکیل شده بلکه در باره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جلسه ما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متفاوتی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مکنزی، پیامد گام های تسهیل شده تغییر در قالب و محتوای متن آن است که تعریف و بازیابی محتوایی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 به روش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توصیه او را در ارتباط با نوع حوزه کتابشناسی درک کرد، یعنی جایی که واژه شناسان ویرایش در پی ایجاد اعتبار متنی، از طریق کوشش برای فهم مقصود نویسنده و تعیین این نکته اند که کدام متن می تواند به عنوان کپی متن مورد استفاده قرار گیرد گرایشی به سوی این مسئله وجود دارد که باید به کدام متن به عنوان متن اصلی اعتماد کرد و سایر متون را با آن مقایسه و ویرایش های جدیدی را منتشر نمود آیا این متن اصلی دستنویس نویسنده است که به چاپخانه ارائه شده نخستین ویرایش چاپ شده، یا آخرین ویرایش منتشر شده ای است که نویسنده در فرایند ویراستاری آن مداخله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مخالفت محض با تعیین اعتبار متنی به عنوان هدف اولیه کتابشناسی توصیفی مکنزی ایده خود از کتابشناسی به عنوان جامعه شناسی متون 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رشته ای است که متون را در قالب های ضبط شده آن ها و فرایند انتقال آن ها از جمله تولید و دریافت مطالعه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واژه متن استفاده کردم تا داده های شفاهی، بصری، زبانی و رقومی را در بر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مکنزی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کتابشناسان و تاریخ دانان کتاب مثل خود مکنزی فیلیپ گاسکل، </w:t>
      </w:r>
      <w:r>
        <w:rPr>
          <w:rStyle w:val="FootnoteAnchor"/>
          <w:rtl w:val="true"/>
        </w:rPr>
        <w:footnoteReference w:id="1449"/>
      </w:r>
      <w:r>
        <w:rPr>
          <w:rFonts w:ascii="IRNazanin" w:hAnsi="IRNazanin" w:eastAsia="IRNazanin"/>
          <w:color w:val="111111"/>
          <w:sz w:val="28"/>
          <w:sz w:val="28"/>
          <w:szCs w:val="28"/>
          <w:rtl w:val="true"/>
          <w:lang w:bidi="fa-IR"/>
        </w:rPr>
        <w:t xml:space="preserve">رابرت دارنتن </w:t>
      </w:r>
      <w:r>
        <w:rPr>
          <w:rStyle w:val="FootnoteAnchor"/>
          <w:rtl w:val="true"/>
        </w:rPr>
        <w:footnoteReference w:id="1450"/>
      </w:r>
      <w:r>
        <w:rPr>
          <w:rFonts w:ascii="IRNazanin" w:hAnsi="IRNazanin" w:eastAsia="IRNazanin"/>
          <w:color w:val="111111"/>
          <w:sz w:val="28"/>
          <w:sz w:val="28"/>
          <w:szCs w:val="28"/>
          <w:rtl w:val="true"/>
          <w:lang w:bidi="fa-IR"/>
        </w:rPr>
        <w:t xml:space="preserve">و روژه شارتیه، </w:t>
      </w:r>
      <w:r>
        <w:rPr>
          <w:rStyle w:val="FootnoteAnchor"/>
          <w:rtl w:val="true"/>
        </w:rPr>
        <w:footnoteReference w:id="1451"/>
      </w:r>
      <w:r>
        <w:rPr>
          <w:rFonts w:ascii="IRNazanin" w:hAnsi="IRNazanin" w:eastAsia="IRNazanin"/>
          <w:color w:val="111111"/>
          <w:sz w:val="28"/>
          <w:sz w:val="28"/>
          <w:szCs w:val="28"/>
          <w:rtl w:val="true"/>
          <w:lang w:bidi="fa-IR"/>
        </w:rPr>
        <w:t xml:space="preserve">این تغییر در کانون توجه در بافت کتابشناسی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گرایش های زبان شناسانه در بررسی اعتبار متنی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متون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حرکت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این کانون توجه تازه، از تغییری انتخابی در کتابشناسی دانشگاهی تشکیل شده و به این حوزه، جانی دوباره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به نظر می رسد که در بین جامعه کتابخانه، انتظار از آینده کتابشناسی به اضافه بسط مفهوم متون برای در برگرفتن داده های شفاهی، دیداری، زبانی و رقومی بر نتایج و پیامدهای فناورانه و عملی تاکید داشته باشد ظهور فناوری های نوین جستجو، رابط ها و برنامه های کاربری ادغام فهرست ها با کتابشناسی ها؛ ادغام فهرست کتابخانه ها در ابر فهرست ها و استفاده از الگوهای جدید برای ارائه فراداده هایی مثل آردی 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توصیف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کسی که در یک همایش بزرگ کتابخانه ای در چند سال گذشته شرکت داشته می توان گزارش داد که آرزوی ما تحقق و کاربست ملزومات کارکردی برای پیشینه های کتابشناختی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آر بی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داده های پیوندی و فناوری های معنایی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و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را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یعنی تقریبا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چند سال قبل، ما در کتابخانه ملی نروژ کار با الگوی جدید خود برای تولید انواع مشخصی از کتابشناسی ها را آغاز کردیم، وضعیت تقریبا مشابه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کتابداران فهرست می نوشتند و فراداده های کتابشناختی مثل کتابشناسی ملی را تهیه می کردند متخصصان در جوامع دانشگاهی نیز با واژه نگار ورد، کتابشناسی هایی تهیه کرده و آن ها را در قالب کتاب منتشر می کردند با نزدیک شدن به پایان قرن، ما تبدیل فایل های وردی به قالب زبان نشانه گذاری ابر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 تی ام ال</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را آغاز کرده و آن ها را بر روی وبگاه </w:t>
      </w:r>
      <w:r>
        <w:rPr>
          <w:rStyle w:val="FootnoteAnchor"/>
          <w:rtl w:val="true"/>
        </w:rPr>
        <w:footnoteReference w:id="1453"/>
      </w:r>
      <w:r>
        <w:rPr>
          <w:rFonts w:ascii="IRNazanin" w:hAnsi="IRNazanin" w:eastAsia="IRNazanin"/>
          <w:color w:val="111111"/>
          <w:sz w:val="28"/>
          <w:sz w:val="28"/>
          <w:szCs w:val="28"/>
          <w:rtl w:val="true"/>
          <w:lang w:bidi="fa-IR"/>
        </w:rPr>
        <w:t>منتشر کردیم در جایی که مجموعه های زیادی از متون وجود داشت ما با بهره گیری از نیروی فراوان کتابداران، ورود داده ها به پایگاه اختصاصی را آغاز کردیم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تصمیم گیری برای انجام متفاوت کارها در آینده، به الگویی تازه برای تولید کتابشناسی هایی معین در کتابخانه ملی اندیشیدیم، الگویی که بتواند از هر دو سنت کتابشناسی بهترین بهره را ببرد این الگو همکاری بین بخش های پژوهش فهرست نویسی و فناوری اطلاعات در کتابخانه ملی بود ما به راه حلی رقومی نیاز داشتیم که عملگرا و از نظر فناوری پویا و بادوام باشد، و بتواند در کتابخانه ملی و سایر کتابخانه ها مورد استفاده قرار گیرد پس از توجه به گزینه های مختلف تصمیم گرفتیم در درون بیب سیس </w:t>
      </w:r>
      <w:r>
        <w:rPr>
          <w:rStyle w:val="FootnoteAnchor"/>
          <w:rtl w:val="true"/>
        </w:rPr>
        <w:footnoteReference w:id="1454"/>
      </w:r>
      <w:r>
        <w:rPr>
          <w:rFonts w:ascii="IRNazanin" w:hAnsi="IRNazanin" w:eastAsia="IRNazanin"/>
          <w:color w:val="111111"/>
          <w:sz w:val="28"/>
          <w:sz w:val="28"/>
          <w:szCs w:val="28"/>
          <w:rtl w:val="true"/>
          <w:lang w:bidi="fa-IR"/>
        </w:rPr>
        <w:t>کتابشناسی ها را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 سیس اَبَر فهرست مشارکتی نروژ است که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از جمله همه کتابخانه های دانشگاهی اغلب کتابخانه های پژوهشی و کتابخانه ملی را در بر دارد با استفاده از بیب سیس به عنوان ابزاری برای تولید کتابشناسی ها، برای هر کتابشناسی جدید، میانجی بهره گیر خاصی بر روی وبگاه ما تعریف شد علاوه بر این استفاده از بیب سیس در مقایسه با سایر روش های ممکن، مزایای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 سیس به ما امکان داد تا از فهرست ماشین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استانداردهای شناخته شده بین المللی برای پیشینه های کتابشناختی استفاده کنیم این مسئله همکاری با دیگران امکان بازنمایی </w:t>
      </w:r>
      <w:r>
        <w:rPr>
          <w:rStyle w:val="FootnoteAnchor"/>
          <w:rtl w:val="true"/>
        </w:rPr>
        <w:footnoteReference w:id="1455"/>
      </w:r>
      <w:r>
        <w:rPr>
          <w:rFonts w:ascii="IRNazanin" w:hAnsi="IRNazanin" w:eastAsia="IRNazanin"/>
          <w:color w:val="111111"/>
          <w:sz w:val="28"/>
          <w:sz w:val="28"/>
          <w:szCs w:val="28"/>
          <w:rtl w:val="true"/>
          <w:lang w:bidi="fa-IR"/>
        </w:rPr>
        <w:t>و انتقال داده ها و غیره را نسبتا تسهیل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 سیس داده هایی درباره مجموعه های عظیم کتابخانه ای و عناوین و نسخه ها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ما فرصت داد تا تعداد زیادی از منابع مرتبط را برای ورود به کتابشناسی شناسایی کنیم پس از شناسایی آن ها، ما از طریق برچسب گذاری مجموعه های موجود قبلی در کتابشناسی فراداده باکیفیتی را از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بیب سیس کتابشناسی ملی 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کتابخانه ها استخراج کردیم بیب سیس همچنین ثبت مستند و مجازی نام ها را در بر دارد که با مشارکت و همکاری کتابخانه ملی توسعه یافته و مدیریت شد انتخاب بیبسیس به ما فرصت داد تا در </w:t>
      </w:r>
    </w:p>
    <w:p>
      <w:pPr>
        <w:pStyle w:val="BookText"/>
        <w:rPr/>
      </w:pPr>
      <w:r>
        <w:rPr>
          <w:rFonts w:ascii="IRNazanin" w:hAnsi="IRNazanin" w:eastAsia="IRNazanin"/>
          <w:color w:val="111111"/>
          <w:sz w:val="28"/>
          <w:sz w:val="28"/>
          <w:szCs w:val="28"/>
          <w:rtl w:val="true"/>
          <w:lang w:bidi="fa-IR"/>
        </w:rPr>
        <w:t>فهرست ملی مستند نام ها همکاری داشته باشیم راه حل یکپارچه، درباره محلّ یافتن نسخه ای از یک کتاب و شیوه دسترسی به گزینه های امانت اطلاعاتی را برای بهره گیران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آن که بیب سیس داده ها و پیوندها به فایل های رقومی در برنامه رقومی سازی کتابخانه ملی را دربردارد این موضوع اهمیت روزافزون بیب سیس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برنامه رقومی سازی که چند سال قبل شروع شد رقومی سازی همه مجموعه کتابخانه بود که به مراحل آخر خود نزدیک شده است دولت مشتاق بود تا میزان رقومی سازی و دسترسی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یک موافقت نامه مجوز اشتراکی گسترده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 کتاب</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 xml:space="preserve">بین کتابخانه ملی و سازمان کاپینور، </w:t>
      </w:r>
      <w:r>
        <w:rPr>
          <w:rStyle w:val="FootnoteAnchor"/>
          <w:rtl w:val="true"/>
        </w:rPr>
        <w:footnoteReference w:id="1457"/>
      </w:r>
      <w:r>
        <w:rPr>
          <w:rFonts w:ascii="IRNazanin" w:hAnsi="IRNazanin" w:eastAsia="IRNazanin"/>
          <w:color w:val="111111"/>
          <w:sz w:val="28"/>
          <w:sz w:val="28"/>
          <w:szCs w:val="28"/>
          <w:rtl w:val="true"/>
          <w:lang w:bidi="fa-IR"/>
        </w:rPr>
        <w:t xml:space="preserve">نماینده نویسندگان، ناشران و سایر دارندگان حق کپی رایت منعقد شد بر اساس آن به همه بهره گیران یک آدرس آی پی رایگان اختصاص داده شد تا به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نروژی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قرارداد را مثبت ارزیابی کردند و موافقت نامه بسط یافت تا کتاب های چاپی نروژی از ابتدا تاکنون به ویژه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رقومی شد و به رایگان در دسترس قرار گرفت این ،قرارداد رقومی کردن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 سازد گرچه مجموعه ای واحد برای تولید کتابشناسی فعالیت می کند اما همه عناوین کتاب ها رقومی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الگوی جدید، کتابشناسی هامسون نخستین کتابشناسی بود که کتابخانه ملی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از جشن ملی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کتابخانه ملی برای برنده جایزه نوبل نروژ </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کتابشناسی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کتابشناسی با همکاری کتابخانه دانشگاهی ترومسا </w:t>
      </w:r>
      <w:r>
        <w:rPr>
          <w:rStyle w:val="FootnoteAnchor"/>
          <w:rtl w:val="true"/>
        </w:rPr>
        <w:footnoteReference w:id="1458"/>
      </w:r>
      <w:r>
        <w:rPr>
          <w:rFonts w:ascii="IRNazanin" w:hAnsi="IRNazanin" w:eastAsia="IRNazanin"/>
          <w:color w:val="111111"/>
          <w:sz w:val="28"/>
          <w:sz w:val="28"/>
          <w:szCs w:val="28"/>
          <w:rtl w:val="true"/>
          <w:lang w:bidi="fa-IR"/>
        </w:rPr>
        <w:t>تولید شد و الگویی بالقوه برای تولید کتابشناسی مشارکتی فراهم آورد با روز آمدسازی و تکمیل مجموعه های کتابشناختی موجود فعالیت ما ابر فهرست مشارکتی و کتابشناسی ملی را غنا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مدخل های نامه ا و موسسات جدید را به فهرست نامه ای مستند ملی افزود با فعالیت نظام مند در قالب مجموعه های متنی توان بالقوه این الگو برای شناسایی خلاءهای موجود در مجموعه کتابخانه ملی را دریافتیم یافتن مدارکی که در طول سال ها بی خبر مفقود شده بودند و مدارکی که در حقیقت هرگز به دلایلی قانونی به امانت داده نشده بودند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اعتماد به نفس و شایستگی که به دست آمد، تولید یک کتابشناسی به مناسبت برنده جایزه نوبل نروژ بیورنسون، را به عنوان یادبود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او تولید کردیم با رهاسازی خود از روال های </w:t>
      </w:r>
    </w:p>
    <w:p>
      <w:pPr>
        <w:pStyle w:val="BookText"/>
        <w:rPr/>
      </w:pPr>
      <w:r>
        <w:rPr>
          <w:rFonts w:ascii="IRNazanin" w:hAnsi="IRNazanin" w:eastAsia="IRNazanin"/>
          <w:color w:val="111111"/>
          <w:sz w:val="28"/>
          <w:sz w:val="28"/>
          <w:szCs w:val="28"/>
          <w:rtl w:val="true"/>
          <w:lang w:bidi="fa-IR"/>
        </w:rPr>
        <w:t xml:space="preserve">قبلی کتابخان های و تفکر درباره کتابشناسی، نه فقط به عنوان زیر ساختاری برای پژوهش، بلکه به عنوان همکاری پژوهشی و نهایتا واسطه گری پژوهش و اشاعه با پژوهشگران و نیز سرگذشت نامه نویس بیورنسون، ادوارد هوم، </w:t>
      </w:r>
      <w:r>
        <w:rPr>
          <w:rFonts w:eastAsia="Times New Roman" w:cs="Times New Roman" w:ascii="Times New Roman" w:hAnsi="Times New Roman"/>
          <w:color w:val="111111"/>
          <w:sz w:val="28"/>
          <w:szCs w:val="28"/>
          <w:lang w:val="en-US" w:bidi="en-US"/>
        </w:rPr>
        <w:t>Edvard Hoem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 تنگاتنگی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روال های کاری الفبایی یا زمانی مجموعه ها ما خود را با جنبه عملی روش جدید منطبق ساختیم و در موارد لزوم، کارها را اولویت بندی کردیم موادی مثل مقالات روزنامه ها و سخنرانی های منتشر شده را که پژوهشگران به آن ها علاقمند هستند بدانها افزودیم؛ منابعی را که در جستجوی آن هستند شناسایی کردیم و آن ها را در دسترس قرار دادیم و لایه های جدید فراداده ای را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مکان های جغرافیایی بر روی نقشه برچسب هایی افزودیم و برای برنامه نقشه در موتور کاوش گوگل، داده های آن را تنظیم و منتقل کردیم و فعالیت ها و اشتغالات بیورنسون را بازنمایی بصری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درعوض، پژوهشگران از طریق شناسایی نویسندگان و اسامی مستعار، پیشنهاد کلیدواژه ها، شناسایی مدارک مرتبط و غیره دانش تخصصی خود را به اشتراک گذاشتند و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پژوهشگران نه تنها در تهیه فراداده های تولیدی بهره گیران بلکه در باروری این فراداده ها نیز سهم داشتند دید و فراست آن ها، کتابشناسی ملی فهرست مستند ملی و فهرست مشارکتی را غنا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متنی کتابخانه های هامسون و بیورنسون بسیار عظیم بودند، بنابراین ما از آن چه باید افزوده شود ارزیابی و برآوردی دقیق تهیه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گرامیداشت یکی از مشهورترین نویسندگان معروف نروژی، داگ سولستد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بر روی کتابشناسی را آغاز کردیم برای نخستین بار، ما می توانستیم همه نوشته های یک نویسنده و آن چه را که درباره او نگاشته شده است به مجموعه بیفزاییم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دقیق تر به موضوع نویسندگی و تالیفات روشن شد که این الگوی تولید کتابشناسی ها یک محدودیت جدی دارد این شیوه هیچ اطلاعی از رابطه های بین مدارک را دربرندارد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یافتن به نگرش و نقشه راهی برای درک موارد ترجیحی پژوهشگران و عامه مردم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استانداردهای کتابشناختی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زمانی که کتابشناسی ها به عنوان کتاب منتشر می شدند و چه در هنگامی که مجموعه های کتابخان های موجود در برگه دان ها را ثبت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 ساده ای مثل ردگیری شیوه انتشار ویرایش های مختلف یک اثر در طول سال های مختلف حذف و در فهرست کتابخانه های رقومی نیز منسوخ شدند افزودن لایه جدید فراداده و فعالیت بر روی الگوریتم جستجو و رابط کاربر بازسازی برخی از این رابطه ها را ممکن ساخت و به بهرهگیر امکان داد تا در درون فهرستی </w:t>
      </w:r>
    </w:p>
    <w:p>
      <w:pPr>
        <w:pStyle w:val="BookText"/>
        <w:rPr/>
      </w:pPr>
      <w:r>
        <w:rPr>
          <w:rFonts w:ascii="IRNazanin" w:hAnsi="IRNazanin" w:eastAsia="IRNazanin"/>
          <w:color w:val="111111"/>
          <w:sz w:val="28"/>
          <w:sz w:val="28"/>
          <w:szCs w:val="28"/>
          <w:rtl w:val="true"/>
          <w:lang w:bidi="fa-IR"/>
        </w:rPr>
        <w:t xml:space="preserve">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در ویرایش های مختلف و ترجمه ها و نهایتا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تحقق عملی و ناتمام برخی از اصولی بود که زیربنای اف آر بی آر را شکل داد</w:t>
      </w:r>
    </w:p>
    <w:p>
      <w:pPr>
        <w:pStyle w:val="BookText"/>
        <w:rPr/>
      </w:pPr>
      <w:r>
        <w:rPr>
          <w:rFonts w:ascii="IRNazanin" w:hAnsi="IRNazanin" w:eastAsia="IRNazanin"/>
          <w:color w:val="111111"/>
          <w:sz w:val="28"/>
          <w:sz w:val="28"/>
          <w:szCs w:val="28"/>
          <w:rtl w:val="true"/>
          <w:lang w:bidi="fa-IR"/>
        </w:rPr>
        <w:t>با کار بر روی مجموعه های متنی آثار و نمودهای آن ها دریافتیم که الگوهای کتابشناختی مورد استفاده برای شناسایی خلاءهای موجود در مجموعه ما سودمند بودند ولی اکنون به ما امکان می دهند تا انواع خلاءهای دیگر را نیز شناسایی کنیم در طول چند سال گذشته این الگو به ما اجازه داده است تا در مورد تاریخ کتاب و مادیت کتاب ها تبحر و صلاحیت لازم را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توانستیم مجموعه ها را دسته بندی کنیم به انواع صحافی در ویرایش های یکسان بنگریم، مواردی را که کتاب نه در صحافی اصلی خود بلکه با صحافی کتابخانه ای در مجموعه وجود دارد مشخص نماییم و کتاب هایی با منشا جالب و مورد توجه شناسایی کنیم بنابراین توانستیم آرزوهای خود را مبنی بر تهیه مجموعه ای کامل از چاپ های نروژی در انواع مختلف مواد فیزیکی و زبان شناختی محقق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الگوی کتابشناختی خود را، به عنوان ابزاری برای توسعه، ادامه دادیم ایجاد فهرستی مستند برای آثار برنامه ما برای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پیشرفت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فهرست مستند نام ها که قبلا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یک گام به استفاده از فناوری های معنایی </w:t>
      </w:r>
      <w:r>
        <w:rPr>
          <w:rStyle w:val="FootnoteAnchor"/>
          <w:rtl w:val="true"/>
        </w:rPr>
        <w:footnoteReference w:id="1459"/>
      </w:r>
      <w:r>
        <w:rPr>
          <w:rFonts w:ascii="IRNazanin" w:hAnsi="IRNazanin" w:eastAsia="IRNazanin"/>
          <w:color w:val="111111"/>
          <w:sz w:val="28"/>
          <w:sz w:val="28"/>
          <w:szCs w:val="28"/>
          <w:rtl w:val="true"/>
          <w:lang w:bidi="fa-IR"/>
        </w:rPr>
        <w:t>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حال حاضر علاوه بر سایر حوزه ها بر روی فیلم نگاری </w:t>
      </w:r>
      <w:r>
        <w:rPr>
          <w:rStyle w:val="FootnoteAnchor"/>
          <w:rtl w:val="true"/>
        </w:rPr>
        <w:footnoteReference w:id="1460"/>
      </w:r>
      <w:r>
        <w:rPr>
          <w:rFonts w:ascii="IRNazanin" w:hAnsi="IRNazanin" w:eastAsia="IRNazanin"/>
          <w:color w:val="111111"/>
          <w:sz w:val="28"/>
          <w:sz w:val="28"/>
          <w:szCs w:val="28"/>
          <w:rtl w:val="true"/>
          <w:lang w:bidi="fa-IR"/>
        </w:rPr>
        <w:t>در حال فعالیت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مربوط به فیلم ها در مخزن فراداده ای دیگر ما با نام میوِیس </w:t>
      </w:r>
      <w:r>
        <w:rPr>
          <w:rStyle w:val="FootnoteAnchor"/>
          <w:rtl w:val="true"/>
        </w:rPr>
        <w:footnoteReference w:id="1461"/>
      </w:r>
      <w:r>
        <w:rPr>
          <w:rFonts w:ascii="IRNazanin" w:hAnsi="IRNazanin" w:eastAsia="IRNazanin"/>
          <w:color w:val="111111"/>
          <w:sz w:val="28"/>
          <w:sz w:val="28"/>
          <w:szCs w:val="28"/>
          <w:rtl w:val="true"/>
          <w:lang w:bidi="fa-IR"/>
        </w:rPr>
        <w:t>قرار دارد که فراداده های مربوط به تصویربرداری رادیو، تلویزیون و موزیک را نیز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این دو مخزن و ایجاد یک واسط کاربری برای پایگاه به ما امکان خواهد داد تا در آینده کتابشناسی های چندرسانه ای تولید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ما آگاهیم که کتابشناسی ممکن است در آینده رقومی فرهنگی و انسانی نقش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شرایمن </w:t>
      </w:r>
      <w:r>
        <w:rPr>
          <w:rStyle w:val="FootnoteAnchor"/>
          <w:rtl w:val="true"/>
        </w:rPr>
        <w:footnoteReference w:id="1462"/>
      </w:r>
      <w:r>
        <w:rPr>
          <w:rFonts w:ascii="IRNazanin" w:hAnsi="IRNazanin" w:eastAsia="IRNazanin"/>
          <w:color w:val="111111"/>
          <w:sz w:val="28"/>
          <w:sz w:val="28"/>
          <w:szCs w:val="28"/>
          <w:rtl w:val="true"/>
          <w:lang w:bidi="fa-IR"/>
        </w:rPr>
        <w:t xml:space="preserve">و دیگران در اثری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انسانیت های رقومی</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وضعیت را شرح می دهند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محرک نسلی از شبه انتشارات </w:t>
      </w:r>
      <w:r>
        <w:rPr>
          <w:rStyle w:val="FootnoteAnchor"/>
          <w:rtl w:val="true"/>
        </w:rPr>
        <w:footnoteReference w:id="14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که به طور گسترده و بیش از هر انتشارات چاپی دیگر در تاریخ در دسترس قرار دارند و در هر زمان امکان دسترسی به میلیون ها نسخه از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اغلب مدارکی واحد به نام فردی خاص منتشر شده اند، اما آدرس های وبی یا پیوندهای آن ها از زمانی که پیوند اصلی آن ها ایجاد شده است تغییر کرده و اکنون دیگر پیوند درون </w:t>
      </w:r>
      <w:bookmarkStart w:id="1155" w:name="pg9653_82241"/>
    </w:p>
    <w:p>
      <w:pPr>
        <w:pStyle w:val="BookText"/>
        <w:rPr/>
      </w:pPr>
      <w:bookmarkEnd w:id="1155"/>
      <w:r>
        <w:rPr>
          <w:rFonts w:ascii="IRNazanin" w:hAnsi="IRNazanin" w:eastAsia="IRNazanin"/>
          <w:color w:val="111111"/>
          <w:sz w:val="28"/>
          <w:sz w:val="28"/>
          <w:szCs w:val="28"/>
          <w:rtl w:val="true"/>
          <w:lang w:bidi="fa-IR"/>
        </w:rPr>
        <w:t xml:space="preserve">خطی </w:t>
      </w:r>
      <w:r>
        <w:rPr>
          <w:rStyle w:val="FootnoteAnchor"/>
          <w:rtl w:val="true"/>
        </w:rPr>
        <w:footnoteReference w:id="1465"/>
      </w:r>
      <w:r>
        <w:rPr>
          <w:rFonts w:ascii="IRNazanin" w:hAnsi="IRNazanin" w:eastAsia="IRNazanin"/>
          <w:color w:val="111111"/>
          <w:sz w:val="28"/>
          <w:sz w:val="28"/>
          <w:szCs w:val="28"/>
          <w:rtl w:val="true"/>
          <w:lang w:bidi="fa-IR"/>
        </w:rPr>
        <w:t>ندارند یا این پیوندها بی ارزش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انواع مختلفی از مخازن کتابداری ایجاد شده و در حال استفاده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شرایبمن و دیگران،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این که کتابخانه ها مجموعه های خود را رقومی کردند و پژوهشگران تاکید خود را از مطالعه دقیق تعدادی متون مقدس به مطالعه از راه دور منابع مهم کتابخانه ای معطوف داشتند تقاضا برای مجموعه های متنی رقومی که با فراداده های معتبر همراه ،بود افزایش یافت کتابخانه ها می توانند نقش مخازن معتبری را ایفا کنند که نه تنها کیفیت رقومی سازی را تضمین می کنند بلکه این رقومی سازی می تواند با اطمینان، دقیقا آن چه بهره گیر به دنبال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نخستین ویرایش کتاب کنت هامسون، نه یک ویرایش یا خلاصه ای قراردادی از آن را ارائه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مورتی،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با توجه به این نقش جدید کتابخانه ها ما باید همچنان منتظر تغییر دیگری در کتابشناسی باشیم تغییر از پرسش های اصیل درباره اعتبار متن، به پرسش در مورد جامعه متنی و بازگشت دوباره به نوع تازه ای از اعتبار متنی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اجازه دهید تا به چالش موجود در عنوان نشست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 کتابشناسی ها برای آینده می توانیم چنین پاسخ دهیم که ما ممکن است دیدگاه خود نسبت به متن را تغییر دهیم و به هر دو نوع کتابشناسی شمارشی و توصیفی به عنوان یکی از حوزه های بین رشته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کتابداری و کتابشناسی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می توانیم چنین پاسخ دهیم که فراخوانی داده های پژوهشی و الگوهای نظری از جامعه دانشگاهی به ماشین های کتابخانه ای، سودمند خواهد بود</w:t>
      </w:r>
      <w:r>
        <w:rPr>
          <w:rFonts w:eastAsia="IRNazanin" w:cs="IRNazanin"/>
          <w:color w:val="111111"/>
          <w:sz w:val="28"/>
          <w:szCs w:val="28"/>
          <w:rtl w:val="true"/>
          <w:lang w:bidi="fa-IR"/>
        </w:rPr>
        <w:t>.</w:t>
      </w:r>
    </w:p>
    <w:p>
      <w:pPr>
        <w:pStyle w:val="Heading3"/>
        <w:numPr>
          <w:ilvl w:val="2"/>
          <w:numId w:val="1"/>
        </w:numPr>
        <w:rPr/>
      </w:pPr>
      <w:bookmarkStart w:id="1156" w:name="__RefHeading___Toc7767098_2870459653"/>
      <w:bookmarkStart w:id="1157" w:name="_Toc424"/>
      <w:bookmarkEnd w:id="1156"/>
      <w:r>
        <w:rPr>
          <w:rtl w:val="true"/>
        </w:rPr>
        <w:t>فهرست منابع</w:t>
      </w:r>
      <w:bookmarkEnd w:id="1157"/>
    </w:p>
    <w:p>
      <w:pPr>
        <w:pStyle w:val="BookText"/>
        <w:rPr/>
      </w:pPr>
      <w:r>
        <w:rPr>
          <w:rFonts w:eastAsia="Times New Roman" w:cs="Times New Roman" w:ascii="Times New Roman" w:hAnsi="Times New Roman"/>
          <w:color w:val="111111"/>
          <w:sz w:val="28"/>
          <w:szCs w:val="28"/>
          <w:lang w:val="en-US" w:bidi="en-US"/>
        </w:rPr>
        <w:t>Bjørnstjerne Bjørnson bibliography. Newspaper articles and speeches by</w:t>
      </w:r>
    </w:p>
    <w:p>
      <w:pPr>
        <w:pStyle w:val="BookText"/>
        <w:rPr/>
      </w:pPr>
      <w:r>
        <w:rPr>
          <w:rFonts w:eastAsia="Times New Roman" w:cs="Times New Roman" w:ascii="Times New Roman" w:hAnsi="Times New Roman"/>
          <w:color w:val="111111"/>
          <w:sz w:val="28"/>
          <w:szCs w:val="28"/>
          <w:lang w:val="en-US" w:bidi="en-US"/>
        </w:rPr>
        <w:t>Bjornson; literatureon Bjornson http://www.nb.no/bibliografi/bjornson/search.jsf</w:t>
      </w:r>
    </w:p>
    <w:p>
      <w:pPr>
        <w:pStyle w:val="BookText"/>
        <w:rPr/>
      </w:pPr>
      <w:r>
        <w:rPr>
          <w:rFonts w:eastAsia="Times New Roman" w:cs="Times New Roman" w:ascii="Times New Roman" w:hAnsi="Times New Roman"/>
          <w:color w:val="111111"/>
          <w:sz w:val="28"/>
          <w:szCs w:val="28"/>
          <w:lang w:val="en-US" w:bidi="en-US"/>
        </w:rPr>
        <w:t>Hamsun bibliography : literature on Knut Hamsun.http://www.nb.no/ bibliografi/hamsun/search.jsf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McKenzie, D.F. 1999. Bibliography and the sociology of texts. Cambridge University Press</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Moretti, Franco. 2011. Network theory, plot analysis. Palo Alto: Stanford University .(Pamphlet / Literary Lab 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Schreibman, Susan; Siemens, Ray; Unsworth, John. 2004. A companion to digitalhumanities. Blackwell</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Solstadbibliography literature by and on Dag Solstad.http://www.nb.no/ bibliografi/solstad/search.jsf</w:t>
      </w:r>
      <w:r>
        <w:rPr>
          <w:rFonts w:eastAsia="Times New Roman" w:cs="Times New Roman" w:ascii="Times New Roman" w:hAnsi="Times New Roman"/>
          <w:color w:val="111111"/>
          <w:sz w:val="28"/>
          <w:szCs w:val="28"/>
          <w:rtl w:val="true"/>
          <w:lang w:val="en-US" w:bidi="en-US"/>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8" w:name="pg9653_82244"/>
      <w:bookmarkStart w:id="1159" w:name="pg9653_82244"/>
      <w:bookmarkEnd w:id="1159"/>
    </w:p>
    <w:p>
      <w:pPr>
        <w:pStyle w:val="Heading2"/>
        <w:numPr>
          <w:ilvl w:val="1"/>
          <w:numId w:val="1"/>
        </w:numPr>
        <w:rPr/>
      </w:pPr>
      <w:bookmarkStart w:id="1160" w:name="pg9653_82244"/>
      <w:bookmarkStart w:id="1161" w:name="__RefHeading___Toc7767100_2870459653"/>
      <w:bookmarkStart w:id="1162" w:name="_Toc425"/>
      <w:bookmarkEnd w:id="1160"/>
      <w:bookmarkEnd w:id="1161"/>
      <w:r>
        <w:rPr>
          <w:rtl w:val="true"/>
        </w:rPr>
        <w:t>چکیده</w:t>
      </w:r>
      <w:bookmarkEnd w:id="1162"/>
    </w:p>
    <w:p>
      <w:pPr>
        <w:pStyle w:val="BookText"/>
        <w:rPr/>
      </w:pP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اوایل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انقلاب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مصر شناخته شده است، گروهی از متصدیان آرشیو، اعضای هیات علمی، کارمندان و دانشجویان دانشگاه آمریکایی های قاهره، </w:t>
      </w:r>
      <w:r>
        <w:rPr>
          <w:rStyle w:val="FootnoteAnchor"/>
          <w:rtl w:val="true"/>
        </w:rPr>
        <w:footnoteReference w:id="1467"/>
      </w:r>
      <w:r>
        <w:rPr>
          <w:rFonts w:ascii="IRNazanin" w:hAnsi="IRNazanin" w:eastAsia="IRNazanin"/>
          <w:color w:val="111111"/>
          <w:sz w:val="28"/>
          <w:sz w:val="28"/>
          <w:szCs w:val="28"/>
          <w:rtl w:val="true"/>
          <w:lang w:bidi="fa-IR"/>
        </w:rPr>
        <w:t>با یکدیگر ملاقات کردند تا راهی برای مستندسازی حوادث و رویدادهای تاریخی انقلاب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حاصل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میدان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مستندسازی انقلاب قرن بیست و یکم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چالش جمع آوری بقایای محسوس تظاهرات از قبیل پرچم ها، پلاکاردها مخازن گاز اشک آور عکس های رقومی و فیلم های ویدیویی زیادی دلالت داشت که توسط شاهدان و تظاهر کنندگان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ضبط تجربه های گسترده؛ از شرکت کنندگان در ،قیام و اعتراضها و فعالیت های سیاسی متعاقب آن در مصر اقدام به ثبت تاریخ شفاهی شد در تمام مدت جریان انقلاب درگیری در جامعه نقش به سزایی در ابتکار عمل ایفا کرد این مقاله روش های انجام طرح و داده های آن و همچنین چالش هایی را که با آن رودررو شده،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طرح های مستندسازی انقلاب مصر و مقایسه اهداف آن با دانشگاه آمریکایی های قاهره نیز مورد بررسی قرار گرفته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انقلاب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آرشیوها، تهیه منابع از جمعیت </w:t>
      </w:r>
      <w:bookmarkStart w:id="1163" w:name="pg9653_82245"/>
    </w:p>
    <w:p>
      <w:pPr>
        <w:pStyle w:val="Heading2"/>
        <w:numPr>
          <w:ilvl w:val="1"/>
          <w:numId w:val="1"/>
        </w:numPr>
        <w:rPr/>
      </w:pPr>
      <w:bookmarkStart w:id="1164" w:name="__RefHeading___Toc7767102_2870459653"/>
      <w:bookmarkStart w:id="1165" w:name="_Toc426"/>
      <w:bookmarkEnd w:id="1163"/>
      <w:bookmarkEnd w:id="1164"/>
      <w:r>
        <w:rPr>
          <w:rtl w:val="true"/>
        </w:rPr>
        <w:t>آرشیوسازی انقلاب مصر</w:t>
      </w:r>
      <w:r>
        <w:rPr>
          <w:rtl w:val="true"/>
        </w:rPr>
        <w:t xml:space="preserve">: </w:t>
      </w:r>
      <w:r>
        <w:rPr>
          <w:rtl w:val="true"/>
        </w:rPr>
        <w:t xml:space="preserve">طرح </w:t>
      </w:r>
      <w:r>
        <w:rPr>
          <w:rtl w:val="true"/>
        </w:rPr>
        <w:t>"</w:t>
      </w:r>
      <w:r>
        <w:rPr>
          <w:rtl w:val="true"/>
        </w:rPr>
        <w:t>دانشگاه همگام با میدان تحریر</w:t>
      </w:r>
      <w:r>
        <w:rPr>
          <w:rtl w:val="true"/>
        </w:rPr>
        <w:t xml:space="preserve">" </w:t>
      </w:r>
      <w:r>
        <w:rPr>
          <w:rtl w:val="true"/>
        </w:rPr>
        <w:t xml:space="preserve">مستندسازی </w:t>
      </w:r>
      <w:r>
        <w:rPr/>
        <w:t>25</w:t>
      </w:r>
      <w:r>
        <w:rPr>
          <w:rtl w:val="true"/>
        </w:rPr>
        <w:t xml:space="preserve"> </w:t>
      </w:r>
      <w:r>
        <w:rPr>
          <w:rtl w:val="true"/>
        </w:rPr>
        <w:t xml:space="preserve">ژانویه </w:t>
      </w:r>
      <w:r>
        <w:rPr/>
        <w:t>2011</w:t>
      </w:r>
      <w:r>
        <w:rPr>
          <w:rtl w:val="true"/>
        </w:rPr>
        <w:t xml:space="preserve"> </w:t>
      </w:r>
      <w:r>
        <w:rPr>
          <w:rtl w:val="true"/>
        </w:rPr>
        <w:t>و بعد آن</w:t>
      </w:r>
      <w:bookmarkEnd w:id="1165"/>
    </w:p>
    <w:p>
      <w:pPr>
        <w:pStyle w:val="Heading3"/>
        <w:numPr>
          <w:ilvl w:val="2"/>
          <w:numId w:val="1"/>
        </w:numPr>
        <w:rPr/>
      </w:pPr>
      <w:bookmarkStart w:id="1166" w:name="__RefHeading___Toc7767104_2870459653"/>
      <w:bookmarkStart w:id="1167" w:name="_Toc427"/>
      <w:bookmarkEnd w:id="1166"/>
      <w:r>
        <w:rPr>
          <w:rtl w:val="true"/>
        </w:rPr>
        <w:t>اشاره</w:t>
      </w:r>
      <w:bookmarkEnd w:id="1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آرشیوسازی انقلاب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میدان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آن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 xml:space="preserve">نوشته استیون اور گولا </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نرگس محمد علی پور</w:t>
      </w:r>
    </w:p>
    <w:p>
      <w:pPr>
        <w:pStyle w:val="BookText"/>
        <w:rPr/>
      </w:pPr>
      <w:r>
        <w:rPr>
          <w:rFonts w:ascii="IRNazanin" w:hAnsi="IRNazanin" w:eastAsia="IRNazanin"/>
          <w:color w:val="111111"/>
          <w:sz w:val="28"/>
          <w:sz w:val="28"/>
          <w:szCs w:val="28"/>
          <w:rtl w:val="true"/>
          <w:lang w:bidi="fa-IR"/>
        </w:rPr>
        <w:t xml:space="preserve">موضوع اصلی رسانه های جهانی در پوشش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اعتراض هایی که موجب سرنگونی حسنی مبارک </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مصر در نخستین روزهای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مشارکت عموم مصریان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روزنامه نگاران و مفسران اینترنتی با پوشش خبری کار معترضان را پررنگ و برجسته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کنندگان برای هماهنگی شعارها و متن روی پلاکاردها، که با خود به میدان تحریر می بردند، از فیس بوک </w:t>
      </w:r>
      <w:r>
        <w:rPr>
          <w:rStyle w:val="FootnoteAnchor"/>
          <w:rtl w:val="true"/>
        </w:rPr>
        <w:footnoteReference w:id="1471"/>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معترضان حوادث و وقایع اطراف خود را ضبط می کردند؛ به عنوان یک فیلمساز مصری باید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کنم انقلاب مصر در تاریخ بشریت انقلابی است که بیشترین عکس ها از 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کنید ده نفر در حال اعتراض هستند و پانزده نفر با تلفن های همراهشان از آن ها فیلم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هلیبرتن،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1472"/>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عکس ها، فیلم های ویدیویی گرفته شده با تلفن های همراه، پلاکارت های به نمایش گذاشته شده در میدان تحریر، پیام بلاگ ها، برداشتن مخازن گاز اشک آور به عنوان یادگاری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نسل های آینده حفظ و نگهداری خواهد شد؟ چگونه انقلاب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مستند </w:t>
      </w:r>
    </w:p>
    <w:p>
      <w:pPr>
        <w:pStyle w:val="BookText"/>
        <w:rPr/>
      </w:pPr>
      <w:r>
        <w:rPr>
          <w:rFonts w:ascii="IRNazanin" w:hAnsi="IRNazanin" w:eastAsia="IRNazanin"/>
          <w:color w:val="111111"/>
          <w:sz w:val="28"/>
          <w:sz w:val="28"/>
          <w:szCs w:val="28"/>
          <w:rtl w:val="true"/>
          <w:lang w:bidi="fa-IR"/>
        </w:rPr>
        <w:t>خواهد شد؟ این دغدغه ی گروهی از مدیران، متصدیان آرشیو، تاریخ نگاران شفاهی، مسئولان فناوری، هیات علمی روزنامه نگاری، و سایر كارمندان دانشگاه آمریکایی قاهره بود، که در زمان کوتاهی پس از عزل رئیس جمهور حسنی مبارک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بودند نتیجه شکل گیری طرحی بود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مستندسازی انقلاب قرن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که با پشتیبانی سرمایه بنیاد اندرو ملون </w:t>
      </w:r>
      <w:r>
        <w:rPr>
          <w:rStyle w:val="FootnoteAnchor"/>
          <w:rtl w:val="true"/>
        </w:rPr>
        <w:footnoteReference w:id="1473"/>
      </w:r>
      <w:r>
        <w:rPr>
          <w:rFonts w:ascii="IRNazanin" w:hAnsi="IRNazanin" w:eastAsia="IRNazanin"/>
          <w:color w:val="111111"/>
          <w:sz w:val="28"/>
          <w:sz w:val="28"/>
          <w:szCs w:val="28"/>
          <w:rtl w:val="true"/>
          <w:lang w:bidi="fa-IR"/>
        </w:rPr>
        <w:t>راه 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اندازی طرح مستندسازی انقلاب مصر برای دانشگاه آمریکایی های قاهره امری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های محوطه دانشگاه در مرکز شهر، مشرف بر میدان تحریر، شاهد رویدادهای تاریخی بودند که بسیاری از آن ها با پوشش رسانه ای تظاهرات قابل مشاهده شد دانشجویان هیات علمی کارمندان مدیران و فارغ التحصیلان دانشگاه آمریکایی قاهره با روش های مختلف در اعتراض ها شرکت کردند طرح دانشگاه، از فرصت پیشنهادی، با مشارکت در مستندسازی انقلاب در انعکاس تجربیات اعضای دانشگاه آمریکایی های قاهره استفاده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طرح پی بردند که تحقق بخشی سریع، برای حفاظت از اقلام آرشیوی، امری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عکس های رقومی و اقلام بی دوام و زودگذر از قبیل پرچم ها و پلاکاردها نیاز به جمع آوری فعال و کوشا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انتظار برای اهدای اسناد و مدارک از سوی مردم شاید سال ها پس از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اوقات برای جمع آوری تجهیزات آرشیوها روی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مستندها دیگر ماندنی نخواهند بود به عنوان مثال بعید است که عکس ها یا فیلم های گرفته شده در تلفن های همراه برای مدت زیادی در دسترس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سریع مشارکت کنندگان برای مصاحبه های تاریخ شفاهی نیز بسیار 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عرض چند هفته تیم طرح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میدان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جمع آوری را تهیه؛ و شروع طرح را در دانشگاه آمریکایی قاهره به اطلاع عموم رسانید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مستلزم ساخت ابزارهایی برای درگیر نمودن فعال مشارکت کنندگان در اعتراض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علوم رايانه دانشگاه آمریکایی قاهره، وبگاهی با گزینه ای برای بارگذاری فایل های تصویری، برای امکان مشارکت و همکاری مردم در اهدای عکس ها و فیلم های رقمی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آماده به کارشدن وبگاه تیم طرح تبلیغات خود را با ارسال آگهی از طریق پست الکترونیک و دعوت از جامعه دانشگاه آمریکایی قاهره برای همکاری و مشارکت آغاز کرد در خارج از کتابخانه دانشگاه اتاق کوچکی بر پا ،شد مکانی که دانشجویان داوطلب به ترویج و ارتقاء این طرح ابتکاری اهتمام </w:t>
      </w:r>
    </w:p>
    <w:p>
      <w:pPr>
        <w:pStyle w:val="BookText"/>
        <w:rPr/>
      </w:pPr>
      <w:r>
        <w:rPr>
          <w:rFonts w:ascii="IRNazanin" w:hAnsi="IRNazanin" w:eastAsia="IRNazanin"/>
          <w:color w:val="111111"/>
          <w:sz w:val="28"/>
          <w:sz w:val="28"/>
          <w:szCs w:val="28"/>
          <w:rtl w:val="true"/>
          <w:lang w:bidi="fa-IR"/>
        </w:rPr>
        <w:t>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همکلاسی ها و دیگران را به بارگذاری تصاویر رقومی با استفاده از لپتاپ موجود در اتاق کوچک، تشویق و به ثبت نام برای مصاحبه تاریخ شفاهی دعوت می کردند هنگامی که سخنرانی یا برنامه مشابهی مربوط به انقلاب در محوطه دانشگاه برگزار می شد کارمندان طرح از مشارکت کنندگان در محل نیز چنین درخواست هایی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مردم به فراخوان مثبت بود؛ ده ها اهداء کننده عکس ها و ویدیوهای رقمی را در دانشگاه به وبگاه میدان تحریر ارائه کردند منابع دیداری و فایل های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های تاریخ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مطابق استانداردهای آرشیوسازی به واسطه مدیریت اطلاعات مبتنی بر محتوای کتابخانه ی مجموعه های خاص و کتاب های نادر </w:t>
      </w:r>
      <w:r>
        <w:rPr>
          <w:rStyle w:val="FootnoteAnchor"/>
          <w:rtl w:val="true"/>
        </w:rPr>
        <w:footnoteReference w:id="1475"/>
      </w:r>
      <w:r>
        <w:rPr>
          <w:rFonts w:ascii="IRNazanin" w:hAnsi="IRNazanin" w:eastAsia="IRNazanin"/>
          <w:color w:val="111111"/>
          <w:sz w:val="28"/>
          <w:sz w:val="28"/>
          <w:szCs w:val="28"/>
          <w:rtl w:val="true"/>
          <w:lang w:bidi="fa-IR"/>
        </w:rPr>
        <w:t xml:space="preserve">دانشگاه آمریکایی قاهره به آدرس زیر، </w:t>
      </w:r>
      <w:r>
        <w:rPr>
          <w:rStyle w:val="FootnoteAnchor"/>
          <w:rtl w:val="true"/>
        </w:rPr>
        <w:footnoteReference w:id="1476"/>
      </w:r>
      <w:r>
        <w:rPr>
          <w:rFonts w:ascii="IRNazanin" w:hAnsi="IRNazanin" w:eastAsia="IRNazanin"/>
          <w:color w:val="111111"/>
          <w:sz w:val="28"/>
          <w:sz w:val="28"/>
          <w:szCs w:val="28"/>
          <w:rtl w:val="true"/>
          <w:lang w:bidi="fa-IR"/>
        </w:rPr>
        <w:t>مخزن تمام مواد جمع آوری شده توسط دانشگاه در زمینه طرح میدان تحریر شد که به صورت برخط در دسترس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متصدیان طرح همچنین از دانشجویان درخواست کردند که کارهای کلاسی مرتبط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مقاله ها تا نقاشی ها و منابع شنیداری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آن ها برای دوره های با مضمون خاص در دانشگاه آمریکایی قاهره در بهار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شده بود به انقلاب اهداء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کارهای دانشجویی؛ پایان نامه های کارشناسی ارشد دانشجویان دانشگاه آمریکایی قاهره و نشریه هایی که اعضای هیات علمی دانشگاه به چاپ رساندند بخشی از آرشیو طرح دانشگاه همگام با میدان تحریر است که در مخزن تحقیقات و آرشیو رقمی </w:t>
      </w:r>
      <w:r>
        <w:rPr>
          <w:rStyle w:val="FootnoteAnchor"/>
          <w:rtl w:val="true"/>
        </w:rPr>
        <w:footnoteReference w:id="1477"/>
      </w:r>
      <w:r>
        <w:rPr>
          <w:rFonts w:ascii="IRNazanin" w:hAnsi="IRNazanin" w:eastAsia="IRNazanin"/>
          <w:color w:val="111111"/>
          <w:sz w:val="28"/>
          <w:sz w:val="28"/>
          <w:szCs w:val="28"/>
          <w:rtl w:val="true"/>
          <w:lang w:bidi="fa-IR"/>
        </w:rPr>
        <w:t xml:space="preserve">دانشگاه آمریکایی قاهره ثبت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پلت فرم فضای رقمی و انبارداده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دانشجویی دیگری که توسط کارمندان طرح پشتیبانی گردید فرهنگ کتاب شناختی انقلاب مصر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بود، مبتنی بر دانشنامه اینترنتی و یکی که توسط دانشجویان تهیه شد علاوه بر آسانسازی دسترسی به منابع اینترنت طرح، همچنین صدها وبگاه مرتبط با انقلاب، از جمله بلاگ ها، گزارش های رسانه های خبری و پیام های توییتر را با استفاده از خدمت ثبت آرشیوی وب، در آرشیو کتابخانه کتاب های نادر جمع آوری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مولفه تاریخ شفاهی طرح دانشگاه همگام با میدان 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مشارکت دانشجویان با انقلاب مصر را؛ به شکلی که با دانشگاه آمریکایی قاهره مرتبط است،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عواملی مانند تنوع گوناگونی افراد در طبقه اجتماعی؛ اقتصادی؛ جنسیت؛ دین و زبان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ها؛ با توجه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شونده به انگلیسی یا عربی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مصاحبه شامل افراد در بالاترین رده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مدیر دانشکده ای که در کمیته ملی شورای سیاسی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مصاحبه هایی با نگهبانان بر سر ،خدمت برای تامین امنیت محوطه دانشگاه در میدان تحریر را، در زمان تظاهرات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و اعضای هیات علمی فعال، گزارشی روشن از مشارکت خود در راه پیمایی های میدان تحریر و درگیری ها با پلیس ضد شورش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التحصیلان دانشگاه برای غنی سازی مصاحبه های تاریخ شفاهی شرکت کردند از جمله روزنامه نگارانی که چالش های پوشش تظاهرات را توصیف می کردند بعضی از تکان دهنده ترین شهادت ها از جانب کارمندان، اساتید و دانشجویانی بود که حضور در این تظاهرات نخستین مشارکت سیاسی آن ها در کشورشان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مصاحبه ها شامل افرادی می شود که از انقلاب حمایت نمی کردند چنین مصاحبه هایی اگرچه در تعداد اندک بیانگر ترس و عدم اطمینان از تغییر رژیم و منعکس کننده نظرات بخش مهمی از جمعیت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تعداد کم این گونه مصاحبه ها امری عادی بود به خاطر این که افراد اکراه داشتند تا در مباحث خلاف جریان تاریخ دیده شوند طرح از چنین صداهایی استقبال می کرد، هر چند هنگامی که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میدان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موجی از شور و شوق برای انقلاب شروع گردید در جستجوی همکاری با افراد مجرب و دیدگاه های متنوع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کار گردآوری تاریخ شفاهی، مصاحبه شوندگان به دیگران که تجربه ی مشابه داشتند پیشنهاد می کردند که آن را به اشتراک بگذارند این روند در طرح، روش اصلی شناسایی افراد برای مصاحبه شد از آن جا که داوطلب ها هیچ رابطه ای با دانشگاه آمریکایی قاهره نداشتند، دامنه طرح؛ برای همکاری افراد در اهداء منبع یا گفتن داستان صرف نظر از رابطه آن ها با دانشگاه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مخاطبان برای تاریخ شفاهی طرح شامل افرادی مختلف شد نظیر دانشجویان و اعضای هیات علمی دانشگاه های دولتی مصر، جوانان انقلابی مرتبط با باشگاه های هوادار فوتبال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آرایشگری که شاهد رویدادها از مغازه خود؛ نزدیک در ورودی دانشگاه آمریکایی قاهره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وسعت بخشیدن به دامنه حضور مشارکت کنندگان در طرح دانشگاه همگام با میدان تیم طرح نیز باید به دفعات چارچوب زمانی مستندسازی را تنظیم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تظاهرات انتخابات و سایر پیشرفت های سیاسی برای ماه ها ادامه داشت روشن بود که انقلاب بسیار فراتر از آن چه ابتدا تصور می شد ادامه یابد دوره زمانی که باید تحت پوشش قرار می گرفت فراتر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آغازین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انجام مضامین عملی دیگری بود برای مثال ساختار مصاحبه های تاریخ شفاهی باید به طور منظم روزآمد می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همه فاش کردن وقایع، جلب متقاضی برای مصاحبه و اهدای موادی از قبیل ویدیوها و </w:t>
      </w:r>
    </w:p>
    <w:p>
      <w:pPr>
        <w:pStyle w:val="BookText"/>
        <w:rPr/>
      </w:pPr>
      <w:r>
        <w:rPr>
          <w:rFonts w:ascii="IRNazanin" w:hAnsi="IRNazanin" w:eastAsia="IRNazanin"/>
          <w:color w:val="111111"/>
          <w:sz w:val="28"/>
          <w:sz w:val="28"/>
          <w:szCs w:val="28"/>
          <w:rtl w:val="true"/>
          <w:lang w:bidi="fa-IR"/>
        </w:rPr>
        <w:t xml:space="preserve">عکس های رقمی را سخت تر کرد در اواخر بهار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هنگامی که شادی اولیه پس از خروج رئیس جمهور مبارک پایان یافت؛ و فضای متزلزل سیاسی پس از آن اوقات ملت را تلخ کرد مشارکت در طرح تقلیل یافت این امر، ضرورت تلاش مضاعف، فراتر از درخواست های پست الکترونیکی بریده آگهی ها و پیام ها در مورد طرح را ایجاب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طرح متوجه شد که حتی در عصر رسانه های اجتماعی نیز، ترویج تماس های حضوری و کار سخت پیگیری تک به تک کارآمدترین راه برای تشویق افراد برای مشارکت در انجام مصاحبه های تاریخ شفاهی و اهداء اقلام به آرشیو 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تاریخ شفاهی نیز تحت تاثیر قرار گرفت، لحن آن با وقوع آشوب های گاه و بیگاه و عدم اطمینان در مورد مسیر سیاسی مصر رنگین گردید شگفت آور این که اهمیت اندکی در مسئله گمنام ماندن وجود داشت حتی با عدم تمایل ظاهری هویت های حاکمیتی پدیدار شده به آزادی بیان؛ فقط دو مصاحبه شونده درخواست مخفی بودن هویتشان در مصاحبه های شنیداری برخط و توضیحات مربوطه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طرح با دانشگاه آمریکایی قاهره مانع از برخی مصاحبه های بالقوه شد که منتقد دانشگاه به تلاش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گذاری</w:t>
      </w:r>
      <w:r>
        <w:rPr>
          <w:rFonts w:eastAsia="IRNazanin" w:cs="IRNazanin"/>
          <w:color w:val="111111"/>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 xml:space="preserve">برای انقلاب بودند دیگر اعضای هیات علمی و دانشجویان فعال در تظاهرات با استناد به رویکرد مدیریت دانشگاه به انقلاب و رابطه قبلی آن با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را نمی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وقایع انقلابی نیز بر جمع آوری مصنوعات و مواد بیدوام تاثیر گذاشت تلاش برای جمع آوری زود شروع شد در روزهای پس از برکناری رئیس جمهور در فوریه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تیم طرح پلاکاردهای بیشماری را که تظاهر کنندگان برپا کرده بودند جمع آوری کرد طی ماه های اولیه طرح اهداء کنندگان اقلام مرتبط با اعتراض ها در میدان تحریر را اهداء کردند از قبیل مخزن های گازهای اشک آور که از زمین برداشته بودند یا پرچم ها و تیشرت های یادگاری اجناسی نیز از مطبوعات دانشگاه آمریکایی قاهره دریافت شد که دفاتر آن در محوطه دانشگاه صحنه برخورد بین معترضان و نیروهای امنیتی دولت در اواخر 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بخش مطبوعات بعضی اقلام بجا مانده از قبیل یک جفت چکمه مربوط به پلیس ضد شورش را اهداء کرد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گردهمایی های بی شمار در میدان تحریر در سال های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اعتراض ها بر علیه حکومت نظامی و تظاهرات در مورد شکل قانون اساسی جدید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یک طرح گردآوری پایدار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طرح در بسیاری از این وقایع حضور داشتند تا نمونه هایی از پلاکاردها تابلوهای شعار و بروشورها و جزوات به نمایش گذاشته شده یا توزیع شده را گرد آورند و خرید یادگارهایی به خصوص </w:t>
      </w:r>
    </w:p>
    <w:p>
      <w:pPr>
        <w:pStyle w:val="BookText"/>
        <w:rPr/>
      </w:pPr>
      <w:r>
        <w:rPr>
          <w:rFonts w:ascii="IRNazanin" w:hAnsi="IRNazanin" w:eastAsia="IRNazanin"/>
          <w:color w:val="111111"/>
          <w:sz w:val="28"/>
          <w:sz w:val="28"/>
          <w:szCs w:val="28"/>
          <w:rtl w:val="true"/>
          <w:lang w:bidi="fa-IR"/>
        </w:rPr>
        <w:t xml:space="preserve">برای یادآوری شهدای </w:t>
      </w:r>
      <w:r>
        <w:rPr>
          <w:rStyle w:val="FootnoteAnchor"/>
          <w:rtl w:val="true"/>
        </w:rPr>
        <w:footnoteReference w:id="1480"/>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فروشانی که دکه های خود را در میدان برپا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فراهم آوری صدها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دربرگیرنده طیف عقاید و وابستگی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بروشورها و جزوه ها، تابلوهای شعار و سایر مواد نوشتاری از اعتراض ها، نشانگر عقاید و نحوه بیان آن عقاید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میدان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یکی از چندین طرح مستندسازی است که با نیت مستند کردن انقلاب مصر آغاز شد طرح ها از لحاظ ساختاری و اهداف متنوع بودند؛ اما تمام تلاش های خود را در زمینه جستجو برای اهداء مواد مستند از عموم مردم در تهیه منابع از جمعیت طرح ریزی کردند وبگاه هایی </w:t>
      </w:r>
      <w:r>
        <w:rPr>
          <w:rStyle w:val="FootnoteAnchor"/>
          <w:rtl w:val="true"/>
        </w:rPr>
        <w:footnoteReference w:id="1481"/>
      </w:r>
      <w:r>
        <w:rPr>
          <w:rFonts w:ascii="IRNazanin" w:hAnsi="IRNazanin" w:eastAsia="IRNazanin"/>
          <w:color w:val="111111"/>
          <w:sz w:val="28"/>
          <w:sz w:val="28"/>
          <w:szCs w:val="28"/>
          <w:rtl w:val="true"/>
          <w:lang w:bidi="fa-IR"/>
        </w:rPr>
        <w:t xml:space="preserve">از مردم دعوت می کردند تا عکس ها و ویدیوهای خود را ارسال کنند در اوایل بهار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گردآوری مستندها دیداری مشغول بودند اما کمترین توضیح یا ساختار را ارائه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وبگاه ها </w:t>
      </w:r>
      <w:r>
        <w:rPr>
          <w:rStyle w:val="FootnoteAnchor"/>
          <w:rtl w:val="true"/>
        </w:rPr>
        <w:footnoteReference w:id="1482"/>
      </w:r>
      <w:r>
        <w:rPr>
          <w:rFonts w:ascii="IRNazanin" w:hAnsi="IRNazanin" w:eastAsia="IRNazanin"/>
          <w:color w:val="111111"/>
          <w:sz w:val="28"/>
          <w:sz w:val="28"/>
          <w:szCs w:val="28"/>
          <w:rtl w:val="true"/>
          <w:lang w:bidi="fa-IR"/>
        </w:rPr>
        <w:t>بر انواع خاصی از تخصص ها تاکید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داده کاوی برای حفظ و نگهداری میراث رقومی بهار عربی، و مهارت های زبان عربی </w:t>
      </w:r>
      <w:r>
        <w:rPr>
          <w:rStyle w:val="FootnoteAnchor"/>
          <w:rtl w:val="true"/>
        </w:rPr>
        <w:footnoteReference w:id="1483"/>
      </w:r>
      <w:r>
        <w:rPr>
          <w:rFonts w:ascii="IRNazanin" w:hAnsi="IRNazanin" w:eastAsia="IRNazanin"/>
          <w:color w:val="111111"/>
          <w:sz w:val="28"/>
          <w:sz w:val="28"/>
          <w:szCs w:val="28"/>
          <w:rtl w:val="true"/>
          <w:lang w:bidi="fa-IR"/>
        </w:rPr>
        <w:t>دانشجویان فراملی قاهره که جزوه های سیاسی و سایر مستندهایی را که به هنگام تظاهرات در میدان تحریر توزیع می شد، گردآوری و ترجمه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نهادهای اصلی مصر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اعتراض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طرح های مستندسازی را به راه انداختند چند روز پس از سقوط رئیس جمهور مبارک کتابخانه اسکندریه </w:t>
      </w:r>
      <w:r>
        <w:rPr>
          <w:rStyle w:val="FootnoteAnchor"/>
          <w:rtl w:val="true"/>
        </w:rPr>
        <w:footnoteReference w:id="1484"/>
      </w:r>
      <w:r>
        <w:rPr>
          <w:rFonts w:ascii="IRNazanin" w:hAnsi="IRNazanin" w:eastAsia="IRNazanin"/>
          <w:color w:val="111111"/>
          <w:sz w:val="28"/>
          <w:sz w:val="28"/>
          <w:szCs w:val="28"/>
          <w:rtl w:val="true"/>
          <w:lang w:bidi="fa-IR"/>
        </w:rPr>
        <w:t xml:space="preserve">اعلام کرد به گردآوری مستندات از جمله مواد اهدایی توسط مردم در مورد انقلاب برای حفظ خاطره و یاد آن در کتابخانه رقومی زبان عربی مدرن مصر اقدام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اسکندریه مستندسازی را شروع کرده است،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ملی مصر نیز به دنبال گردآوری مستندهای نوشتاری مواد دیداری و اظهارات تاریخ شفاهی از اطراف کشور بود و برای مستندسازی انقلاب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به مدیریت تاریخ نگار، خالد فهمی </w:t>
      </w:r>
      <w:r>
        <w:rPr>
          <w:rStyle w:val="FootnoteAnchor"/>
          <w:rtl w:val="true"/>
        </w:rPr>
        <w:footnoteReference w:id="1485"/>
      </w:r>
      <w:r>
        <w:rPr>
          <w:rFonts w:ascii="IRNazanin" w:hAnsi="IRNazanin" w:eastAsia="IRNazanin"/>
          <w:color w:val="111111"/>
          <w:sz w:val="28"/>
          <w:sz w:val="28"/>
          <w:szCs w:val="28"/>
          <w:rtl w:val="true"/>
          <w:lang w:bidi="fa-IR"/>
        </w:rPr>
        <w:t>یکی از طرفداران قدیمی دسترسی آزاد به آرشیو دولتی در مصر کمیته ای را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آرشیو ملی نیز گرفتار بسیاری از مضامین و موضوع های مشابه با مقیاس و اندازه های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میدان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مانند چه دوره زمانی باید مستند شود و باید به دنبال کمک های اهدایی چه افرادی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شنکر،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48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عامل کندی پیشرفت؛ قوانین دست و پاگیر مصر در دسترسی آزاد به آرشیوهای دولتی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ضعف ظرفیت آرشیو ملی و زیربنای رقمی برای دسترسی آزاد به منابع اینترنتی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ارتباط طرح با دولت موجب بی میلی بخشی از مشارکت کنندگان بالقوه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بارسلو،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طرح ها در موسسه ها و نهادهای موجود اجرایی نشد همانند راه اندازی ارتباطات اینترنتی که جایگاه بهتری نسبت به پیشرفتش در این موسسه ها داشت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در مصر است با تهیه منابع از جمعیت، که توسط گروهی از فیلمسازان و متخصصان رسانه های رقومی با سرمایه بنیاد فورد </w:t>
      </w:r>
      <w:r>
        <w:rPr>
          <w:rStyle w:val="FootnoteAnchor"/>
          <w:rtl w:val="true"/>
        </w:rPr>
        <w:footnoteReference w:id="1488"/>
      </w:r>
      <w:r>
        <w:rPr>
          <w:rFonts w:ascii="IRNazanin" w:hAnsi="IRNazanin" w:eastAsia="IRNazanin"/>
          <w:color w:val="111111"/>
          <w:sz w:val="28"/>
          <w:sz w:val="28"/>
          <w:szCs w:val="28"/>
          <w:rtl w:val="true"/>
          <w:lang w:bidi="fa-IR"/>
        </w:rPr>
        <w:t xml:space="preserve">موسسه ساندانس </w:t>
      </w:r>
      <w:r>
        <w:rPr>
          <w:rStyle w:val="FootnoteAnchor"/>
          <w:rtl w:val="true"/>
        </w:rPr>
        <w:footnoteReference w:id="1489"/>
      </w:r>
      <w:r>
        <w:rPr>
          <w:rFonts w:ascii="IRNazanin" w:hAnsi="IRNazanin" w:eastAsia="IRNazanin"/>
          <w:color w:val="111111"/>
          <w:sz w:val="28"/>
          <w:sz w:val="28"/>
          <w:szCs w:val="28"/>
          <w:rtl w:val="true"/>
          <w:lang w:bidi="fa-IR"/>
        </w:rPr>
        <w:t xml:space="preserve">و موسسه فیلم سازی ترایبِکا </w:t>
      </w:r>
      <w:r>
        <w:rPr>
          <w:rStyle w:val="FootnoteAnchor"/>
          <w:rtl w:val="true"/>
        </w:rPr>
        <w:footnoteReference w:id="1490"/>
      </w:r>
      <w:r>
        <w:rPr>
          <w:rFonts w:ascii="IRNazanin" w:hAnsi="IRNazanin" w:eastAsia="IRNazanin"/>
          <w:color w:val="111111"/>
          <w:sz w:val="28"/>
          <w:sz w:val="28"/>
          <w:szCs w:val="28"/>
          <w:rtl w:val="true"/>
          <w:lang w:bidi="fa-IR"/>
        </w:rPr>
        <w:t xml:space="preserve">حمایت شد و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مشارکتی مستند</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تغییرات بنیادینی در خط مشی گردآوری و نمایش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در حال حاضر نمایش هایی از اسلایدهای بر مبنای موضوع ها را ارائه می دهد که عکس ها، ویدیوها، پیام های توییتر و دیگر مواد اهدایی توسط افراد شرکت کننده را به نمایش می گذارد موادی که خود می توانستند در مورد داستانی که می خواستند توسط وبگاه تعریف کنند ارسال دارند، یا افرادی که همکاران طرح در سراسر مصر در انجام این امر به آن ها کمک کرده بودند اهداف طرح نیز متحول شد، در ابتدا درگاه با هدف جمع آوری اطلاعات فقط برای تهیه یک فیلم مستند شروع به 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الایات،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دیگر موسسه های مستندساز به طور صریح تری اهداف سیاسی را در برگرفته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موسایرین </w:t>
      </w:r>
      <w:r>
        <w:rPr>
          <w:rStyle w:val="FootnoteAnchor"/>
          <w:rtl w:val="true"/>
        </w:rPr>
        <w:footnoteReference w:id="1493"/>
      </w:r>
      <w:r>
        <w:rPr>
          <w:rFonts w:ascii="IRNazanin" w:hAnsi="IRNazanin" w:eastAsia="IRNazanin"/>
          <w:color w:val="111111"/>
          <w:sz w:val="28"/>
          <w:sz w:val="28"/>
          <w:szCs w:val="28"/>
          <w:rtl w:val="true"/>
          <w:lang w:bidi="fa-IR"/>
        </w:rPr>
        <w:t xml:space="preserve">توسط گروهی از فیلمسازان در اوایل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آوری دسترسی برخط به ویدیوهای گرفته شده توسط شرکت کنندگان در انقلاب و آموزش و تجهیز شهروندان به ساختن فیلم های خود تشکیل شد ماموریت موسایرین، فراتر از حفظ و نگهداری و قابل دسترس ساختن بیش از ده ترابایت فیلم جمع آوری شده توسعه یافته و به تولید قطعات ویدیویی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اعتراض ها حمایت می کند که از تقاضاهای انقلاب حمایت می کند همان طور که یکی از کارمندانش در گفتگوی میزگرد عنوان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وانمود نمی کنیم که می خواهیم هدف گرا باشیم جایگاه ما این است که از آن چه در انقلاب روی می دهد موردی است که باید حمایت کنیم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کیواُ ام آر ای اُ آر جی طرحی </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طرح های فراوان دیگر شروع شد و به خاطر نمایش جغرافیایی که دارد قابل توجه است عکس ها یا ویدیوهای اهدایی توسط مردم بر روی آن نقشه تعاملی که رویدادهای مربوط به انقلاب در آن جا اتفاق افتاده نشان می دهد در این محل های فیزیکی کیواُ ام </w:t>
      </w:r>
    </w:p>
    <w:p>
      <w:pPr>
        <w:pStyle w:val="BookText"/>
        <w:rPr/>
      </w:pPr>
      <w:r>
        <w:rPr>
          <w:rFonts w:ascii="IRNazanin" w:hAnsi="IRNazanin" w:eastAsia="IRNazanin"/>
          <w:color w:val="111111"/>
          <w:sz w:val="28"/>
          <w:sz w:val="28"/>
          <w:szCs w:val="28"/>
          <w:rtl w:val="true"/>
          <w:lang w:bidi="fa-IR"/>
        </w:rPr>
        <w:t xml:space="preserve">آر ای برچسب های کد کیو آر را نصب کرد به نحوی که رهگذران می توانند با استفاده از تلفن همراه، تصویر رویدادی را که در آن محل روی داده است به آن ارسال کنند این ابتکار در پیش بینی مجموعه مستندهای تولید شده کاربر به عنوان ابزاری؛ با هدفمندی بیشتر در جهت سیاسی، شهروندان را آموزش داده و به عنوان جایگاهی برای بحث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همان گونه که طرح های مذکور نشان می دهند تلاش قابل ملاحظه ای برای حفظ و نگهداری دسترسی به مستندات انقلاب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و پس آیندهای آن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مختلف موجب شد تا کم و کاستی های فنی، روش های اجرایی، حوزه ی عملکرد و اهداف برطرف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میدان مستندسازی انقلاب قرن بیست و یکم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کار خود را در استفاده از جامعه دانشگاه آمریکایی قاهره به عنوان دوربینی برای نظاره کردن انقلاب گذاشت، اما دعوت به کمک از اقشار بیشتری از مردم مصر، موجب غنای بیشتر طرح شد این عمل با پذیرش مستندات جمع آوری شده از افراد خارج دانشگاه توسعه و غنای بیشتری یافت از قبیل مصاحبه هایی که کلاس تاریخ شفاهی دانشکدهای از ایالات متحده آمریکا در بازدید از مصر گرفت، مجموعه تصاویر جمع آوری شده توسط پژوهشگران کالیفرنیایی، و اظهارات ضبط شده از هنرمندان نقاش که از انقلاب الهام گرفته اند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میدان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ثبت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تاریخ شفاهی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قومی،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ویدیو،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منابع دیگر، وبگاه و هدایای پژوهشی بی شمار در کتابخانه رقمی کتابخانه مجموعه های خاص و کتاب های نادر دانشگاه آمریکایی قاهره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استنادها به صورت برخط در دسترس قرار داشته و دارد کاربران از داخل و خارج از دانشگاه آمریکایی قاهره، از این منابع برای اهدافی از قبیل ارائه کنفرانس برگزاری نمایشگاه نگارش پایان نامه و انواع تحقیقات استفاده کرده اند طرح به روش های فوق در تضمین مستندسازی دوره بحرانی از تاریخ مصر برای نسل های آینده نقش آفرینی کرده است</w:t>
      </w:r>
      <w:r>
        <w:rPr>
          <w:rFonts w:eastAsia="IRNazanin" w:cs="IRNazanin"/>
          <w:color w:val="111111"/>
          <w:sz w:val="28"/>
          <w:szCs w:val="28"/>
          <w:rtl w:val="true"/>
          <w:lang w:bidi="fa-IR"/>
        </w:rPr>
        <w:t xml:space="preserve">. </w:t>
      </w:r>
      <w:bookmarkStart w:id="1168" w:name="pg9653_82253"/>
    </w:p>
    <w:p>
      <w:pPr>
        <w:pStyle w:val="Heading3"/>
        <w:numPr>
          <w:ilvl w:val="2"/>
          <w:numId w:val="1"/>
        </w:numPr>
        <w:rPr/>
      </w:pPr>
      <w:bookmarkStart w:id="1169" w:name="__RefHeading___Toc7767106_2870459653"/>
      <w:bookmarkStart w:id="1170" w:name="_Toc428"/>
      <w:bookmarkEnd w:id="1168"/>
      <w:bookmarkEnd w:id="1169"/>
      <w:r>
        <w:rPr>
          <w:rtl w:val="true"/>
        </w:rPr>
        <w:t>منابع</w:t>
      </w:r>
      <w:bookmarkEnd w:id="1170"/>
    </w:p>
    <w:p>
      <w:pPr>
        <w:pStyle w:val="BookText"/>
        <w:rPr/>
      </w:pPr>
      <w:r>
        <w:rPr>
          <w:rFonts w:eastAsia="Times New Roman" w:cs="Times New Roman" w:ascii="Times New Roman" w:hAnsi="Times New Roman"/>
          <w:color w:val="111111"/>
          <w:sz w:val="28"/>
          <w:szCs w:val="28"/>
          <w:lang w:val="en-US" w:bidi="en-US"/>
        </w:rPr>
        <w:t>Aboulfotoh Mahmoud. "Qomra.org" Townhouse Gallery Digitizing Memory Panel Discussion. Cairo Egypt. 24 February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Barsalou Judy. (2012 June 22). Recalling the Past: The Battle over History Collective Memory and Memorialization in Egypt Jadaliyya. Retrieved from http://www.jadaliyya.com/pages/index/6007/recalling-the-past_the-battle- overhistory- collect</w:t>
      </w:r>
    </w:p>
    <w:p>
      <w:pPr>
        <w:pStyle w:val="BookText"/>
        <w:rPr/>
      </w:pPr>
      <w:r>
        <w:rPr>
          <w:rFonts w:eastAsia="Times New Roman" w:cs="Times New Roman" w:ascii="Times New Roman" w:hAnsi="Times New Roman"/>
          <w:color w:val="111111"/>
          <w:sz w:val="28"/>
          <w:szCs w:val="28"/>
          <w:lang w:val="en-US" w:bidi="en-US"/>
        </w:rPr>
        <w:t>Elayat Yasmin. "18 Days in Egypt Project." Townhouse Gallery Digitizing Memory Panel Discussion. Cairo Egypt. 24 February 2013. the Gabr. Sherif. "Mosireen Collective." American University in Cairo Archiving Revolution Panel Discussion. Cairo Egypt. 24 September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Halliburton Rachel. (2012 July 4). The revolution has been photographed. Prospect Magazine. Retrieved from http://www.prospectmagazine.co.uk/blog/the-revolution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will-bephotographed Shenker Jack. (2011 15 July). The Struggle to Document Egypt's Revolution. The Guardian. Retrieved from http://www.guardian.co.uk/world/2011/jul/15/struggle-to- documentegypt- Revolution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Footnotes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Stephen Urgola: Rare Books and Special Collections Library, The American University in Cairo, Cairo, Egypt. Emailaddress:surgola@aucegypt.edu</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علمی دانشگاه پیام نور </w:t>
      </w:r>
      <w:r>
        <w:rPr>
          <w:rFonts w:eastAsia="Times New Roman" w:cs="Times New Roman" w:ascii="Times New Roman" w:hAnsi="Times New Roman"/>
          <w:color w:val="111111"/>
          <w:sz w:val="28"/>
          <w:szCs w:val="28"/>
          <w:lang w:val="en-US" w:bidi="en-US"/>
        </w:rPr>
        <w:t>n_malipour@yahoo.com</w:t>
      </w:r>
      <w:r>
        <w:rPr>
          <w:rFonts w:eastAsia="Times New Roman" w:cs="Times New Roman" w:ascii="Times New Roman" w:hAnsi="Times New Roman"/>
          <w:color w:val="111111"/>
          <w:sz w:val="28"/>
          <w:szCs w:val="28"/>
          <w:rtl w:val="true"/>
          <w:lang w:val="en-US" w:bidi="en-US"/>
        </w:rPr>
        <w:t xml:space="preserve"> </w:t>
      </w:r>
      <w:bookmarkStart w:id="1171" w:name="pg9653_82254"/>
    </w:p>
    <w:p>
      <w:pPr>
        <w:pStyle w:val="Heading2"/>
        <w:numPr>
          <w:ilvl w:val="1"/>
          <w:numId w:val="1"/>
        </w:numPr>
        <w:rPr/>
      </w:pPr>
      <w:bookmarkStart w:id="1172" w:name="__RefHeading___Toc7767108_2870459653"/>
      <w:bookmarkStart w:id="1173" w:name="_Toc429"/>
      <w:bookmarkEnd w:id="1171"/>
      <w:bookmarkEnd w:id="1172"/>
      <w:r>
        <w:rPr>
          <w:rtl w:val="true"/>
        </w:rPr>
        <w:t>چکیده</w:t>
      </w:r>
      <w:bookmarkEnd w:id="1173"/>
    </w:p>
    <w:p>
      <w:pPr>
        <w:pStyle w:val="BookText"/>
        <w:rPr/>
      </w:pPr>
      <w:r>
        <w:rPr>
          <w:rFonts w:ascii="IRNazanin" w:hAnsi="IRNazanin" w:eastAsia="IRNazanin"/>
          <w:color w:val="111111"/>
          <w:sz w:val="28"/>
          <w:sz w:val="28"/>
          <w:szCs w:val="28"/>
          <w:rtl w:val="true"/>
          <w:lang w:bidi="fa-IR"/>
        </w:rPr>
        <w:t>با ظهور فناوری های تلفن همراه خدمات مرجع و اطلاع رسانی به مراجعان کتابخانه ها به بلوغ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دیگر به اندازه کافی خدمات مرجع مجازی گفتگوی همزمان به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و یا دسترسی به وبگاه کتابخانه ها از طریق تلفن همراه تقریبا در همه جا فراهم شده است اما در واقع ارائه خدمات مرجع و اطلاع رسانی در قرن بیستم به توانایی کتابخانه به فراتر از ساختار اجرایی این خدمات در محیط فیزیکی و از طریق تجهیزات رقومی و تلفن همراه بر می گردد و توانایی کتابخانه ها به ارائه این خدمات به جوامع انسانی و به معنای واقعی کلمه دسترس پذیر نمودن آن در خیابان ها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قلمرو حقیقی 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پرسه زن</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 xml:space="preserve">است یعنی کسی که نقش او حمل کتابخانه به خارج از دیوارها و به بطن جامعه شهری است برای ملاقات با کسانی که سرگرم زندگی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این مقاله شامل مطالعه موردی، توصیه های حرفه ای و چشم اندازی از چگونگی شکل گیری نقش واقعی کتابخانه ها در قرن بیست و یکم از طریق ارائه خدمات فراکتابخانه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خدمات اطلاع رسانی، تلفن همراه، کتابداری همراه، پرسه زن</w:t>
      </w:r>
      <w:r>
        <w:rPr>
          <w:rFonts w:eastAsia="IRNazanin" w:cs="IRNazanin"/>
          <w:color w:val="111111"/>
          <w:sz w:val="28"/>
          <w:szCs w:val="28"/>
          <w:rtl w:val="true"/>
          <w:lang w:bidi="fa-IR"/>
        </w:rPr>
        <w:t xml:space="preserve">. </w:t>
      </w:r>
      <w:bookmarkStart w:id="1174" w:name="pg9653_82255"/>
    </w:p>
    <w:p>
      <w:pPr>
        <w:pStyle w:val="Heading2"/>
        <w:numPr>
          <w:ilvl w:val="1"/>
          <w:numId w:val="1"/>
        </w:numPr>
        <w:rPr/>
      </w:pPr>
      <w:bookmarkStart w:id="1175" w:name="__RefHeading___Toc7767110_2870459653"/>
      <w:bookmarkStart w:id="1176" w:name="_Toc430"/>
      <w:bookmarkEnd w:id="1174"/>
      <w:bookmarkEnd w:id="1175"/>
      <w:r>
        <w:rPr>
          <w:rtl w:val="true"/>
        </w:rPr>
        <w:t>خدمات مرجع بر فراز آسمان ها</w:t>
      </w:r>
      <w:r>
        <w:rPr>
          <w:rtl w:val="true"/>
        </w:rPr>
        <w:t xml:space="preserve">: </w:t>
      </w:r>
      <w:r>
        <w:rPr>
          <w:rtl w:val="true"/>
        </w:rPr>
        <w:t>خروج کتابداران از حصار کتابخانه</w:t>
      </w:r>
      <w:bookmarkEnd w:id="1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مرجع بر فراز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کتابداران از حصار کتابخانه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نوشته سارا وینگیت گری </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فرناز محمدی </w:t>
      </w:r>
      <w:r>
        <w:rPr>
          <w:rStyle w:val="FootnoteAnchor"/>
          <w:rtl w:val="true"/>
        </w:rPr>
        <w:footnoteReference w:id="1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محکمی برای رفتن به کوچه پس کوچه ها برای یافتن مهمانانی برای جشن و سرور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ملویل دیویی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Style w:val="FootnoteAnchor"/>
          <w:rtl w:val="true"/>
        </w:rPr>
        <w:footnoteReference w:id="1500"/>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مرجع و اطلاع رسانی که توسط کتابخانه ها و متخصصان اطلاع رسانی فراهم می شود اغلب بصورت فراکتابخانه ای یعنی بیرون از دیوارها و ساختمان فیزیکی کتابخانه دیده می شود روت وِلمن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 xml:space="preserve">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های مطالعه هوای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نیویورک </w:t>
      </w:r>
      <w:r>
        <w:rPr>
          <w:rStyle w:val="FootnoteAnchor"/>
          <w:rtl w:val="true"/>
        </w:rPr>
        <w:footnoteReference w:id="1502"/>
      </w:r>
      <w:r>
        <w:rPr>
          <w:rFonts w:ascii="IRNazanin" w:hAnsi="IRNazanin" w:eastAsia="IRNazanin"/>
          <w:color w:val="111111"/>
          <w:sz w:val="28"/>
          <w:sz w:val="28"/>
          <w:szCs w:val="28"/>
          <w:rtl w:val="true"/>
          <w:lang w:bidi="fa-IR"/>
        </w:rPr>
        <w:t xml:space="preserve">به دسترسی مردم به آثار متنوع داستان های عامه پسند و فهرست منابع موجود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های مطالعه هوای آزاد در پارک برایانت</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 اشاره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دکه کتاب ها، قفسه مجلات و میز کتابدار مرجع برروی چرخ ها هل داده می شوند و باز شدن چترهای آفتابگیر آبی رنگ، نشان از آغاز یک روز کاری دارد</w:t>
      </w:r>
      <w:r>
        <w:rPr>
          <w:rFonts w:eastAsia="IRNazanin" w:cs="IRNazanin"/>
          <w:color w:val="111111"/>
          <w:sz w:val="28"/>
          <w:szCs w:val="28"/>
          <w:rtl w:val="true"/>
          <w:lang w:bidi="fa-IR"/>
        </w:rPr>
        <w:t xml:space="preserve">». </w:t>
      </w:r>
      <w:r>
        <w:rPr>
          <w:rStyle w:val="FootnoteAnchor"/>
          <w:rtl w:val="true"/>
        </w:rPr>
        <w:footnoteReference w:id="1504"/>
      </w:r>
      <w:r>
        <w:rPr>
          <w:rFonts w:ascii="IRNazanin" w:hAnsi="IRNazanin" w:eastAsia="IRNazanin"/>
          <w:color w:val="111111"/>
          <w:sz w:val="28"/>
          <w:sz w:val="28"/>
          <w:szCs w:val="28"/>
          <w:rtl w:val="true"/>
          <w:lang w:bidi="fa-IR"/>
        </w:rPr>
        <w:t xml:space="preserve">وِلمن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مرجع به معنای واقعی </w:t>
      </w:r>
    </w:p>
    <w:p>
      <w:pPr>
        <w:pStyle w:val="BookText"/>
        <w:rPr/>
      </w:pPr>
      <w:r>
        <w:rPr>
          <w:rFonts w:ascii="IRNazanin" w:hAnsi="IRNazanin" w:eastAsia="IRNazanin"/>
          <w:color w:val="111111"/>
          <w:sz w:val="28"/>
          <w:sz w:val="28"/>
          <w:szCs w:val="28"/>
          <w:rtl w:val="true"/>
          <w:lang w:bidi="fa-IR"/>
        </w:rPr>
        <w:t xml:space="preserve">کلمه در این فضا خیلی کم است او توضیح می دهد که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سوالات بسیاری به بخش های دیگر کتابخانه گسیل می شود که مستقیما مرتبط با بخش مرجع است</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 xml:space="preserve">و نمونه های زیادی از استفاده مردم از کتاب های مرجع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های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 می شود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دورنمایی از زندگی در مرکز شهر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پارک عمومی را شکل می دهد</w:t>
      </w:r>
      <w:r>
        <w:rPr>
          <w:rFonts w:eastAsia="IRNazanin" w:cs="IRNazanin"/>
          <w:color w:val="111111"/>
          <w:sz w:val="28"/>
          <w:szCs w:val="28"/>
          <w:rtl w:val="true"/>
          <w:lang w:bidi="fa-IR"/>
        </w:rPr>
        <w:t xml:space="preserve">."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خارج شدن از محیط فیزیکی کتابخانه و رفتن به دل طبیعت اقدام جدیدی در حرفه کتابداری نیست، سابقه این کار به عنوان یک فعالیت مثمر، ثمر تحت عنوان کتابخانه های سیار در جوامع مختلف از ونزوئلا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طرح قاطرهای حمل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طرح کتابخانه های سیار بر پشت 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طرح های دوستداران کتابخانه های سیار در بسیاری از کشورهای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کتابدار میدانی</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 xml:space="preserve">از اوایل دهه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متون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انجمن کتابخانه 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 ای</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 کتابخانه های</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کتابداران سیاح </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واژه بهتر برای آن کتابدار میدانی باشد </w:t>
      </w:r>
      <w:r>
        <w:rPr>
          <w:rStyle w:val="FootnoteAnchor"/>
          <w:rtl w:val="true"/>
        </w:rPr>
        <w:footnoteReference w:id="1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شکل دهنده تغییرات و رویکرد نوین کتابخانه ها در عصر حاضر به ارائه خدمات کتابخانه های دو قطبی باشد که به عنوان منظر جدیدی از نقش کتابداران نزد جامعه دانشگاهی بصورت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 xml:space="preserve">این عنصر همراه بودن، کتابدران را به خارج از مکان سنتی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او پشت میز کارش می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برده و او را در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قرار داده است جایی که این امکان برای او فراهم می شود که بتواند از نزدیک با محققان کادر هیات علمی و کادر آموزشی همکاری و تشریک مساعی داشته باشد</w:t>
      </w:r>
      <w:r>
        <w:rPr>
          <w:rFonts w:eastAsia="IRNazanin" w:cs="IRNazanin"/>
          <w:color w:val="111111"/>
          <w:sz w:val="28"/>
          <w:szCs w:val="28"/>
          <w:rtl w:val="true"/>
          <w:lang w:bidi="fa-IR"/>
        </w:rPr>
        <w:t xml:space="preserve">.» </w:t>
      </w:r>
      <w:r>
        <w:rPr>
          <w:rStyle w:val="FootnoteAnchor"/>
          <w:rtl w:val="true"/>
        </w:rPr>
        <w:footnoteReference w:id="1515"/>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کتابداری و اطلاع رسانی بیش از آن که تحت تاثیر عملکرد متخصصان این حوزه باشد متاثر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نگاری همراه</w:t>
      </w:r>
      <w:r>
        <w:rPr>
          <w:rFonts w:eastAsia="IRNazanin" w:cs="IRNazanin"/>
          <w:color w:val="111111"/>
          <w:sz w:val="28"/>
          <w:szCs w:val="28"/>
          <w:rtl w:val="true"/>
          <w:lang w:bidi="fa-IR"/>
        </w:rPr>
        <w:t xml:space="preserve">» </w:t>
      </w:r>
      <w:r>
        <w:rPr>
          <w:rStyle w:val="FootnoteAnchor"/>
          <w:rtl w:val="true"/>
        </w:rPr>
        <w:footnoteReference w:id="1516"/>
      </w:r>
      <w:r>
        <w:rPr>
          <w:rFonts w:ascii="IRNazanin" w:hAnsi="IRNazanin" w:eastAsia="IRNazanin"/>
          <w:color w:val="111111"/>
          <w:sz w:val="28"/>
          <w:sz w:val="28"/>
          <w:szCs w:val="28"/>
          <w:rtl w:val="true"/>
          <w:lang w:bidi="fa-IR"/>
        </w:rPr>
        <w:t xml:space="preserve">است که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عنوان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افزار </w:t>
      </w:r>
    </w:p>
    <w:p>
      <w:pPr>
        <w:pStyle w:val="BookText"/>
        <w:rPr/>
      </w:pPr>
      <w:r>
        <w:rPr>
          <w:rFonts w:ascii="IRNazanin" w:hAnsi="IRNazanin" w:eastAsia="IRNazanin"/>
          <w:color w:val="111111"/>
          <w:sz w:val="28"/>
          <w:sz w:val="28"/>
          <w:szCs w:val="28"/>
          <w:rtl w:val="true"/>
          <w:lang w:bidi="fa-IR"/>
        </w:rPr>
        <w:t>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آمریکا مورد استفاده قرار گرفت</w:t>
      </w:r>
      <w:r>
        <w:rPr>
          <w:rFonts w:eastAsia="IRNazanin" w:cs="IRNazanin"/>
          <w:color w:val="111111"/>
          <w:sz w:val="28"/>
          <w:szCs w:val="28"/>
          <w:rtl w:val="true"/>
          <w:lang w:bidi="fa-IR"/>
        </w:rPr>
        <w:t xml:space="preserve">. </w:t>
      </w:r>
      <w:r>
        <w:rPr>
          <w:rStyle w:val="FootnoteAnchor"/>
          <w:rtl w:val="true"/>
        </w:rPr>
        <w:footnoteReference w:id="1517"/>
      </w:r>
      <w:r>
        <w:rPr>
          <w:rFonts w:ascii="IRNazanin" w:hAnsi="IRNazanin" w:eastAsia="IRNazanin"/>
          <w:color w:val="111111"/>
          <w:sz w:val="28"/>
          <w:sz w:val="28"/>
          <w:szCs w:val="28"/>
          <w:rtl w:val="true"/>
          <w:lang w:bidi="fa-IR"/>
        </w:rPr>
        <w:t xml:space="preserve">درونه سازی شده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18"/>
      </w:r>
      <w:r>
        <w:rPr>
          <w:rFonts w:ascii="IRNazanin" w:hAnsi="IRNazanin" w:eastAsia="IRNazanin"/>
          <w:color w:val="111111"/>
          <w:sz w:val="28"/>
          <w:sz w:val="28"/>
          <w:szCs w:val="28"/>
          <w:rtl w:val="true"/>
          <w:lang w:bidi="fa-IR"/>
        </w:rPr>
        <w:t>عبارتی که به خارج شدن کتابدار و میزکار او از حصار کتابخانه اشاره دارد</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در این شکل از ارائه خدمت ماهیت ارتباطی بین کتابدار و مراجعه کننده از حالت های رسمی و متداول به ارتباطات و تعاملات شخصی و غیر رسمی تغییر می یابد</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 xml:space="preserve">قرار گرفتن در متن جامعه و رویارویی های شخصی، علاوه بر فراهم کردن امکان واکاوی و بررسی ویژگی های جامعه آن طوری که جانسن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می کند حوادث غیر مترقبه ملاقات ها و مکالمات خوشایندی را رقم می زند که حالت های بسیار رسمی و سنتی ارتباط بین کتابدار و مراجعه کننده را شکسته و به سوی محاوره ها و ارتباطات غیررسمی سوق می دهد</w:t>
      </w:r>
      <w:r>
        <w:rPr>
          <w:rFonts w:eastAsia="IRNazanin" w:cs="IRNazanin"/>
          <w:color w:val="111111"/>
          <w:sz w:val="28"/>
          <w:szCs w:val="28"/>
          <w:rtl w:val="true"/>
          <w:lang w:bidi="fa-IR"/>
        </w:rPr>
        <w:t xml:space="preserve">. </w:t>
      </w:r>
      <w:r>
        <w:rPr>
          <w:rStyle w:val="FootnoteAnchor"/>
          <w:rtl w:val="true"/>
        </w:rPr>
        <w:footnoteReference w:id="152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شناسی اصطلاحات نقشی اساسی در درک یا سوء برداشت از آن ها ایفا می کنند</w:t>
      </w:r>
      <w:r>
        <w:rPr>
          <w:rFonts w:eastAsia="IRNazanin" w:cs="IRNazanin"/>
          <w:color w:val="111111"/>
          <w:sz w:val="28"/>
          <w:szCs w:val="28"/>
          <w:rtl w:val="true"/>
          <w:lang w:bidi="fa-IR"/>
        </w:rPr>
        <w:t xml:space="preserve">. </w:t>
      </w:r>
      <w:r>
        <w:rPr>
          <w:rStyle w:val="FootnoteAnchor"/>
          <w:rtl w:val="true"/>
        </w:rPr>
        <w:footnoteReference w:id="1522"/>
      </w:r>
      <w:r>
        <w:rPr>
          <w:rFonts w:ascii="IRNazanin" w:hAnsi="IRNazanin" w:eastAsia="IRNazanin"/>
          <w:color w:val="111111"/>
          <w:sz w:val="28"/>
          <w:sz w:val="28"/>
          <w:szCs w:val="28"/>
          <w:rtl w:val="true"/>
          <w:lang w:bidi="fa-IR"/>
        </w:rPr>
        <w:t xml:space="preserve">از این رو شاید اصطلاح بیشتر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دوره گرد</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به تمام این حالت ها و مدل هایی که ذکر شد از لحاظ مفهومی نزدیکتر و اشتراکات بیشتری داشته باشد این اصطلاح در عمل به این معناست که خدمات مرجع و اطلاع رسانی در حال ارائه در فراتر از مرزهای کتابخانه با تمرکز بر تعامل انسان با انسان به شکل سیال و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مواجه شدن کتابدار و مراجعه کننده می تواند بدون محدودیت جغرافیایی </w:t>
      </w:r>
    </w:p>
    <w:p>
      <w:pPr>
        <w:pStyle w:val="BookText"/>
        <w:rPr/>
      </w:pPr>
      <w:r>
        <w:rPr>
          <w:rFonts w:ascii="IRNazanin" w:hAnsi="IRNazanin" w:eastAsia="IRNazanin"/>
          <w:color w:val="111111"/>
          <w:sz w:val="28"/>
          <w:sz w:val="28"/>
          <w:szCs w:val="28"/>
          <w:rtl w:val="true"/>
          <w:lang w:bidi="fa-IR"/>
        </w:rPr>
        <w:t>و زمانی و به شکلی بدون مرز به تعاملات انسانی و ایجاد صمیمیت بین دو طرف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ناپایداری و سیالیت است که با چند اصطلاح و عبارت مختلف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شکل از ارائه خدمات مرجع جستجوگر و یا پرسشگر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در ابتدا بطور آزمایشی در یک زمینه موضوعی خاص جستجو می کند و احتمالا به دنبال یک راهنما و راهبر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کشتی نجاتی می یابد که هدف و موضوع تجسس او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سردرگمی جستجوگر که نشات گرفته از حجم گسترده دانش و رفتار اطلاع یابی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وابسته به شرایط اجتماعی جغرافیایی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است، ارائه خدمات مرجع و اطلاع رسانی فراتر از حصار کتابخانه ها را ضروری می نماید و چشم انداز مثبتی از خدمات مرجع و اطلاع رسانی نوپا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روش ها و شیوه های مختلف در طول بزرگراه ها و پیاده روها و حتی کوچه پس کوچه های شهر، ترسیم می کند که احتمالا از روش های مرسوم قواعد و مقررات مرجع سنتی استنتاج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چنین واگرایی ها و تفاوت هایی در ارائه این شکل از خدمات مرجع و اطلاع رسانی بی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از آن به عنوان فرآیند گذار یا فضای آستانه ای </w:t>
      </w:r>
      <w:r>
        <w:rPr>
          <w:rStyle w:val="FootnoteAnchor"/>
          <w:rtl w:val="true"/>
        </w:rPr>
        <w:footnoteReference w:id="1524"/>
      </w:r>
      <w:r>
        <w:rPr>
          <w:rFonts w:ascii="IRNazanin" w:hAnsi="IRNazanin" w:eastAsia="IRNazanin"/>
          <w:color w:val="111111"/>
          <w:sz w:val="28"/>
          <w:sz w:val="28"/>
          <w:szCs w:val="28"/>
          <w:rtl w:val="true"/>
          <w:lang w:bidi="fa-IR"/>
        </w:rPr>
        <w:t>یعنی مرحله ای بین گذشته سپری شده و آینده مبهم و جدید، یاد کرد</w:t>
      </w:r>
      <w:r>
        <w:rPr>
          <w:rFonts w:eastAsia="IRNazanin" w:cs="IRNazanin"/>
          <w:color w:val="111111"/>
          <w:sz w:val="28"/>
          <w:szCs w:val="28"/>
          <w:rtl w:val="true"/>
          <w:lang w:bidi="fa-IR"/>
        </w:rPr>
        <w:t xml:space="preserve">. </w:t>
      </w:r>
      <w:r>
        <w:rPr>
          <w:rStyle w:val="FootnoteAnchor"/>
          <w:rtl w:val="true"/>
        </w:rPr>
        <w:footnoteReference w:id="152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لیمینال </w:t>
      </w:r>
      <w:r>
        <w:rPr>
          <w:rStyle w:val="FootnoteAnchor"/>
          <w:rtl w:val="true"/>
        </w:rPr>
        <w:footnoteReference w:id="1526"/>
      </w:r>
      <w:r>
        <w:rPr>
          <w:rFonts w:ascii="IRNazanin" w:hAnsi="IRNazanin" w:eastAsia="IRNazanin"/>
          <w:color w:val="111111"/>
          <w:sz w:val="28"/>
          <w:sz w:val="28"/>
          <w:szCs w:val="28"/>
          <w:rtl w:val="true"/>
          <w:lang w:bidi="fa-IR"/>
        </w:rPr>
        <w:t xml:space="preserve">از واژه لاتینی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به معنای درگاه منشعب شده است</w:t>
      </w:r>
      <w:r>
        <w:rPr>
          <w:rFonts w:eastAsia="IRNazanin" w:cs="IRNazanin"/>
          <w:color w:val="111111"/>
          <w:sz w:val="28"/>
          <w:szCs w:val="28"/>
          <w:rtl w:val="true"/>
          <w:lang w:bidi="fa-IR"/>
        </w:rPr>
        <w:t xml:space="preserve">. </w:t>
      </w:r>
      <w:r>
        <w:rPr>
          <w:rStyle w:val="FootnoteAnchor"/>
          <w:rtl w:val="true"/>
        </w:rPr>
        <w:footnoteReference w:id="1528"/>
      </w:r>
      <w:r>
        <w:rPr>
          <w:rFonts w:ascii="IRNazanin" w:hAnsi="IRNazanin" w:eastAsia="IRNazanin"/>
          <w:color w:val="111111"/>
          <w:sz w:val="28"/>
          <w:sz w:val="28"/>
          <w:szCs w:val="28"/>
          <w:rtl w:val="true"/>
          <w:lang w:bidi="fa-IR"/>
        </w:rPr>
        <w:t xml:space="preserve">ولی از لحاظ ریشه شناسی و معنایی می تواند به مفهوم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واژه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مکانی امن نیز باشد</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 xml:space="preserve">و از منظر انسان شناسی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w:t>
      </w:r>
      <w:r>
        <w:rPr>
          <w:rStyle w:val="FootnoteAnchor"/>
          <w:rtl w:val="true"/>
        </w:rPr>
        <w:footnoteReference w:id="1530"/>
      </w:r>
      <w:r>
        <w:rPr>
          <w:rFonts w:ascii="Amiri" w:hAnsi="Amiri" w:eastAsia="Amiri" w:cs="Amiri"/>
          <w:color w:val="111111"/>
          <w:sz w:val="28"/>
          <w:sz w:val="28"/>
          <w:szCs w:val="28"/>
          <w:rtl w:val="true"/>
          <w:lang w:bidi="ar-SA"/>
        </w:rPr>
        <w:t xml:space="preserve">و ترنِر </w:t>
      </w:r>
      <w:r>
        <w:rPr>
          <w:rStyle w:val="FootnoteAnchor"/>
          <w:rtl w:val="true"/>
        </w:rPr>
        <w:footnoteReference w:id="1531"/>
      </w:r>
      <w:r>
        <w:rPr>
          <w:rFonts w:ascii="IRNazanin" w:hAnsi="IRNazanin" w:eastAsia="IRNazanin"/>
          <w:color w:val="111111"/>
          <w:sz w:val="28"/>
          <w:sz w:val="28"/>
          <w:szCs w:val="28"/>
          <w:rtl w:val="true"/>
          <w:lang w:bidi="fa-IR"/>
        </w:rPr>
        <w:t xml:space="preserve">در اثر خود </w:t>
      </w:r>
      <w:r>
        <w:rPr>
          <w:rStyle w:val="FootnoteAnchor"/>
          <w:rtl w:val="true"/>
        </w:rPr>
        <w:footnoteReference w:id="1532"/>
      </w:r>
      <w:r>
        <w:rPr>
          <w:rFonts w:ascii="IRNazanin" w:hAnsi="IRNazanin" w:eastAsia="IRNazanin"/>
          <w:color w:val="111111"/>
          <w:sz w:val="28"/>
          <w:sz w:val="28"/>
          <w:szCs w:val="28"/>
          <w:rtl w:val="true"/>
          <w:lang w:bidi="fa-IR"/>
        </w:rPr>
        <w:t>در شرح ویژگی های آستانه و هنرپیشگان آستانه ای به ضرورت ابهام آمیز بودن آن اشاره می کنند و شرح می دهند که این افراد از این که در شبکه های اجتماعی طبقه بندی شوند و یا از لحاظ محل جغرافیایی یا فرهنگی مرتبط به جای خاصی باشند اجتناب دارند</w:t>
      </w:r>
      <w:r>
        <w:rPr>
          <w:rFonts w:eastAsia="IRNazanin" w:cs="IRNazanin"/>
          <w:color w:val="111111"/>
          <w:sz w:val="28"/>
          <w:szCs w:val="28"/>
          <w:rtl w:val="true"/>
          <w:lang w:bidi="fa-IR"/>
        </w:rPr>
        <w:t xml:space="preserve">.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 xml:space="preserve">علاوه بر این دیدگاه مردم شناسانه امکان جایگزین شدن نظریه معماری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جایی که از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فضاها استفاده می شود و نشان از آن دارد که انواعی از فضاها وجود دارند که مردم در آن جا ساکن نیستند و صرفا بطور گذرا برای مدتی محدود در آن جا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فضاها در حقیقت یک نوع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یک مکان و تمام دستورالعمل ها و قواعد مورد انتظار آن و رسیدن به جایی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 xml:space="preserve">صورت می گیرد و این امکان را بوجود می آورد تا به فضاهای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فرودگاه و راه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فضاهای آستان های فکر کنید جایی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ابهام، یک نوع برزخ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زمان و مکان بینابین وجود دارد</w:t>
      </w:r>
      <w:r>
        <w:rPr>
          <w:rFonts w:eastAsia="IRNazanin" w:cs="IRNazanin"/>
          <w:color w:val="111111"/>
          <w:sz w:val="28"/>
          <w:szCs w:val="28"/>
          <w:rtl w:val="true"/>
          <w:lang w:bidi="fa-IR"/>
        </w:rPr>
        <w:t xml:space="preserve">. </w:t>
      </w:r>
      <w:r>
        <w:rPr>
          <w:rStyle w:val="FootnoteAnchor"/>
          <w:rtl w:val="true"/>
        </w:rPr>
        <w:footnoteReference w:id="1535"/>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 این اساس اهمیت خدمات فراکتابخان های مرجع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طور واضح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به خاطر این است که این نوع خدمات بینابین فضای فیزیکی کتابخانه ارائه می شود و در برخی موارد در عمل مشخصا خدمات مرجع و اطلاع رسانی گذرا و روزمره ای ارائه می شود که به جای تقابل ابهام عدم حتمیت، تکثر معنی و شانس تعامل و ارتباط با کاربر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و اطلاع رسانی فرا کتابخانه ای با برخی نمونه های فعال جهان واقعی عصر حاضر مثل فعالیت مرجع رادیکال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رادیکال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کارکنان پیشرو کتابخانه از طریق خدمات مرجع مجازی و چهره به چهره سعی در شناساندن چهره واقعی خود به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رادیکال برخلاف مدل سنتی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کننده به برقراری ارتباط با مردم از طریق خدمات مرجع و اطلاع رسانی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ضرورتا نه از طریق غرق شدن در اصول مرجع سنتی و پشت میز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ارائه آن در خیابان ها کافه ها و پارک ها می پردازند </w:t>
      </w:r>
      <w:r>
        <w:rPr>
          <w:rStyle w:val="FootnoteAnchor"/>
          <w:rtl w:val="true"/>
        </w:rPr>
        <w:footnoteReference w:id="1536"/>
      </w:r>
      <w:r>
        <w:rPr>
          <w:rFonts w:ascii="IRNazanin" w:hAnsi="IRNazanin" w:eastAsia="IRNazanin"/>
          <w:color w:val="111111"/>
          <w:sz w:val="28"/>
          <w:sz w:val="28"/>
          <w:szCs w:val="28"/>
          <w:rtl w:val="true"/>
          <w:lang w:bidi="fa-IR"/>
        </w:rPr>
        <w:t>و از این طریق پایه و اساس این خدمات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خدمات مرجع و اطلاع رسانی به معنای واقعی کلمه در خیابان رخ می دهد همراه با ملزومات یک ارتباط سریع، معتبر، محلی و سیار از طریق تعامل بصورت رسمی و غیر رسمی، </w:t>
      </w:r>
      <w:r>
        <w:rPr>
          <w:rStyle w:val="FootnoteAnchor"/>
          <w:rtl w:val="true"/>
        </w:rPr>
        <w:footnoteReference w:id="1537"/>
      </w:r>
      <w:r>
        <w:rPr>
          <w:rFonts w:ascii="IRNazanin" w:hAnsi="IRNazanin" w:eastAsia="IRNazanin"/>
          <w:color w:val="111111"/>
          <w:sz w:val="28"/>
          <w:sz w:val="28"/>
          <w:szCs w:val="28"/>
          <w:rtl w:val="true"/>
          <w:lang w:bidi="fa-IR"/>
        </w:rPr>
        <w:t xml:space="preserve">که اصولا بر پایه رویدادهای فعل گرا مانند اعتراضات خیابانی </w:t>
      </w:r>
    </w:p>
    <w:p>
      <w:pPr>
        <w:pStyle w:val="BookText"/>
        <w:rPr/>
      </w:pPr>
      <w:r>
        <w:rPr>
          <w:rFonts w:ascii="IRNazanin" w:hAnsi="IRNazanin" w:eastAsia="IRNazanin"/>
          <w:color w:val="111111"/>
          <w:sz w:val="28"/>
          <w:sz w:val="28"/>
          <w:szCs w:val="28"/>
          <w:rtl w:val="true"/>
          <w:lang w:bidi="fa-IR"/>
        </w:rPr>
        <w:t>سیال و گذرا است همان طور که نیازهای اطلاعاتی شرکت کنندگان در آن به طور مستقیم قابل قیاس با شکاف آستانه ای است</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جایی که آستانه های خصوصی و دولتی رویه ها و بی نظمی ها نقض شده و متصل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است که صمیمیت را می توان درخواست نمود، تشریفات را کاهش یا مجدد احیا نمود، یک منطقه آستانه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از موارد خصوصی و عمومی غریبه ها و آشناها در ساختاری اجتماعی که اصولا برای خدمات مرجع سیار به یک جمعیت در حال تغییر با توجه به جغرافیای منطقه مکان و بافت زمین های بسیار مناسب است</w:t>
      </w:r>
      <w:r>
        <w:rPr>
          <w:rFonts w:eastAsia="IRNazanin" w:cs="IRNazanin"/>
          <w:color w:val="111111"/>
          <w:sz w:val="28"/>
          <w:szCs w:val="28"/>
          <w:rtl w:val="true"/>
          <w:lang w:bidi="fa-IR"/>
        </w:rPr>
        <w:t xml:space="preserve">. </w:t>
      </w:r>
      <w:r>
        <w:rPr>
          <w:rStyle w:val="FootnoteAnchor"/>
          <w:rtl w:val="true"/>
        </w:rPr>
        <w:footnoteReference w:id="1539"/>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فعالیت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عملکرد کتابخانه شعر دوره گرد </w:t>
      </w:r>
      <w:r>
        <w:rPr>
          <w:rStyle w:val="FootnoteAnchor"/>
          <w:rtl w:val="true"/>
        </w:rPr>
        <w:footnoteReference w:id="1540"/>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گذاشته شد این خدمات کتابخانه عمومی چریکی شیوه خاص خود را دارد بطور موقت و به یکباره به فضاهای آستان های هجوم برده با اشغال بخشی از فضا به صورت موقت برای چند دقیقه ساعت یا گاهی اوقات یک روز، به ارائه خدمات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کتابخان های موقتی ایجاد شده به نوعی خدمات فراکتابخانه ای در فضاهای آستانه ای مانند پارک کافه های فضای آزاد، میدان ها و به معنای دقیق کلمه خدمات کتابخانه ای خیابانی را به شکلی توسعه یافته در فضاهای آستانه ای محصور به غیر از کتابخانه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ارائه خدمات مرجع و اطلاع رسانی به شکلی غیر عادی در مکان های جغرافیایی با نام های مختلف مانند کوکتل بارها، همایش ها، انبار، پیتزا فروشی، دستشویی عمومی بانوان، ایستگاه رادیویی، کشتی، هتل، کلبه ساحلی 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قبرستان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جغرافیایی خاص در سطح جهان، اجرا شده است</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یکی از کتابخانه ها از تویتر برای ارائه اطلاعات مکان های جغرافیایی و زمانی به مردم محلی و یا مسافرانی که در حین سفر قادر به جستجوی اطلاعات نبودند، این خدمات را ارائه می کردند</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 xml:space="preserve">اهمیت و موفقیت خدمات کتابخانه شعر دوره گرد این جاست که دسترسی به خدمات این کتابخانه بصورت تصادفی است بله، در جایی که شما هیچ ایده ای برای استفاده و دسترسی به کتابخانه در ذهن ندارید </w:t>
      </w:r>
    </w:p>
    <w:p>
      <w:pPr>
        <w:pStyle w:val="BookText"/>
        <w:rPr/>
      </w:pPr>
      <w:r>
        <w:rPr>
          <w:rFonts w:ascii="IRNazanin" w:hAnsi="IRNazanin" w:eastAsia="IRNazanin"/>
          <w:color w:val="111111"/>
          <w:sz w:val="28"/>
          <w:sz w:val="28"/>
          <w:szCs w:val="28"/>
          <w:rtl w:val="true"/>
          <w:lang w:bidi="fa-IR"/>
        </w:rPr>
        <w:t xml:space="preserve">در حین قدم زدن ناگهان به جایی می آیید که ما در آن جا حاضر و در حال ارائه خدمات هستیم </w:t>
      </w:r>
      <w:r>
        <w:rPr>
          <w:rStyle w:val="FootnoteAnchor"/>
          <w:rtl w:val="true"/>
        </w:rPr>
        <w:footnoteReference w:id="1543"/>
      </w:r>
      <w:r>
        <w:rPr>
          <w:rFonts w:ascii="IRNazanin" w:hAnsi="IRNazanin" w:eastAsia="IRNazanin"/>
          <w:color w:val="111111"/>
          <w:sz w:val="28"/>
          <w:sz w:val="28"/>
          <w:szCs w:val="28"/>
          <w:rtl w:val="true"/>
          <w:lang w:bidi="fa-IR"/>
        </w:rPr>
        <w:t xml:space="preserve">این ایده به خصوص برای خدماتی که در پی جذب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گوگل</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هستند، مناسب است، که دسترسی به ترکیبی از فناوری هایی نظیر شبکه های اجتماعی خدمات سنتی کتابخانه و خدمات سیار را برای ایشان امکان پذیر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تحلیلگر، مری میکر، </w:t>
      </w:r>
      <w:r>
        <w:rPr>
          <w:rStyle w:val="FootnoteAnchor"/>
          <w:rtl w:val="true"/>
        </w:rPr>
        <w:footnoteReference w:id="154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را یک نقطه عطف می داند جایی که نیمی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کشورهای توسعه یافته یک تلفن هوشمند خواهند داشت</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 xml:space="preserve">که با رشد تصاعدی امکان اتصال به اینترنت، استفاده از تلفن های هوشمند نیز افزایش خواهد یافت اگرچه بیشتر این بازار تحت سلطه جمعیت جوان یا اصطلاحا نسل گوگل است </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جمعیت مسن نیز بطور فزاینده ای در حال انطباق خود با این سیستم و از استفاده از آن است حال تجسم کنید که این افزایش استفاده از فناوری های نوین در زندگی شخصی و اجتماعی، محل زندگی و سفر، تا چه میزان می تواند پتانسیل خوبی برای ارائه خدمات فراکتابخانه ای سیار مرجع و اطلاع رسانی باشد</w:t>
      </w:r>
      <w:r>
        <w:rPr>
          <w:rFonts w:eastAsia="IRNazanin" w:cs="IRNazanin"/>
          <w:color w:val="111111"/>
          <w:sz w:val="28"/>
          <w:szCs w:val="28"/>
          <w:rtl w:val="true"/>
          <w:lang w:bidi="fa-IR"/>
        </w:rPr>
        <w:t xml:space="preserve">. </w:t>
      </w:r>
      <w:r>
        <w:rPr>
          <w:rStyle w:val="FootnoteAnchor"/>
          <w:rtl w:val="true"/>
        </w:rPr>
        <w:footnoteReference w:id="1548"/>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خدمات مرجع و اطلاع رسانی مناسبی را فراهم کنیم می بایست جریان فعالیت های اصلی کتابخانه را براساس رفتار کاربران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بیش از یک دهه اخیر تعداد سوالات مرجع در کتابخانه های عمومی بریتانیا رکود دائمی را نشان داده است </w:t>
      </w:r>
      <w:r>
        <w:rPr>
          <w:rStyle w:val="FootnoteAnchor"/>
          <w:rtl w:val="true"/>
        </w:rPr>
        <w:footnoteReference w:id="1549"/>
      </w:r>
      <w:r>
        <w:rPr>
          <w:rFonts w:ascii="IRNazanin" w:hAnsi="IRNazanin" w:eastAsia="IRNazanin"/>
          <w:color w:val="111111"/>
          <w:sz w:val="28"/>
          <w:sz w:val="28"/>
          <w:szCs w:val="28"/>
          <w:rtl w:val="true"/>
          <w:lang w:bidi="fa-IR"/>
        </w:rPr>
        <w:t xml:space="preserve">در حالی که تعداد ایستگاه های اینترنتی به تدریج افزایش یافته </w:t>
      </w:r>
      <w:r>
        <w:rPr>
          <w:rStyle w:val="FootnoteAnchor"/>
          <w:rtl w:val="true"/>
        </w:rPr>
        <w:footnoteReference w:id="1550"/>
      </w:r>
      <w:r>
        <w:rPr>
          <w:rFonts w:ascii="IRNazanin" w:hAnsi="IRNazanin" w:eastAsia="IRNazanin"/>
          <w:color w:val="111111"/>
          <w:sz w:val="28"/>
          <w:sz w:val="28"/>
          <w:szCs w:val="28"/>
          <w:rtl w:val="true"/>
          <w:lang w:bidi="fa-IR"/>
        </w:rPr>
        <w:t>و این امر این امکان را برای کاربران فراهم آورده که شخصا جستجوهایشان را انجام بدهند، البته از محوطه کتابخانه به جای منزل شخصی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مرجع رادیکال این نکته را خاطر نشان می سازد که بسیاری از افراد از خدمات کتابخانه های عمومی و کتابداران آن ها بهره مند نمی شوند دلیل آن به این مساله بر می گردد که به عقیده ایشان منابع موجود در این کتابخانه ها منابع و متونی نیستند که پاسخگوی نیاز آن ها باشند و کتابداران بیشتر از آن چه که آن ها خودشان با صرف کمی وقت و جستجو در گوگل بدست می آورند را نمی توانند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این دیدگاه و مقابله با چنین مفروضاتی مستلزم پاسخی است که شاید به خوبی در شعار و فلسفه خدمات کتابخانه شعر دوره گرد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حاضر تظاهر به دانستن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کتابخانه با علم به این که رفتن به خارج از کتابخانه و ارائه خدمات به صورت چهره به چهره در محیط و فضاهایی که افراد حضور دارند می تواند آرام آرام به شکلی فعالانه این دیدگاه های منفی را تغییر بدهند خدمات خود را طرح ریزی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خدمات کتابخانه ای مطرح در این زمینه خدمات کتابخانه عمومی سانفرانسیسکو </w:t>
      </w:r>
      <w:r>
        <w:rPr>
          <w:rStyle w:val="FootnoteAnchor"/>
          <w:rtl w:val="true"/>
        </w:rPr>
        <w:footnoteReference w:id="1551"/>
      </w:r>
      <w:r>
        <w:rPr>
          <w:rFonts w:ascii="IRNazanin" w:hAnsi="IRNazanin" w:eastAsia="IRNazanin"/>
          <w:color w:val="111111"/>
          <w:sz w:val="28"/>
          <w:sz w:val="28"/>
          <w:szCs w:val="28"/>
          <w:rtl w:val="true"/>
          <w:lang w:bidi="fa-IR"/>
        </w:rPr>
        <w:t xml:space="preserve">است که بطور مجدّانه ای در جستجوی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طراحی مفهومی برای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آزمایشگاه آموزشی </w:t>
      </w:r>
      <w:r>
        <w:rPr>
          <w:rStyle w:val="FootnoteAnchor"/>
          <w:rtl w:val="true"/>
        </w:rPr>
        <w:footnoteReference w:id="1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کتابخانه های عمومی و دیگر فضاهای غیررسمی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وجود داشته باشد چگونه می تواند باشد</w:t>
      </w:r>
      <w:r>
        <w:rPr>
          <w:rFonts w:eastAsia="IRNazanin" w:cs="IRNazanin"/>
          <w:color w:val="111111"/>
          <w:sz w:val="28"/>
          <w:szCs w:val="28"/>
          <w:rtl w:val="true"/>
          <w:lang w:bidi="fa-IR"/>
        </w:rPr>
        <w:t xml:space="preserve">. </w:t>
      </w:r>
      <w:r>
        <w:rPr>
          <w:rStyle w:val="FootnoteAnchor"/>
          <w:rtl w:val="true"/>
        </w:rPr>
        <w:footnoteReference w:id="1553"/>
      </w:r>
      <w:r>
        <w:rPr>
          <w:rFonts w:ascii="IRNazanin" w:hAnsi="IRNazanin" w:eastAsia="IRNazanin"/>
          <w:color w:val="111111"/>
          <w:sz w:val="28"/>
          <w:sz w:val="28"/>
          <w:szCs w:val="28"/>
          <w:rtl w:val="true"/>
          <w:lang w:bidi="fa-IR"/>
        </w:rPr>
        <w:t xml:space="preserve">خدمات نوجوانان موفق </w:t>
      </w:r>
      <w:r>
        <w:rPr>
          <w:rStyle w:val="FootnoteAnchor"/>
          <w:rtl w:val="true"/>
        </w:rPr>
        <w:footnoteReference w:id="1554"/>
      </w:r>
      <w:r>
        <w:rPr>
          <w:rFonts w:ascii="IRNazanin" w:hAnsi="IRNazanin" w:eastAsia="IRNazanin"/>
          <w:color w:val="111111"/>
          <w:sz w:val="28"/>
          <w:sz w:val="28"/>
          <w:szCs w:val="28"/>
          <w:rtl w:val="true"/>
          <w:lang w:bidi="fa-IR"/>
        </w:rPr>
        <w:t>نیازمند همراهی، مهارت و کارمیدانی متخصصان کتابخانه عمومی سانفرانسیسکو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جنیفر کالینز، </w:t>
      </w:r>
      <w:r>
        <w:rPr>
          <w:rStyle w:val="FootnoteAnchor"/>
          <w:rtl w:val="true"/>
        </w:rPr>
        <w:footnoteReference w:id="1555"/>
      </w:r>
      <w:r>
        <w:rPr>
          <w:rFonts w:ascii="IRNazanin" w:hAnsi="IRNazanin" w:eastAsia="IRNazanin"/>
          <w:color w:val="111111"/>
          <w:sz w:val="28"/>
          <w:sz w:val="28"/>
          <w:szCs w:val="28"/>
          <w:rtl w:val="true"/>
          <w:lang w:bidi="fa-IR"/>
        </w:rPr>
        <w:t>یکی از متخصصان این کتابخانه در اثر خود طرح ارائه این خدمات و خارج کردن منابع کتابخانه عمومی سانفرانسیسکو به بیرون از دیوارهای کتابخانه یعنی جایی که نوجوانان بطور گروهی در آن 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این رویکرد باعث شد وی بر قابلیت این روش را برای پیاده سازی نوعی خدمت فراکتابخانه ای که این کتابخانه توان اجرا کردن آن را دارد و می بایست به کاربران خود ارائه نماید تاکید نماید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عمومی سانفرانسیسکو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دریافت جایزه بنیاد مک آرتور </w:t>
      </w:r>
      <w:r>
        <w:rPr>
          <w:rStyle w:val="FootnoteAnchor"/>
          <w:rtl w:val="true"/>
        </w:rPr>
        <w:footnoteReference w:id="1556"/>
      </w:r>
      <w:r>
        <w:rPr>
          <w:rFonts w:ascii="IRNazanin" w:hAnsi="IRNazanin" w:eastAsia="IRNazanin"/>
          <w:color w:val="111111"/>
          <w:sz w:val="28"/>
          <w:sz w:val="28"/>
          <w:szCs w:val="28"/>
          <w:rtl w:val="true"/>
          <w:lang w:bidi="fa-IR"/>
        </w:rPr>
        <w:t xml:space="preserve">به دلیل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لابراتوار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خدمات آن را بصورت در دسترس و چهره به چهره ارائه می،شود شد این خدمات همچنین از طریق ماهواره و فضای مجازی در شعب مختلف کتابخانه سانفرانسیسکو و با همکاری دیگر سازمان ها در سراسر شهر به جذب نوجوانان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در حقیقت نقش یک پل را برای پر کردن شکاف رقومی در جامعه را بازی می کند</w:t>
      </w:r>
      <w:r>
        <w:rPr>
          <w:rFonts w:eastAsia="IRNazanin" w:cs="IRNazanin"/>
          <w:color w:val="111111"/>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کالینز به کار کردن با نوجوانان از طریق طراحی ایده های جالب استفاده از ظرفیت های ماهواره برای و ارائه خدمات جدیدتر می پردازد</w:t>
      </w:r>
      <w:r>
        <w:rPr>
          <w:rFonts w:eastAsia="IRNazanin" w:cs="IRNazanin"/>
          <w:color w:val="111111"/>
          <w:sz w:val="28"/>
          <w:szCs w:val="28"/>
          <w:rtl w:val="true"/>
          <w:lang w:bidi="fa-IR"/>
        </w:rPr>
        <w:t xml:space="preserve">.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 xml:space="preserve">ما بحث خود را از لحاظ اصطلاح شناسی با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با تاخیر شروع به ارائه شده است آغاز کردیم حالا بحث از ماهواره و کار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ببینم کجا می خواهیم فرود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گفتگویی که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کالینز داشتم تحرک فیزیکی خدمات حضوری مفهومی است که او می خواهد جزییات بیشتری را در مورد آن مطرح کند او توضیح می دهد که در این طرح چگونه کتابداران به خارج از پایگاه فیزیکی کتابخانه عمومی سانفرانسیسکو می روند و با پرسه زدن در خیابان ها و ارائه خدمات مرجع و اطلاع رسانی با پای پیاده و یا شاید با همراه داشتن یک آیپد و همچنین مجموعه ای از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مدل کتابخانه رادیکال و کتابخانه شعر دوره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این دانسته که تمام استفاده کنندگان بالقوه توان و امکان حضور در محل فیزیکی کتابخانه و استفاده از خدمات آن را شخصا ندارند به رهگذران خدمت رسانی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شیوه ارائه خدمت فلسفه وجودی کتابخانه ها در قرن بیست و یکم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فلسفه نیازمند جرح و تعدیل و معمولا با مباحث مربوط به خدمات فراکتابخانه ای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دلالت بر این دارد که جستجوگران اطلاعات به ویژه آن هایی که در دنیای مجازی و واقعی سردرگم هستند در واقع بصورت دائمی در آستانه ها سیر می کنند و به دنبال پناهگاهی چه فیزیکی و چه غیر فیزیکی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بیشتر در مورد فرایندهای انتقال دانش و چگونگی تاثیر مکان فیزیکی و فضا بر این انتقال تنها یکی از بخش های مورد نیاز در تکمیل این تصویر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برخوردهای فیزیکی با کاربران کتابخانه شعر دوره گرد، که در بیرون در جهان واقعی رخ می دهد یک بسته ترکیبی از تعاملات است اما اغلب از طریق 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متمایز می شود قائل به تشریفات شدن کتابدار در محل کتابخانه از طریق ادوات و ابزار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مهمتر شناخته شدن او از طریق نشانه ها و قالب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به رسمیت شناختن تلاش انسانی متقابل بین کتابدار جستجوگر اطلاعات از طریق به اشتراک گذاشتن اطلاعات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کاربران قادر به مشارکت مستقیم در تامین منابع کتابخانه شعر دوره گرد می باشند که این به نوبه خود می تواند نیاز اطلاعاتی یک گروه حال می خواهد مربوط به یک محل خاص یا زبان خاص یا زمینه موضوعی خاص باشد را برطرف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در زمان و به نوبه خود به مرزها و بافت اجتماعی جدیدی منتقل شود جایی که این کتابخانه به لحاظ فیزیکی منتقل می شود به یک کشور، شهر، شهرک یا اجتماع، در این جا این منابع با اجتماع جدید به اشتراک گذاشته می شوند و در ادامه به همین ترتیب منابع جدیدی از سوی افراد جدید، به آن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تردیدها و فرصت ها در واقع کتابخانه ها را قادر می سازند که از طریق مواجهه و گفتگوهای اتفاقی بین کاربر و کتابخانه به شکلی کارآمد عمل کنند که اولین قدم آن بین سانفرانسیسکو در آمریکا به لایپزیک </w:t>
      </w:r>
      <w:r>
        <w:rPr>
          <w:rStyle w:val="FootnoteAnchor"/>
          <w:rtl w:val="true"/>
        </w:rPr>
        <w:footnoteReference w:id="1559"/>
      </w:r>
      <w:r>
        <w:rPr>
          <w:rFonts w:ascii="IRNazanin" w:hAnsi="IRNazanin" w:eastAsia="IRNazanin"/>
          <w:color w:val="111111"/>
          <w:sz w:val="28"/>
          <w:sz w:val="28"/>
          <w:szCs w:val="28"/>
          <w:rtl w:val="true"/>
          <w:lang w:bidi="fa-IR"/>
        </w:rPr>
        <w:t xml:space="preserve">در آلمان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حرکتی مشابه این اقدام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مرجع و اطلاع رسانی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اچ آر دی</w:t>
      </w:r>
      <w:r>
        <w:rPr>
          <w:rFonts w:eastAsia="IRNazanin" w:cs="IRNazanin"/>
          <w:color w:val="111111"/>
          <w:sz w:val="28"/>
          <w:szCs w:val="28"/>
          <w:rtl w:val="true"/>
          <w:lang w:bidi="fa-IR"/>
        </w:rPr>
        <w:t xml:space="preserve">) </w:t>
      </w:r>
      <w:r>
        <w:rPr>
          <w:rStyle w:val="FootnoteAnchor"/>
          <w:rtl w:val="true"/>
        </w:rPr>
        <w:footnoteReference w:id="1560"/>
      </w:r>
      <w:r>
        <w:rPr>
          <w:rFonts w:ascii="IRNazanin" w:hAnsi="IRNazanin" w:eastAsia="IRNazanin"/>
          <w:color w:val="111111"/>
          <w:sz w:val="28"/>
          <w:sz w:val="28"/>
          <w:szCs w:val="28"/>
          <w:rtl w:val="true"/>
          <w:lang w:bidi="fa-IR"/>
        </w:rPr>
        <w:t xml:space="preserve">است که اخیرا فعالیت خود را با هدف فراهم کردن خدمات اطلاع رسانی در یک محیط سنتی بسته که در آن مراجعه کنندگان می توانند سوالات خود را پرسیده در فهرست منابع جستجو کرده و همچنین منابعی را امانت گرفته و برگردانند بدون این که آن ها را خریداری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کرده و خدمات مرجع و اطلاع رسانی را بر بلندای آسمان و در میان ابرها جایی که هواپیماها در حال تردد هستند ارائه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تعریف تی اس ای </w:t>
      </w:r>
      <w:r>
        <w:rPr>
          <w:rStyle w:val="FootnoteAnchor"/>
          <w:rtl w:val="true"/>
        </w:rPr>
        <w:footnoteReference w:id="1561"/>
      </w:r>
      <w:r>
        <w:rPr>
          <w:rFonts w:ascii="IRNazanin" w:hAnsi="IRNazanin" w:eastAsia="IRNazanin"/>
          <w:color w:val="111111"/>
          <w:sz w:val="28"/>
          <w:sz w:val="28"/>
          <w:szCs w:val="28"/>
          <w:rtl w:val="true"/>
          <w:lang w:bidi="fa-IR"/>
        </w:rPr>
        <w:t xml:space="preserve">این یک کتابخانه چمدانی قابل حمل سیار است از آوریل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سه پرواز </w:t>
      </w:r>
      <w:r>
        <w:rPr>
          <w:rStyle w:val="FootnoteAnchor"/>
          <w:rtl w:val="true"/>
        </w:rPr>
        <w:footnoteReference w:id="1562"/>
      </w:r>
      <w:r>
        <w:rPr>
          <w:rFonts w:ascii="IRNazanin" w:hAnsi="IRNazanin" w:eastAsia="IRNazanin"/>
          <w:color w:val="111111"/>
          <w:sz w:val="28"/>
          <w:sz w:val="28"/>
          <w:szCs w:val="28"/>
          <w:rtl w:val="true"/>
          <w:lang w:bidi="fa-IR"/>
        </w:rPr>
        <w:t>که هر کدام به لحاظ مقیاس و پذیرش در حال رشد هستند، این خدمات ارائه می شود</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در دو پرواز قبلی، مهماندارها به ما اجازه دادند تا از طریق پیجر اطلاع رسانی کنیم که این مساله باعث کاهش ترافیک حرکتی در داخل هواپیما شد</w:t>
      </w:r>
      <w:r>
        <w:rPr>
          <w:rFonts w:eastAsia="IRNazanin" w:cs="IRNazanin"/>
          <w:color w:val="111111"/>
          <w:sz w:val="28"/>
          <w:szCs w:val="28"/>
          <w:rtl w:val="true"/>
          <w:lang w:bidi="fa-IR"/>
        </w:rPr>
        <w:t xml:space="preserve">.» </w:t>
      </w:r>
      <w:r>
        <w:rPr>
          <w:rStyle w:val="FootnoteAnchor"/>
          <w:rtl w:val="true"/>
        </w:rPr>
        <w:footnoteReference w:id="156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نهایتا، مجموعه منابع ام اچ آر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که آیا مسافران به یاد می آورند که منابع امانت گرفته شده را برگردانند یا نه و یا این که آیا منبعی برای به اشتراک گذاری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ارائه این خدمات در هواپیما با موفقیت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خدمات مرجع از طریق فراهم کردن اتصال اینترنت بیسیم یا آماده کردن منابع مرجع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کتابداران ام اچ آردی نقشه، بروشورهای حمل و نقل عمومی و دیگر منابع مورد علاقه ای که در حین سفر ممکن است مورد توجه مسافران قرار بگیرد را گردآوری کرده و به سختی تلاش می کنند که خدماتی درخور مسافران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قصد ام اچ آر دی همانند کتابخانه شعر دوره گرد اگر چه در واقع فعالیت در محیطی بدون محدودیت های خدمات مرجع و اطلاع رسانی سنتی و معمول است اما رویکرد این خدمات به جای جلب توجه رویکردی به سیالیت و جریان در فضاهای آستانه ای و سبک روحی رهگذران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طرح ها به صورت اساسی ناظر بر تعامل با عموم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تعریفی مجدد از مفهوم کتابخانه نزد عموم و تبدیل آن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نیست، و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مکانی که باید به آن جا بروید نیست</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از طریق بازتاب مفهوم اصلی خدمات مرجع رادیکال</w:t>
      </w:r>
      <w:r>
        <w:rPr>
          <w:rFonts w:eastAsia="IRNazanin" w:cs="IRNazanin"/>
          <w:color w:val="111111"/>
          <w:sz w:val="28"/>
          <w:szCs w:val="28"/>
          <w:rtl w:val="true"/>
          <w:lang w:bidi="fa-IR"/>
        </w:rPr>
        <w:t xml:space="preserve">. </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دلیل این امر تمرکز خدمات مرجع و اطلاع رسانی فراکتابخانه ای بر تعامل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نقشی که کاربران می توانند در انتخاب و گردآوری اطلاعات از طریق طرح پرسش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که پاسخ های آن ها می تواند مبنای طرح پرسشی دیگر باشد و پاسخ هایی که می توانند پایه پاسخی دیگر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توالی در پرسش و پاسخ محلی برای رشد و سوالات جدید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رادیکال نقش فعالانه ای در این توالی از طریق یکی از برجسته ترین ابزارهای در اختیار خود بازی می کند یک فاروم مرجع آنلاین، جایی که سوالات آرشیو می شوند و با ایجاد یک پایگاه دانش محور به کاربران سایت و جستجوگران آنلاین اجازه دسترسی داده می شود</w:t>
      </w:r>
      <w:r>
        <w:rPr>
          <w:rFonts w:eastAsia="IRNazanin" w:cs="IRNazanin"/>
          <w:color w:val="111111"/>
          <w:sz w:val="28"/>
          <w:szCs w:val="28"/>
          <w:rtl w:val="true"/>
          <w:lang w:bidi="fa-IR"/>
        </w:rPr>
        <w:t xml:space="preserve">. </w:t>
      </w:r>
      <w:r>
        <w:rPr>
          <w:rStyle w:val="FootnoteAnchor"/>
          <w:rtl w:val="true"/>
        </w:rPr>
        <w:footnoteReference w:id="1567"/>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تعاونی، تعامل انسانی، نیز یک موضوع کلیدی برای کتابخانه های جنبش آکوپای </w:t>
      </w:r>
      <w:r>
        <w:rPr>
          <w:rStyle w:val="FootnoteAnchor"/>
          <w:rtl w:val="true"/>
        </w:rPr>
        <w:footnoteReference w:id="1568"/>
      </w:r>
      <w:r>
        <w:rPr>
          <w:rFonts w:ascii="IRNazanin" w:hAnsi="IRNazanin" w:eastAsia="IRNazanin"/>
          <w:color w:val="111111"/>
          <w:sz w:val="28"/>
          <w:sz w:val="28"/>
          <w:szCs w:val="28"/>
          <w:rtl w:val="true"/>
          <w:lang w:bidi="fa-IR"/>
        </w:rPr>
        <w:t xml:space="preserve">است </w:t>
      </w:r>
      <w:r>
        <w:rPr>
          <w:rStyle w:val="FootnoteAnchor"/>
          <w:rtl w:val="true"/>
        </w:rPr>
        <w:footnoteReference w:id="1569"/>
      </w:r>
      <w:r>
        <w:rPr>
          <w:rFonts w:ascii="IRNazanin" w:hAnsi="IRNazanin" w:eastAsia="IRNazanin"/>
          <w:color w:val="111111"/>
          <w:sz w:val="28"/>
          <w:sz w:val="28"/>
          <w:szCs w:val="28"/>
          <w:rtl w:val="true"/>
          <w:lang w:bidi="fa-IR"/>
        </w:rPr>
        <w:t xml:space="preserve">که به طور طبیعی به عنوان بخشی از فعالیت های آکوپای در سراسر جهان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یافت کتابخانه وال استریت آکوپای </w:t>
      </w:r>
      <w:r>
        <w:rPr>
          <w:rStyle w:val="FootnoteAnchor"/>
          <w:rtl w:val="true"/>
        </w:rPr>
        <w:footnoteReference w:id="1570"/>
      </w:r>
      <w:r>
        <w:rPr>
          <w:rFonts w:ascii="IRNazanin" w:hAnsi="IRNazanin" w:eastAsia="IRNazanin"/>
          <w:color w:val="111111"/>
          <w:sz w:val="28"/>
          <w:sz w:val="28"/>
          <w:szCs w:val="28"/>
          <w:rtl w:val="true"/>
          <w:lang w:bidi="fa-IR"/>
        </w:rPr>
        <w:t xml:space="preserve">در نیویورک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عنوان کتابخانه مردمی شناخته می شود که در پاسخ به تصمیم جدید حوزه مدارس متحد توسان </w:t>
      </w:r>
      <w:r>
        <w:rPr>
          <w:rStyle w:val="FootnoteAnchor"/>
          <w:rtl w:val="true"/>
        </w:rPr>
        <w:footnoteReference w:id="1571"/>
      </w:r>
      <w:r>
        <w:rPr>
          <w:rFonts w:ascii="IRNazanin" w:hAnsi="IRNazanin" w:eastAsia="IRNazanin"/>
          <w:color w:val="111111"/>
          <w:sz w:val="28"/>
          <w:sz w:val="28"/>
          <w:szCs w:val="28"/>
          <w:rtl w:val="true"/>
          <w:lang w:bidi="fa-IR"/>
        </w:rPr>
        <w:t xml:space="preserve">مبنی بر پایان دادن به برنامه ده ساله </w:t>
      </w:r>
    </w:p>
    <w:p>
      <w:pPr>
        <w:pStyle w:val="BookText"/>
        <w:rPr/>
      </w:pPr>
      <w:r>
        <w:rPr>
          <w:rFonts w:ascii="IRNazanin" w:hAnsi="IRNazanin" w:eastAsia="IRNazanin"/>
          <w:color w:val="111111"/>
          <w:sz w:val="28"/>
          <w:sz w:val="28"/>
          <w:szCs w:val="28"/>
          <w:rtl w:val="true"/>
          <w:lang w:bidi="fa-IR"/>
        </w:rPr>
        <w:t>مطالعات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مکزیکی برای حذف کردن کتاب از برنامه درسی مدرسه ها صورت گرفت</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 xml:space="preserve">در این طرح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بمب کتاب توسان</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نامگذاری شد در چهار جعبه بزرگ کتاب ها حمل و بین مردم توزیع می شد این کتاب ها از طریق اهدا از سوی اعضاء عمومی و همچنین ناشران گردآوری شده بودند</w:t>
      </w:r>
      <w:r>
        <w:rPr>
          <w:rFonts w:eastAsia="IRNazanin" w:cs="IRNazanin"/>
          <w:color w:val="111111"/>
          <w:sz w:val="28"/>
          <w:szCs w:val="28"/>
          <w:rtl w:val="true"/>
          <w:lang w:bidi="fa-IR"/>
        </w:rPr>
        <w:t xml:space="preserve">. </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 xml:space="preserve">کتابخانه های کمپ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به عنوان بخشی از جنبش آکوپای و به صورت کتابخانه فیزیکی و فضاهای مرجع در کمپ ها و خیابان های عمومی که معترضان جنبش حضور داشتند گسترش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مادرید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شیکاگو و بالتیمور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همگی دارای کتابخانه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ظاهر یک شبه به وجود آمدند و تا حد زیادی به طور کامل از اهداء مقالات مرجع و اطلاع رسانی ارائه شده توسط عموم مردم ایجاد شده و اغلب توسط کتابدارهای حرفه ای در اوقات فراغت خود اداره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اردوگاه آکوپای بوستون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مرجع رادیکال بوستون شروع به کار با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اودر لرد هوارد زین</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 xml:space="preserve">بوستون آکوپای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 xml:space="preserve">که از شهر تنت در کمپ بوستون آکوپای در میدان دیویی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هدف از آن این بود که کتابخانه برای عموم در بیست و چهار ساعت روز باز باشد و توسط کتابدارهای در هر زمان ممکن خدمت رسانی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سیاست امانت دهی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بازدیدکنندگان تشویق می شدند تا مواد را امانت گرفته و از آن ها داخل و بیرون از کتابخانه استفاده کنند</w:t>
      </w:r>
      <w:r>
        <w:rPr>
          <w:rFonts w:eastAsia="IRNazanin" w:cs="IRNazanin"/>
          <w:color w:val="111111"/>
          <w:sz w:val="28"/>
          <w:szCs w:val="28"/>
          <w:rtl w:val="true"/>
          <w:lang w:bidi="fa-IR"/>
        </w:rPr>
        <w:t xml:space="preserve">. </w:t>
      </w:r>
      <w:r>
        <w:rPr>
          <w:rStyle w:val="FootnoteAnchor"/>
          <w:rtl w:val="true"/>
        </w:rPr>
        <w:footnoteReference w:id="1578"/>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وال استریت آکوپای به شکلی مشابه سیاست درهای باز را اعمال نمود</w:t>
      </w:r>
      <w:r>
        <w:rPr>
          <w:rFonts w:eastAsia="IRNazanin" w:cs="IRNazanin"/>
          <w:color w:val="111111"/>
          <w:sz w:val="28"/>
          <w:szCs w:val="28"/>
          <w:rtl w:val="true"/>
          <w:lang w:bidi="fa-IR"/>
        </w:rPr>
        <w:t xml:space="preserve">. </w:t>
      </w:r>
      <w:r>
        <w:rPr>
          <w:rStyle w:val="FootnoteAnchor"/>
          <w:rtl w:val="true"/>
        </w:rPr>
        <w:footnoteReference w:id="1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خصوصیات اصلی این کتابخانه ها سیالیت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بتسی فاگین </w:t>
      </w:r>
      <w:r>
        <w:rPr>
          <w:rStyle w:val="FootnoteAnchor"/>
          <w:rtl w:val="true"/>
        </w:rPr>
        <w:footnoteReference w:id="1580"/>
      </w:r>
      <w:r>
        <w:rPr>
          <w:rFonts w:ascii="IRNazanin" w:hAnsi="IRNazanin" w:eastAsia="IRNazanin"/>
          <w:color w:val="111111"/>
          <w:sz w:val="28"/>
          <w:sz w:val="28"/>
          <w:szCs w:val="28"/>
          <w:rtl w:val="true"/>
          <w:lang w:bidi="fa-IR"/>
        </w:rPr>
        <w:t xml:space="preserve">کتابدار کتابخانه وال استریت آکوپای می گوید هر روز ما خودمان را بازآفرینی می کنیم آن چه اکنون انجام می دهیم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طرح کتابخانه سیار و یافتن فضای فیزیکی موقتی برای مجموعه منابع است</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این تاکید بیشتر بر سیالیت در حقیقت یک پاسخ مستقیم به هرنوع تهدید و چالشی است که می تواند توسط مرزهای سیال ناشی از اشکال ناپایدار و پایدار ارائه خدمات در بیرون از محل کتابخانه وجود داشته باشد</w:t>
      </w:r>
      <w:r>
        <w:rPr>
          <w:rFonts w:eastAsia="IRNazanin" w:cs="IRNazanin"/>
          <w:color w:val="111111"/>
          <w:sz w:val="28"/>
          <w:szCs w:val="28"/>
          <w:rtl w:val="true"/>
          <w:lang w:bidi="fa-IR"/>
        </w:rPr>
        <w:t xml:space="preserve">. </w:t>
      </w:r>
      <w:r>
        <w:rPr>
          <w:rStyle w:val="FootnoteAnchor"/>
          <w:rtl w:val="true"/>
        </w:rPr>
        <w:footnoteReference w:id="158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نهایتاً تمام این شکل های تعامل به اصول اخلاقی سنتی کتابداری برمی گردد اما از یک شکل جدید از گفتگو و تعامل کاربر استفاده می کند که نه تنها نیازمند بکارگیری یک ابزار متحرک مثل فیس بوک صفحه فیس بوک کتابخانه وال استریت آکوپای دارای لایک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کی </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 xml:space="preserve">و تویتر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شعر دوره گرد دارای پیروان تویتر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w:t>
      </w:r>
      <w:r>
        <w:rPr>
          <w:rFonts w:eastAsia="IRNazanin" w:cs="IRNazanin"/>
          <w:color w:val="111111"/>
          <w:sz w:val="28"/>
          <w:szCs w:val="28"/>
          <w:rtl w:val="true"/>
          <w:lang w:bidi="fa-IR"/>
        </w:rPr>
        <w:t xml:space="preserve">+) </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با توانایی برای خارج شدن از محیط کتابخانه و پاسخگویی به نیاز کاربران کتابخانه در زمان حقیقی، مکان های فیزیکی بیرون از هر نوع ساختمان کتابخانه ای مطابقت دارد</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 xml:space="preserve">درگیر شدن در این فعالیت ها البته، چالش برانگیز است و بدون شکست و نقص نمی باشد که </w:t>
      </w:r>
    </w:p>
    <w:p>
      <w:pPr>
        <w:pStyle w:val="BookText"/>
        <w:rPr/>
      </w:pPr>
      <w:r>
        <w:rPr>
          <w:rFonts w:ascii="IRNazanin" w:hAnsi="IRNazanin" w:eastAsia="IRNazanin"/>
          <w:color w:val="111111"/>
          <w:sz w:val="28"/>
          <w:sz w:val="28"/>
          <w:szCs w:val="28"/>
          <w:rtl w:val="true"/>
          <w:lang w:bidi="fa-IR"/>
        </w:rPr>
        <w:t>در حقیقت عادی و قابل درک است هرگاه مفهوم حقیقی آستانه درک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این مواجهات زودگذر و مبهم به طور کامل هنجار هستند دیدن مراجعه کننده بطور اتفاقی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 آغاز می کند در حقیقت به این معنی است که او نیازی اطلاعاتی دارد و آن را بطور شانسی و تصادفی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به معنی این است که ما خودمان را برای یک شکست یا یک موفقیت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شعاری است که ساموئل بکت </w:t>
      </w:r>
      <w:r>
        <w:rPr>
          <w:rStyle w:val="FootnoteAnchor"/>
          <w:rtl w:val="true"/>
        </w:rPr>
        <w:footnoteReference w:id="1586"/>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شکست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بهتری بخور</w:t>
      </w:r>
      <w:r>
        <w:rPr>
          <w:rFonts w:eastAsia="IRNazanin" w:cs="IRNazanin"/>
          <w:color w:val="111111"/>
          <w:sz w:val="28"/>
          <w:szCs w:val="28"/>
          <w:rtl w:val="true"/>
          <w:lang w:bidi="fa-IR"/>
        </w:rPr>
        <w:t xml:space="preserve">. </w:t>
      </w:r>
      <w:r>
        <w:rPr>
          <w:rStyle w:val="FootnoteAnchor"/>
          <w:rtl w:val="true"/>
        </w:rPr>
        <w:footnoteReference w:id="1587"/>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 که فناوری ممکن است ما را به سوی تغییرات سوق دهد و چشم انداز نامطئنی از آینده برای ما ترسیم کند، این روایت تاریخ است که روش های ارتباطی پیشرفته کم هزینه و سریع می تواند پایه ای اساسی و محکم برای توسعه و طراحی این خدمات سیار مرجع و اطلاع رسانی و کتابخانه ای برای جهان امروز و فردا باشد</w:t>
      </w:r>
      <w:r>
        <w:rPr>
          <w:rFonts w:eastAsia="IRNazanin" w:cs="IRNazanin"/>
          <w:color w:val="111111"/>
          <w:sz w:val="28"/>
          <w:szCs w:val="28"/>
          <w:rtl w:val="true"/>
          <w:lang w:bidi="fa-IR"/>
        </w:rPr>
        <w:t xml:space="preserve">. </w:t>
      </w:r>
      <w:r>
        <w:rPr>
          <w:rStyle w:val="FootnoteAnchor"/>
          <w:rtl w:val="true"/>
        </w:rPr>
        <w:footnoteReference w:id="1588"/>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7" w:name="pg9653_82270"/>
      <w:bookmarkStart w:id="1178" w:name="pg9653_82270"/>
      <w:bookmarkEnd w:id="1178"/>
    </w:p>
    <w:p>
      <w:pPr>
        <w:pStyle w:val="Heading2"/>
        <w:numPr>
          <w:ilvl w:val="1"/>
          <w:numId w:val="1"/>
        </w:numPr>
        <w:rPr/>
      </w:pPr>
      <w:bookmarkStart w:id="1179" w:name="pg9653_82270"/>
      <w:bookmarkStart w:id="1180" w:name="__RefHeading___Toc7767112_2870459653"/>
      <w:bookmarkStart w:id="1181" w:name="_Toc431"/>
      <w:bookmarkEnd w:id="1179"/>
      <w:bookmarkEnd w:id="1180"/>
      <w:r>
        <w:rPr>
          <w:rtl w:val="true"/>
        </w:rPr>
        <w:t>چکیده</w:t>
      </w:r>
      <w:bookmarkEnd w:id="1181"/>
    </w:p>
    <w:p>
      <w:pPr>
        <w:pStyle w:val="BookText"/>
        <w:rPr/>
      </w:pPr>
      <w:r>
        <w:rPr>
          <w:rFonts w:ascii="IRNazanin" w:hAnsi="IRNazanin" w:eastAsia="IRNazanin"/>
          <w:color w:val="111111"/>
          <w:sz w:val="28"/>
          <w:sz w:val="28"/>
          <w:szCs w:val="28"/>
          <w:rtl w:val="true"/>
          <w:lang w:bidi="fa-IR"/>
        </w:rPr>
        <w:t xml:space="preserve">از زمانی که انسان به وجود ایمنی در چندینگی </w:t>
      </w:r>
      <w:r>
        <w:rPr>
          <w:rStyle w:val="FootnoteAnchor"/>
          <w:rtl w:val="true"/>
        </w:rPr>
        <w:footnoteReference w:id="1589"/>
      </w:r>
      <w:r>
        <w:rPr>
          <w:rFonts w:ascii="IRNazanin" w:hAnsi="IRNazanin" w:eastAsia="IRNazanin"/>
          <w:color w:val="111111"/>
          <w:sz w:val="28"/>
          <w:sz w:val="28"/>
          <w:szCs w:val="28"/>
          <w:rtl w:val="true"/>
          <w:lang w:bidi="fa-IR"/>
        </w:rPr>
        <w:t>و امکان ارتقاء قابلیت مقاومت به وسیله افزونگی پی برده است مدت های زیادی می گذرد این اصل در بسیاری از حوزه های فعالیت بشری از مهندسی گرفته تا علوم نظامی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برخی از شبکه های توزیع شده حفاظت رقومی </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نرم افزارهای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Style w:val="FootnoteAnchor"/>
          <w:rtl w:val="true"/>
        </w:rPr>
        <w:footnoteReference w:id="1591"/>
      </w:r>
      <w:r>
        <w:rPr>
          <w:rFonts w:ascii="IRNazanin" w:hAnsi="IRNazanin" w:eastAsia="IRNazanin"/>
          <w:color w:val="111111"/>
          <w:sz w:val="28"/>
          <w:sz w:val="28"/>
          <w:szCs w:val="28"/>
          <w:rtl w:val="true"/>
          <w:lang w:bidi="fa-IR"/>
        </w:rPr>
        <w:t xml:space="preserve">لاکس </w:t>
      </w:r>
      <w:r>
        <w:rPr>
          <w:rStyle w:val="FootnoteAnchor"/>
          <w:rtl w:val="true"/>
        </w:rPr>
        <w:footnoteReference w:id="1592"/>
      </w:r>
      <w:r>
        <w:rPr>
          <w:rFonts w:ascii="IRNazanin" w:hAnsi="IRNazanin" w:eastAsia="IRNazanin"/>
          <w:color w:val="111111"/>
          <w:sz w:val="28"/>
          <w:sz w:val="28"/>
          <w:szCs w:val="28"/>
          <w:rtl w:val="true"/>
          <w:lang w:bidi="fa-IR"/>
        </w:rPr>
        <w:t>از آن در کتابداری و حفاظت رقومی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شبکه خصوصی لاکس، یا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Style w:val="FootnoteAnchor"/>
          <w:rtl w:val="true"/>
        </w:rPr>
        <w:footnoteReference w:id="1593"/>
      </w:r>
      <w:r>
        <w:rPr>
          <w:rFonts w:ascii="IRNazanin" w:hAnsi="IRNazanin" w:eastAsia="IRNazanin"/>
          <w:color w:val="111111"/>
          <w:sz w:val="28"/>
          <w:sz w:val="28"/>
          <w:szCs w:val="28"/>
          <w:rtl w:val="true"/>
          <w:lang w:bidi="fa-IR"/>
        </w:rPr>
        <w:t>را که در آمریکای شمالی واقع شده اند مورد بررسی قرار می دهد این دو شبکه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تعاونی فرا آرشیو </w:t>
      </w:r>
      <w:r>
        <w:rPr>
          <w:rStyle w:val="FootnoteAnchor"/>
          <w:rtl w:val="true"/>
        </w:rPr>
        <w:footnoteReference w:id="1594"/>
      </w:r>
      <w:r>
        <w:rPr>
          <w:rFonts w:ascii="IRNazanin" w:hAnsi="IRNazanin" w:eastAsia="IRNazanin"/>
          <w:color w:val="111111"/>
          <w:sz w:val="28"/>
          <w:sz w:val="28"/>
          <w:szCs w:val="28"/>
          <w:rtl w:val="true"/>
          <w:lang w:bidi="fa-IR"/>
        </w:rPr>
        <w:t xml:space="preserve">که یک شبکه حفاظت بین المللی است و به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عضو در ایالات متحده ،برزیل اسپانیا و بریتانیا خدمات خود را ارائه می نماید شبکه حفاظت رقومی آلاباما نیز یک شبکه حفاظتی ایالتی است که به کتابخانه های ،دانشگاهی کتابخانه های عمومی و آرشیوهای ایالتی در آلاباما خدمت ارائه می دهد بحث این مقاله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ها روشی برای حفاظت از تجهیزات رقومی ارائه می نمایند که از دیدگاه فناوری قدرتمند از نظر مدیریتی، کنترل پذیر و از نظر اقتصادی پایدار است و از جامعه کتابخانه های رقومی در برابر فاجعه های طبیعی و یا انسانی مراقبت می کند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لاکس، تعاونی فرا آرشیو، شبکه حفاظت رقومی آلاباما، چندینگی </w:t>
      </w:r>
      <w:bookmarkStart w:id="1182" w:name="pg9653_82271"/>
    </w:p>
    <w:p>
      <w:pPr>
        <w:pStyle w:val="Heading2"/>
        <w:numPr>
          <w:ilvl w:val="1"/>
          <w:numId w:val="1"/>
        </w:numPr>
        <w:rPr/>
      </w:pPr>
      <w:bookmarkStart w:id="1183" w:name="__RefHeading___Toc7767114_2870459653"/>
      <w:bookmarkStart w:id="1184" w:name="_Toc432"/>
      <w:bookmarkEnd w:id="1182"/>
      <w:bookmarkEnd w:id="1183"/>
      <w:r>
        <w:rPr>
          <w:rtl w:val="true"/>
        </w:rPr>
        <w:t>ایمنی در چندینگی</w:t>
      </w:r>
      <w:r>
        <w:rPr>
          <w:rtl w:val="true"/>
        </w:rPr>
        <w:t xml:space="preserve">: </w:t>
      </w:r>
      <w:r>
        <w:rPr>
          <w:rtl w:val="true"/>
        </w:rPr>
        <w:t>شبکه های حفاظت رقومی توزیع شده</w:t>
      </w:r>
      <w:bookmarkEnd w:id="1184"/>
    </w:p>
    <w:p>
      <w:pPr>
        <w:pStyle w:val="Heading3"/>
        <w:numPr>
          <w:ilvl w:val="2"/>
          <w:numId w:val="1"/>
        </w:numPr>
        <w:rPr/>
      </w:pPr>
      <w:bookmarkStart w:id="1185" w:name="__RefHeading___Toc7767116_2870459653"/>
      <w:bookmarkStart w:id="1186" w:name="_Toc433"/>
      <w:bookmarkEnd w:id="1185"/>
      <w:r>
        <w:rPr>
          <w:rtl w:val="true"/>
        </w:rPr>
        <w:t>اشاره</w:t>
      </w:r>
      <w:bookmarkEnd w:id="1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در چندینگی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حفاظت رقومی توزیع شده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نوشته اِرون تِراب، مارتین هالبرت </w:t>
      </w: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امیر مقدمی </w:t>
      </w:r>
      <w:r>
        <w:rPr>
          <w:rStyle w:val="FootnoteAnchor"/>
          <w:rtl w:val="true"/>
        </w:rPr>
        <w:footnoteReference w:id="1597"/>
      </w:r>
    </w:p>
    <w:p>
      <w:pPr>
        <w:pStyle w:val="Heading3"/>
        <w:numPr>
          <w:ilvl w:val="2"/>
          <w:numId w:val="1"/>
        </w:numPr>
        <w:rPr/>
      </w:pPr>
      <w:bookmarkStart w:id="1187" w:name="__RefHeading___Toc7767118_2870459653"/>
      <w:bookmarkStart w:id="1188" w:name="_Toc434"/>
      <w:bookmarkEnd w:id="1187"/>
      <w:r>
        <w:rPr>
          <w:rtl w:val="true"/>
        </w:rPr>
        <w:t>مقدمه</w:t>
      </w:r>
      <w:bookmarkEnd w:id="1188"/>
    </w:p>
    <w:p>
      <w:pPr>
        <w:pStyle w:val="BookText"/>
        <w:rPr/>
      </w:pPr>
      <w:r>
        <w:rPr>
          <w:rFonts w:ascii="IRNazanin" w:hAnsi="IRNazanin" w:eastAsia="IRNazanin"/>
          <w:color w:val="111111"/>
          <w:sz w:val="28"/>
          <w:sz w:val="28"/>
          <w:szCs w:val="28"/>
          <w:rtl w:val="true"/>
          <w:lang w:bidi="fa-IR"/>
        </w:rPr>
        <w:t>ذهنیت وجود ایمنی در چندینگی سابقه ای دیرینه در تاریخ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مقاومت در برابر مخاطرات به شکلی سنتی به چندینگی و افزونگی پیوند خورده است کاتبان قرون وسطایی چندین نسخه از دست نوشته های خود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روستایی برای کسب اطمینان از وجود نیروی کافی برای انجام کارهای مزرعه و مراقبت از والدین از کار افتاده در سنین کهولت چندین فرزند را به دنیا می آوردند افزونگی یک اصل پذیرفته شده قدیمی نزد مهندسین است به گونه ای که آن ها ،پل ها ساختمان ها و هواپیماها را با هدف پرهیز از خرابی های فاجعه بار به نظام های پشتیبان مجهز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استراتژیست های اوایل دوره هسته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فِرِد کاپلان،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نبرد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افزونگی و پراکندگی جغرافیایی را به عنوان عناصر حیاتی در مقاومت در برابر سلاح های هسته ای حفظ موقعیت بازدارنده راهبردی معرفی کردند در مسیری بهتر اصل ایمنی در چندینگی برای حفاظت مصنوعات فرهنگی و پیشینه های انسانی هم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امروزی با شکل خلاقانه و فزایندهای از این اصل برای حفاظت از موجودیت های رقومی ساخته دست خود استفاده می کند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حفاظت رقومی، هم رَوَند با ایجاد مجموعه های رقومی به پیش می رود همچون بسیاری موارد دیگری که با زیرساخت ها ارتباط دارند حفاظت رقومی نیز ،ناپیدا کم ،تحرک و البته کاملا مورد نیاز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غیر دقیق، اما عموما این گونه ادعا می شود که در حال حاضر اغلب اطلاعات در سطح جهانی نه به صورت مستندات چاپی و یا مصنوعات آنالوگ بلکه به صورت رقومی تولید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وجود یک چالش جدی در برابر ،کتابخانه ها موزه ها و دیگر سازمان های میراث فرهنگی و نهادهای دولتی را نشان می دهد بر خلاف نمونه های آنالوگ بایگانی های رقومی به طور ذاتی مستعد از بین رفتن و ناپدید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با مشخص بودن آسیب پذیری محتواهای رقومی در برابر آتش، سیل طوفان، خاموشی برق، حملات سایبری و انواع کاستی های سخت افزاری و نرم افزاری، سازمان های میراث فرهنگی به ایجاد خدمات حفاظت رقومی برای محتواهای در اختیار و یا ایجاد شده در عملیات روزانه خود نیاز دارند در غیر این صورت باید خطر از دست دادن همیشگی اطلاعات خود را بپذیرند چندی پیش، آدام فارکوار، رئیس برنامه حفاظت رقومی کتابخانه بریتانیا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مراقب نباشیم، به وضعیتی خواهیم رسید که اطلاعات ما درباره سال های آغاز قرن بیستم از اطلاعات ما درباره سال های آغاز قرن بیست و یکم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کشورها با شناسایی مشکل، برنامه های حفاظت رقومی جاه طلبانه ای را در سطح ملی به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کنگره ایالات متحده، برنامه ساختار و حفاظت اطلاعات رقومی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پی پی</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پیمان نظارت رقومی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نمود در اتحادیه بریتانیا، مرکز ساماندهی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وابسته به کمیته نظام های اطلاعاتی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توجه و تمرکز به موضوعات حفاظت رقومی را در سطح ملی جلب نماید در همین زمینه، اقدامات مشابهی در بسیاری از کشورها نظیر کانادا، نیوزلند، فرانسه، آلمان، ایتالیا و هلند در جریان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اقدامات و ابتکارات نکاتی را به ما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اهمیت همکاری بین مؤسسه ها شهرها، استان ها و ایالت ها و حتی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همکاری ها می تواند خود را در قالب افزایش بهره وری هزینه ها ارتقاء به اشتراک گذاری ابزار و مهارت ها و تقویت نظارت بر اساس اجتماع و کنترل تجهیزات رقومی منحصر به فرد به نمایش بگذارد چندینگی با خود پیچیدگی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برنامه های جامع حفاظت رقومی به ناچار باعث افزایش مشکلات فنی مدیریتی مالی و حتی قانونی می گردند اما این مشکلات غیر قابل حل نیستند چرا که برخی از برنامه های حفاظتی در ایالات متحده کانادا و برخی دیگر از کشورها توانسته اند آن ها را تا حد زیادی و یا کاملا برطرف کنند</w:t>
      </w:r>
      <w:r>
        <w:rPr>
          <w:rFonts w:eastAsia="IRNazanin" w:cs="IRNazanin"/>
          <w:color w:val="111111"/>
          <w:sz w:val="28"/>
          <w:szCs w:val="28"/>
          <w:rtl w:val="true"/>
          <w:lang w:bidi="fa-IR"/>
        </w:rPr>
        <w:t xml:space="preserve">. </w:t>
      </w:r>
      <w:bookmarkStart w:id="1189" w:name="pg9653_82273"/>
    </w:p>
    <w:p>
      <w:pPr>
        <w:pStyle w:val="BookText"/>
        <w:rPr/>
      </w:pPr>
      <w:bookmarkEnd w:id="1189"/>
      <w:r>
        <w:rPr>
          <w:rFonts w:ascii="IRNazanin" w:hAnsi="IRNazanin" w:eastAsia="IRNazanin"/>
          <w:color w:val="111111"/>
          <w:sz w:val="28"/>
          <w:sz w:val="28"/>
          <w:szCs w:val="28"/>
          <w:rtl w:val="true"/>
          <w:lang w:bidi="fa-IR"/>
        </w:rPr>
        <w:t>مجموعه در حال رشد تجربیات، نمایانگر آن است که چه از دیدگاه های فنی و چه مدیریتی، قابلیت و امکان ایجاد شبکه های حفاظت رقومی قدرتمند در سرتاسر موسسات و مرزهای جغرافیایی وجود دارد بدون این که موجودیت بلند مدت شبکه ها بر اثر پیچیدگی و یا هزینه های بیش از اندازه به خطر افتد</w:t>
      </w:r>
      <w:r>
        <w:rPr>
          <w:rFonts w:eastAsia="IRNazanin" w:cs="IRNazanin"/>
          <w:color w:val="111111"/>
          <w:sz w:val="28"/>
          <w:szCs w:val="28"/>
          <w:rtl w:val="true"/>
          <w:lang w:bidi="fa-IR"/>
        </w:rPr>
        <w:t>.</w:t>
      </w:r>
    </w:p>
    <w:p>
      <w:pPr>
        <w:pStyle w:val="Heading3"/>
        <w:numPr>
          <w:ilvl w:val="2"/>
          <w:numId w:val="1"/>
        </w:numPr>
        <w:rPr/>
      </w:pPr>
      <w:bookmarkStart w:id="1190" w:name="__RefHeading___Toc7767120_2870459653"/>
      <w:bookmarkStart w:id="1191" w:name="_Toc435"/>
      <w:bookmarkEnd w:id="1190"/>
      <w:r>
        <w:rPr>
          <w:rtl w:val="true"/>
        </w:rPr>
        <w:t>حفاظت رقومی توزیع شده و لاکس</w:t>
      </w:r>
      <w:bookmarkEnd w:id="1191"/>
    </w:p>
    <w:p>
      <w:pPr>
        <w:pStyle w:val="BookText"/>
        <w:rPr/>
      </w:pPr>
      <w:r>
        <w:rPr>
          <w:rFonts w:ascii="IRNazanin" w:hAnsi="IRNazanin" w:eastAsia="IRNazanin"/>
          <w:color w:val="111111"/>
          <w:sz w:val="28"/>
          <w:sz w:val="28"/>
          <w:szCs w:val="28"/>
          <w:rtl w:val="true"/>
          <w:lang w:bidi="fa-IR"/>
        </w:rPr>
        <w:t xml:space="preserve">نویسنده گزارش نهایی گروه کاری روبان آبی برای حفاظت و دسترسی رقومی پایدار </w:t>
      </w:r>
      <w:r>
        <w:rPr>
          <w:rStyle w:val="FootnoteAnchor"/>
          <w:rtl w:val="true"/>
        </w:rPr>
        <w:footnoteReference w:id="1601"/>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اقتصادی، حفاظت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از تخصیص مداوم و کارای منابع به 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مبرم اجتماعی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خلاصه بندی اظهارات مختلف می توان پنج شرط را برای پایداری اقتصادی عنوان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مزایای حفاظت به وسیله تصمیم سازان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فرایندی برای انتخاب مواد رقومی با ارزش بلند مدت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مشوق هایی در تصمیم سازان برای حفاظت از منافع عمومی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سازمان ها و نهادهای مسئول برای انجام فعالیت های حفاظت رقومی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ساز و کارهایی برای امنیت فرایند مداوم و کارآمد تخصیص منابع به فعالیت های حفاظت رقومی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سال های اخیر شاهد ظهور راه حل های مختلفی برای حفاظت رقومی بوده ایم که بیشتر یا همه پنج شرط پیشگفته را برآورده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 یکی از این رویکردهای موفق از حفاظت رقومی توزیع شده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نام آن پیدا است دیدی پی بر پایه ایده توزیع رونوشت هایی از فایل های رقومی به رایانه های سرور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جغرافیایی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بیشینه سازی امکان فرار از خطر یک فاجعه طبیعی یا انسانی، قطع گسترده برق و یا موارد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شامل چندین مکان </w:t>
      </w:r>
      <w:r>
        <w:rPr>
          <w:rStyle w:val="FootnoteAnchor"/>
          <w:rtl w:val="true"/>
        </w:rPr>
        <w:footnoteReference w:id="1602"/>
      </w:r>
      <w:r>
        <w:rPr>
          <w:rFonts w:ascii="IRNazanin" w:hAnsi="IRNazanin" w:eastAsia="IRNazanin"/>
          <w:color w:val="111111"/>
          <w:sz w:val="28"/>
          <w:sz w:val="28"/>
          <w:szCs w:val="28"/>
          <w:rtl w:val="true"/>
          <w:lang w:bidi="fa-IR"/>
        </w:rPr>
        <w:t>حفاظتی می شوند که با حفظ اصول زیر انتخاب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 هایی که از محتواهای مشابه حفاظت می کنند نباید در شعاع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یکدیگر واقع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های حفاظتی باید در ماوراء مسیرهای نوعی بلایای طبیعی از قبیل آتشفشان ها گردبادها و طوفان ها قرار گرفته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 های حفاظتی باید در چند شبکه برقی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های حفاظتی باید تحت کنترل مدیر نظام های مختلف قرار گرفته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محتواهای حفاظت شده در مکان های متفرق باید به صورت زنده ذخیره شده باشند و برای این که اطلاعات، از هم پاشیده نشوند به صورت منظم وارسی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محتواها باید با حفظ شرایط پیشگفته حداقل سه بار ذخیره تکراری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ابتکارات به کار رفته برای حفاظت رقومی توانسته اند به شکلی موفق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لاکس را با هم ترکیب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شخصی لاکس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نامیده می شود دانشگاه استنفورد یک نمونه عملیاتی از لاکس را ایجاد کرده است و هم اکنون در کتابخانه های این دانشگاه از آن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لاکس برای استفاده در شبکه های دی دی پی ایده 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اصولا با هدف گردآوری ذخیره سازی و حفاظت از رونوشت های رقومی پیایندها برای کتابخانه های دانشگاهی طراحی شده است اما به طور کلی برای گردآوری ذخیره سازی و حفاظت از رونوشت های چندگانه محتواهای رقومی ایجاد شده در محل برای سازمان های میراث فرهنگی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سرورهای لاکس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ها صندوق های لاکس مخازن لاکس و گره های لاکس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عملیات زیر را انجام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با استفاده از خزشگرهای وب مشابه همان هایی که موتورهای جستجو استفاده می کنند محتوا را از وبگاه های هدف گردآوری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به طور مستمر محتوای گردآوری شده را با محتواهای مشابهی که توسط دیگر صندوق های لاکس گردآوری شده است، مقایسه و موارد اختلاف را اصلاح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که به شکلی مناسب به محتوای ناشران یا محتوای حفاظت شده دسترسی دارند با فراهم آوردن مرورگرهایی در جامعه کتابخانه ای مانند یک نماینده یا ذخیره ساز وب عمل می کنند؛ آن ها یک رابط مدیریتی بر پایه وب فراهم می آورند که به کارمندان کتابخانه اجازه می دهد محتوای جدید را برای ذخیره سازی هدف گیری نمایند، وضعیت محتوای حفاظت شده را پایش کنند، و دسترسی به محتوای حفاظت شده را کنترل نمایند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لاکس یک نرم افزار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و بنابراین از لحاظ نظری برای توسعه بیشتر در دسترس جامعه منبع آزاد است اما در عمل دست کم تاکنون دسترسی برای طراحی و توسعه آن به گروه لاکس در استنفورد محدود بوده است</w:t>
      </w:r>
      <w:r>
        <w:rPr>
          <w:rFonts w:eastAsia="IRNazanin" w:cs="IRNazanin"/>
          <w:color w:val="111111"/>
          <w:sz w:val="28"/>
          <w:szCs w:val="28"/>
          <w:rtl w:val="true"/>
          <w:lang w:bidi="fa-IR"/>
        </w:rPr>
        <w:t xml:space="preserve">. </w:t>
      </w:r>
      <w:bookmarkStart w:id="1192" w:name="pg9653_82275"/>
    </w:p>
    <w:p>
      <w:pPr>
        <w:pStyle w:val="Heading3"/>
        <w:numPr>
          <w:ilvl w:val="2"/>
          <w:numId w:val="1"/>
        </w:numPr>
        <w:rPr/>
      </w:pPr>
      <w:bookmarkStart w:id="1193" w:name="__RefHeading___Toc7767122_2870459653"/>
      <w:bookmarkStart w:id="1194" w:name="_Toc436"/>
      <w:bookmarkEnd w:id="1192"/>
      <w:bookmarkEnd w:id="1193"/>
      <w:r>
        <w:rPr>
          <w:rtl w:val="true"/>
        </w:rPr>
        <w:t>شبکه های دی دی پی آمریکای شمالی</w:t>
      </w:r>
      <w:bookmarkEnd w:id="1194"/>
    </w:p>
    <w:p>
      <w:pPr>
        <w:pStyle w:val="BookText"/>
        <w:rPr/>
      </w:pPr>
      <w:r>
        <w:rPr>
          <w:rFonts w:ascii="IRNazanin" w:hAnsi="IRNazanin" w:eastAsia="IRNazanin"/>
          <w:color w:val="111111"/>
          <w:sz w:val="28"/>
          <w:sz w:val="28"/>
          <w:szCs w:val="28"/>
          <w:rtl w:val="true"/>
          <w:lang w:bidi="fa-IR"/>
        </w:rPr>
        <w:t xml:space="preserve">گرجه در اروپا شبکه های دی دی پی بر پایه لاکس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پیمان یو کی لاکس </w:t>
      </w:r>
      <w:r>
        <w:rPr>
          <w:rStyle w:val="FootnoteAnchor"/>
          <w:rtl w:val="true"/>
        </w:rPr>
        <w:footnoteReference w:id="1603"/>
      </w:r>
      <w:r>
        <w:rPr>
          <w:rFonts w:ascii="IRNazanin" w:hAnsi="IRNazanin" w:eastAsia="IRNazanin"/>
          <w:color w:val="111111"/>
          <w:sz w:val="28"/>
          <w:sz w:val="28"/>
          <w:szCs w:val="28"/>
          <w:rtl w:val="true"/>
          <w:lang w:bidi="fa-IR"/>
        </w:rPr>
        <w:t xml:space="preserve">و طرح لاکی </w:t>
      </w:r>
      <w:r>
        <w:rPr>
          <w:rStyle w:val="FootnoteAnchor"/>
          <w:rtl w:val="true"/>
        </w:rPr>
        <w:footnoteReference w:id="1604"/>
      </w:r>
      <w:r>
        <w:rPr>
          <w:rFonts w:ascii="IRNazanin" w:hAnsi="IRNazanin" w:eastAsia="IRNazanin"/>
          <w:color w:val="111111"/>
          <w:sz w:val="28"/>
          <w:sz w:val="28"/>
          <w:szCs w:val="28"/>
          <w:rtl w:val="true"/>
          <w:lang w:bidi="fa-IR"/>
        </w:rPr>
        <w:t>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بیشرین تعداد شبکه های خصوصی لاکس در آمریکای شمالی بین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مقاله حاضر بر دو نمونه از آن ها تمرکز دارد تعاونی فرا آرشیو که یک شبکه حفاظت المللی است و در خلال سال های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برنامه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کتابخانه کنگره ایلات متحده شروع به کار کرد؛ و شبکه حفاظت دیجیتالی آلاباما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شبکه حفاظتی با گستره ایالتی در ایالات متحده است 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کمک بلاعوض دو ساله از سوی مؤسسه خدمات موزه ای و کتابخانه ای </w:t>
      </w:r>
      <w:r>
        <w:rPr>
          <w:rStyle w:val="FootnoteAnchor"/>
          <w:rtl w:val="true"/>
        </w:rPr>
        <w:footnoteReference w:id="1605"/>
      </w:r>
      <w:r>
        <w:rPr>
          <w:rFonts w:ascii="IRNazanin" w:hAnsi="IRNazanin" w:eastAsia="IRNazanin"/>
          <w:color w:val="111111"/>
          <w:sz w:val="28"/>
          <w:sz w:val="28"/>
          <w:szCs w:val="28"/>
          <w:rtl w:val="true"/>
          <w:lang w:bidi="fa-IR"/>
        </w:rPr>
        <w:t>که خود یک بنگاه تامین مالی فدرال در ایالات متحده است کار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 پینت همچنین به عنوان الگویی برای سومین شبکه لاکس پایه در آمریکای ،شمالی یعنی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کتابخانه های دانشگاه فلات و اقیانوس </w:t>
      </w:r>
      <w:r>
        <w:rPr>
          <w:rStyle w:val="FootnoteAnchor"/>
          <w:rtl w:val="true"/>
        </w:rPr>
        <w:footnoteReference w:id="1606"/>
      </w:r>
      <w:r>
        <w:rPr>
          <w:rFonts w:ascii="IRNazanin" w:hAnsi="IRNazanin" w:eastAsia="IRNazanin"/>
          <w:color w:val="111111"/>
          <w:sz w:val="28"/>
          <w:sz w:val="28"/>
          <w:szCs w:val="28"/>
          <w:rtl w:val="true"/>
          <w:lang w:bidi="fa-IR"/>
        </w:rPr>
        <w:t>در کانادای غربی، انجام وظیفه می کند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تعاونی فرا آرشیو </w:t>
      </w:r>
      <w:r>
        <w:rPr>
          <w:rStyle w:val="FootnoteAnchor"/>
          <w:rtl w:val="true"/>
        </w:rPr>
        <w:footnoteReference w:id="1607"/>
      </w:r>
      <w:r>
        <w:rPr>
          <w:rFonts w:ascii="IRNazanin" w:hAnsi="IRNazanin" w:eastAsia="IRNazanin"/>
          <w:color w:val="111111"/>
          <w:sz w:val="28"/>
          <w:sz w:val="28"/>
          <w:szCs w:val="28"/>
          <w:rtl w:val="true"/>
          <w:lang w:bidi="fa-IR"/>
        </w:rPr>
        <w:t xml:space="preserve">شبکه ای است متعلق به جامعه که توسط جامعه نیز هدایت می شود و مجموعه های رقومی را برای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آرشیو و دیگر سازمان های میراث فرهنگی در چهار کشور حفاظت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تعاونی در خلال سال های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و توسعه یک راه حل حفاظت رقومی اشتراکی برای مواد مجموعه ای خاص، شامل مجموعه های رقومی شده و ذاتا رقومی،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تشریک مساعی کتابخانه کنگره از طریق برنامه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پی، موسسان تعاونی در پی جاری سازی دانش و ساختارهای فنی حفاظت در مؤسسه های عضو فرا آرشیو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نرم افزار لاکس را به عنوان یک چارچوب فنی که بر اصول تعاونی منطبق بود انتخاب کردند و ابزار نگهداری اضافی را که با هدف ارتقاء قابلیت های مدیریتی و حفاظت از مجموعه های رقومی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روزنامه ها مقاله ها و پایان نامه های الکترونیک، تصاویر، صدا، ویدیو و مجموعه داده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بودند بر روی لاکس سوار کردند برای انجام این کار آن ها مبادرت به ایجاد یک راه حل برای انبار کردن امن و مقرون به صرفه کردند که باعث ارتقاء مالکیت بر این ماموریت اصلی کتابخانه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برون سپاری آن گردید تعاونی،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خود را به سوی یک الگو با عضویت آزاد آغاز کرد و در طول پنج سال از یک گروه کوچک با شش کتابخانه دانشگاهی جنوب </w:t>
      </w:r>
    </w:p>
    <w:p>
      <w:pPr>
        <w:pStyle w:val="BookText"/>
        <w:rPr/>
      </w:pPr>
      <w:r>
        <w:rPr>
          <w:rFonts w:ascii="IRNazanin" w:hAnsi="IRNazanin" w:eastAsia="IRNazanin"/>
          <w:color w:val="111111"/>
          <w:sz w:val="28"/>
          <w:sz w:val="28"/>
          <w:szCs w:val="28"/>
          <w:rtl w:val="true"/>
          <w:lang w:bidi="fa-IR"/>
        </w:rPr>
        <w:t xml:space="preserve">شرقی، به یک جامعه گسترده با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دانشگاهی کتابخانه عمومی، آرشیو، و مرکز تحقیقاتی،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تعاونی علاوه بر حفاظت محتواهای اعضاء، با هدف ارتقاء قابلیت های همکاری شبکه فرا آرشیو با دیگر رویکردهای حفاظت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کرونوپولیس </w:t>
      </w:r>
      <w:r>
        <w:rPr>
          <w:rStyle w:val="FootnoteAnchor"/>
          <w:rtl w:val="true"/>
        </w:rPr>
        <w:footnoteReference w:id="1608"/>
      </w:r>
      <w:r>
        <w:rPr>
          <w:rFonts w:ascii="IRNazanin" w:hAnsi="IRNazanin" w:eastAsia="IRNazanin"/>
          <w:color w:val="111111"/>
          <w:sz w:val="28"/>
          <w:sz w:val="28"/>
          <w:szCs w:val="28"/>
          <w:rtl w:val="true"/>
          <w:lang w:bidi="fa-IR"/>
        </w:rPr>
        <w:t xml:space="preserve">در سان دیه گو، مرکز ابررایانه </w:t>
      </w:r>
      <w:r>
        <w:rPr>
          <w:rStyle w:val="FootnoteAnchor"/>
          <w:rtl w:val="true"/>
        </w:rPr>
        <w:footnoteReference w:id="1609"/>
      </w:r>
      <w:r>
        <w:rPr>
          <w:rFonts w:ascii="IRNazanin" w:hAnsi="IRNazanin" w:eastAsia="IRNazanin"/>
          <w:color w:val="111111"/>
          <w:sz w:val="28"/>
          <w:sz w:val="28"/>
          <w:szCs w:val="28"/>
          <w:rtl w:val="true"/>
          <w:lang w:bidi="fa-IR"/>
        </w:rPr>
        <w:t>در دانشگاه 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 دیه گو و کودا </w:t>
      </w:r>
      <w:r>
        <w:rPr>
          <w:rStyle w:val="FootnoteAnchor"/>
          <w:rtl w:val="true"/>
        </w:rPr>
        <w:footnoteReference w:id="1610"/>
      </w:r>
      <w:r>
        <w:rPr>
          <w:rFonts w:ascii="IRNazanin" w:hAnsi="IRNazanin" w:eastAsia="IRNazanin"/>
          <w:color w:val="111111"/>
          <w:sz w:val="28"/>
          <w:sz w:val="28"/>
          <w:szCs w:val="28"/>
          <w:rtl w:val="true"/>
          <w:lang w:bidi="fa-IR"/>
        </w:rPr>
        <w:t>مجموعه ای در دانشگاه تگزاس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طور مستمر درگیر فعالیت های تحقیق و توسعه دیگر گروه های حفاظت رقومی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تعاونی همچنین در حال مطالعه بر روی تعدادی از موضوعات مدیریتی و حفاظتی از نوع خاص شامل روزنامه های رقومی شده و رقومی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Style w:val="FootnoteAnchor"/>
          <w:rtl w:val="true"/>
        </w:rPr>
        <w:footnoteReference w:id="1611"/>
      </w:r>
      <w:r>
        <w:rPr>
          <w:rFonts w:ascii="IRNazanin" w:hAnsi="IRNazanin" w:eastAsia="IRNazanin"/>
          <w:color w:val="111111"/>
          <w:sz w:val="28"/>
          <w:sz w:val="28"/>
          <w:szCs w:val="28"/>
          <w:rtl w:val="true"/>
          <w:lang w:bidi="fa-IR"/>
        </w:rPr>
        <w:t xml:space="preserve">و پایان نامه ها و مقالات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حفاظت رقومی آلاباما </w:t>
      </w:r>
      <w:r>
        <w:rPr>
          <w:rStyle w:val="FootnoteAnchor"/>
          <w:rtl w:val="true"/>
        </w:rPr>
        <w:footnoteReference w:id="1612"/>
      </w:r>
      <w:r>
        <w:rPr>
          <w:rFonts w:ascii="IRNazanin" w:hAnsi="IRNazanin" w:eastAsia="IRNazanin"/>
          <w:color w:val="111111"/>
          <w:sz w:val="28"/>
          <w:sz w:val="28"/>
          <w:szCs w:val="28"/>
          <w:rtl w:val="true"/>
          <w:lang w:bidi="fa-IR"/>
        </w:rPr>
        <w:t>یک شبکه حفاظت رقومی با گستره ایالتی است که به سازمان های میراث فرهنگی در آلاباما خدمات رسانی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 هم اکنون نه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آرشیو و تاریخ آلاباما در مونتگمری، دانشگاه آبرن، کتابخانه عمومی بیرمنگام، کتابخانه عمومی شهرک هانتس 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مدیسون، </w:t>
      </w:r>
      <w:r>
        <w:rPr>
          <w:rStyle w:val="FootnoteAnchor"/>
          <w:rtl w:val="true"/>
        </w:rPr>
        <w:footnoteReference w:id="1613"/>
      </w:r>
      <w:r>
        <w:rPr>
          <w:rFonts w:ascii="IRNazanin" w:hAnsi="IRNazanin" w:eastAsia="IRNazanin"/>
          <w:color w:val="111111"/>
          <w:sz w:val="28"/>
          <w:sz w:val="28"/>
          <w:szCs w:val="28"/>
          <w:rtl w:val="true"/>
          <w:lang w:bidi="fa-IR"/>
        </w:rPr>
        <w:t>دانشکده اسپریک هیل در شهر موبایل،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آلاباما با الهام عمیقی که از تجربه دانشگاه آبرن در تعاونی فرا آرشیو کسب کرده بود با دریافت یک کمک بلاعوض دو ساله از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کار خود را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این کمک و بلا عوض پشتیبانی های لازم برای تهیه تجهیزات و هزینه های همراه برای هفت مؤسسه بنیانگذار همچنین به شکل مهم و تعیین کننده ای حق عضویت سالانه آن ها در پیمان لاکس در همان دوره را فراهم کرد مؤسسه های شرکت کننده هزینه های تجهیزات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تقسیم کردند و زمان و منابع شخصی خود را در طرح مشارکت دادند یکی از کارکنان لاکس برای ارائه پشتیبانی ها و راهنمایی فنی به خدمت گرفته شده بود کمک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اینک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پینت تبدیل به یک موجودیت متکی به خود، عضو شبکه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حمایت شبکه کتابخانه های دانشگاهی آلاباما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 xml:space="preserve">فعالیت می کرد و بخشی از کمیسیون آلاباما در آموزش عالی در مونتگمری شده بود همه مؤسسه های اصلی عضو، محتواهای خود را در شبکه به اشتراک گذاشتند که هم اکنون بالغ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آرشیوی است و مجموعا بیش از چهار ترابایت </w:t>
      </w:r>
      <w:bookmarkStart w:id="1195" w:name="pg9653_82277"/>
    </w:p>
    <w:p>
      <w:pPr>
        <w:pStyle w:val="BookText"/>
        <w:rPr/>
      </w:pPr>
      <w:bookmarkEnd w:id="1195"/>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طرح هایی برای گردآوری چندین ترابایت از محتواهای جدید در خلال سال های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شامل محتواهایی از کتابخانه های عمومی در بیرمنگام و هانتویل در دست اجرا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تصادفی نیست که نخستین شبکه های شخصی لاکس در ایالات متحده از نواحی جنوب شرقی این کشور سر برآوردند ایالت های جنوبی ایالات متحده از نظر اقتصادی ضعیف تر از دیگر ایالات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ویژه نواحی ساحلی خلیج، در معرض تهدید طوفان، گردباد، طغیان آب رودخانه ها و دیگر بلایای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دهه گذشته ایالت آلاباما حداقل چهار گردباد و طوفان استوایی عمده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کاترینا شهرهای ساحلی بایون لاباتره و کودن را ویران کرد و شهر موبایل را نیز سیل فرا گرفت اما این فقط شهرهای ساحلی ایالت نیستند که از این گونه بلایای طبیعی خسارت می بینند مناطق داخلی تر نیز در برابر گردبادها آسیب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 به سوی شهر انترپرایز در آلاباما متمایل شد و یک دبیرستان را ویران کرد و باعث کشته شدن نه نفر گردید در آپریل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رشته گردبادهای قدرتمند شهرهای توکالوسا، بیرمنگام و کالمن را در هم کوبید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بر جای نهاد علیرغم چنین چالش هایی آلاباما و دیگر ایالت های این منطقه منزلگاه مجموعه ای غنی از مجموعه های رقومی در کتابخانه ها آرشیوها و موزه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مستندات آمریکای جنوبی در دانشگاه کالیفرنیای شمالی در شهر ،چپل هیل کتابخانه رقومی جرجیا در دانشگاه جرجیا و یک مخزن ایالتی از مواد رقومی در همه زمینه های موضوعی تاریخ، جغرافیا و فرهنگ آلاباما به نام آلاباما موزائیک </w:t>
      </w:r>
      <w:r>
        <w:rPr>
          <w:rStyle w:val="FootnoteAnchor"/>
          <w:rtl w:val="true"/>
        </w:rPr>
        <w:footnoteReference w:id="1615"/>
      </w:r>
      <w:r>
        <w:rPr>
          <w:rFonts w:ascii="IRNazanin" w:hAnsi="IRNazanin" w:eastAsia="IRNazanin"/>
          <w:color w:val="111111"/>
          <w:sz w:val="28"/>
          <w:sz w:val="28"/>
          <w:szCs w:val="28"/>
          <w:rtl w:val="true"/>
          <w:lang w:bidi="fa-IR"/>
        </w:rPr>
        <w:t xml:space="preserve">در شبکه کتابخانه های دانشگاهی آلاباما در مونتگمری است مجموعه چنین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به غایت خشن، منابع مالی ایالتی ناچیز، و مجموعه های غنی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جنوبی ایالات متحده را به موقعیت ایده آلی برای آزمودن یک راه حل حفاظت رقومی ساده، کم هزینه اما مؤثری چون لاکس تبدیل کرده است</w:t>
      </w:r>
      <w:r>
        <w:rPr>
          <w:rFonts w:eastAsia="IRNazanin" w:cs="IRNazanin"/>
          <w:color w:val="111111"/>
          <w:sz w:val="28"/>
          <w:szCs w:val="28"/>
          <w:rtl w:val="true"/>
          <w:lang w:bidi="fa-IR"/>
        </w:rPr>
        <w:t>.</w:t>
      </w:r>
    </w:p>
    <w:p>
      <w:pPr>
        <w:pStyle w:val="Heading3"/>
        <w:numPr>
          <w:ilvl w:val="2"/>
          <w:numId w:val="1"/>
        </w:numPr>
        <w:rPr/>
      </w:pPr>
      <w:bookmarkStart w:id="1196" w:name="__RefHeading___Toc7767124_2870459653"/>
      <w:bookmarkStart w:id="1197" w:name="_Toc437"/>
      <w:bookmarkEnd w:id="1196"/>
      <w:r>
        <w:rPr>
          <w:rtl w:val="true"/>
        </w:rPr>
        <w:t>جبران فاجعه</w:t>
      </w:r>
      <w:r>
        <w:rPr>
          <w:rtl w:val="true"/>
        </w:rPr>
        <w:t xml:space="preserve">: </w:t>
      </w:r>
      <w:r>
        <w:rPr>
          <w:rtl w:val="true"/>
        </w:rPr>
        <w:t>با برنامه و بی برنامه</w:t>
      </w:r>
      <w:bookmarkEnd w:id="119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حفاظت رقومی توزیع شده لاکس، پایه، آن چنان طراحی شده اند که از سالم ماندن محتواهای رقومی در مواجهه با مجموعه ای از تهدیدها در محدوده بلایای طبیعی و انسانی تا ضایعات سخت افزاری و نرم افزاری اطمینان لازم حاصل شود این در واقع فلسفه وجودی آن ها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تعاونی فرا آرشیو و شبکه حفاظت رقومی آلاباما با وقوف به این امر در طول چندین سال </w:t>
      </w:r>
    </w:p>
    <w:p>
      <w:pPr>
        <w:pStyle w:val="BookText"/>
        <w:rPr/>
      </w:pPr>
      <w:r>
        <w:rPr>
          <w:rFonts w:ascii="IRNazanin" w:hAnsi="IRNazanin" w:eastAsia="IRNazanin"/>
          <w:color w:val="111111"/>
          <w:sz w:val="28"/>
          <w:sz w:val="28"/>
          <w:szCs w:val="28"/>
          <w:rtl w:val="true"/>
          <w:lang w:bidi="fa-IR"/>
        </w:rPr>
        <w:t>تمرین های متعددی را برای آزمودن قدرت شبکه های خود در جبران فاجعه، طراحی و اجرا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ها به دو دسته عمده تقسیم می شوند تمرین برای بازیافت یک گره لاکس خسارت دیده یا منهدم شده در ،شبکه و تمرین برای باز پس دادن محتوا از گره های داخل شبکه به یک سرور واقع در یکی از مؤسسه های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ترین و البته مفیدترین این آزمایش ها تمرین های از پیش طراحی شده نیستند بلکه رویدادهای واقعی هستند که شبکه ها بر اساس طراحی خود باید بتوانند در مقابل آن ها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ترین مشکل از این قبیل در تعاونی فرا آرشیو در اواخر نوامبر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در آن اتاق سرور در کتابخانه و و دراف در دانشگاه اموری با مجموعه ای از قطعی جریان برق مواجه شد که طی آن هر دو منبع تغذیه وقفه ناپذیر که گره اصلی شبکه لاکس تعاونی فرا آرشیو و مجموعه مخازن ای ایکس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Style w:val="FootnoteAnchor"/>
          <w:rtl w:val="true"/>
        </w:rPr>
        <w:footnoteReference w:id="1616"/>
      </w:r>
      <w:r>
        <w:rPr>
          <w:rFonts w:ascii="IRNazanin" w:hAnsi="IRNazanin" w:eastAsia="IRNazanin"/>
          <w:color w:val="111111"/>
          <w:sz w:val="28"/>
          <w:sz w:val="28"/>
          <w:szCs w:val="28"/>
          <w:rtl w:val="true"/>
          <w:lang w:bidi="fa-IR"/>
        </w:rPr>
        <w:t>متصل به آن گره را تغذیه می کردند تحت فشار تخریبی قرار گرفتند این مجموعه حاوی تمامی داده های واحدهای آرشیوی بودند که سرور آن ها را کنترل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چندین روز کار متوالی بخش فناوری اطلاعات دانشگاه اموری علیرغم قطع پی در پی جریان برق که تعمیرات آن ها را بی اثر می ساخت و اثری ویرانگر و غیر قابل بازگشت بر سیستم های پروندهای شبکه بر جای می گذاشت قصد داشت سِروِر اصلی لاکس و مجموعه مخازن را بازیابی کند در پایان کار آن ها موفق شدند سخت افزار آسیب دیده را و نیز سیستم های پرونده ای معیوب را با نمونه های سالمی که از دیگر گره های شبکه فرا آرشیو به دست آورده بودند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سرور اصلی و مجموعه مخازن را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لاکس آشکارا با هدف ارائه چنین قابلیت های جبرانی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تعمیری که ذکر آن رفت قابلیت های حیاتی و ظرایف شبکه های حفاظتی لاکس پایه را به نمایش گذاشت البته بازیافت گره واقع در اموری یک هفته به طول انجامید اما نتیجه آن درس های بسیار ارزشمندی است که در موضوع بازیافت یک گره لاکس در مواجهه با ضایعات سیستمی چندگانه و پی در پی می توان گرفت درس عمده، به تعمیر سیستم های پرونده ای تخریب شده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شدن سیستم های پرونده ای که از واحدهای آرشیوی میزبانی می کنند و یا نارسایی اتصال مخزن که سیستم های پرونده ای را در بر می گیرد از جمله جبران پذیرترین آسیب ها در هر گره لاکس بیش</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موارد امکان پذیر است اموری قصد داشت تا سیستم های پرونده ای را که بر اثر دومین قطع جریان برق دچار تاخیر شده بودند بازیابی نماید و از همین رو بخش قابل ملاحظه ای از زمان از دست رفت و احتمالا حتی قبل از وقوع دومین قطعی برق سیستم های پروندهای مورد بازیافت قرار نگرفته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بازیافت سه سیستم پرونده ای عمده موجود در سخت افزار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ایکس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زمانی بسیار بیشتر از فرایند ساده قالب بندی مجدد دیسک ها و بازآوری داده ها از منبع یدکی به خود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در شرایط پس از هفت حادثه فاجعه بار که طی آن ها سخت افزار یا تجهیزات میزبان اطلاعات به طور کامل از بین رفته اند، بهترین رویکرد بازیافت واحدهای آرشیوی از منابع یدکی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یکی از اصول بنیادی در طراحی لاکس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غیر منتظره ای که از این حوادث می توان گرفت، آن است که حتی در شرایطی خفیف تر از موارد ،پیشگفته راه حل آسان تر استفاده از منابع یدکی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سیستم های ،لاکس راهکارهایی جهت ردیابی و تعمیر خودکار واحدهای آرشیوی آسیب دیده ارائه می کنند اما ترجیح و توصیه تعاونی فرا آرشیو بر بازیافت سیستم های پرونده ای آسیب دیده از دیگر منابع موجود در شبکه قرار گرفته است زیرا احتمالا طول زمان از کار افتادگی گره آسیب دیده در این حالت کمتر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پی نت نیز مشکلات پیش بینی نشده ای را تجربه کرده و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شبکه در بازپس دادن محتوا به یکی از اعضای آن در بهار و تابستان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یک وب سرور در دانشگاه آلاباما، سهوا از خط خارج شد آن گاه چند واحد آرشیوی که برای گردآوری داده های شبکه بر روی سرور قرار داده شده بودند، از دست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تیم پشتیبانی لاكس، کار استخراج محتوای مورد نظر از انبارهای دی پی نت دانشگاه آلاباما و باز پس دادن آن به دیگر وب سرورها در آلاباما ابتدا یک مشغله با اولویت پایین قلمداد گردید، چرا که محتوا قبلا در شبکه ای دی پینت جاسازی گردیده بود اما به زودی مشخص شد که این یک فرصت عالی برای آزمودن دستیابی به محتوا از خارج از شبکه و در نتیجه فراخوانی مجدد آن به شبکه در شرایط کاملا واقعی است گرچه اشکال زدایی از یک نسخه مدت چند هفته به درازا کشید اما در پایان سه واحد آرشیوی به صورت موفقیت آمیزی از شبکه به وضعیت و جایگاه اولیه خود بازگردانده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زمانی که انباره های لاکس سعی در گرفتن صفحه فهرست از واحدهای آرشیوی که در برابر برون خط بودن دائمی پشتیبانی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انباره های لاکس در شبکه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 یکی از صفحات فهرست را واکشی کردند این یک بار دیگر ثابت کرد که آن ها قادر به فراخوانی مجدد اطلاعات و بازگرداندن آن ها در شبکه حفاظت هستند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این اتفاقات صراحتا برنامه ریزی و پیش بینی نشده بودند این ها و دیگر اتفاقات مشابه حالت ارتجاعی شبکه های حفاظتی لاکس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در مواجهه با نقصان های جدی سخت افزاری و نرم افزاری را نشان می دهند مراد از این نقیصه ها کلیه کاستی ها و اشکالاتی هستند که مستقل از کیفیت و چگونگی آن ها، می توانند به نوعی در سیستم های رایانه ای مشاهده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موارد </w:t>
      </w:r>
      <w:bookmarkStart w:id="1198" w:name="pg9653_82280"/>
    </w:p>
    <w:p>
      <w:pPr>
        <w:pStyle w:val="BookText"/>
        <w:rPr/>
      </w:pPr>
      <w:bookmarkEnd w:id="1198"/>
      <w:r>
        <w:rPr>
          <w:rFonts w:ascii="IRNazanin" w:hAnsi="IRNazanin" w:eastAsia="IRNazanin"/>
          <w:color w:val="111111"/>
          <w:sz w:val="28"/>
          <w:sz w:val="28"/>
          <w:szCs w:val="28"/>
          <w:rtl w:val="true"/>
          <w:lang w:bidi="fa-IR"/>
        </w:rPr>
        <w:t>پیشگفته، به قانع کننده ترین شکل، نشان دهنده ارزش اصل قدرت در چندینگی است که در حفاظت رقومی به کار رفته و در شبکه های دیدی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یافته است</w:t>
      </w:r>
      <w:r>
        <w:rPr>
          <w:rFonts w:eastAsia="IRNazanin" w:cs="IRNazanin"/>
          <w:color w:val="111111"/>
          <w:sz w:val="28"/>
          <w:szCs w:val="28"/>
          <w:rtl w:val="true"/>
          <w:lang w:bidi="fa-IR"/>
        </w:rPr>
        <w:t>.</w:t>
      </w:r>
    </w:p>
    <w:p>
      <w:pPr>
        <w:pStyle w:val="Heading3"/>
        <w:numPr>
          <w:ilvl w:val="2"/>
          <w:numId w:val="1"/>
        </w:numPr>
        <w:rPr/>
      </w:pPr>
      <w:bookmarkStart w:id="1199" w:name="__RefHeading___Toc7767126_2870459653"/>
      <w:bookmarkStart w:id="1200" w:name="_Toc438"/>
      <w:bookmarkEnd w:id="1199"/>
      <w:r>
        <w:rPr>
          <w:rtl w:val="true"/>
        </w:rPr>
        <w:t>دی</w:t>
      </w:r>
      <w:r>
        <w:rPr>
          <w:rtl w:val="true"/>
        </w:rPr>
        <w:t>.</w:t>
      </w:r>
      <w:r>
        <w:rPr>
          <w:rtl w:val="true"/>
        </w:rPr>
        <w:t>دی</w:t>
      </w:r>
      <w:r>
        <w:rPr>
          <w:rtl w:val="true"/>
        </w:rPr>
        <w:t xml:space="preserve">. </w:t>
      </w:r>
      <w:r>
        <w:rPr>
          <w:rtl w:val="true"/>
        </w:rPr>
        <w:t>پی</w:t>
      </w:r>
      <w:r>
        <w:rPr>
          <w:rtl w:val="true"/>
        </w:rPr>
        <w:t xml:space="preserve">. </w:t>
      </w:r>
      <w:r>
        <w:rPr>
          <w:rtl w:val="true"/>
        </w:rPr>
        <w:t>و شبکه های خصوصی لاکس</w:t>
      </w:r>
      <w:r>
        <w:rPr>
          <w:rtl w:val="true"/>
        </w:rPr>
        <w:t xml:space="preserve">: </w:t>
      </w:r>
      <w:r>
        <w:rPr>
          <w:rtl w:val="true"/>
        </w:rPr>
        <w:t>مسائل عملی</w:t>
      </w:r>
      <w:bookmarkEnd w:id="1200"/>
    </w:p>
    <w:p>
      <w:pPr>
        <w:pStyle w:val="BookText"/>
        <w:rPr/>
      </w:pPr>
      <w:r>
        <w:rPr>
          <w:rFonts w:ascii="IRNazanin" w:hAnsi="IRNazanin" w:eastAsia="IRNazanin"/>
          <w:color w:val="111111"/>
          <w:sz w:val="28"/>
          <w:sz w:val="28"/>
          <w:szCs w:val="28"/>
          <w:rtl w:val="true"/>
          <w:lang w:bidi="fa-IR"/>
        </w:rPr>
        <w:t>تجربه تعاونی فرا آرشیو و ایدی پی نت، به شبکه های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پی لاکس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به عنوان یک راه دقیق و کم هزینه برای حفاظت محتواهای رقومی تولید شده در محل اشاره می کند بدون این که به نوع مؤسسه یا طبیعت محتوایی که باید از آن حفاظت شود توجه کند اگر گروهی از مؤسسه ها در یکی از فقیر ترین ایالت های ایالات متحده می توانند یک شبکه حفاظت رقومی قدرتمند را تاسیس و نگهداری کنند آن گاه به احتمال قوی، دیگر مؤسسه ها در دیگر ایالت ها و کشورها هم می توانند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سوالی مطرح است چگونه گروهی از مؤسسه ها می توانند برای تاسیس یک شبکه حفاظت رقومی اقدام کنند؟ یک گام اولیه خوب می تواند بارگیری </w:t>
      </w:r>
      <w:r>
        <w:rPr>
          <w:rStyle w:val="FootnoteAnchor"/>
          <w:rtl w:val="true"/>
        </w:rPr>
        <w:footnoteReference w:id="1617"/>
      </w:r>
      <w:r>
        <w:rPr>
          <w:rFonts w:ascii="IRNazanin" w:hAnsi="IRNazanin" w:eastAsia="IRNazanin"/>
          <w:color w:val="111111"/>
          <w:sz w:val="28"/>
          <w:sz w:val="28"/>
          <w:szCs w:val="28"/>
          <w:rtl w:val="true"/>
          <w:lang w:bidi="fa-IR"/>
        </w:rPr>
        <w:t xml:space="preserve">و خواندن یک رونوشت از اولین کتاب تعاونی فرا آرشیو به نام راهنمای حفاظت رقومی توزیع شده باشد که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اجوکوپیا </w:t>
      </w:r>
      <w:r>
        <w:rPr>
          <w:rStyle w:val="FootnoteAnchor"/>
          <w:rtl w:val="true"/>
        </w:rPr>
        <w:footnoteReference w:id="1618"/>
      </w:r>
      <w:r>
        <w:rPr>
          <w:rFonts w:ascii="IRNazanin" w:hAnsi="IRNazanin" w:eastAsia="IRNazanin"/>
          <w:color w:val="111111"/>
          <w:sz w:val="28"/>
          <w:sz w:val="28"/>
          <w:szCs w:val="28"/>
          <w:rtl w:val="true"/>
          <w:lang w:bidi="fa-IR"/>
        </w:rPr>
        <w:t xml:space="preserve">منتشر کرد و نخستین راهنمای جامع در این زمینه به شمار می رود این راهنما به صورت رایگان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از وبگاه فرا آرشیو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شرط برای داشتن یک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حداقل شش مؤسسه دارای محتوای رقومی تولید شده در محل است که درصدد حفاظت محتواهای خود باشند و با همکاری در ایجاد شبکه حفاظتی و تخصیص منابع کافی برای نگهداری آن در بلند مدت به توافق رسیده باشند یک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بیش از شش عضو داشته باشد همچنان که فرا آرشیو ای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نت و بسیاری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ها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 عضو کمترین مقدار توصیه شده برای کسب اطمینان به قدرتمندی شبکه در شرایطی است که یک یا دو گره درگیر یک نقصان همزمان می شوند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وجود یک سیاست یا مستند نظارتی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مستند شامل قوانینی برای راه اندازی شبکه و بر شمردن حقوق و مسئولیت های اعضای شبکه خواهد بود زمانی که تعاونی فرا آرشیو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کرد هیچ گونه مستند نظارتی که شبکه های حفاظت رقومی بتوانند از آن به عنوان الگو استفاده کنند، وجود نداشت از همین رو اعضاء خود دست به کار شدند و به صورت کاملا ابتکاری و با کمک مشاوره های قانونی یکی از مؤسسه های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دوین باتلر، دانشگاه لویسویل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مشارکت های داوطلبانه یک شرکت حقوقی خصوصی در آتلانتا، پیش نویسی را در این خصوص تهیه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زحمات فرا آرشیو و دیگر مؤسسه های حفاظتی در آمریکای شمالی هم اکنون حد اقل سه مستند نظارتی تحت عناوین منشور تعاونی فرا، آرشیو سیاست نظارتی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 و سیاست نظارتی کوپول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Style w:val="FootnoteAnchor"/>
          <w:rtl w:val="true"/>
        </w:rPr>
        <w:footnoteReference w:id="1619"/>
      </w:r>
      <w:r>
        <w:rPr>
          <w:rFonts w:ascii="IRNazanin" w:hAnsi="IRNazanin" w:eastAsia="IRNazanin"/>
          <w:color w:val="111111"/>
          <w:sz w:val="28"/>
          <w:sz w:val="28"/>
          <w:szCs w:val="28"/>
          <w:rtl w:val="true"/>
          <w:lang w:bidi="fa-IR"/>
        </w:rPr>
        <w:t xml:space="preserve">در دسترس عموم وجود دارد که شبکه های حفاظتی در بدو تاسیس در نسخه برداری کامل از آن ها و یا تطبیق اهداف خود با آن ها مختارند تمامی این مستندات از طریق وبگاه های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 دسترس عموم قرار دارند دیگر مجموعه های حفاظتی مشارکتی به استفاده از این سه مستند به عنوان سه الگوی موفق تشویق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برقراری یک شبکه حفاظت رقومی توزیع شده به پول نیاز دارد هم به صورت نقدی و هم به صورت غیر نقدی حفاظت رقومی توزیع شده به مراتب ارزان تر از بازسازی مجموعه های تخریب شده یا نابود شده تمام می شود اما در هر صورت بدون هزینه هم نیست در مجموع، این هزینه ها را می توان به چهار دسته تقسیم کرد سخت افزار، کارکنان، ارتباطات و حق عضویت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هزینه های سخت افزاری می پردازیم هر یک از مکان های حفاظتی در یک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رایانه سرور لاکس اختصاص یافته و یا انباره لاکس نیاز دارد لاکس را می توان ارزان تهیه کرد و یا حتی از میان تجهیزات اضافی و کار کرده، یک سرور دست و پا کرد اما برای دریافت بهترین عملکرد بهتر است از یک سرور روز آمد با حداقل چندین ترابایت فضای ذخیره سازی قابل توسعه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می توان از یک سرور فیزیکی و یا حتی از فضای مجازی شامل وی ام ویر </w:t>
      </w:r>
      <w:r>
        <w:rPr>
          <w:rStyle w:val="FootnoteAnchor"/>
          <w:rtl w:val="true"/>
        </w:rPr>
        <w:footnoteReference w:id="1620"/>
      </w:r>
      <w:r>
        <w:rPr>
          <w:rFonts w:ascii="IRNazanin" w:hAnsi="IRNazanin" w:eastAsia="IRNazanin"/>
          <w:color w:val="111111"/>
          <w:sz w:val="28"/>
          <w:sz w:val="28"/>
          <w:szCs w:val="28"/>
          <w:rtl w:val="true"/>
          <w:lang w:bidi="fa-IR"/>
        </w:rPr>
        <w:t xml:space="preserve">و گزینه های مبتنی بر اینترنت استفاده کرد البته قیمت ها در حال سقوط هستند اما سرورهای فیزیکی با ظرفیت مناسب، بسته به شرکت فروشنده، نوعا بین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ایالات متحده ارزش دارند باید به خاطر داشت که متناسب با رشد شبکه حفاظت ،رقومی فضای ذخیره اضافی مورد نیاز باید خریداری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سخت افزارها هم باید در فواصل زمانی منظم روزآمد شوند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انسانی برای مدیریت تجهیزات لاکس و نوشتن مجموعه مستندات و دستورالعمل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صفحه فهرست ها و طریقه نصب تجهیزات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لاکس از آن ها برای تعیین محتواهای در دسترس و گردآوری آن ها در شبکه استفاده می کند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وابستگی به زمان حضور کارکنان خیلی زیاد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چند ساعت در ماه یا حتی کمتر اما به هر حال جزو هزینه ها به حساب می آید و باید از همان ابتدا مورد توجه قرار گیرد هزینه ارتباطات، کم اهمیت و قابل چشم پوشی است حداقل در تجربه عملی ما چنین بوده است تعاونی فرا آرشیو همایش های هفتگی را فراخوانی و دعوت همایش های سالانه کمیته رهبری تعاونی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 </w:t>
      </w:r>
    </w:p>
    <w:p>
      <w:pPr>
        <w:pStyle w:val="BookText"/>
        <w:rPr/>
      </w:pPr>
      <w:r>
        <w:rPr>
          <w:rFonts w:ascii="IRNazanin" w:hAnsi="IRNazanin" w:eastAsia="IRNazanin"/>
          <w:color w:val="111111"/>
          <w:sz w:val="28"/>
          <w:sz w:val="28"/>
          <w:szCs w:val="28"/>
          <w:rtl w:val="true"/>
          <w:lang w:bidi="fa-IR"/>
        </w:rPr>
        <w:t>همایش های ماهانه را فراخوانی و دعوت همایش سالانه کمیته رهبری شبکه را دریافت می کند کوپول جلسات گفت و شنود را در اغلب ماه ها فراخوان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این شبکه ها دارای فهرستی از نشانی های پست الکترونیک مخاطبان خود هستند و فرایند فراخوانی و دریافت دعوت غالبا توسط پست الکترونیکی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عضویت پر هزینه ترین مورد در فهرست هزینه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هزینه عضویت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ها وجود دارد هزینه سالانه اتصال به لاکس که معمولا پرداخت می شود اما ممکن است از سوی مدیریت لاکس از دریافت آن چشم پوشی شود و حق عضویت در شبکه که پرداخت آن اختیاری است هزینه اتصال به لاکس بر اساس نظام طبقه بندی کارنگی برای کالج ها و دانشگاه ها در ایالات متحده تعیین می شود که هم اکنون محدودهای از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برای مؤسسه های کوچک حداکثر دو سال تاسیس، تا </w:t>
      </w:r>
      <w:r>
        <w:rPr>
          <w:rFonts w:eastAsia="IRNazanin" w:cs="IRNazanin"/>
          <w:color w:val="111111"/>
          <w:sz w:val="28"/>
          <w:szCs w:val="28"/>
          <w:lang w:bidi="fa-IR"/>
        </w:rPr>
        <w:t>10800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برای دانشگاه های تحقیقاتی بزرگ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با این یک هزینه قابل توجه حفاظت رقومی لاکس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از دسترس مؤسسه های کوچک و با منابع ناچیز دور خواهد ماند آن ها دقیقا همان نهادهایی هستند که مجموعه های رقومی آن ها در مقابل ،حوادث آسیب پذیرتر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کوششی برای رفع مانع عضویت، شبکه آلاباما توافقی سامان داد که طی آن به مؤسسه ها اجازه داده می شود با پرداخت تدریجی حق عضویت سالانه بدون اجبار در پیوستن به پیمان لاکس، به شبکه متصل شوند این وضعیت تا زمانی که شبکه، مبلغ توافق شده سالانه را برای تسویه هزینه جاری نرم افزار و پشتیبانی فنی به لاکس می پردازد ادامه خواهد یافت سیستم جدید عضویت ایدی پینت، چهار دسته عضو با حق عضویت سالانه افزایشی را بر اساس میزان تخصیص فضای انباره در شبکه و هزینه افزایش فضا سطوح مختلف فنی و مسئولیت مدیریتی و سطوح مختلف نمایندگی در مجموعه های نظارتی ای دی پینت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دسته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لنگر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حق عضویت سالانه و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فضای تخصیصی 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حق عضویت سالانه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بایت فضای تخصیصی داده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حق عضویت سالانه و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بایت فضای تخصیصی 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حق عضویت سالانه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 بایت فضای تخصیصی داده ها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عضویت چهار لایه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 با هدف دستیابی به سه هدف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 جدا سازی عضویت در ای دی پی نت از عضویت در پیمان لاکس، مشارکت در شبکه برای مؤسسه های کوچکتری که نمی توانند از عهده هزینه های عضویت در پیمان لاکس برآیند امکان پذیر می گردد دوم، تاکید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بیشتر، پرداخت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متناسب سازی هزینه عضویت با میزان </w:t>
      </w:r>
    </w:p>
    <w:p>
      <w:pPr>
        <w:pStyle w:val="BookText"/>
        <w:rPr/>
      </w:pPr>
      <w:r>
        <w:rPr>
          <w:rFonts w:ascii="IRNazanin" w:hAnsi="IRNazanin" w:eastAsia="IRNazanin"/>
          <w:color w:val="111111"/>
          <w:sz w:val="28"/>
          <w:sz w:val="28"/>
          <w:szCs w:val="28"/>
          <w:rtl w:val="true"/>
          <w:lang w:bidi="fa-IR"/>
        </w:rPr>
        <w:t xml:space="preserve">استفاده از شبکه تحقق می یابد سوم حل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نویسندگان گزارش نهایی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Style w:val="FootnoteAnchor"/>
          <w:rtl w:val="true"/>
        </w:rPr>
        <w:footnoteReference w:id="1621"/>
      </w:r>
      <w:r>
        <w:rPr>
          <w:rFonts w:ascii="IRNazanin" w:hAnsi="IRNazanin" w:eastAsia="IRNazanin"/>
          <w:color w:val="111111"/>
          <w:sz w:val="28"/>
          <w:sz w:val="28"/>
          <w:szCs w:val="28"/>
          <w:rtl w:val="true"/>
          <w:lang w:bidi="fa-IR"/>
        </w:rPr>
        <w:t>مطرح کرده اند ایشان، راه هایی برای حل این مسئله پیشنهاد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کالاها در بازار مصرف رقابتی نیستند و منافع به کسانی تعلق می گیرد که هزینه ای برای آن پرداخت نکرده اند به عنوان مثال ممکن است سازمانی هزینه تجهیزات حفاظت رقومی را تقبل کرده باشد، اما مزایای آن به افراد بسیاری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جدید عضویت ای دی پینت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را می دهد که همه اعضاء مبالغی را بابت عضویت در شبکه می پردازند در عین حال دسته های ارزان تر عضویت، با هدف ترغیب مؤسسه هایی که در مواجهه با هزینه های زیاد از عضویت منصرف می شوند طراحی شده اند شواهد موجود تا کنون حاکی از عملکرد سیستم منطبق بر برنامه های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کتابخانه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بیرمنگام و کتابخانه عمومی شهرکهانسویل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شبکه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سطح میزبان و دومی در سطح شریک کوچک این شبکه هم اکنون یک مؤسسه ،ایالتی پنج دانشگاه تحقیقاتی بزرگ و متوسط یک دانشکده علوم انسانی و دو کتابخانه عمومی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ضمن آن که نشانگر یک تنوع مناسب در عضویت است، دلالت آن دارد که سیستم هزینه عضویت طبقه بندی شده با موفقیت روبرو خواهد شد و امیدواریم بتواند الگویی برای دیگر شبکه های حفاظت رقومی که با مشکل مشابه روبرو هستند قرار گیرد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تعاونی فرا آرشیو که با مسئله مشابهی درگیر شده است یک الگوی سازمانی کاملا متفاوت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تعاونی از ابتدا در پی تهیه یک محیط حفاظت رقومی توزیع شده بود که به هیچ فناوری مشخصی وابسته نبوده و از نظر مدیریتی و فنی هم مستقل از دیگر مؤسسه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آرشیو و اعضای آن به این نکته پی برده اند که حفاظت رقومی به ویژه در حوزه توسعه فنی در ابتدای راه قرار دارد از این رو این تعاونی با هدف توانایی بخشیدن به سازمان های میراث فرهنگی در تصاحب و کنترل فرایند حفاظت به وسیله دانش و زیر ساخت محلی لازم، بیش از پرداختن به راه حل های فنی تحقق ماموریت خود را در اولویت برتر قرار داد این تعاونی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به یک محیط فنی و دستگاه پشتیبانی نیاز دارد که از نظر فیزیکی و مدیریتی از دیگر مؤسسه ها از جمله تیم لاکس جدا باشد در این تعاونی، تعداد اندکی از کارکنان در قالب یک مرکز کوچک به امور مدیریت برنامه توسعه تجهیزات جانبی توسعه نرم افزار و مدیریت سیستم رسیدگی می کنند بر خلاف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 کوپول </w:t>
      </w:r>
      <w:r>
        <w:rPr>
          <w:rStyle w:val="FootnoteAnchor"/>
          <w:rtl w:val="true"/>
        </w:rPr>
        <w:footnoteReference w:id="1622"/>
      </w:r>
      <w:r>
        <w:rPr>
          <w:rFonts w:ascii="IRNazanin" w:hAnsi="IRNazanin" w:eastAsia="IRNazanin"/>
          <w:color w:val="111111"/>
          <w:sz w:val="28"/>
          <w:sz w:val="28"/>
          <w:szCs w:val="28"/>
          <w:rtl w:val="true"/>
          <w:lang w:bidi="fa-IR"/>
        </w:rPr>
        <w:t>، و بسیاری دیگر از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ها این تعاونی، مالک شبکه لاکس متعلق به خود است و در </w:t>
      </w:r>
      <w:bookmarkStart w:id="1201" w:name="pg9653_82284"/>
    </w:p>
    <w:p>
      <w:pPr>
        <w:pStyle w:val="BookText"/>
        <w:rPr/>
      </w:pPr>
      <w:bookmarkEnd w:id="1201"/>
      <w:r>
        <w:rPr>
          <w:rFonts w:ascii="IRNazanin" w:hAnsi="IRNazanin" w:eastAsia="IRNazanin"/>
          <w:color w:val="111111"/>
          <w:sz w:val="28"/>
          <w:sz w:val="28"/>
          <w:szCs w:val="28"/>
          <w:rtl w:val="true"/>
          <w:lang w:bidi="fa-IR"/>
        </w:rPr>
        <w:t>آن، حجم چشمگیری از تحقیقات و امور توسعه ای را پیگیری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اختلافی ناشی از روشی است که تعاونی، در مدیریت هزینه های عضویت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تعاونی همه اعضای خود را به پیوستن به پیمان لاکس تشویق می کند اما در حال حاضر مؤسسه های سطح غیر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گفتمان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مشارکت در شبکه فرا آرشیو نیازی به پیوستن به این پیمان ندارند فرا آرشیو با استفاده از یک رویکرد سه لایه ای هزینه عضویت سالانه را برای تمامی شرکای خود 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سطح عضویت است، یک کرسی در کمیته رهبری دارد و ملزم به پرداخت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دوم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حافظتی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ملزم به پرداخت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سوم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ائتلاف را قادر به میزبانی همیشگی از محتواهای آن ها در یک انباره اشتراکی در شبکه می سازد و سالانه ملزم به پرداخت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یک هزینه جزئی برای هر بار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گردآوری شده از ناحیه عضویت، در مصارفی چون پشتیبانی از مدیریت تعاونی، امور مشارکت و فعالیت های توسعه نرم افزاری که بسیار قابل توجه تر از موارد مشابه در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ها هستند مورد استفاده قرار می گیرند این ساختار کمک شایانی به تعاونی در برابر وابستگی بیش از اندازه به گروه لاکس می کند و باعث استمرار کسب و کار آن در دراز مدت خواهد گشت</w:t>
      </w:r>
      <w:r>
        <w:rPr>
          <w:rFonts w:eastAsia="IRNazanin" w:cs="IRNazanin"/>
          <w:color w:val="111111"/>
          <w:sz w:val="28"/>
          <w:szCs w:val="28"/>
          <w:rtl w:val="true"/>
          <w:lang w:bidi="fa-IR"/>
        </w:rPr>
        <w:t>.</w:t>
      </w:r>
    </w:p>
    <w:p>
      <w:pPr>
        <w:pStyle w:val="Heading3"/>
        <w:numPr>
          <w:ilvl w:val="2"/>
          <w:numId w:val="1"/>
        </w:numPr>
        <w:rPr/>
      </w:pPr>
      <w:bookmarkStart w:id="1202" w:name="__RefHeading___Toc7767128_2870459653"/>
      <w:bookmarkStart w:id="1203" w:name="_Toc439"/>
      <w:bookmarkEnd w:id="1202"/>
      <w:r>
        <w:rPr>
          <w:rtl w:val="true"/>
        </w:rPr>
        <w:t>استمرار</w:t>
      </w:r>
      <w:r>
        <w:rPr>
          <w:rtl w:val="true"/>
        </w:rPr>
        <w:t xml:space="preserve">: </w:t>
      </w:r>
      <w:r>
        <w:rPr>
          <w:rtl w:val="true"/>
        </w:rPr>
        <w:t>چند اصل کمکی</w:t>
      </w:r>
      <w:bookmarkEnd w:id="1203"/>
    </w:p>
    <w:p>
      <w:pPr>
        <w:pStyle w:val="BookText"/>
        <w:rPr/>
      </w:pPr>
      <w:r>
        <w:rPr>
          <w:rFonts w:ascii="IRNazanin" w:hAnsi="IRNazanin" w:eastAsia="IRNazanin"/>
          <w:color w:val="111111"/>
          <w:sz w:val="28"/>
          <w:sz w:val="28"/>
          <w:szCs w:val="28"/>
          <w:rtl w:val="true"/>
          <w:lang w:bidi="fa-IR"/>
        </w:rPr>
        <w:t>تعاونی فرا آرشیو چند اصل مؤثر در استمرار و پایداری اقتصادی کسب و کار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مهمترین آن ها به قرار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همیشه، از راه حل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لزوما به این دلیل که هزینه های کمتری را نسبت به راه حل های تجاری تحمیل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عموما چنین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علت که آن ها را می توان به صورت محلی مدیریت کرده و تغییر داد این یک ملاحظه مهم برای آن هایی است که عقیده دارند سازمان های میراث فرهنگی می بایست حق کنترل و دسترسی به محتوای رقومی محافظت شده را در اختیار داشته باشند و وابستگی به راه حل های منوط به دخالت شخص سوم را به حداقل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از مزیت های زیر ساخت مدیریتی موجود استفاده کنید از این اصل چنین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ایجاد زیر ساخت مدیریتی جدید بپرهیزید چنان که پیشتر نیز بیان شد ایدی پینت بخشی از یک عامل ایالتی یعنی شبکه کتابخانه های دانشگاهی آلاباما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مختلف، تعاونی فرا آرشیو با هدف مدیریت شبکه تصمیم به ایجاد یک موجودیت مدیریتی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اِدوکوپیا در آتلانتا، جرجیا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تصمیم به دلیل پراکندگی جغرافیایی شبکه در تعدای از ایالت ها و فقدان یک مرکز مدیریتی موجود و رضایتبخش ضروری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به نظر نمی رسد ترتیبات پیشگفته مانعی بر سر راه رشد شبکه باشد بر عکس، استقرار نظام مدیریت شبکه توسط یک نماینگی بی طرف می تواند از نگرانی ها بابت جانبداری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زلزل در تعهد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بکاهد و باعث افزایش جذابیت شبکه برای اعضای بالقوه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ساختار مدیریتی چابک را هدف خود قرار دهید همسان دیگر اشکال مدیریتی مدیریت شبکه حفاظت رقومی نیز مستلزم صرف زمان و پول است، بنا بر این ایجاد یک ساختار مدیریتی تا حد امکان ساده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 پینت و کوپول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 هر یک دارای دو کمیته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کمیته رهبری برای سیاستگذاری و یک کمیته فنی برای رسیدگی به موضوعات سخت افزاری و نرم افزاری تعاونی فرا آرشیو نیز از ساختار مدیریتی مشابهی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یک از این شبکه ها، به فراخور اندازه و پیچیدگی نسبی خود، از برنامه های ارتباطاتی مختلفی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آرشیو همایش های هفتگی را تشکیل می دهد کوپول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نرم افزار تحت وب اسکایپ، </w:t>
      </w:r>
      <w:r>
        <w:rPr>
          <w:rStyle w:val="FootnoteAnchor"/>
          <w:rtl w:val="true"/>
        </w:rPr>
        <w:footnoteReference w:id="1623"/>
      </w:r>
      <w:r>
        <w:rPr>
          <w:rFonts w:ascii="IRNazanin" w:hAnsi="IRNazanin" w:eastAsia="IRNazanin"/>
          <w:color w:val="111111"/>
          <w:sz w:val="28"/>
          <w:sz w:val="28"/>
          <w:szCs w:val="28"/>
          <w:rtl w:val="true"/>
          <w:lang w:bidi="fa-IR"/>
        </w:rPr>
        <w:t>ملاقات های هفتگی خود را با مخاطبان انجام می دهد و ای دی پی نت به صورت ماهانه همایش هایی را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بخش مهمی از ارتباطات هر سه این شبکه ها توسط پست الکترونیک صورت می گیرد ایده اصلی این شبکه ها تبدیل حفاظت رقومی به یک جریان عادی و دائمی، با هزینه نگهداری ،پایین و بخش جدا ناشدنی از فعالیت های یک مؤسسه مدیریت اطلاعات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 جا که ممکن است قدرت تصمیم سازی را به تک تک مؤسسه های عضو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بیشترین شناخت را از مجموعه های رقومی خود دارند و شایسته ترین مرجع برای تنظیم اولویت های حفاظتی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مالکیت شبکه را با وارد کردن همه اعضای شبکه در مدیریت و نگهداری آن توزیع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های کمیته رهبری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تصمیم ساز شبکه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یا دو سال در بین مؤسسه های شرکت کننده تعویض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حصول اطمینان از جریان ایده ها و رویکردهای تازه کمک می کند و موفقیت های شبکه را حاصل تلاش همه اعضاء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bookmarkStart w:id="1204" w:name="pg9653_82286"/>
    </w:p>
    <w:p>
      <w:pPr>
        <w:pStyle w:val="BookText"/>
        <w:rPr/>
      </w:pPr>
      <w:bookmarkEnd w:id="1204"/>
      <w:r>
        <w:rPr>
          <w:rFonts w:ascii="IRNazanin" w:hAnsi="IRNazanin" w:eastAsia="IRNazanin"/>
          <w:color w:val="111111"/>
          <w:sz w:val="28"/>
          <w:sz w:val="28"/>
          <w:szCs w:val="28"/>
          <w:rtl w:val="true"/>
          <w:lang w:bidi="fa-IR"/>
        </w:rPr>
        <w:t xml:space="preserve">مشابهی نیز در کوپول پی ال ان وجود دارد مدیریت تعاونی فرا آرشیو نیز گرچه تمایل به حضور متمرکزتر در دفتر مرکزی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همین هدف نیز ایجاد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مؤسسه های عضو در کمیته راهبری شبکه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شاید یک اصل بحث انگیز و غیر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صرف زمان خیلی زیاد برای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توجیه جزئیات مالی در حفاظت رقومی 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انجام چنین اموری در سطح ملی و یا در مورد سازمان های خیلی بزرگ و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کتابخانه ها و اسناد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باشد اما در مورد سطوح محلی کم فایده هستند این واقعیتی آشکار است که مؤسسه ها منابع مهمی را در ایجاد مجموعه های رقومی سرمایه گذاری می کنند و برای حراست از آن سرمایه ها باید که از این مجموعه های رقومی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کافی برای اجرای یک برنامه حفاظت رقومی است گرچه انجام این کار نیاز به برنامه ریزی و توزیع مسئولیت ها دارد اما نیازی به صرف کار و زمان برای رسیدگی به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غیر این صورت ممکن است علامتی برای فقدان تعهد سازمانی بلند مدت باشد</w:t>
      </w:r>
      <w:r>
        <w:rPr>
          <w:rFonts w:eastAsia="IRNazanin" w:cs="IRNazanin"/>
          <w:color w:val="111111"/>
          <w:sz w:val="28"/>
          <w:szCs w:val="28"/>
          <w:rtl w:val="true"/>
          <w:lang w:bidi="fa-IR"/>
        </w:rPr>
        <w:t>.</w:t>
      </w:r>
    </w:p>
    <w:p>
      <w:pPr>
        <w:pStyle w:val="Heading3"/>
        <w:numPr>
          <w:ilvl w:val="2"/>
          <w:numId w:val="1"/>
        </w:numPr>
        <w:rPr/>
      </w:pPr>
      <w:bookmarkStart w:id="1205" w:name="__RefHeading___Toc7767130_2870459653"/>
      <w:bookmarkStart w:id="1206" w:name="_Toc440"/>
      <w:bookmarkEnd w:id="1205"/>
      <w:r>
        <w:rPr>
          <w:rtl w:val="true"/>
        </w:rPr>
        <w:t>نتیجه گیری</w:t>
      </w:r>
      <w:r>
        <w:rPr>
          <w:rtl w:val="true"/>
        </w:rPr>
        <w:t xml:space="preserve">: </w:t>
      </w:r>
      <w:r>
        <w:rPr>
          <w:rtl w:val="true"/>
        </w:rPr>
        <w:t>تداوم و پایداری</w:t>
      </w:r>
      <w:bookmarkEnd w:id="1206"/>
    </w:p>
    <w:p>
      <w:pPr>
        <w:pStyle w:val="BookText"/>
        <w:rPr/>
      </w:pPr>
      <w:r>
        <w:rPr>
          <w:rFonts w:ascii="IRNazanin" w:hAnsi="IRNazanin" w:eastAsia="IRNazanin"/>
          <w:color w:val="111111"/>
          <w:sz w:val="28"/>
          <w:sz w:val="28"/>
          <w:szCs w:val="28"/>
          <w:rtl w:val="true"/>
          <w:lang w:bidi="fa-IR"/>
        </w:rPr>
        <w:t>تعاونی فرا آرشیو،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 و دیگر شبکه های خصوصی لاکس نشان دادند که ذخیره سازی رونوشت های مشابه از محتواهای رقومی در مکان های چندگانه و پراکنده، از نظر جغرافیایی باعث افزایش امکان بقای آن محتواها می شود و اطمینان خاطر از تداوم خدمات رقومی کتابخانه ای را فراهم می آورد در تمرین های برنامه ریزی شده و برنامه ریزی نشده ای که با هدف ترمیم آثار فاجعه انجام شده ،است این شبکه ها بودند که استحکام اصلی را که حفاظت رقومی توزیع شده بر آن قرار گرفته است به اثبات رساندند گرچه این امر در جای خود پیروزی قابل توجهی به شمار می رود اما مزایای دیگر نیز وجود دارند رابرت فکس از دانشگاه نتردام تعدادی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حفاظت رقومی نظیر به نظیر </w:t>
      </w:r>
      <w:r>
        <w:rPr>
          <w:rStyle w:val="FootnoteAnchor"/>
          <w:rtl w:val="true"/>
        </w:rPr>
        <w:footnoteReference w:id="1624"/>
      </w:r>
      <w:r>
        <w:rPr>
          <w:rFonts w:ascii="IRNazanin" w:hAnsi="IRNazanin" w:eastAsia="IRNazanin"/>
          <w:color w:val="111111"/>
          <w:sz w:val="28"/>
          <w:sz w:val="28"/>
          <w:szCs w:val="28"/>
          <w:rtl w:val="true"/>
          <w:lang w:bidi="fa-IR"/>
        </w:rPr>
        <w:t>را معرفی کرد که شامل این موارد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پشتیبانی انبارهای از مؤسسه های هم نقش و ارتقاء سطح آگاهی با توجه به حفاظت سرمایه های کلیدی رقومی؛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ارتقاء پایگاه دانش مورد نیاز برای نگهداری سیستم های حفاظتی در حال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فرصت بررسی اعتبار، به ویژه در سیستم هایی که از روش رای گیری برای بررسی یکپارچگی فایل استفاده می کنند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های حفاظت قومی، همچنین فرصت های ممتازی را برای مشارکت های بین المللی ارائه </w:t>
      </w:r>
      <w:bookmarkStart w:id="1207" w:name="pg9653_82287"/>
    </w:p>
    <w:p>
      <w:pPr>
        <w:pStyle w:val="BookText"/>
        <w:rPr/>
      </w:pPr>
      <w:bookmarkEnd w:id="1207"/>
      <w:r>
        <w:rPr>
          <w:rFonts w:ascii="IRNazanin" w:hAnsi="IRNazanin" w:eastAsia="IRNazanin"/>
          <w:color w:val="111111"/>
          <w:sz w:val="28"/>
          <w:sz w:val="28"/>
          <w:szCs w:val="28"/>
          <w:rtl w:val="true"/>
          <w:lang w:bidi="fa-IR"/>
        </w:rPr>
        <w:t>می کنند؛ نکته ای که در یک همایش بین المللی که کتابخانه هایی از بسیاری از کشورها در آن شرکت داشتند، به عنوان یک ارزش ،ویژه بر آن تاکید شد پراکندگی جغرافیایی گره های لاکس یکی از ویژگی های بسیار مهم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پی است به گونه ای که هر چه انباره های لاکس دورافتاده تر باشند امکان بقای شبکه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نکات برجسته شده در این مقاله بتواند دیگر مؤسسه ها را به اهمیت حیاتی فناوری حفاظت رقومی توزیع شده برای مجموعه های رقومی ایشان واقف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نکته آن که حفاظت رقومی، به طور گسترده ای به عنوان یک التزام پیچیده و پر هزینه شناخته شده است که به سال ها برنامه ریزی و تزریق پول های هنگفت و دیگر منابع نیاز دارد آن چنان که فاکس توضیح می دهد موضوعات پیرامونی حفاظت رقومی بلند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علت پیچیدگی مبحث، بلکه به خاطر تعهد زمانی که برای اجرای سیستم های حفاظتی قدرتمند مورد نیاز است، ترس آور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ممکن است در برخی از شرایط درست باشد اما لزوماً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شبکه های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آمریکای شمالی نشان می دهد ایجاد راه حل های حفاظتی قدرتمند، انعطاف پذیر و از نظر اقتصادی پایدار با استفاده از منابع نسبتا کم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تعمیم چنین راه حلی به انواع مختلف مؤسسه ها واقع در ایالات و استان ها و کشورهای مختلف امکان دارد تعاونی فرا آرشیو به معنای واقعی، یک شبکه حفاظت بین المللی با سازمان های عضو واقع در برزیل اسپانیا و انگلستان است ارتباط دو جانبه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 کوپول نمونه ای از دو شبکه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مستقل است که در مرزهای ملی به شکلی مؤثر تشریک مساعی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فرا آرشیو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 نشان داده اند که لاکس مبتنی بر دیدی پی در دسترسی مداوم به محتواهای رقومی حتی در شرایط آسیب های جدی سیستم، قابل اطمینان هستند در مجموع نمونه کارهای پیشگفته راه حل های فناورانه انعطاف پذیر را نشان می دهند و دلیلی بر این مدعا هستند که ایجاد شبکه های حفاظت رقومی کم هزینه و پایدار در سطح بین المللی امکان پذیر است</w:t>
      </w:r>
      <w:r>
        <w:rPr>
          <w:rFonts w:eastAsia="IRNazanin" w:cs="IRNazanin"/>
          <w:color w:val="111111"/>
          <w:sz w:val="28"/>
          <w:szCs w:val="28"/>
          <w:rtl w:val="true"/>
          <w:lang w:bidi="fa-IR"/>
        </w:rPr>
        <w:t>.</w:t>
      </w:r>
    </w:p>
    <w:p>
      <w:pPr>
        <w:pStyle w:val="Heading3"/>
        <w:numPr>
          <w:ilvl w:val="2"/>
          <w:numId w:val="1"/>
        </w:numPr>
        <w:rPr/>
      </w:pPr>
      <w:bookmarkStart w:id="1208" w:name="__RefHeading___Toc7767132_2870459653"/>
      <w:bookmarkStart w:id="1209" w:name="_Toc441"/>
      <w:bookmarkEnd w:id="1208"/>
      <w:r>
        <w:rPr>
          <w:rtl w:val="true"/>
        </w:rPr>
        <w:t>تقدیر و تشکر</w:t>
      </w:r>
      <w:bookmarkEnd w:id="1209"/>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این مقاله از دکتر کاترین اسکینر مدیر اجرایی مؤسسه ادوکوپیا، به خاطر نکات مفیدی که در پیش نویس این مقاله ارائه،کرد تقدیر و تشکر می کنند نویسندگان همچنین، مسئولیت کامل مقاله و نتیجه گیری آن را به عهده می گیرند </w:t>
      </w:r>
      <w:bookmarkStart w:id="1210" w:name="pg9653_82288"/>
    </w:p>
    <w:p>
      <w:pPr>
        <w:pStyle w:val="Heading3"/>
        <w:numPr>
          <w:ilvl w:val="2"/>
          <w:numId w:val="1"/>
        </w:numPr>
        <w:rPr/>
      </w:pPr>
      <w:bookmarkStart w:id="1211" w:name="__RefHeading___Toc7767134_2870459653"/>
      <w:bookmarkStart w:id="1212" w:name="_Toc442"/>
      <w:bookmarkEnd w:id="1210"/>
      <w:bookmarkEnd w:id="1211"/>
      <w:r>
        <w:rPr>
          <w:rtl w:val="true"/>
        </w:rPr>
        <w:t>منابع</w:t>
      </w:r>
      <w:bookmarkEnd w:id="1212"/>
    </w:p>
    <w:p>
      <w:pPr>
        <w:pStyle w:val="BookText"/>
        <w:rPr/>
      </w:pPr>
      <w:r>
        <w:rPr>
          <w:rFonts w:eastAsia="Times New Roman" w:cs="Times New Roman" w:ascii="Times New Roman" w:hAnsi="Times New Roman"/>
          <w:color w:val="111111"/>
          <w:sz w:val="28"/>
          <w:szCs w:val="28"/>
          <w:lang w:val="en-US" w:bidi="en-US"/>
        </w:rPr>
        <w:t>Alabama Digital Preservation Network (ADPNet): http://adpn.org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Alabama Mosaic: http://www.alabamamosaic.org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Blue Ribbon Task Force on Sustainable Digital Preservation and Access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BRTF-SDPA 2008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Sustainable the Digital Investment: Issues and Challenges of</w:t>
      </w:r>
    </w:p>
    <w:p>
      <w:pPr>
        <w:pStyle w:val="BookText"/>
        <w:rPr/>
      </w:pPr>
      <w:r>
        <w:rPr>
          <w:rFonts w:eastAsia="Times New Roman" w:cs="Times New Roman" w:ascii="Times New Roman" w:hAnsi="Times New Roman"/>
          <w:color w:val="111111"/>
          <w:sz w:val="28"/>
          <w:szCs w:val="28"/>
          <w:lang w:val="en-US" w:bidi="en-US"/>
        </w:rPr>
        <w:t>Economically Sustainable Digital Preservation. Interim Report of the Blue Ribbon</w:t>
      </w:r>
    </w:p>
    <w:p>
      <w:pPr>
        <w:pStyle w:val="BookText"/>
        <w:rPr/>
      </w:pPr>
      <w:r>
        <w:rPr>
          <w:rFonts w:eastAsia="Times New Roman" w:cs="Times New Roman" w:ascii="Times New Roman" w:hAnsi="Times New Roman"/>
          <w:color w:val="111111"/>
          <w:sz w:val="28"/>
          <w:szCs w:val="28"/>
          <w:lang w:val="en-US" w:bidi="en-US"/>
        </w:rPr>
        <w:t>Task Force on Sustainable Digital Preservation and Access: http://brtf.sdsc.edu/ biblio/BRTF Interim Report.pdf</w:t>
      </w:r>
    </w:p>
    <w:p>
      <w:pPr>
        <w:pStyle w:val="BookText"/>
        <w:rPr/>
      </w:pPr>
      <w:r>
        <w:rPr>
          <w:rFonts w:eastAsia="Times New Roman" w:cs="Times New Roman" w:ascii="Times New Roman" w:hAnsi="Times New Roman"/>
          <w:color w:val="111111"/>
          <w:sz w:val="28"/>
          <w:szCs w:val="28"/>
          <w:lang w:val="en-US" w:bidi="en-US"/>
        </w:rPr>
        <w:t>Blue Ribbon Task Force on Sustainable Digital Preservation and Access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BRTF-SDPA 2010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Sustainable Economics for a Digital Planet: Ensuring Long-Term Access to Digital Information. Final Report of the Blue Ribbon Task</w:t>
      </w:r>
    </w:p>
    <w:p>
      <w:pPr>
        <w:pStyle w:val="BookText"/>
        <w:rPr/>
      </w:pPr>
      <w:r>
        <w:rPr>
          <w:rFonts w:eastAsia="Times New Roman" w:cs="Times New Roman" w:ascii="Times New Roman" w:hAnsi="Times New Roman"/>
          <w:color w:val="111111"/>
          <w:sz w:val="28"/>
          <w:szCs w:val="28"/>
          <w:lang w:val="en-US" w:bidi="en-US"/>
        </w:rPr>
        <w:t>Force on Sustainable Digital Preservation and Access: http://brtf.sdsc.edu/biblio/ BRTF_Final_Report.pdf Chronopolis: http://chronopolis.sdsc.edu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Council of Prairie and Pacific University Libraries (COPPUL) Private LOCKSS Network: http://www.coppul.ca/pln.html Digital Curation Centre (DCC): http://www.dcc.ac.uk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Economist (2012). "History Flushed: the digital age promised vast libraries, but they remain incomplete". The Economist (April 28, 2012): http:// www.economist.com/node/21553410</w:t>
      </w:r>
    </w:p>
    <w:p>
      <w:pPr>
        <w:pStyle w:val="BookText"/>
        <w:rPr/>
      </w:pPr>
      <w:r>
        <w:rPr>
          <w:rFonts w:eastAsia="Times New Roman" w:cs="Times New Roman" w:ascii="Times New Roman" w:hAnsi="Times New Roman"/>
          <w:color w:val="111111"/>
          <w:sz w:val="28"/>
          <w:szCs w:val="28"/>
          <w:lang w:val="en-US" w:bidi="en-US"/>
        </w:rPr>
        <w:t>Fox, R. (2011). "Forensics of digital librarianship". OCLC Systems &amp; Services 27 (4): pp. 264- 271. http://dx.doi.org/10.1108/10650751111182560 Joint Information Systems Committee (JISC): http://www.jisc.ac.uk</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Lavoie, B., and &amp; Dempsey, L. (2004). "Thirteen ways of looking at: digital preservation". DLib Magazine 10 (7/8): http://www.dlib.org/dlib/july04/ lavoie/07lavoie.html LOCKSS: http://www.lockss.org</w:t>
      </w:r>
      <w:r>
        <w:rPr>
          <w:rFonts w:eastAsia="Times New Roman" w:cs="Times New Roman" w:ascii="Times New Roman" w:hAnsi="Times New Roman"/>
          <w:color w:val="111111"/>
          <w:sz w:val="28"/>
          <w:szCs w:val="28"/>
          <w:rtl w:val="true"/>
          <w:lang w:val="en-US" w:bidi="en-US"/>
        </w:rPr>
        <w:t xml:space="preserve">/ </w:t>
      </w:r>
      <w:bookmarkStart w:id="1213" w:name="pg9653_82289"/>
    </w:p>
    <w:p>
      <w:pPr>
        <w:pStyle w:val="BookText"/>
        <w:rPr/>
      </w:pPr>
      <w:bookmarkEnd w:id="1213"/>
      <w:r>
        <w:rPr>
          <w:rFonts w:eastAsia="Times New Roman" w:cs="Times New Roman" w:ascii="Times New Roman" w:hAnsi="Times New Roman"/>
          <w:color w:val="111111"/>
          <w:sz w:val="28"/>
          <w:szCs w:val="28"/>
          <w:lang w:val="en-US" w:bidi="en-US"/>
        </w:rPr>
        <w:t>MetaArchive Cooperative: http://www.metaarchive.org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Digital Information Infrastructure and Preservation Program (NDIIPP): http://www.digitalpreservation.gov/ National Digital Stewardship Alliance (NDSA): http://www.digitalpreservation. gov/ndsa/ Network of Alabama Academic Libraries (NAAL): http://www.ache. state.al.us/NAAL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Skinner, K., &amp; Schultz, M., eds. (2010). A Guide to Distributed Digital Preservation. Atlanta, GA: Educopia Institute: http://www.metaarchive.org/ GDDP</w:t>
      </w:r>
    </w:p>
    <w:p>
      <w:pPr>
        <w:pStyle w:val="Heading3"/>
        <w:numPr>
          <w:ilvl w:val="2"/>
          <w:numId w:val="1"/>
        </w:numPr>
        <w:rPr/>
      </w:pPr>
      <w:bookmarkStart w:id="1214" w:name="__RefHeading___Toc7767136_2870459653"/>
      <w:bookmarkStart w:id="1215" w:name="_Toc443"/>
      <w:bookmarkEnd w:id="1214"/>
      <w:r>
        <w:rPr>
          <w:rtl w:val="true"/>
        </w:rPr>
        <w:t>مراجع</w:t>
      </w:r>
      <w:bookmarkEnd w:id="1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Fred Kaplan, The Wizards of Armageddon (New York: Simon and Schuster,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History Flushed: the digital age promised vast libraries, but they remain incomplete", The Economist (April 28, 2012): http://www.economist.com/node/21553410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Library of Congress, Digital Preservation: http://www.digitalpreservation. gov/; National Digital Stewardship Alliance (NDSA): http://www.digitalpreservation.gov/ ndsa/14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Digital Curation Centre (DCC): http://www.dcc.ac.uk</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BRTF-SDPA Final Report, p.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Katherine Skinner and Monika Mevenkamp, "Chapter 2: DDP Architecture", in Skinner, K. and Schultz, M. (eds.), A Guide to Distributed Digital Preservation (Atlanta, GA: Educopia Institute, 2010): pp. 12-13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LOCKSS Program: http://www.lockss.org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Private LOCKSS Networks listing: http://www.lockss.org/lockss/Private LOCKSS Networks</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MetaArchive Cooperative: http://www.metaarchive.org/; Alabama Digital Preservation Network (ADPNet): http://adpn.org; COPPUL Private LOCKSS Network: http://coppullockssgroup.pbworks.com/w/page/11478105/FrontPage</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Network of Alabama Academic Libraries (NAAL): http://www.ache.state. al.us/NAAL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more about the 2007 tornado in Enterprise, Alabama, see: http://en.wikipedia.org/wiki/Enterprise, Alabama</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more about the "2011 Super Outbreak", see http://en.wikipedia.org/ wiki/April 25- 28,_2011_tornado outbreak</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Documenting the American South: http://docsouth.unc.edu/; Digital Library of Georgia: http://dlg.galileo.usg.edu/?Welcome; AlabamaMosaic: http:// www.alabamamosaic.org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Guide is available at http://www.metaarchive.org/GDDP</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governance policies are available at the following locations: http://adpn.org/resources.html; http://coppullockssgroup.pbworks.com/w/page/11478105/ FrontPageGovernancePolicy; http://www.metaarchive.org/documentation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See the MetaArchive Cooperative's technical specifications document at http://www.metaarchive.org/documentation</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details on the different levels of membership, see the "ADPNet Membership Model" at http://adpn.org/resources.html</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BRTF-SDPA Final Report, p. 107. 15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Notable exceptions are Data-PASS (ICPSR/Odom Institute: http://www. data-pass.org/)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LuKII (Germany: http://www.lukii.hu-berlin.de/), both of which host their own infrastructures and undertake substantial research and development activities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See: http://www.metaarchive.org/how-to-join. Starting in 2012, the membership fee for the Collaborative category is calculated on a case-by-case basis in accordance with the number of member institutions in each consortium: see http://www.metaarchive.org/costs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Robert Fox (2011). "Forensics of digital librarianship", OCLC Systems &amp; Services 27 (4): p. 268. 22. Ibid., p. 271</w:t>
      </w:r>
      <w:r>
        <w:rPr>
          <w:rFonts w:eastAsia="Times New Roman" w:cs="Times New Roman" w:ascii="Times New Roman" w:hAnsi="Times New Roman"/>
          <w:color w:val="111111"/>
          <w:sz w:val="28"/>
          <w:szCs w:val="28"/>
          <w:rtl w:val="true"/>
          <w:lang w:val="en-US" w:bidi="en-US"/>
        </w:rPr>
        <w:t>.</w:t>
      </w:r>
      <w:bookmarkStart w:id="1216" w:name="pg9653_82292"/>
    </w:p>
    <w:p>
      <w:pPr>
        <w:pStyle w:val="Heading2"/>
        <w:numPr>
          <w:ilvl w:val="1"/>
          <w:numId w:val="1"/>
        </w:numPr>
        <w:rPr/>
      </w:pPr>
      <w:bookmarkStart w:id="1217" w:name="__RefHeading___Toc7767138_2870459653"/>
      <w:bookmarkStart w:id="1218" w:name="_Toc444"/>
      <w:bookmarkEnd w:id="1216"/>
      <w:bookmarkEnd w:id="1217"/>
      <w:r>
        <w:rPr>
          <w:rtl w:val="true"/>
        </w:rPr>
        <w:t>چکیده</w:t>
      </w:r>
      <w:bookmarkEnd w:id="1218"/>
    </w:p>
    <w:p>
      <w:pPr>
        <w:pStyle w:val="BookText"/>
        <w:rPr/>
      </w:pPr>
      <w:r>
        <w:rPr>
          <w:rFonts w:ascii="IRNazanin" w:hAnsi="IRNazanin" w:eastAsia="IRNazanin"/>
          <w:color w:val="111111"/>
          <w:sz w:val="28"/>
          <w:sz w:val="28"/>
          <w:szCs w:val="28"/>
          <w:rtl w:val="true"/>
          <w:lang w:bidi="fa-IR"/>
        </w:rPr>
        <w:t>امروزه کتابخانه های دانشگاهی و عمومی باید مرتبا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مروری برآن دسته از قابلیت های رهبری است که باعث موفقیت اجرای تغییرات عمدی و بزرگ در کتابخانه ها می شود نمونه آن را می توان در دانشگاه علوم کاربردی هامبورگ دید و بیشتر قابلیت های لازم در این زمینه را می توان در طول تحصیلات کارشناسی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کتابداری و اطلاع رسانی</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به دانشجویان توضیح داد عوامل مهم موفقیت طرح تغییر، اطلاع رسانی ایجاد ارتباطات و مشارکت اعضاء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پژوهش کیفی درباره رهبری در کتابخانه ها و رهبری در کتابخانه های دانشگاهی و عمومی در مواقع تغییر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پژوهش کمی در یک کتابخانه دانشگاهی بر روی تأثیر سبک رهبری تبادل گرا و تحول گرای مدیران عالی بر روی مدیران میانی و همچنین اعضای گروه از جمله تأثیر فرهنگ سازمانی سامان یافته است تحقیقات ذکر ،شده اهمیت این عوامل موفقیت على الخصوص قابلیت رهبری را در ایجاد ارتباط در مواقع تغییر نشان می دهند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دانشگاه علوم کاربردی هامبورگ، کتابخانه های دانشگاهی، کتابخانه های عمومی </w:t>
      </w:r>
      <w:bookmarkStart w:id="1219" w:name="pg9653_82293"/>
    </w:p>
    <w:p>
      <w:pPr>
        <w:pStyle w:val="Heading2"/>
        <w:numPr>
          <w:ilvl w:val="1"/>
          <w:numId w:val="1"/>
        </w:numPr>
        <w:rPr/>
      </w:pPr>
      <w:bookmarkStart w:id="1220" w:name="__RefHeading___Toc7767140_2870459653"/>
      <w:bookmarkStart w:id="1221" w:name="_Toc445"/>
      <w:bookmarkEnd w:id="1219"/>
      <w:bookmarkEnd w:id="1220"/>
      <w:r>
        <w:rPr>
          <w:rtl w:val="true"/>
        </w:rPr>
        <w:t>رهبری در مواقع تغییر</w:t>
      </w:r>
      <w:bookmarkEnd w:id="1221"/>
    </w:p>
    <w:p>
      <w:pPr>
        <w:pStyle w:val="Heading3"/>
        <w:numPr>
          <w:ilvl w:val="2"/>
          <w:numId w:val="1"/>
        </w:numPr>
        <w:rPr/>
      </w:pPr>
      <w:bookmarkStart w:id="1222" w:name="__RefHeading___Toc7767142_2870459653"/>
      <w:bookmarkStart w:id="1223" w:name="_Toc446"/>
      <w:bookmarkEnd w:id="1222"/>
      <w:r>
        <w:rPr>
          <w:rtl w:val="true"/>
        </w:rPr>
        <w:t>اشاره</w:t>
      </w:r>
      <w:bookmarkEnd w:id="1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در مواقع تغییر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 xml:space="preserve">نوشته پترا دارن </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عصمت مومنی </w:t>
      </w:r>
      <w:r>
        <w:rPr>
          <w:rStyle w:val="FootnoteAnchor"/>
          <w:rtl w:val="true"/>
        </w:rPr>
        <w:footnoteReference w:id="1628"/>
      </w:r>
    </w:p>
    <w:p>
      <w:pPr>
        <w:pStyle w:val="Heading3"/>
        <w:numPr>
          <w:ilvl w:val="2"/>
          <w:numId w:val="1"/>
        </w:numPr>
        <w:rPr/>
      </w:pPr>
      <w:bookmarkStart w:id="1224" w:name="__RefHeading___Toc7767144_2870459653"/>
      <w:bookmarkStart w:id="1225" w:name="_Toc447"/>
      <w:bookmarkEnd w:id="1224"/>
      <w:r>
        <w:rPr/>
        <w:t>1</w:t>
      </w:r>
      <w:r>
        <w:rPr>
          <w:rtl w:val="true"/>
        </w:rPr>
        <w:t xml:space="preserve">. </w:t>
      </w:r>
      <w:r>
        <w:rPr>
          <w:rtl w:val="true"/>
        </w:rPr>
        <w:t xml:space="preserve">قابلیت های مورد نیاز در مدیریت تغییر و رهبری، برای موفقیت در تغییرات عمدی و بزرگ </w:t>
      </w:r>
      <w:r>
        <w:rPr>
          <w:rtl w:val="true"/>
        </w:rPr>
        <w:t xml:space="preserve">- </w:t>
      </w:r>
      <w:r>
        <w:rPr>
          <w:rtl w:val="true"/>
        </w:rPr>
        <w:t xml:space="preserve">فعلی یا آتی </w:t>
      </w:r>
      <w:r>
        <w:rPr>
          <w:rtl w:val="true"/>
        </w:rPr>
        <w:t xml:space="preserve">- </w:t>
      </w:r>
      <w:r>
        <w:rPr>
          <w:rtl w:val="true"/>
        </w:rPr>
        <w:t>در کتابخانه ها</w:t>
      </w:r>
      <w:bookmarkEnd w:id="1225"/>
    </w:p>
    <w:p>
      <w:pPr>
        <w:pStyle w:val="Heading4"/>
        <w:numPr>
          <w:ilvl w:val="3"/>
          <w:numId w:val="1"/>
        </w:numPr>
        <w:rPr/>
      </w:pPr>
      <w:bookmarkStart w:id="1226" w:name="__RefHeading___Toc7767146_2870459653"/>
      <w:bookmarkStart w:id="1227" w:name="_Toc448"/>
      <w:bookmarkEnd w:id="1226"/>
      <w:r>
        <w:rPr>
          <w:rtl w:val="true"/>
        </w:rPr>
        <w:t>اشاره</w:t>
      </w:r>
      <w:bookmarkEnd w:id="1227"/>
    </w:p>
    <w:p>
      <w:pPr>
        <w:pStyle w:val="BookText"/>
        <w:rPr/>
      </w:pPr>
      <w:r>
        <w:rPr>
          <w:rFonts w:ascii="IRNazanin" w:hAnsi="IRNazanin" w:eastAsia="IRNazanin"/>
          <w:color w:val="111111"/>
          <w:sz w:val="28"/>
          <w:sz w:val="28"/>
          <w:szCs w:val="28"/>
          <w:rtl w:val="true"/>
          <w:lang w:bidi="fa-IR"/>
        </w:rPr>
        <w:t>کتابخانه ها همیشه شاهد تغییر و تحول بوده اند اما در ده سال گذشته میزان این تغییرات و همچنین سرعت و پیچیدگی آن ها به مراتب افزایش یافته و هنوز هم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مداوم، قاعده ای همیشگی در کتابخانه ها بوده و خواهد ماند البته نگاه این مقاله معطوف به تغییرات بزرگ و عمدی است که به مراتب پیچیدگی بالایی دارند و بسیاری از کارکنان را درگیر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نگاهی عمیق به سه مرحله تغییر لوین </w:t>
      </w:r>
      <w:r>
        <w:rPr>
          <w:rStyle w:val="FootnoteAnchor"/>
          <w:rtl w:val="true"/>
        </w:rPr>
        <w:footnoteReference w:id="1629"/>
      </w:r>
      <w:r>
        <w:rPr>
          <w:rFonts w:ascii="IRNazanin" w:hAnsi="IRNazanin" w:eastAsia="IRNazanin"/>
          <w:color w:val="111111"/>
          <w:sz w:val="28"/>
          <w:sz w:val="28"/>
          <w:szCs w:val="28"/>
          <w:rtl w:val="true"/>
          <w:lang w:bidi="fa-IR"/>
        </w:rPr>
        <w:t>به این نتیجه می رسیم که تغییرات عمدی در مقیاس های بزرگ در سازمان ها به برنامه ریزی، سازماندهی و همچنین یک سلسله قابلیت های معین رهبری نیاز دارند</w:t>
      </w:r>
      <w:r>
        <w:rPr>
          <w:rFonts w:eastAsia="IRNazanin" w:cs="IRNazanin"/>
          <w:color w:val="111111"/>
          <w:sz w:val="28"/>
          <w:szCs w:val="28"/>
          <w:rtl w:val="true"/>
          <w:lang w:bidi="fa-IR"/>
        </w:rPr>
        <w:t>.</w:t>
      </w:r>
    </w:p>
    <w:p>
      <w:pPr>
        <w:pStyle w:val="Heading4"/>
        <w:numPr>
          <w:ilvl w:val="3"/>
          <w:numId w:val="1"/>
        </w:numPr>
        <w:rPr/>
      </w:pPr>
      <w:bookmarkStart w:id="1228" w:name="__RefHeading___Toc7767148_2870459653"/>
      <w:bookmarkStart w:id="1229" w:name="_Toc449"/>
      <w:bookmarkEnd w:id="1228"/>
      <w:r>
        <w:rPr>
          <w:rtl w:val="true"/>
        </w:rPr>
        <w:t>مرحله اول خروج از انجماد</w:t>
      </w:r>
      <w:bookmarkEnd w:id="1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اول خروج از انجماد </w:t>
      </w:r>
      <w:r>
        <w:rPr>
          <w:rStyle w:val="FootnoteAnchor"/>
          <w:rtl w:val="true"/>
        </w:rPr>
        <w:footnoteReference w:id="1630"/>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عالی ابتدا تشخیص داد که تغییراتی در کتابخانه و یا در یکی از بخش ها مورد نیاز است و چشم اندازی از خواسته های آتی کاربران و همچنین متعهدان مالی به دست آورد، آن گاه باید تغییرات عمدی و بزرگ پیش رو را به کارکنان کتابخانه اعلام کند و دلایل این تغییرات را برای همه کسانی </w:t>
      </w:r>
      <w:bookmarkStart w:id="1230" w:name="pg9653_82294"/>
    </w:p>
    <w:p>
      <w:pPr>
        <w:pStyle w:val="BookText"/>
        <w:rPr/>
      </w:pPr>
      <w:bookmarkEnd w:id="1230"/>
      <w:r>
        <w:rPr>
          <w:rFonts w:ascii="IRNazanin" w:hAnsi="IRNazanin" w:eastAsia="IRNazanin"/>
          <w:color w:val="111111"/>
          <w:sz w:val="28"/>
          <w:sz w:val="28"/>
          <w:szCs w:val="28"/>
          <w:rtl w:val="true"/>
          <w:lang w:bidi="fa-IR"/>
        </w:rPr>
        <w:t xml:space="preserve">که تحت تأثیر آن تحولات قرار می گیرند شرح دهد تغییرات عمدی بزرگ، مثل راه اندازی آر اف آی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تشخیص هویت با فرکانس رادیویی</w:t>
      </w:r>
      <w:r>
        <w:rPr>
          <w:rFonts w:eastAsia="IRNazanin" w:cs="IRNazanin"/>
          <w:color w:val="111111"/>
          <w:sz w:val="28"/>
          <w:szCs w:val="28"/>
          <w:rtl w:val="true"/>
          <w:lang w:bidi="fa-IR"/>
        </w:rPr>
        <w:t xml:space="preserve">) </w:t>
      </w:r>
      <w:r>
        <w:rPr>
          <w:rStyle w:val="FootnoteAnchor"/>
          <w:rtl w:val="true"/>
        </w:rPr>
        <w:footnoteReference w:id="1631"/>
      </w:r>
      <w:r>
        <w:rPr>
          <w:rFonts w:ascii="IRNazanin" w:hAnsi="IRNazanin" w:eastAsia="IRNazanin"/>
          <w:color w:val="111111"/>
          <w:sz w:val="28"/>
          <w:sz w:val="28"/>
          <w:szCs w:val="28"/>
          <w:rtl w:val="true"/>
          <w:lang w:bidi="fa-IR"/>
        </w:rPr>
        <w:t>در نظام مدیریتی و یا تشکیل کارگروه و یا پرداخت حقوق مبتنی بر عملکرد به سادگی برای کارکنان قابل فهم نیست و باید برای ایشان توضیح داد</w:t>
      </w:r>
    </w:p>
    <w:p>
      <w:pPr>
        <w:pStyle w:val="Heading4"/>
        <w:numPr>
          <w:ilvl w:val="3"/>
          <w:numId w:val="1"/>
        </w:numPr>
        <w:rPr/>
      </w:pPr>
      <w:bookmarkStart w:id="1231" w:name="__RefHeading___Toc7767150_2870459653"/>
      <w:bookmarkStart w:id="1232" w:name="_Toc450"/>
      <w:bookmarkEnd w:id="1231"/>
      <w:r>
        <w:rPr>
          <w:rtl w:val="true"/>
        </w:rPr>
        <w:t>مرحله دوم تغییر</w:t>
      </w:r>
      <w:r>
        <w:rPr>
          <w:rtl w:val="true"/>
        </w:rPr>
        <w:t xml:space="preserve">/ </w:t>
      </w:r>
      <w:r>
        <w:rPr>
          <w:rtl w:val="true"/>
        </w:rPr>
        <w:t>حرکت</w:t>
      </w:r>
      <w:bookmarkEnd w:id="1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دوم تغییر حرکت </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همچنین در تمامی روند تغییر، باید درباره خود تحولات و پیشبرد آن ها اطلاع رسانی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در این مرحله باید به آن دسته از کارکنان که تحت تأثیر این تحولات بزرگ قرار می گیرند امکان شرکت در این روند تغییر را فراهم ساخت و دیدگاه های آن ها را نیز در این تغییرات اجتناب ناپذیر دخیل کرد این مرحله ای است که در آن نه تنها به مدیران و ترویج دهندگان تغییر بلکه به داوطلبان نیز برای انجام آزمایشی طرح نیاز داریم</w:t>
      </w:r>
      <w:r>
        <w:rPr>
          <w:rFonts w:eastAsia="IRNazanin" w:cs="IRNazanin"/>
          <w:color w:val="111111"/>
          <w:sz w:val="28"/>
          <w:szCs w:val="28"/>
          <w:rtl w:val="true"/>
          <w:lang w:bidi="fa-IR"/>
        </w:rPr>
        <w:t>.</w:t>
      </w:r>
    </w:p>
    <w:p>
      <w:pPr>
        <w:pStyle w:val="Heading4"/>
        <w:numPr>
          <w:ilvl w:val="3"/>
          <w:numId w:val="1"/>
        </w:numPr>
        <w:rPr/>
      </w:pPr>
      <w:bookmarkStart w:id="1233" w:name="__RefHeading___Toc7767152_2870459653"/>
      <w:bookmarkStart w:id="1234" w:name="_Toc451"/>
      <w:bookmarkEnd w:id="1233"/>
      <w:r>
        <w:rPr>
          <w:rtl w:val="true"/>
        </w:rPr>
        <w:t>مرحله سوم</w:t>
      </w:r>
      <w:r>
        <w:rPr>
          <w:rtl w:val="true"/>
        </w:rPr>
        <w:t xml:space="preserve">: </w:t>
      </w:r>
      <w:r>
        <w:rPr>
          <w:rtl w:val="true"/>
        </w:rPr>
        <w:t>انجماد مجدد</w:t>
      </w:r>
      <w:bookmarkEnd w:id="1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انجماد مجدد </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 xml:space="preserve">پس از آن که طرح تغییر به طور رسمی پایان یافت باید پیش از ارزیابی طرح زمانی را به آموزش فرایندهای جدید و چگونگی کار در این فرایندها اختصاص داد اگر برخی از جوانب تغییرات نیاز به تغییر مجدد دارند، فرایند را باید از نو و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انجماد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 گرفت در طول فرایندهای تغییر باید به تک تک کسانی که تحت تأثیر این تغییرات قرار می گیرند به عنوان یک شخص با نگرانی ها و دلواپسی های مشخص خودش و همچنین دانش تخصصی او در یک حوزه خاص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خودی خود نشان می دهد که وجود برخی از جوانب رهبری برای مدیریت صحیح تغییرات عمدی و بزرگ در کتابخانه ها لازم هستند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زیر، قابلیت هایی را نشان می دهد که می توانند به رهبران و همچنین ترویج دهندگان تغییر، در جهت انجام هرچه بهتر وظایفشان در طول طرح های تغییر کمک کنند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سودمند در مواقع تغییر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برای این که دانشجویان را برای رویارویی با تغییرات عمدی بزرگ در شغلشان آماده کنیم واحدهای درسی زیر در برنامه درسی دانشجویان دوره کارشناسی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کاربردی هامبورگ </w:t>
      </w:r>
      <w:r>
        <w:rPr>
          <w:rStyle w:val="FootnoteAnchor"/>
          <w:rtl w:val="true"/>
        </w:rPr>
        <w:footnoteReference w:id="1634"/>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کتابخانه و خدمات اطلاع رسانی </w:t>
      </w:r>
      <w:r>
        <w:rPr>
          <w:rStyle w:val="FootnoteAnchor"/>
          <w:rtl w:val="true"/>
        </w:rPr>
        <w:footnoteReference w:id="1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کنترل اطلاع رسانی </w:t>
      </w:r>
      <w:r>
        <w:rPr>
          <w:rStyle w:val="FootnoteAnchor"/>
          <w:rtl w:val="true"/>
        </w:rPr>
        <w:footnoteReference w:id="1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رسانه ها و کاربران </w:t>
      </w:r>
      <w:r>
        <w:rPr>
          <w:rStyle w:val="FootnoteAnchor"/>
          <w:rtl w:val="true"/>
        </w:rPr>
        <w:footnoteReference w:id="1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و تحلیل داده ها برای بازرگانی </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اجباری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کارآموزی ارتباطات </w:t>
      </w:r>
      <w:r>
        <w:rPr>
          <w:rStyle w:val="FootnoteAnchor"/>
          <w:rtl w:val="true"/>
        </w:rPr>
        <w:footnoteReference w:id="1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اجباری</w:t>
      </w:r>
      <w:r>
        <w:rPr>
          <w:rFonts w:eastAsia="IRNazanin" w:cs="IRNazanin"/>
          <w:color w:val="111111"/>
          <w:sz w:val="28"/>
          <w:szCs w:val="28"/>
          <w:rtl w:val="true"/>
          <w:lang w:bidi="fa-IR"/>
        </w:rPr>
        <w:t xml:space="preserve">) </w:t>
      </w:r>
      <w:bookmarkStart w:id="1235" w:name="pg9653_82296"/>
    </w:p>
    <w:p>
      <w:pPr>
        <w:pStyle w:val="BookText"/>
        <w:rPr/>
      </w:pPr>
      <w:bookmarkEnd w:id="1235"/>
      <w:r>
        <w:rPr>
          <w:rFonts w:ascii="IRNazanin" w:hAnsi="IRNazanin" w:eastAsia="IRNazanin"/>
          <w:color w:val="111111"/>
          <w:sz w:val="28"/>
          <w:sz w:val="28"/>
          <w:szCs w:val="28"/>
          <w:rtl w:val="true"/>
          <w:lang w:bidi="fa-IR"/>
        </w:rPr>
        <w:t xml:space="preserve">مدیریت منابع انسانی </w:t>
      </w:r>
      <w:r>
        <w:rPr>
          <w:rStyle w:val="FootnoteAnchor"/>
          <w:rtl w:val="true"/>
        </w:rPr>
        <w:footnoteReference w:id="1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اختیاری 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ها در مواقع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تغییر </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اختیاری 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برنامه درسی دوره کارشناسی ارشد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خدمات اطلاع رسانی</w:t>
      </w:r>
      <w:r>
        <w:rPr>
          <w:rFonts w:eastAsia="IRNazanin" w:cs="IRNazanin"/>
          <w:color w:val="111111"/>
          <w:sz w:val="28"/>
          <w:szCs w:val="28"/>
          <w:rtl w:val="true"/>
          <w:lang w:bidi="fa-IR"/>
        </w:rPr>
        <w:t xml:space="preserve">» </w:t>
      </w:r>
      <w:r>
        <w:rPr>
          <w:rStyle w:val="FootnoteAnchor"/>
          <w:rtl w:val="true"/>
        </w:rPr>
        <w:footnoteReference w:id="1642"/>
      </w:r>
      <w:r>
        <w:rPr>
          <w:rFonts w:ascii="IRNazanin" w:hAnsi="IRNazanin" w:eastAsia="IRNazanin"/>
          <w:color w:val="111111"/>
          <w:sz w:val="28"/>
          <w:sz w:val="28"/>
          <w:szCs w:val="28"/>
          <w:rtl w:val="true"/>
          <w:lang w:bidi="fa-IR"/>
        </w:rPr>
        <w:t>دانشگاه علوم کاربردی هامبورگ، یک دسته دروس اختیاری اجباری هستند که به دانشجویان درباره نحوه عملکرد در مواقع تغییر، اطلاعات سودمند بیشتری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دروس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یادگیرنده</w:t>
      </w:r>
      <w:r>
        <w:rPr>
          <w:rFonts w:eastAsia="IRNazanin" w:cs="IRNazanin"/>
          <w:color w:val="111111"/>
          <w:sz w:val="28"/>
          <w:szCs w:val="28"/>
          <w:rtl w:val="true"/>
          <w:lang w:bidi="fa-IR"/>
        </w:rPr>
        <w:t xml:space="preserve">» </w:t>
      </w:r>
      <w:r>
        <w:rPr>
          <w:rStyle w:val="FootnoteAnchor"/>
          <w:rtl w:val="true"/>
        </w:rPr>
        <w:footnoteReference w:id="16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طرح</w:t>
      </w:r>
      <w:r>
        <w:rPr>
          <w:rFonts w:eastAsia="IRNazanin" w:cs="IRNazanin"/>
          <w:color w:val="111111"/>
          <w:sz w:val="28"/>
          <w:szCs w:val="28"/>
          <w:rtl w:val="true"/>
          <w:lang w:bidi="fa-IR"/>
        </w:rPr>
        <w:t xml:space="preserve">» </w:t>
      </w:r>
      <w:r>
        <w:rPr>
          <w:rStyle w:val="FootnoteAnchor"/>
          <w:rtl w:val="true"/>
        </w:rPr>
        <w:footnoteReference w:id="1644"/>
      </w:r>
    </w:p>
    <w:p>
      <w:pPr>
        <w:pStyle w:val="Heading3"/>
        <w:numPr>
          <w:ilvl w:val="2"/>
          <w:numId w:val="1"/>
        </w:numPr>
        <w:rPr/>
      </w:pPr>
      <w:bookmarkStart w:id="1236" w:name="__RefHeading___Toc7767154_2870459653"/>
      <w:bookmarkStart w:id="1237" w:name="_Toc452"/>
      <w:bookmarkEnd w:id="1236"/>
      <w:r>
        <w:rPr/>
        <w:t>2</w:t>
      </w:r>
      <w:r>
        <w:rPr>
          <w:rtl w:val="true"/>
        </w:rPr>
        <w:t xml:space="preserve">. </w:t>
      </w:r>
      <w:r>
        <w:rPr>
          <w:rtl w:val="true"/>
        </w:rPr>
        <w:t>عوامل مهم موفقیت</w:t>
      </w:r>
      <w:r>
        <w:rPr>
          <w:rtl w:val="true"/>
        </w:rPr>
        <w:t xml:space="preserve">: </w:t>
      </w:r>
      <w:r>
        <w:rPr>
          <w:rtl w:val="true"/>
        </w:rPr>
        <w:t>اطلاع رسانی، ایجاد ارتباط و مشارکت</w:t>
      </w:r>
      <w:bookmarkEnd w:id="1237"/>
    </w:p>
    <w:p>
      <w:pPr>
        <w:pStyle w:val="Heading4"/>
        <w:numPr>
          <w:ilvl w:val="3"/>
          <w:numId w:val="1"/>
        </w:numPr>
        <w:rPr/>
      </w:pPr>
      <w:bookmarkStart w:id="1238" w:name="__RefHeading___Toc7767156_2870459653"/>
      <w:bookmarkStart w:id="1239" w:name="_Toc453"/>
      <w:bookmarkEnd w:id="1238"/>
      <w:r>
        <w:rPr>
          <w:rtl w:val="true"/>
        </w:rPr>
        <w:t>اشاره</w:t>
      </w:r>
      <w:bookmarkEnd w:id="1239"/>
    </w:p>
    <w:p>
      <w:pPr>
        <w:pStyle w:val="BookText"/>
        <w:rPr/>
      </w:pPr>
      <w:r>
        <w:rPr>
          <w:rFonts w:ascii="IRNazanin" w:hAnsi="IRNazanin" w:eastAsia="IRNazanin"/>
          <w:color w:val="111111"/>
          <w:sz w:val="28"/>
          <w:sz w:val="28"/>
          <w:szCs w:val="28"/>
          <w:rtl w:val="true"/>
          <w:lang w:bidi="fa-IR"/>
        </w:rPr>
        <w:t>معمولاً در خلال فرایند تغییر، سه پرسش برای اعضای گروه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تغییر می کنیم؟</w:t>
      </w:r>
    </w:p>
    <w:p>
      <w:pPr>
        <w:pStyle w:val="BookText"/>
        <w:rPr/>
      </w:pPr>
      <w:r>
        <w:rPr>
          <w:rFonts w:ascii="IRNazanin" w:hAnsi="IRNazanin" w:eastAsia="IRNazanin"/>
          <w:color w:val="111111"/>
          <w:sz w:val="28"/>
          <w:sz w:val="28"/>
          <w:szCs w:val="28"/>
          <w:rtl w:val="true"/>
          <w:lang w:bidi="fa-IR"/>
        </w:rPr>
        <w:t>اهداف این طرح تغییر چیست؟</w:t>
      </w:r>
    </w:p>
    <w:p>
      <w:pPr>
        <w:pStyle w:val="BookText"/>
        <w:rPr/>
      </w:pPr>
      <w:r>
        <w:rPr>
          <w:rFonts w:ascii="IRNazanin" w:hAnsi="IRNazanin" w:eastAsia="IRNazanin"/>
          <w:color w:val="111111"/>
          <w:sz w:val="28"/>
          <w:sz w:val="28"/>
          <w:szCs w:val="28"/>
          <w:rtl w:val="true"/>
          <w:lang w:bidi="fa-IR"/>
        </w:rPr>
        <w:t>معنای این طرح تغییر برای من به تنهایی چیست؟</w:t>
      </w:r>
    </w:p>
    <w:p>
      <w:pPr>
        <w:pStyle w:val="Heading4"/>
        <w:numPr>
          <w:ilvl w:val="3"/>
          <w:numId w:val="1"/>
        </w:numPr>
        <w:rPr/>
      </w:pPr>
      <w:bookmarkStart w:id="1240" w:name="__RefHeading___Toc7767158_2870459653"/>
      <w:bookmarkStart w:id="1241" w:name="_Toc454"/>
      <w:bookmarkEnd w:id="1240"/>
      <w:r>
        <w:rPr>
          <w:rtl w:val="true"/>
        </w:rPr>
        <w:t>اطلاع رسانی و ایجاد ارتباط</w:t>
      </w:r>
      <w:r>
        <w:rPr>
          <w:rtl w:val="true"/>
        </w:rPr>
        <w:t>:</w:t>
      </w:r>
      <w:bookmarkEnd w:id="1241"/>
    </w:p>
    <w:p>
      <w:pPr>
        <w:pStyle w:val="BookText"/>
        <w:rPr/>
      </w:pPr>
      <w:r>
        <w:rPr>
          <w:rFonts w:ascii="IRNazanin" w:hAnsi="IRNazanin" w:eastAsia="IRNazanin"/>
          <w:color w:val="111111"/>
          <w:sz w:val="28"/>
          <w:sz w:val="28"/>
          <w:szCs w:val="28"/>
          <w:rtl w:val="true"/>
          <w:lang w:bidi="fa-IR"/>
        </w:rPr>
        <w:t>اگر با همه کارکنان تبادل مرتب، مداوم و روشن درباره هدف و راهبردهای طرح و همچنین فواید آن انجام نشود فرایند تغییر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را باید به همان صحتی که در آن زمان از آن آگاهید، به دیگران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و بسته به مرحله طرح تغییر، رهبرها باید پرسش هایی را که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از خودشان بپرسند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ارتباط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 راهبردها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دریچه ای به سوی فهم متقابل و تقسیم امور بگشاید</w:t>
      </w:r>
      <w:r>
        <w:rPr>
          <w:rFonts w:eastAsia="IRNazanin" w:cs="IRNazanin"/>
          <w:color w:val="111111"/>
          <w:sz w:val="28"/>
          <w:szCs w:val="28"/>
          <w:rtl w:val="true"/>
          <w:lang w:bidi="fa-IR"/>
        </w:rPr>
        <w:t xml:space="preserve">. </w:t>
      </w:r>
      <w:bookmarkStart w:id="1242" w:name="pg9653_82297"/>
    </w:p>
    <w:p>
      <w:pPr>
        <w:pStyle w:val="BookText"/>
        <w:rPr/>
      </w:pPr>
      <w:bookmarkEnd w:id="1242"/>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مهم در طول مراحل طرح تغییر</w:t>
      </w:r>
    </w:p>
    <w:p>
      <w:pPr>
        <w:pStyle w:val="Heading4"/>
        <w:numPr>
          <w:ilvl w:val="3"/>
          <w:numId w:val="1"/>
        </w:numPr>
        <w:rPr/>
      </w:pPr>
      <w:bookmarkStart w:id="1243" w:name="__RefHeading___Toc7767160_2870459653"/>
      <w:bookmarkStart w:id="1244" w:name="_Toc455"/>
      <w:bookmarkEnd w:id="1243"/>
      <w:r>
        <w:rPr>
          <w:rtl w:val="true"/>
        </w:rPr>
        <w:t>مشارکت</w:t>
      </w:r>
      <w:bookmarkEnd w:id="1244"/>
    </w:p>
    <w:p>
      <w:pPr>
        <w:pStyle w:val="BookText"/>
        <w:rPr/>
      </w:pPr>
      <w:r>
        <w:rPr>
          <w:rFonts w:ascii="IRNazanin" w:hAnsi="IRNazanin" w:eastAsia="IRNazanin"/>
          <w:color w:val="111111"/>
          <w:sz w:val="28"/>
          <w:sz w:val="28"/>
          <w:szCs w:val="28"/>
          <w:rtl w:val="true"/>
          <w:lang w:bidi="fa-IR"/>
        </w:rPr>
        <w:t>باید نیازهای گروه و اعضای گروهی را که تحت تأثیر تغییر عمدی بزرگ قرار می گیرند بر آورد و تک تک اعضای گروه از آن مشارکت رضایت داشته باشند به این منظور باید یک ارتباط دو جانبه برقرار کرد؛ ارتباطی که از آن طریق می توان هم به گفته های اعضای گروه گوش سپرد و هم به آن ها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الخصوص باید پرسش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انجماد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 شوند با کارکنانی که درگیر طرح تغییر هستند و اعضای گروهی که تحت تأثیر این تغییرات بزرگ قرار دارند، در میان گذاشت</w:t>
      </w:r>
      <w:r>
        <w:rPr>
          <w:rFonts w:eastAsia="IRNazanin" w:cs="IRNazanin"/>
          <w:color w:val="111111"/>
          <w:sz w:val="28"/>
          <w:szCs w:val="28"/>
          <w:rtl w:val="true"/>
          <w:lang w:bidi="fa-IR"/>
        </w:rPr>
        <w:t>.</w:t>
      </w:r>
    </w:p>
    <w:p>
      <w:pPr>
        <w:pStyle w:val="Heading3"/>
        <w:numPr>
          <w:ilvl w:val="2"/>
          <w:numId w:val="1"/>
        </w:numPr>
        <w:rPr/>
      </w:pPr>
      <w:bookmarkStart w:id="1245" w:name="__RefHeading___Toc7767162_2870459653"/>
      <w:bookmarkStart w:id="1246" w:name="_Toc456"/>
      <w:bookmarkEnd w:id="1245"/>
      <w:r>
        <w:rPr/>
        <w:t>3</w:t>
      </w:r>
      <w:r>
        <w:rPr>
          <w:rtl w:val="true"/>
        </w:rPr>
        <w:t xml:space="preserve">. </w:t>
      </w:r>
      <w:r>
        <w:rPr>
          <w:rtl w:val="true"/>
        </w:rPr>
        <w:t>رهبری در کتابخانه ها</w:t>
      </w:r>
      <w:bookmarkEnd w:id="1246"/>
    </w:p>
    <w:p>
      <w:pPr>
        <w:pStyle w:val="Heading4"/>
        <w:numPr>
          <w:ilvl w:val="3"/>
          <w:numId w:val="1"/>
        </w:numPr>
        <w:rPr/>
      </w:pPr>
      <w:bookmarkStart w:id="1247" w:name="__RefHeading___Toc7767164_2870459653"/>
      <w:bookmarkStart w:id="1248" w:name="_Toc457"/>
      <w:bookmarkEnd w:id="1247"/>
      <w:r>
        <w:rPr>
          <w:rtl w:val="true"/>
        </w:rPr>
        <w:t>اشاره</w:t>
      </w:r>
      <w:bookmarkEnd w:id="1248"/>
    </w:p>
    <w:p>
      <w:pPr>
        <w:pStyle w:val="BookText"/>
        <w:rPr/>
      </w:pPr>
      <w:r>
        <w:rPr>
          <w:rFonts w:ascii="IRNazanin" w:hAnsi="IRNazanin" w:eastAsia="IRNazanin"/>
          <w:color w:val="111111"/>
          <w:sz w:val="28"/>
          <w:sz w:val="28"/>
          <w:szCs w:val="28"/>
          <w:rtl w:val="true"/>
          <w:lang w:bidi="fa-IR"/>
        </w:rPr>
        <w:t xml:space="preserve">یکی از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کاربردی هامبورگ در پایان نامه کارشناسی خود به بررسی موضوع رهبری در کتابخانه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 که مشخصه های سبک رهبری رهبران کتابخانه های دانشگاهی را بیابد، چهار مصاحبه تخصصی با آن ها انجام داده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از چهار رهبری که با آن ها مصاحبه شد، اظهار داشتند که سبک رهبری مشارکتی را </w:t>
      </w:r>
    </w:p>
    <w:p>
      <w:pPr>
        <w:pStyle w:val="BookText"/>
        <w:rPr/>
      </w:pPr>
      <w:r>
        <w:rPr>
          <w:rFonts w:ascii="IRNazanin" w:hAnsi="IRNazanin" w:eastAsia="IRNazanin"/>
          <w:color w:val="111111"/>
          <w:sz w:val="28"/>
          <w:sz w:val="28"/>
          <w:szCs w:val="28"/>
          <w:rtl w:val="true"/>
          <w:lang w:bidi="fa-IR"/>
        </w:rPr>
        <w:t xml:space="preserve">می پسندند و از آن روش استفاده می کنند؛ تنها یک نفر از آن میان تمایل بیشتری به سبک رهبری استبدادی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جالب آن که این همان رهبری است که اجرای مدیریت برمبنای اهداف را در کتابخانه اش ترجیح می دهد چراکه این کار را موجب همکاری بیشتر اعضاء می داند این مسئله نشان می دهد که برخی مواقع عوامل تعیین کننده ای منجر به یک سبک رهبری می شوند که شاید خواسته واقعی خود رهبران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گروهشان را بر اساس سبک مشارکتی رهبری می کنند اعضا را متخصص در حوزه کاریشان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به همین سبب به آن ها اجازه می دهند که در تصمیم گیری ها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ها بدون توجه به موقعیت اعضای گروه در رده بندی سازمانی وظایف را به عهده آن ها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این دسته از رهبران به خودشان، به عنوان مسئول هماهنگی با یک سلسله وظایف ادراکی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رهبران گفت که سبک رهبری استبدادی به خصوص اگر یک رهبر تازه کار آن سبک را در پیش گیرد در گروهی که مدتی با یکدیگر کار کرده اند و تجربه فراوان دارند قابل اجراء نیست اما در صورتی که اعضای گروه آموزش لازم را ندیده باشند یا اشخاصی باشند که در فضای خانواده خود در زمان کودکی فرایند اجتماعی شدن را با موفقیت سپری نکرده باشند در مورد موفقیت این نوع رهبری می توان استثنا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هم رفته باید سبک رهبری به گونه ای باشد که تا حدود مشخصی به اعضای گروه اطمینان و اتکا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رهبران می خواستند که اعضای گروهشان به طور مستقل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 زیادی صرف ایجاد ارتباط می کنند یکی از این رهبران به اهمیت گفتگوی رو در رو با اعضای گروهش به جای استفاده از پست الکترونیک در برقراری ارتباط با آن 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رهبر به همه اجازه دسترسی به تقویم برخط را می دهد و به این صورت اعضای گروه می توانند خودشان به طور مستقیم وقت ملاقات با رهبرشان را در تقویم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اعضای گروه تأثیر بسیاری در شکل دهی فعالیت های روزانه او به عنوان رهبر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رهبران به شکل منظم با اعضای گروه کار می کنند به طور مثال زمانی را برای حضور در بخش اطلاع رسانی کنار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گذارند این کار به آن ها اجازه می دهد تا با اعضای گروه خود گفت و گو کنند و از وظایف آن ها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بر مبنای اهداف، تنها در یکی از کتابخانه های مورد مطالعه اجرا می شود هر چند این روش مدیریتی نیز مشارکتی است و سه نفر از چهار رهبری که با آن ها مصاحبه شد فکر می کنند این روش مدیریتی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زمان بر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معقولی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تحقیق دیگر که برای رساله دکتری صورت گرفته درمیان موارد متعدد دیگری که نویسنده </w:t>
      </w:r>
      <w:bookmarkStart w:id="1249" w:name="pg9653_82299"/>
    </w:p>
    <w:p>
      <w:pPr>
        <w:pStyle w:val="BookText"/>
        <w:rPr/>
      </w:pPr>
      <w:bookmarkEnd w:id="1249"/>
      <w:r>
        <w:rPr>
          <w:rFonts w:ascii="IRNazanin" w:hAnsi="IRNazanin" w:eastAsia="IRNazanin"/>
          <w:color w:val="111111"/>
          <w:sz w:val="28"/>
          <w:sz w:val="28"/>
          <w:szCs w:val="28"/>
          <w:rtl w:val="true"/>
          <w:lang w:bidi="fa-IR"/>
        </w:rPr>
        <w:t>این رساله بررسی کرده است پژوهشگر به مطالعه تأثیر سبک رهبری مدیریت عالی بر روی مدیریت میانی و همچنین اعضای گروه پرداخته است به این منظور یک نظر سنجی کتبی از رهبران و کارکنان یک کتابخانه دانشگاهی به عمل آمد که به شکل مستقیم و یا غیر مستقیم در توسعه راهبردهای کتابخانه مشارکت کرده اند و یا تحت تأثیر اقدامات انجام شده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تحول گرا و همچنین رهبری تبادل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اطلاعات بیشتر،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این دو نوع سبک رهبری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عالی تأثیر مثبتی روی فرهنگ سازمانی مبتنی بر اعتماد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جزئیات فرهنگ سازمانی مبتنی بر اعتماد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فرهنگ سازمانی مبتنی بر اعتماد باعث ایجاد ابتکار عمل بالا و انعطاف پذیری زیاد در مدیریت میانی و در بین اعضای گروه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های رهبری تحول گرا و تبادل گرا</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50" w:name="__RefHeading___Toc7767166_2870459653"/>
      <w:bookmarkStart w:id="1251" w:name="_Toc458"/>
      <w:bookmarkEnd w:id="1250"/>
      <w:r>
        <w:rPr>
          <w:rtl w:val="true"/>
        </w:rPr>
        <w:t>فرهنگ سازمانی مبتنی بر اعتماد</w:t>
      </w:r>
      <w:bookmarkEnd w:id="1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سازمانی مبتنی بر اعتماد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رهبری تحول گرا برای اداره تغییرات بزرگ در کتابخانه 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تبادل گرا که برمبنای رفتار پاداش مشروط استوار است با رهبری تحول گرا در ارتباط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،رهبران باید هم تحول گرا و هم تبادل گرا باشند </w:t>
      </w:r>
      <w:bookmarkStart w:id="1252" w:name="pg9653_82300"/>
    </w:p>
    <w:p>
      <w:pPr>
        <w:pStyle w:val="Heading3"/>
        <w:numPr>
          <w:ilvl w:val="2"/>
          <w:numId w:val="1"/>
        </w:numPr>
        <w:rPr/>
      </w:pPr>
      <w:bookmarkStart w:id="1253" w:name="__RefHeading___Toc7767168_2870459653"/>
      <w:bookmarkStart w:id="1254" w:name="_Toc459"/>
      <w:bookmarkEnd w:id="1252"/>
      <w:bookmarkEnd w:id="1253"/>
      <w:r>
        <w:rPr/>
        <w:t>1</w:t>
      </w:r>
      <w:r>
        <w:rPr>
          <w:rtl w:val="true"/>
        </w:rPr>
        <w:t>.</w:t>
      </w:r>
      <w:r>
        <w:rPr>
          <w:rtl w:val="true"/>
        </w:rPr>
        <w:t>رهبری در خلال فرایندهای تغییر</w:t>
      </w:r>
      <w:bookmarkEnd w:id="1254"/>
    </w:p>
    <w:p>
      <w:pPr>
        <w:pStyle w:val="Heading4"/>
        <w:numPr>
          <w:ilvl w:val="3"/>
          <w:numId w:val="1"/>
        </w:numPr>
        <w:rPr/>
      </w:pPr>
      <w:bookmarkStart w:id="1255" w:name="__RefHeading___Toc7767170_2870459653"/>
      <w:bookmarkStart w:id="1256" w:name="_Toc460"/>
      <w:bookmarkEnd w:id="1255"/>
      <w:r>
        <w:rPr>
          <w:rtl w:val="true"/>
        </w:rPr>
        <w:t>اشاره</w:t>
      </w:r>
      <w:bookmarkEnd w:id="1256"/>
    </w:p>
    <w:p>
      <w:pPr>
        <w:pStyle w:val="BookText"/>
        <w:rPr/>
      </w:pPr>
      <w:r>
        <w:rPr>
          <w:rFonts w:ascii="IRNazanin" w:hAnsi="IRNazanin" w:eastAsia="IRNazanin"/>
          <w:color w:val="111111"/>
          <w:sz w:val="28"/>
          <w:sz w:val="28"/>
          <w:szCs w:val="28"/>
          <w:rtl w:val="true"/>
          <w:lang w:bidi="fa-IR"/>
        </w:rPr>
        <w:t>در این فصل از برخی یافته های جالب توجه یکی از طرح های تحقیقاتی سخن می گوییم که در دانشگاه علوم کاربردی هامبورگ و درباره جوانب رهبری در زمان تغییرات عمدی و بزرگ در کتابخانه 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تحقیق چند مصاحبه تخصصی با رهبران مدیریت میانی کتابخانه های دانشگاهی و عمومی و همچنین مدیران تغییر در کتابخانه ها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تحقیقاتی در پی آن است که بداند رهبران در طول طرح ،تغییر به چه می اندیشند آیا از دلواپسی ها، نگرانی ها و ترس های اعضای گروهشان آگاهی دارند و چگونه نسبت به آن واکنش نشان می دهند در طول فرایند تغییر با دیگر اعضاء پیوند آنان چگونه است و این که پس از پایان فرایند تغییر، آیا این رهبران با خود می اندیشند که شاید می توانستند و یا می بایست کار را بهتر از این انجام می دادند یا خیر</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تحقیق نمی گوید که طرح تغییر به خوبی انجام شده یا خیر، بلکه نشان می دهد که رهبران امروزه قادرند به آن چه کرده اند بیاندیشند و خیلی از این رهبران رفتارشان را در طول فرایند تغییر عوض کرده اند همچنین همه آن ها مجبور بودند از پس جوانب جدید رهبری برآیند</w:t>
      </w:r>
      <w:r>
        <w:rPr>
          <w:rFonts w:eastAsia="IRNazanin" w:cs="IRNazanin"/>
          <w:color w:val="111111"/>
          <w:sz w:val="28"/>
          <w:szCs w:val="28"/>
          <w:rtl w:val="true"/>
          <w:lang w:bidi="fa-IR"/>
        </w:rPr>
        <w:t xml:space="preserve">. </w:t>
      </w:r>
      <w:bookmarkStart w:id="1257" w:name="pg9653_82301"/>
    </w:p>
    <w:p>
      <w:pPr>
        <w:pStyle w:val="BookText"/>
        <w:rPr/>
      </w:pPr>
      <w:bookmarkEnd w:id="125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جدید رهبری</w:t>
      </w:r>
    </w:p>
    <w:p>
      <w:pPr>
        <w:pStyle w:val="BookText"/>
        <w:rPr/>
      </w:pPr>
      <w:r>
        <w:rPr>
          <w:rFonts w:ascii="IRNazanin" w:hAnsi="IRNazanin" w:eastAsia="IRNazanin"/>
          <w:color w:val="111111"/>
          <w:sz w:val="28"/>
          <w:sz w:val="28"/>
          <w:szCs w:val="28"/>
          <w:rtl w:val="true"/>
          <w:lang w:bidi="fa-IR"/>
        </w:rPr>
        <w:t xml:space="preserve">چگونه جنبه های جدید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شکل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کمک کند تا تغییرات عمدی بزرگ در کتابخانه کنترل شود؟ پاسخ در نمونه های پیش رو نشان داده شده است</w:t>
      </w:r>
      <w:r>
        <w:rPr>
          <w:rFonts w:eastAsia="IRNazanin" w:cs="IRNazanin"/>
          <w:color w:val="111111"/>
          <w:sz w:val="28"/>
          <w:szCs w:val="28"/>
          <w:rtl w:val="true"/>
          <w:lang w:bidi="fa-IR"/>
        </w:rPr>
        <w:t>.</w:t>
      </w:r>
    </w:p>
    <w:p>
      <w:pPr>
        <w:pStyle w:val="Heading4"/>
        <w:numPr>
          <w:ilvl w:val="3"/>
          <w:numId w:val="1"/>
        </w:numPr>
        <w:rPr/>
      </w:pPr>
      <w:bookmarkStart w:id="1258" w:name="__RefHeading___Toc7767172_2870459653"/>
      <w:bookmarkStart w:id="1259" w:name="_Toc461"/>
      <w:bookmarkEnd w:id="1258"/>
      <w:r>
        <w:rPr>
          <w:rtl w:val="true"/>
        </w:rPr>
        <w:t>رهبران و چشم اندازهای آن ها</w:t>
      </w:r>
      <w:r>
        <w:rPr>
          <w:rtl w:val="true"/>
        </w:rPr>
        <w:t>:</w:t>
      </w:r>
      <w:bookmarkEnd w:id="125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برای این که تغییرات عمدی بزرگ در کتابخانه ایجاد کنند، باید به جای این که فقط نسبت به تغییرات و فشارهای خارجی عکس العمل نشان ،بدهند گرایش ها و چالش های جدید را پیدا کنند و در انجام امور فعال باشند آن ها باید در کارشان نوآور و پیشگام باشند</w:t>
      </w:r>
      <w:r>
        <w:rPr>
          <w:rFonts w:eastAsia="IRNazanin" w:cs="IRNazanin"/>
          <w:color w:val="111111"/>
          <w:sz w:val="28"/>
          <w:szCs w:val="28"/>
          <w:rtl w:val="true"/>
          <w:lang w:bidi="fa-IR"/>
        </w:rPr>
        <w:t xml:space="preserve">. </w:t>
      </w:r>
      <w:bookmarkStart w:id="1260" w:name="pg9653_82302"/>
    </w:p>
    <w:p>
      <w:pPr>
        <w:pStyle w:val="Heading4"/>
        <w:numPr>
          <w:ilvl w:val="3"/>
          <w:numId w:val="1"/>
        </w:numPr>
        <w:rPr/>
      </w:pPr>
      <w:bookmarkStart w:id="1261" w:name="__RefHeading___Toc7767174_2870459653"/>
      <w:bookmarkStart w:id="1262" w:name="_Toc462"/>
      <w:bookmarkEnd w:id="1260"/>
      <w:bookmarkEnd w:id="1261"/>
      <w:r>
        <w:rPr>
          <w:rtl w:val="true"/>
        </w:rPr>
        <w:t>رهبران باید قابل اعتماد باشند</w:t>
      </w:r>
      <w:r>
        <w:rPr>
          <w:rtl w:val="true"/>
        </w:rPr>
        <w:t>:</w:t>
      </w:r>
      <w:bookmarkEnd w:id="1262"/>
    </w:p>
    <w:p>
      <w:pPr>
        <w:pStyle w:val="BookText"/>
        <w:rPr/>
      </w:pPr>
      <w:r>
        <w:rPr>
          <w:rFonts w:ascii="IRNazanin" w:hAnsi="IRNazanin" w:eastAsia="IRNazanin"/>
          <w:color w:val="111111"/>
          <w:sz w:val="28"/>
          <w:sz w:val="28"/>
          <w:szCs w:val="28"/>
          <w:rtl w:val="true"/>
          <w:lang w:bidi="fa-IR"/>
        </w:rPr>
        <w:t>در زمان ادغام یک کتابخانه دانشگاهی با یک بخش خدمات پشتیبانی اطلاعات رهبرانی که برای بخش خدمات پشتیبانی اطلاعات کار می کردند به تصمیم گرفته شده برای ادغام اعتراض کردند و مخالفت خود را با اعضای گروهشان در میان گذاشتند در عین حال این رهبران به مدیریت کتابخانه دانشگاهی گفتند که حاضر به همکاری هستند به این ترتیب به اعضای بخش خدمات پشتیبانی اطلاعات اطلاعات و تصمیمات ضد و نقیض می رسید این رهبری غیر شفاف و غیرقابل اطمینان باعث شد که اعضای گروه انگیزه خود را برای همکاری با رهبرانشان از دست بدهند و نخواهند بیش از این پشتیبان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موضوع را در یکی از نشست های معمولی بررسی وضعیت مطرح کردند و در نتیجه رؤسا مجبور به استعفا شدند</w:t>
      </w:r>
      <w:r>
        <w:rPr>
          <w:rFonts w:eastAsia="IRNazanin" w:cs="IRNazanin"/>
          <w:color w:val="111111"/>
          <w:sz w:val="28"/>
          <w:szCs w:val="28"/>
          <w:rtl w:val="true"/>
          <w:lang w:bidi="fa-IR"/>
        </w:rPr>
        <w:t>.</w:t>
      </w:r>
    </w:p>
    <w:p>
      <w:pPr>
        <w:pStyle w:val="Heading4"/>
        <w:numPr>
          <w:ilvl w:val="3"/>
          <w:numId w:val="1"/>
        </w:numPr>
        <w:rPr/>
      </w:pPr>
      <w:bookmarkStart w:id="1263" w:name="__RefHeading___Toc7767176_2870459653"/>
      <w:bookmarkStart w:id="1264" w:name="_Toc463"/>
      <w:bookmarkEnd w:id="1263"/>
      <w:r>
        <w:rPr>
          <w:rtl w:val="true"/>
        </w:rPr>
        <w:t>رهبران به عنوان مدیران تغییر</w:t>
      </w:r>
      <w:r>
        <w:rPr>
          <w:rtl w:val="true"/>
        </w:rPr>
        <w:t>:</w:t>
      </w:r>
      <w:bookmarkEnd w:id="1264"/>
    </w:p>
    <w:p>
      <w:pPr>
        <w:pStyle w:val="BookText"/>
        <w:rPr/>
      </w:pPr>
      <w:r>
        <w:rPr>
          <w:rFonts w:ascii="IRNazanin" w:hAnsi="IRNazanin" w:eastAsia="IRNazanin"/>
          <w:color w:val="111111"/>
          <w:sz w:val="28"/>
          <w:sz w:val="28"/>
          <w:szCs w:val="28"/>
          <w:rtl w:val="true"/>
          <w:lang w:bidi="fa-IR"/>
        </w:rPr>
        <w:t>رهبران باید خودشان مدیران تغییر باشند به همین ،منظور باید به ابزار و روش های مختلف مدیریت تغییر، مانند مراحل مختلف فرایند تغییر و همچنین مراحل متفاوت عکس العمل کارکنان به تغییر، اشراف داشته باشند و باید بدانند که مسائل چه رابطه ای با سبک رهبری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رهبران در مدت طرح تغییرش متوجه شد که کارکنان ابتدا مدت کوتاهی از این تغییر خوشحال می شوند ولی پیش از آن که سرانجام به مرحله پذیرش و کنار آمدن با تغییر برسند، از مرحله شک و دودلی نگرانی و عصبانیت عمیقی می گذرند</w:t>
      </w:r>
      <w:r>
        <w:rPr>
          <w:rFonts w:eastAsia="IRNazanin" w:cs="IRNazanin"/>
          <w:color w:val="111111"/>
          <w:sz w:val="28"/>
          <w:szCs w:val="28"/>
          <w:rtl w:val="true"/>
          <w:lang w:bidi="fa-IR"/>
        </w:rPr>
        <w:t>.</w:t>
      </w:r>
    </w:p>
    <w:p>
      <w:pPr>
        <w:pStyle w:val="Heading4"/>
        <w:numPr>
          <w:ilvl w:val="3"/>
          <w:numId w:val="1"/>
        </w:numPr>
        <w:rPr/>
      </w:pPr>
      <w:bookmarkStart w:id="1265" w:name="__RefHeading___Toc7767178_2870459653"/>
      <w:bookmarkStart w:id="1266" w:name="_Toc464"/>
      <w:bookmarkEnd w:id="1265"/>
      <w:r>
        <w:rPr>
          <w:rtl w:val="true"/>
        </w:rPr>
        <w:t>اعضای گروه و بقیه کسانی که در کتابخانه کار می کنند</w:t>
      </w:r>
      <w:bookmarkEnd w:id="1266"/>
    </w:p>
    <w:p>
      <w:pPr>
        <w:pStyle w:val="BookText"/>
        <w:rPr/>
      </w:pPr>
      <w:r>
        <w:rPr>
          <w:rFonts w:ascii="IRNazanin" w:hAnsi="IRNazanin" w:eastAsia="IRNazanin"/>
          <w:color w:val="111111"/>
          <w:sz w:val="28"/>
          <w:sz w:val="28"/>
          <w:szCs w:val="28"/>
          <w:rtl w:val="true"/>
          <w:lang w:bidi="fa-IR"/>
        </w:rPr>
        <w:t>حس اضطراب و نگرانی این افراد باید بازشناخته شود و باید به کسانی که مستقیماً تحت تأثیر تغییر مستقیم و بزرگ قرار می گیرند فرصت داد تا در طرح تغییر شرکت کنند یکی از مهمترین جوانب موفقیت طرح تغییر، فرایند ارتباط است رهبران برای این که بتوانند اضطراب و نگرانی اعضای گروهشان را نسبت به طرح تغییر کاهش دهند باید بیش از پیش با کارکنان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لزوما به این معنا نیست که ابزار ارتباط را تغییر دهند بلکه باید دفعات ارائه اطلاعات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یک طرح تغییر، رهبر طرح یاد گرفته بود که برخی از اطلاعات باید دو یا چند بار ارائه شوند و باید اطلاعات تکراری را با همان اشتیاق و اعتقاد محکم دفعه اول در اختیار کارکنان قرار داد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ارتباط شامل دیگر مدیران کتابخانه نیز می شود علی الخصوص مافوق خود رهبر باید در این مرحله وقت گذاشت و با آن ها سخن گفت، حتی اگر طرح تغییر با کمبود وقت روبرو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bookmarkStart w:id="1267" w:name="pg9653_82303"/>
    </w:p>
    <w:p>
      <w:pPr>
        <w:pStyle w:val="BookText"/>
        <w:rPr/>
      </w:pPr>
      <w:bookmarkEnd w:id="1267"/>
      <w:r>
        <w:rPr>
          <w:rFonts w:ascii="IRNazanin" w:hAnsi="IRNazanin" w:eastAsia="IRNazanin"/>
          <w:color w:val="111111"/>
          <w:sz w:val="28"/>
          <w:sz w:val="28"/>
          <w:szCs w:val="28"/>
          <w:rtl w:val="true"/>
          <w:lang w:bidi="fa-IR"/>
        </w:rPr>
        <w:t>از رهبران گفت که وقتی به گذشته فکر می کند به این نتیجه می رسد که بهتر بود به جای گفت و گوی تلفنی و یا بدتر از آن نوشتن ایمیل به مافوق خود، می رفت و حضوری با او ملاقات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رهبرانی که با آن ها در این طرح تحقیقاتی مصاحبه شد به طور کلی بر اهمیت شنیدن حرفهای اعضای گروه تأکید داشتند در مواقع فوق العاده مثلا زمانی که تغییر و تحولات عمدی و بزرگی در پیش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اعضای گروه را تحت تأثیر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نمی تواند بدون کمک دیگران کارها را به خوبی پیش ببرد به همین دلیل همیشه باید بین رهبر و اعضای گروه او، گفت و گوی خصوصی صورت بگیرد</w:t>
      </w:r>
      <w:r>
        <w:rPr>
          <w:rFonts w:eastAsia="IRNazanin" w:cs="IRNazanin"/>
          <w:color w:val="111111"/>
          <w:sz w:val="28"/>
          <w:szCs w:val="28"/>
          <w:rtl w:val="true"/>
          <w:lang w:bidi="fa-IR"/>
        </w:rPr>
        <w:t>.</w:t>
      </w:r>
    </w:p>
    <w:p>
      <w:pPr>
        <w:pStyle w:val="Heading3"/>
        <w:numPr>
          <w:ilvl w:val="2"/>
          <w:numId w:val="1"/>
        </w:numPr>
        <w:rPr/>
      </w:pPr>
      <w:bookmarkStart w:id="1268" w:name="__RefHeading___Toc7767180_2870459653"/>
      <w:bookmarkStart w:id="1269" w:name="_Toc465"/>
      <w:bookmarkEnd w:id="1268"/>
      <w:r>
        <w:rPr>
          <w:rtl w:val="true"/>
        </w:rPr>
        <w:t>نتیجه</w:t>
      </w:r>
      <w:bookmarkEnd w:id="1269"/>
    </w:p>
    <w:p>
      <w:pPr>
        <w:pStyle w:val="BookText"/>
        <w:rPr/>
      </w:pPr>
      <w:r>
        <w:rPr>
          <w:rFonts w:ascii="IRNazanin" w:hAnsi="IRNazanin" w:eastAsia="IRNazanin"/>
          <w:color w:val="111111"/>
          <w:sz w:val="28"/>
          <w:sz w:val="28"/>
          <w:szCs w:val="28"/>
          <w:rtl w:val="true"/>
          <w:lang w:bidi="fa-IR"/>
        </w:rPr>
        <w:t>رهبران در مواقع تغییر، نیاز به قابلیت های مخصوصی دارند تا به خوبی از پس تغییرات در کتابخانه برآیند آن ها باید نیازها و خواسته های کاربرانشان را بدانند نسبت به آن ها عکس العمل درست نشان دهند و بتوانند آینده خدمات اطلاع رسانی و متعاقب آن کتابخانه شان را پیش بینی کنند اما این ها کافی نیست علاوه بر قابلیت رهبران برای خلق چشم انداز و ایجاد راهبردهای نو برای کتابخانه آن ها باید با دقت و احتیاط با نگرانی ها و اضطراب اعضای گروهشان برخورد کنند کارکنان ممکن است در رویارویی با طرح های تغییر دچار نگرانی و ترس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باید این احساس منفی را شناسایی و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به همین دلیل دانشجویان علوم کتابداری و اطلاع رسانی باید جوانب رهبری و مدیریتی و همچنین مدیریت تغییر را در خود به خوبی بپرورانند تا برای نقش رهبری در آینده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دسته از رهبران مدیریت عالی و همچنین رهبران مدیریت میانی که براساس سبک رهبری تحول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آمیزه ای از سبک رهبری تبادل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سازمانی مبتنی بر اعتماد فعالیت می کنند بیش از دیگران به خصوص کسانی که بیشتر متکی به سبک رهبری استبدادی هستند می توانند از پس تغییرات عمدی بزرگ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رهبران باید چشم اندازی از آینده داشته باشند قابل اعتماد باشند، مثل مدیران تغییر عمل کنند، اضطراب و نگرانی اعضای گروهشان را شناسایی کنند و به اعضای گروه و دیگر کسانی که در کتابخانه کار می کنند و تحت تأثیر آن تغییر عمدی بزرگ قرار می گیرند فرصت مشارکت در طرح تغییر را بدهند مدیریت مبتنی بر اهداف به عنوان یک روش مشارکتی می تواند به انجام بهتر تغییرات بزرگ کمک کند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جنبه رهبری در مواقع تغییر، این است که با همه افراد تا جایی که می،شود ارتباط برقرار کرد تحقیقات بعدی در این زمینه می تواند به دنبال جواب این پرسش باشد که آیا روش های جدید </w:t>
      </w:r>
      <w:bookmarkStart w:id="1270" w:name="pg9653_82304"/>
    </w:p>
    <w:p>
      <w:pPr>
        <w:pStyle w:val="BookText"/>
        <w:rPr/>
      </w:pPr>
      <w:bookmarkEnd w:id="1270"/>
      <w:r>
        <w:rPr>
          <w:rFonts w:ascii="IRNazanin" w:hAnsi="IRNazanin" w:eastAsia="IRNazanin"/>
          <w:color w:val="111111"/>
          <w:sz w:val="28"/>
          <w:sz w:val="28"/>
          <w:szCs w:val="28"/>
          <w:rtl w:val="true"/>
          <w:lang w:bidi="fa-IR"/>
        </w:rPr>
        <w:t xml:space="preserve">ارتباطات مثل ویکی، بلاگ یا توئیتر می توانند به فرایند ارتباط کمک کنند یا خیر طرح تحقیقاتی بر روی جوانب رهبری در زمان تغییرات بزرگ در کتابخانه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دانشگاه علوم کاربردی هامبورگ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معناداری برای استفاده از این دست ابزار جدید ارتباطات نشان نمی دهد شاید دانستن این موضوع نیز جالب باشد که چگونه رهبران می توانند بهتر ارتباط ایجاد کنند؛ خصوصا این که چگونه هم به اعضای گروهشان اطلاع رسانی کنند و هم یک فرایند ارتباطی برقرار کنند و در طول طرح های تغییر، به صورت مرتب با دیگر اعضاء گفت و گو داشته باشند</w:t>
      </w:r>
      <w:r>
        <w:rPr>
          <w:rFonts w:eastAsia="IRNazanin" w:cs="IRNazanin"/>
          <w:color w:val="111111"/>
          <w:sz w:val="28"/>
          <w:szCs w:val="28"/>
          <w:rtl w:val="true"/>
          <w:lang w:bidi="fa-IR"/>
        </w:rPr>
        <w:t>.</w:t>
      </w:r>
    </w:p>
    <w:p>
      <w:pPr>
        <w:pStyle w:val="Heading3"/>
        <w:numPr>
          <w:ilvl w:val="2"/>
          <w:numId w:val="1"/>
        </w:numPr>
        <w:rPr/>
      </w:pPr>
      <w:bookmarkStart w:id="1271" w:name="__RefHeading___Toc7767182_2870459653"/>
      <w:bookmarkStart w:id="1272" w:name="_Toc466"/>
      <w:bookmarkEnd w:id="1271"/>
      <w:r>
        <w:rPr>
          <w:rtl w:val="true"/>
        </w:rPr>
        <w:t>یادداشت ها</w:t>
      </w:r>
      <w:bookmarkEnd w:id="1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TRANSFORMATIONALLEADERSHIP</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TRANSACTIONALLEADERSHIP</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Endnotes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1VAHS, Dietmar / LEISER, Wolf. Change Management in schwierigenZeiten. Erfolgsfaktoren und</w:t>
      </w:r>
    </w:p>
    <w:p>
      <w:pPr>
        <w:pStyle w:val="BookText"/>
        <w:rPr/>
      </w:pPr>
      <w:r>
        <w:rPr>
          <w:rFonts w:eastAsia="Times New Roman" w:cs="Times New Roman" w:ascii="Times New Roman" w:hAnsi="Times New Roman"/>
          <w:color w:val="111111"/>
          <w:sz w:val="28"/>
          <w:szCs w:val="28"/>
          <w:lang w:val="en-US" w:bidi="en-US"/>
        </w:rPr>
        <w:t>Handlungsempfehlungenfür die Gestaltung von Wiesbaden: Deutscher Veränderungsprozessen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Universitäts-Verlag, 2003 (second modified reprint in 2007). ISBN 978-3-8244- 0711-8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AVOLIO, Bruce J. / Bass, Bernard M. / Jung, Dongl. Re-examining the Components of</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Transformational and Transactional Leadership Using the Multifactor Leadership Questionnaire. In: Journal of Occupational and Organizational Psychology, Vol. 72, Issue 4, pp. 441 - 462, 1999</w:t>
      </w:r>
      <w:r>
        <w:rPr>
          <w:rFonts w:eastAsia="Times New Roman" w:cs="Times New Roman" w:ascii="Times New Roman" w:hAnsi="Times New Roman"/>
          <w:color w:val="111111"/>
          <w:sz w:val="28"/>
          <w:szCs w:val="28"/>
          <w:rtl w:val="true"/>
          <w:lang w:val="en-US" w:bidi="en-US"/>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3" w:name="pg9653_82306"/>
      <w:bookmarkStart w:id="1274" w:name="pg9653_82306"/>
      <w:bookmarkEnd w:id="1274"/>
    </w:p>
    <w:p>
      <w:pPr>
        <w:pStyle w:val="Heading2"/>
        <w:numPr>
          <w:ilvl w:val="1"/>
          <w:numId w:val="1"/>
        </w:numPr>
        <w:rPr/>
      </w:pPr>
      <w:bookmarkStart w:id="1275" w:name="pg9653_82306"/>
      <w:bookmarkStart w:id="1276" w:name="__RefHeading___Toc7767184_2870459653"/>
      <w:bookmarkStart w:id="1277" w:name="_Toc467"/>
      <w:bookmarkEnd w:id="1275"/>
      <w:bookmarkEnd w:id="1276"/>
      <w:r>
        <w:rPr>
          <w:rtl w:val="true"/>
        </w:rPr>
        <w:t>چکیده</w:t>
      </w:r>
      <w:bookmarkEnd w:id="1277"/>
    </w:p>
    <w:p>
      <w:pPr>
        <w:pStyle w:val="BookText"/>
        <w:rPr/>
      </w:pPr>
      <w:r>
        <w:rPr>
          <w:rFonts w:ascii="IRNazanin" w:hAnsi="IRNazanin" w:eastAsia="IRNazanin"/>
          <w:color w:val="111111"/>
          <w:sz w:val="28"/>
          <w:sz w:val="28"/>
          <w:szCs w:val="28"/>
          <w:rtl w:val="true"/>
          <w:lang w:bidi="fa-IR"/>
        </w:rPr>
        <w:t xml:space="preserve">به دنبال ارتقاء یادگیری جمعی بین کتابداران حرفه ای، این مقاله دربارۀ فنون مشارکت اطلاعات که در جامعه ای نمونه </w:t>
      </w:r>
      <w:r>
        <w:rPr>
          <w:rStyle w:val="FootnoteAnchor"/>
          <w:rtl w:val="true"/>
        </w:rPr>
        <w:footnoteReference w:id="1645"/>
      </w:r>
      <w:r>
        <w:rPr>
          <w:rFonts w:ascii="IRNazanin" w:hAnsi="IRNazanin" w:eastAsia="IRNazanin"/>
          <w:color w:val="111111"/>
          <w:sz w:val="28"/>
          <w:sz w:val="28"/>
          <w:szCs w:val="28"/>
          <w:rtl w:val="true"/>
          <w:lang w:bidi="fa-IR"/>
        </w:rPr>
        <w:t>صورت گرفته و مخصوص صنعت کتابداری برنامه ریزی شده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مقاله نشان می دهد که چگونه بهترین تمریناتی که در این کارگاه های جامعه نمونه به مشارکت گذاشته شده اند توسط ابزارهای شبکه های پیوسته اجتماعی برای ترویج حال و هوای مشارکت دانش فهرست بندی شده و قابل دسترس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مدیران کتابخانه ها روبه رو شدن با صفی از مشکلات در مقابل روش های سنتی یادگیری، یا یک کارمند دانش که می خواهد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چیزها را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نمونه می تواند به عنوان محیطی باشد که ما را قادر به جستجو و استفاده از تجربیات جدید می کند و بخش کاملی از این جامعه نمونه روی افزایش آگاهی و قابلیت های جمعی تمرکز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تجربه عملکرد ایجاد یک جامعه نمونه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مایا </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را برای مشتری هایمان که به طور برجسته ای از جامعه کتابخانه هستند تصویر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طریق مشاهدات و بحث رودررو به صورت پیوسته برای کشف گرایش های انگیزشی و مشارکت دانش ضمنی در جامعه استفاده کننده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اصلی این مقاله در مورد چگونگی استفاده از جامعه محلی نمونه است به عنوان اهرمی برای اشتراک دانش انتقال بهترین تمرین ها و ایجاد موفقیت دراز مدت کتابخانه ها و کتابداران حرفه ای که در آن ها شاغل هستند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نمونه، یادگیری غیر رسمی، اشتراک دانش ضمنی، مدیریت دانش </w:t>
      </w:r>
      <w:bookmarkStart w:id="1278" w:name="pg9653_82307"/>
    </w:p>
    <w:p>
      <w:pPr>
        <w:pStyle w:val="Heading2"/>
        <w:numPr>
          <w:ilvl w:val="1"/>
          <w:numId w:val="1"/>
        </w:numPr>
        <w:rPr/>
      </w:pPr>
      <w:bookmarkStart w:id="1279" w:name="__RefHeading___Toc7767186_2870459653"/>
      <w:bookmarkStart w:id="1280" w:name="_Toc468"/>
      <w:bookmarkEnd w:id="1278"/>
      <w:bookmarkEnd w:id="1279"/>
      <w:r>
        <w:rPr>
          <w:rtl w:val="true"/>
        </w:rPr>
        <w:t>گسترش کتابداری حرفه ای</w:t>
      </w:r>
      <w:r>
        <w:rPr>
          <w:rtl w:val="true"/>
        </w:rPr>
        <w:t xml:space="preserve">: </w:t>
      </w:r>
      <w:r>
        <w:rPr>
          <w:rtl w:val="true"/>
        </w:rPr>
        <w:t>نفوذ جوامع محلی نمونه</w:t>
      </w:r>
      <w:bookmarkEnd w:id="1280"/>
    </w:p>
    <w:p>
      <w:pPr>
        <w:pStyle w:val="Heading3"/>
        <w:numPr>
          <w:ilvl w:val="2"/>
          <w:numId w:val="1"/>
        </w:numPr>
        <w:rPr/>
      </w:pPr>
      <w:bookmarkStart w:id="1281" w:name="__RefHeading___Toc7767188_2870459653"/>
      <w:bookmarkStart w:id="1282" w:name="_Toc469"/>
      <w:bookmarkEnd w:id="1281"/>
      <w:r>
        <w:rPr>
          <w:rtl w:val="true"/>
        </w:rPr>
        <w:t>اشاره</w:t>
      </w:r>
      <w:bookmarkEnd w:id="1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کتابداری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جوامع محلی نمونه </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 xml:space="preserve">نوشته شوکرایا بنتی، حج یون، </w:t>
      </w:r>
      <w:r>
        <w:rPr>
          <w:rStyle w:val="FootnoteAnchor"/>
          <w:rtl w:val="true"/>
        </w:rPr>
        <w:footnoteReference w:id="1648"/>
      </w:r>
      <w:r>
        <w:rPr>
          <w:rFonts w:ascii="IRNazanin" w:hAnsi="IRNazanin" w:eastAsia="IRNazanin"/>
          <w:color w:val="111111"/>
          <w:sz w:val="28"/>
          <w:sz w:val="28"/>
          <w:szCs w:val="28"/>
          <w:rtl w:val="true"/>
          <w:lang w:bidi="fa-IR"/>
        </w:rPr>
        <w:t xml:space="preserve">گیتا آلبرت </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زهره میرحسینی </w:t>
      </w:r>
      <w:r>
        <w:rPr>
          <w:rStyle w:val="FootnoteAnchor"/>
          <w:rtl w:val="true"/>
        </w:rPr>
        <w:footnoteReference w:id="1650"/>
      </w:r>
    </w:p>
    <w:p>
      <w:pPr>
        <w:pStyle w:val="Heading3"/>
        <w:numPr>
          <w:ilvl w:val="2"/>
          <w:numId w:val="1"/>
        </w:numPr>
        <w:rPr/>
      </w:pPr>
      <w:bookmarkStart w:id="1283" w:name="__RefHeading___Toc7767190_2870459653"/>
      <w:bookmarkStart w:id="1284" w:name="_Toc470"/>
      <w:bookmarkEnd w:id="1283"/>
      <w:r>
        <w:rPr/>
        <w:t>1</w:t>
      </w:r>
      <w:r>
        <w:rPr>
          <w:rtl w:val="true"/>
        </w:rPr>
        <w:t xml:space="preserve">. </w:t>
      </w:r>
      <w:r>
        <w:rPr>
          <w:rtl w:val="true"/>
        </w:rPr>
        <w:t>مقدمه</w:t>
      </w:r>
      <w:bookmarkEnd w:id="1284"/>
    </w:p>
    <w:p>
      <w:pPr>
        <w:pStyle w:val="BookText"/>
        <w:rPr/>
      </w:pPr>
      <w:r>
        <w:rPr>
          <w:rFonts w:ascii="IRNazanin" w:hAnsi="IRNazanin" w:eastAsia="IRNazanin"/>
          <w:color w:val="111111"/>
          <w:sz w:val="28"/>
          <w:sz w:val="28"/>
          <w:szCs w:val="28"/>
          <w:rtl w:val="true"/>
          <w:lang w:bidi="fa-IR"/>
        </w:rPr>
        <w:t xml:space="preserve">سازمان ها کشف کرده اند که ارزش واقعی مدیریت دانش </w:t>
      </w:r>
      <w:r>
        <w:rPr>
          <w:rStyle w:val="FootnoteAnchor"/>
          <w:rtl w:val="true"/>
        </w:rPr>
        <w:footnoteReference w:id="1651"/>
      </w:r>
      <w:r>
        <w:rPr>
          <w:rFonts w:ascii="IRNazanin" w:hAnsi="IRNazanin" w:eastAsia="IRNazanin"/>
          <w:color w:val="111111"/>
          <w:sz w:val="28"/>
          <w:sz w:val="28"/>
          <w:szCs w:val="28"/>
          <w:rtl w:val="true"/>
          <w:lang w:bidi="fa-IR"/>
        </w:rPr>
        <w:t xml:space="preserve">در اشتراک گذاری عقاید و نگرش هایی است که مستند نشده اند و به سختی می توان آن ها را شمارش کرد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برای گردآوری دانش مزبور، از راه هایی که قابل استفاده و عملی باشد،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از طریق جوامع نمونه است یعنی گروه هایی از مردم که اطلاعات، نگرش، تجربه و ابزارها در مورد یک حوزه علاقه جمعی را به مشارکت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گذارند اجزا کلیدی این جوامع چنین است آن ها با اشتیاق و علاقه گردهم آمده اند، مردم را از راه های گوناگون مرتبط می کنند و در اعتماد سازی پیشرفت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چنین جوامع نمونه ای بر اساس نیاز مردم به جستجوی فراسازمانی برای عقایدشان و حمایت از آن ها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های پدیدار شده در بافت کتابخانه، در خدمت یادآوری این نکته به حرفه کتابداری است که به اشتراک گذاشتن دانش جمعی این اطمینان را می بخشد که صنعت کتابداری در محیط در حال تغییر، جاری و مرتبط باقی می ماند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نمونه نقش انتقادی در ارتقاء یادگیری و نوآوری در سازمان 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سوان، اسکاربرا و </w:t>
      </w:r>
      <w:bookmarkStart w:id="1285" w:name="pg9653_82308"/>
    </w:p>
    <w:p>
      <w:pPr>
        <w:pStyle w:val="BookText"/>
        <w:rPr/>
      </w:pPr>
      <w:bookmarkEnd w:id="1285"/>
      <w:r>
        <w:rPr>
          <w:rFonts w:ascii="IRNazanin" w:hAnsi="IRNazanin" w:eastAsia="IRNazanin"/>
          <w:color w:val="111111"/>
          <w:sz w:val="28"/>
          <w:sz w:val="28"/>
          <w:szCs w:val="28"/>
          <w:rtl w:val="true"/>
          <w:lang w:bidi="fa-IR"/>
        </w:rPr>
        <w:t xml:space="preserve">رابرتسون،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1652"/>
      </w:r>
      <w:r>
        <w:rPr>
          <w:rFonts w:ascii="IRNazanin" w:hAnsi="IRNazanin" w:eastAsia="IRNazanin"/>
          <w:color w:val="111111"/>
          <w:sz w:val="28"/>
          <w:sz w:val="28"/>
          <w:szCs w:val="28"/>
          <w:rtl w:val="true"/>
          <w:lang w:bidi="fa-IR"/>
        </w:rPr>
        <w:t>و ابزار بسیار قدرتمندی برای ایجاد امتیازات 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وقتی اتفاق می افتد که دانش ضمنی بتواند فیلتر کدگذاری و پردازش شده و به شکل قابل استفاده توسط یک واحد اقتصادی در آید و جوامع نمونه بتوانند آن را فیلتر یا پالایش کرده و به طرف شایستگی های سازمانی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مالون،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مقاله در این مورد بحث می کند که جوامع نمونه چگونه می توانند دانش را به مشارکت گذارند و ارتقا دهند بهترین عملکردها را منتقل یک محیط یادگیری برای کتابداران حرفه ای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مطالعه کشف این مطلب است که مشخص کند مشارکت کتابخانه ها تا چه میزان در جامعه نمونه کی مایا که ابزاری روی خط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غیر رسمی تاثیر داشته است و انواع دانشی را که در جامعه به مشارکت گذاشته شده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تاکید بر یادگیری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تنظیمات کلاس رسمی یا پشت 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مشاهده شده است که محیط کی مایا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های رودررو و ابزارهای جامعه نمونه روی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کلی هم به اشتراک دانش و هم به یادگیری درون جامعه کمک کرده است</w:t>
      </w:r>
      <w:r>
        <w:rPr>
          <w:rFonts w:eastAsia="IRNazanin" w:cs="IRNazanin"/>
          <w:color w:val="111111"/>
          <w:sz w:val="28"/>
          <w:szCs w:val="28"/>
          <w:rtl w:val="true"/>
          <w:lang w:bidi="fa-IR"/>
        </w:rPr>
        <w:t>.</w:t>
      </w:r>
    </w:p>
    <w:p>
      <w:pPr>
        <w:pStyle w:val="Heading3"/>
        <w:numPr>
          <w:ilvl w:val="2"/>
          <w:numId w:val="1"/>
        </w:numPr>
        <w:rPr/>
      </w:pPr>
      <w:bookmarkStart w:id="1286" w:name="__RefHeading___Toc7767192_2870459653"/>
      <w:bookmarkStart w:id="1287" w:name="_Toc471"/>
      <w:bookmarkEnd w:id="1286"/>
      <w:r>
        <w:rPr/>
        <w:t>2</w:t>
      </w:r>
      <w:r>
        <w:rPr>
          <w:rtl w:val="true"/>
        </w:rPr>
        <w:t xml:space="preserve">. </w:t>
      </w:r>
      <w:r>
        <w:rPr>
          <w:rtl w:val="true"/>
        </w:rPr>
        <w:t>مرور متون</w:t>
      </w:r>
      <w:bookmarkEnd w:id="1287"/>
    </w:p>
    <w:p>
      <w:pPr>
        <w:pStyle w:val="Heading4"/>
        <w:numPr>
          <w:ilvl w:val="3"/>
          <w:numId w:val="1"/>
        </w:numPr>
        <w:rPr/>
      </w:pPr>
      <w:bookmarkStart w:id="1288" w:name="__RefHeading___Toc7767194_2870459653"/>
      <w:bookmarkStart w:id="1289" w:name="_Toc472"/>
      <w:bookmarkEnd w:id="1288"/>
      <w:r>
        <w:rPr>
          <w:rtl w:val="true"/>
        </w:rPr>
        <w:t>اشاره</w:t>
      </w:r>
      <w:bookmarkEnd w:id="1289"/>
    </w:p>
    <w:p>
      <w:pPr>
        <w:pStyle w:val="BookText"/>
        <w:rPr/>
      </w:pPr>
      <w:r>
        <w:rPr>
          <w:rFonts w:ascii="IRNazanin" w:hAnsi="IRNazanin" w:eastAsia="IRNazanin"/>
          <w:color w:val="111111"/>
          <w:sz w:val="28"/>
          <w:sz w:val="28"/>
          <w:szCs w:val="28"/>
          <w:rtl w:val="true"/>
          <w:lang w:bidi="fa-IR"/>
        </w:rPr>
        <w:t xml:space="preserve">ساختار جامعه نمونه براساس سه جزء است دامنه منطقه فعالیت به عنوان ناحیه دانشی که جامعه را گرد هم می آورد جامعه به عنوان گروهی از افراد که برای آن ها آن دامنه مرتبط است و عملکرد به عنوان بدنه دانش، روش ها، ابزارها و داستان هایی که اعضا در آن شریک می شوند و آن را با هم توسعه می دهند جوامع نمونه سه جزء را متحد می کنند یعنی دانش افراد، و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ونگر سپس توضیح می دهد که جامعه نمونه خود را در سه بُعد شرح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دامنه </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مورد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عنوان های رایج، موضوعات کلیدی، مشکلات و موضوعاتی است که اعضا در کار روزانه شان مشترک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متقابلی که اعضا را به یک نهاد اجتماعی پیوند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قابلیت هایی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منابع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رویه ها احساسات، </w:t>
      </w:r>
      <w:bookmarkStart w:id="1290" w:name="pg9653_82309"/>
    </w:p>
    <w:p>
      <w:pPr>
        <w:pStyle w:val="BookText"/>
        <w:rPr/>
      </w:pPr>
      <w:bookmarkEnd w:id="1290"/>
      <w:r>
        <w:rPr>
          <w:rFonts w:ascii="IRNazanin" w:hAnsi="IRNazanin" w:eastAsia="IRNazanin"/>
          <w:color w:val="111111"/>
          <w:sz w:val="28"/>
          <w:sz w:val="28"/>
          <w:szCs w:val="28"/>
          <w:rtl w:val="true"/>
          <w:lang w:bidi="fa-IR"/>
        </w:rPr>
        <w:t>آثار باستانی، واژگان، سبک 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اعضا طی زمان گسترش داده اند</w:t>
      </w:r>
      <w:r>
        <w:rPr>
          <w:rFonts w:eastAsia="IRNazanin" w:cs="IRNazanin"/>
          <w:color w:val="111111"/>
          <w:sz w:val="28"/>
          <w:szCs w:val="28"/>
          <w:rtl w:val="true"/>
          <w:lang w:bidi="fa-IR"/>
        </w:rPr>
        <w:t>.</w:t>
      </w:r>
    </w:p>
    <w:p>
      <w:pPr>
        <w:pStyle w:val="Heading4"/>
        <w:numPr>
          <w:ilvl w:val="3"/>
          <w:numId w:val="1"/>
        </w:numPr>
        <w:rPr/>
      </w:pPr>
      <w:bookmarkStart w:id="1291" w:name="__RefHeading___Toc7767196_2870459653"/>
      <w:bookmarkStart w:id="1292" w:name="_Toc473"/>
      <w:bookmarkEnd w:id="1291"/>
      <w:r>
        <w:rPr/>
        <w:t>1-2</w:t>
      </w:r>
      <w:r>
        <w:rPr>
          <w:rtl w:val="true"/>
        </w:rPr>
        <w:t xml:space="preserve">- </w:t>
      </w:r>
      <w:r>
        <w:rPr>
          <w:rtl w:val="true"/>
        </w:rPr>
        <w:t>علاقه به جوامع نمونه</w:t>
      </w:r>
      <w:bookmarkEnd w:id="1292"/>
    </w:p>
    <w:p>
      <w:pPr>
        <w:pStyle w:val="BookText"/>
        <w:rPr/>
      </w:pPr>
      <w:r>
        <w:rPr>
          <w:rFonts w:ascii="IRNazanin" w:hAnsi="IRNazanin" w:eastAsia="IRNazanin"/>
          <w:color w:val="111111"/>
          <w:sz w:val="28"/>
          <w:sz w:val="28"/>
          <w:szCs w:val="28"/>
          <w:rtl w:val="true"/>
          <w:lang w:bidi="fa-IR"/>
        </w:rPr>
        <w:t xml:space="preserve">طبق نظر جانسن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 xml:space="preserve">یک دلیل اصلی برای افزایش علاقه به جوامع کوچک محلی نمونه، عدم رضایت از روش های یادگیری سنتی است که به عنوان یادگیری کدگذاری </w:t>
      </w:r>
      <w:r>
        <w:rPr>
          <w:rStyle w:val="FootnoteAnchor"/>
          <w:rtl w:val="true"/>
        </w:rPr>
        <w:footnoteReference w:id="1659"/>
      </w:r>
      <w:r>
        <w:rPr>
          <w:rFonts w:ascii="IRNazanin" w:hAnsi="IRNazanin" w:eastAsia="IRNazanin"/>
          <w:color w:val="111111"/>
          <w:sz w:val="28"/>
          <w:sz w:val="28"/>
          <w:szCs w:val="28"/>
          <w:rtl w:val="true"/>
          <w:lang w:bidi="fa-IR"/>
        </w:rPr>
        <w:t>شده،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که از یک مکان به جایی که کاربرد دارد منتقل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 کو و پاورز،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سازمان ها اغلب رابطه مستقیمی بین نتایج تجارت و سرمایه گذاری خود با روش های سنتی یادگیری نمی بینند برعکس انتقال دانش یادگیری سازمانی باید ویژگی هایی داشته باشد اشتراک دانش، اخذ تجارب، استفاده دوباره از تجارب ایجاد دانش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سازماندهی و حلّ مشکلات محل کار بر مبنای فرایند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و با روش همکاری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کالیس و ماگریین،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1661"/>
      </w:r>
      <w:r>
        <w:rPr>
          <w:rFonts w:ascii="IRNazanin" w:hAnsi="IRNazanin" w:eastAsia="IRNazanin"/>
          <w:color w:val="111111"/>
          <w:sz w:val="28"/>
          <w:sz w:val="28"/>
          <w:szCs w:val="28"/>
          <w:rtl w:val="true"/>
          <w:lang w:bidi="fa-IR"/>
        </w:rPr>
        <w:t xml:space="preserve">چنین یادگیری توسط جوامع محلی نمونه حمایت می شود با فراهم کردن سازماندهی یک زمینه فعال که به هر فرد یا گروه اجازه می دهد که یاد بگیرند چگونه فرایند به اشتراک گذاری دانش را انجام دهند مانند قصه گویی، مکالمه، مربیگری و کارآموزی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 xml:space="preserve">ونگر،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و اسنایدر،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1663"/>
      </w:r>
      <w:r>
        <w:rPr>
          <w:rFonts w:ascii="IRNazanin" w:hAnsi="IRNazanin" w:eastAsia="IRNazanin"/>
          <w:color w:val="111111"/>
          <w:sz w:val="28"/>
          <w:sz w:val="28"/>
          <w:szCs w:val="28"/>
          <w:rtl w:val="true"/>
          <w:lang w:bidi="fa-IR"/>
        </w:rPr>
        <w:t xml:space="preserve">لیو و ونگر،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برندز، </w:t>
      </w:r>
      <w:r>
        <w:rPr>
          <w:rStyle w:val="FootnoteAnchor"/>
          <w:rtl w:val="true"/>
        </w:rPr>
        <w:footnoteReference w:id="1664"/>
      </w:r>
      <w:r>
        <w:rPr>
          <w:rFonts w:ascii="IRNazanin" w:hAnsi="IRNazanin" w:eastAsia="IRNazanin"/>
          <w:color w:val="111111"/>
          <w:sz w:val="28"/>
          <w:sz w:val="28"/>
          <w:szCs w:val="28"/>
          <w:rtl w:val="true"/>
          <w:lang w:bidi="fa-IR"/>
        </w:rPr>
        <w:t xml:space="preserve">وانهاوربیک، </w:t>
      </w:r>
      <w:r>
        <w:rPr>
          <w:rStyle w:val="FootnoteAnchor"/>
          <w:rtl w:val="true"/>
        </w:rPr>
        <w:footnoteReference w:id="1665"/>
      </w:r>
      <w:r>
        <w:rPr>
          <w:rFonts w:ascii="IRNazanin" w:hAnsi="IRNazanin" w:eastAsia="IRNazanin"/>
          <w:color w:val="111111"/>
          <w:sz w:val="28"/>
          <w:sz w:val="28"/>
          <w:szCs w:val="28"/>
          <w:rtl w:val="true"/>
          <w:lang w:bidi="fa-IR"/>
        </w:rPr>
        <w:t xml:space="preserve">و کیرشباوم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بعدها ادعا کردند که این جوامع نمونه عملکردهایی را که روی آن تمرکز کرده اند بهبود می بخشند و منتقل می کنند زیرا آن ها یک زمینه کامل برای اشتراک گذاری دانش غیررسمی را بین خبرگان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ونگر و اسنایدر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راه را فهرست کردند برای این که جوامع نمونه بتوانند سازمان ها را بهبود ببخشند از طریق حل مساله سریع گسترش مهارت های حرفه ای ارتقاء عملکرد به بهترین نحو، حفظ استعداد و راهکارهای ،هدایتی درخواست تجدید نظر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در جوامع نمونه به طوری است که برای کاربردشان در طیف متنوعی از زمینه ها ارزیابی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پرستاری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اندرو </w:t>
      </w:r>
      <w:r>
        <w:rPr>
          <w:rStyle w:val="FootnoteAnchor"/>
          <w:rtl w:val="true"/>
        </w:rPr>
        <w:footnoteReference w:id="1667"/>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کارخانه رولز 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میئووسن </w:t>
      </w:r>
      <w:r>
        <w:rPr>
          <w:rStyle w:val="FootnoteAnchor"/>
          <w:rtl w:val="true"/>
        </w:rPr>
        <w:footnoteReference w:id="1668"/>
      </w:r>
      <w:bookmarkStart w:id="1293" w:name="pg9653_82310"/>
    </w:p>
    <w:p>
      <w:pPr>
        <w:pStyle w:val="BookText"/>
        <w:rPr/>
      </w:pPr>
      <w:bookmarkEnd w:id="1293"/>
      <w:r>
        <w:rPr>
          <w:rFonts w:ascii="IRNazanin" w:hAnsi="IRNazanin" w:eastAsia="IRNazanin"/>
          <w:color w:val="111111"/>
          <w:sz w:val="28"/>
          <w:sz w:val="28"/>
          <w:szCs w:val="28"/>
          <w:rtl w:val="true"/>
          <w:lang w:bidi="fa-IR"/>
        </w:rPr>
        <w:t xml:space="preserve">و برندز،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رهبران مدرسه در سنگاپور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هانگ </w:t>
      </w:r>
      <w:r>
        <w:rPr>
          <w:rStyle w:val="FootnoteAnchor"/>
          <w:rtl w:val="true"/>
        </w:rPr>
        <w:footnoteReference w:id="1669"/>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صنعت الکترونیک نروژ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گاسدال،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 xml:space="preserve">و در نیروی پلیس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لات و بور،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1671"/>
      </w:r>
    </w:p>
    <w:p>
      <w:pPr>
        <w:pStyle w:val="Heading4"/>
        <w:numPr>
          <w:ilvl w:val="3"/>
          <w:numId w:val="1"/>
        </w:numPr>
        <w:rPr/>
      </w:pPr>
      <w:bookmarkStart w:id="1294" w:name="__RefHeading___Toc7767198_2870459653"/>
      <w:bookmarkStart w:id="1295" w:name="_Toc474"/>
      <w:bookmarkEnd w:id="1294"/>
      <w:r>
        <w:rPr/>
        <w:t>2-2</w:t>
      </w:r>
      <w:r>
        <w:rPr>
          <w:rtl w:val="true"/>
        </w:rPr>
        <w:t xml:space="preserve">- </w:t>
      </w:r>
      <w:r>
        <w:rPr>
          <w:rtl w:val="true"/>
        </w:rPr>
        <w:t>عنصر یادگیری در جامعه نمونه</w:t>
      </w:r>
      <w:bookmarkEnd w:id="1295"/>
    </w:p>
    <w:p>
      <w:pPr>
        <w:pStyle w:val="BookText"/>
        <w:rPr/>
      </w:pPr>
      <w:r>
        <w:rPr>
          <w:rFonts w:ascii="IRNazanin" w:hAnsi="IRNazanin" w:eastAsia="IRNazanin"/>
          <w:color w:val="111111"/>
          <w:sz w:val="28"/>
          <w:sz w:val="28"/>
          <w:szCs w:val="28"/>
          <w:rtl w:val="true"/>
          <w:lang w:bidi="fa-IR"/>
        </w:rPr>
        <w:t xml:space="preserve">جامعه نمونه یک ارگان مجزا ،نیست بلکه متشکل از اعضای زیادی است که خودشان عضو جوامع نمونه متعدد دیگر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 ونگر،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ونگر،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این تعریف می فهمیم، جنبه های جامعه نمونه است که منبعی از معناسازی هم به صورت انفرادی و هم اجتماعی است و نقش محوری ساختار اجتماعی در تشریح امکانات یادگیری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 ونگر،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جامعه نمونه، چارچوبی را برای یادگیری در محیط های اجتماعی و گسترش تخصص فراهم می کند که در تعاریف متعدد از آن می تواند 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براون و دوگاید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این عقیده را بیان کرده اند که شاغلان در جامعه نمونه توسعه می یابند، جایی که یادگیری برای یک شاغل با دسترسی به همکاران اتفاق میافتد از طریق این بحث و تبادل اطلاعات، اساس اطلاعات همه آن هایی که در جامعه هستند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جوامع نمونه از دو راه به این هدف می رسند ابتدا آن ها دانش جدید را به محیط معرفی می کنند و دوم از طریق فرایند شکل دهی و تبادل ،اطلاعات به افزایش و روشن شدن اطلاعات برای به اشتراک گذاری دانش کمک می کنند جوامع نمونه، نتیجه کار طبیعی فرد و یادگیری جمعی را از طریق وسایل هدایت کننده در هم ادغام می کنند و راهی را که در آن اطلاعات در سراسر سازمان به اشتراک گذاشته شده نشان می دهند</w:t>
      </w:r>
    </w:p>
    <w:p>
      <w:pPr>
        <w:pStyle w:val="Heading4"/>
        <w:numPr>
          <w:ilvl w:val="3"/>
          <w:numId w:val="1"/>
        </w:numPr>
        <w:rPr/>
      </w:pPr>
      <w:bookmarkStart w:id="1296" w:name="__RefHeading___Toc7767200_2870459653"/>
      <w:bookmarkStart w:id="1297" w:name="_Toc475"/>
      <w:bookmarkEnd w:id="1296"/>
      <w:r>
        <w:rPr/>
        <w:t>3-2</w:t>
      </w:r>
      <w:r>
        <w:rPr>
          <w:rtl w:val="true"/>
        </w:rPr>
        <w:t xml:space="preserve">- </w:t>
      </w:r>
      <w:r>
        <w:rPr>
          <w:rtl w:val="true"/>
        </w:rPr>
        <w:t>مشارکت جانبی قانونی در جامعه نمونه</w:t>
      </w:r>
      <w:bookmarkEnd w:id="1297"/>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بدنه جوامع نمونه عقیده مشارکت محیطی قانونی در بین اعضای جامعه وجود دارد در بحث برای تعریف آن ها از مشارکت جانبی قانونی، لِیو و ونگر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کنند که مشارکت محیطی قانونی، واژه ای جدایی ناپذیر است و هر قسمت آن نمی تواند در تضاد با دیگری باشد جنبه قانونی آن از احساس تعلق ذاتی به جامعه بیرون کشیده شده است</w:t>
      </w:r>
      <w:r>
        <w:rPr>
          <w:rFonts w:eastAsia="IRNazanin" w:cs="IRNazanin"/>
          <w:color w:val="111111"/>
          <w:sz w:val="28"/>
          <w:szCs w:val="28"/>
          <w:rtl w:val="true"/>
          <w:lang w:bidi="fa-IR"/>
        </w:rPr>
        <w:t xml:space="preserve">. </w:t>
      </w:r>
      <w:bookmarkStart w:id="1298" w:name="pg9653_82311"/>
    </w:p>
    <w:p>
      <w:pPr>
        <w:pStyle w:val="BookText"/>
        <w:rPr/>
      </w:pPr>
      <w:bookmarkEnd w:id="1298"/>
      <w:r>
        <w:rPr>
          <w:rFonts w:ascii="IRNazanin" w:hAnsi="IRNazanin" w:eastAsia="IRNazanin"/>
          <w:color w:val="111111"/>
          <w:sz w:val="28"/>
          <w:sz w:val="28"/>
          <w:szCs w:val="28"/>
          <w:rtl w:val="true"/>
          <w:lang w:bidi="fa-IR"/>
        </w:rPr>
        <w:t xml:space="preserve">او توضیح می دهد که مشارکت محیطی قانونی، به یادگیری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Style w:val="FootnoteAnchor"/>
          <w:rtl w:val="true"/>
        </w:rPr>
        <w:footnoteReference w:id="1673"/>
      </w:r>
      <w:r>
        <w:rPr>
          <w:rFonts w:ascii="IRNazanin" w:hAnsi="IRNazanin" w:eastAsia="IRNazanin"/>
          <w:color w:val="111111"/>
          <w:sz w:val="28"/>
          <w:sz w:val="28"/>
          <w:szCs w:val="28"/>
          <w:rtl w:val="true"/>
          <w:lang w:bidi="fa-IR"/>
        </w:rPr>
        <w:t>تازه کاران اشاره دارد تازه کاران از طریق انتقال و جذب دانش یاد نمی گیرند بلکه از طریق افزایش مشارکت در عملکرد حرفه ای یاد می گیرند بنابراین، یادگیری درباره عضوی از جامعه شدن و همین طور در باره فراهم آوری دانش در جامعه است</w:t>
      </w:r>
      <w:r>
        <w:rPr>
          <w:rFonts w:eastAsia="IRNazanin" w:cs="IRNazanin"/>
          <w:color w:val="111111"/>
          <w:sz w:val="28"/>
          <w:szCs w:val="28"/>
          <w:rtl w:val="true"/>
          <w:lang w:bidi="fa-IR"/>
        </w:rPr>
        <w:t>.</w:t>
      </w:r>
    </w:p>
    <w:p>
      <w:pPr>
        <w:pStyle w:val="Heading4"/>
        <w:numPr>
          <w:ilvl w:val="3"/>
          <w:numId w:val="1"/>
        </w:numPr>
        <w:rPr/>
      </w:pPr>
      <w:bookmarkStart w:id="1299" w:name="__RefHeading___Toc7767202_2870459653"/>
      <w:bookmarkStart w:id="1300" w:name="_Toc476"/>
      <w:bookmarkEnd w:id="1299"/>
      <w:r>
        <w:rPr/>
        <w:t>4-2</w:t>
      </w:r>
      <w:r>
        <w:rPr>
          <w:rtl w:val="true"/>
        </w:rPr>
        <w:t xml:space="preserve">- </w:t>
      </w:r>
      <w:r>
        <w:rPr>
          <w:rtl w:val="true"/>
        </w:rPr>
        <w:t>یادگیری اجتماعی در جوامع نمونه</w:t>
      </w:r>
      <w:bookmarkEnd w:id="1300"/>
    </w:p>
    <w:p>
      <w:pPr>
        <w:pStyle w:val="BookText"/>
        <w:rPr/>
      </w:pPr>
      <w:r>
        <w:rPr>
          <w:rFonts w:ascii="IRNazanin" w:hAnsi="IRNazanin" w:eastAsia="IRNazanin"/>
          <w:color w:val="111111"/>
          <w:sz w:val="28"/>
          <w:sz w:val="28"/>
          <w:szCs w:val="28"/>
          <w:rtl w:val="true"/>
          <w:lang w:bidi="fa-IR"/>
        </w:rPr>
        <w:t xml:space="preserve">لیو و وگز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این مورد بحث می کنند که قسمت اساسی یادگیری در درون دنیای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هنرپیشگان اتفاق می افتد و تغییر جهت می دهد هویت ها را گسترش می دهد و عضویت آن ها در جامعه را دوباره شکل می دهد بنابراین یادگیری به عنوان زمینه وابسته تشخیص داده می شود که در عملی خاص در اجتماع جاسازی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هازارد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1674"/>
      </w:r>
      <w:r>
        <w:rPr>
          <w:rFonts w:ascii="IRNazanin" w:hAnsi="IRNazanin" w:eastAsia="IRNazanin"/>
          <w:color w:val="111111"/>
          <w:sz w:val="28"/>
          <w:sz w:val="28"/>
          <w:szCs w:val="28"/>
          <w:rtl w:val="true"/>
          <w:lang w:bidi="fa-IR"/>
        </w:rPr>
        <w:t xml:space="preserve">این شناخت را با این پیشنهاد گسترش داد که یادگیری باید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جدایی ناپذیر از عملکرد اجتماعی</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دیده شود و یادگیری در درون خود یک فرایند اجتماعی است</w:t>
      </w:r>
      <w:r>
        <w:rPr>
          <w:rFonts w:eastAsia="IRNazanin" w:cs="IRNazanin"/>
          <w:color w:val="111111"/>
          <w:sz w:val="28"/>
          <w:szCs w:val="28"/>
          <w:rtl w:val="true"/>
          <w:lang w:bidi="fa-IR"/>
        </w:rPr>
        <w:t>.</w:t>
      </w:r>
    </w:p>
    <w:p>
      <w:pPr>
        <w:pStyle w:val="Heading3"/>
        <w:numPr>
          <w:ilvl w:val="2"/>
          <w:numId w:val="1"/>
        </w:numPr>
        <w:rPr/>
      </w:pPr>
      <w:bookmarkStart w:id="1301" w:name="__RefHeading___Toc7767204_2870459653"/>
      <w:bookmarkStart w:id="1302" w:name="_Toc477"/>
      <w:bookmarkEnd w:id="1301"/>
      <w:r>
        <w:rPr/>
        <w:t>3</w:t>
      </w:r>
      <w:r>
        <w:rPr>
          <w:rtl w:val="true"/>
        </w:rPr>
        <w:t xml:space="preserve">. </w:t>
      </w:r>
      <w:r>
        <w:rPr>
          <w:rtl w:val="true"/>
        </w:rPr>
        <w:t>تنظیم پژوهش</w:t>
      </w:r>
      <w:bookmarkEnd w:id="1302"/>
    </w:p>
    <w:p>
      <w:pPr>
        <w:pStyle w:val="Heading4"/>
        <w:numPr>
          <w:ilvl w:val="3"/>
          <w:numId w:val="1"/>
        </w:numPr>
        <w:rPr/>
      </w:pPr>
      <w:bookmarkStart w:id="1303" w:name="__RefHeading___Toc7767206_2870459653"/>
      <w:bookmarkStart w:id="1304" w:name="_Toc478"/>
      <w:bookmarkEnd w:id="1303"/>
      <w:r>
        <w:rPr>
          <w:rtl w:val="true"/>
        </w:rPr>
        <w:t>اشاره</w:t>
      </w:r>
      <w:bookmarkEnd w:id="1304"/>
    </w:p>
    <w:p>
      <w:pPr>
        <w:pStyle w:val="BookText"/>
        <w:rPr/>
      </w:pPr>
      <w:r>
        <w:rPr>
          <w:rFonts w:ascii="IRNazanin" w:hAnsi="IRNazanin" w:eastAsia="IRNazanin"/>
          <w:color w:val="111111"/>
          <w:sz w:val="28"/>
          <w:sz w:val="28"/>
          <w:szCs w:val="28"/>
          <w:rtl w:val="true"/>
          <w:lang w:bidi="fa-IR"/>
        </w:rPr>
        <w:t>با تایید اهمیت منافع قابل ملاحظه جوامع نمونه، نیاز به بررسی این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این جوامع محیط یادگیری را برای حرفه ای های کتابداری پرورش می دهند؟ و چه نوع دانشی می تواند در این جامعه به اشتراک گذاشته شود؟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مقاله، مدیران کتابخانه عمومی پنانگ </w:t>
      </w:r>
      <w:r>
        <w:rPr>
          <w:rStyle w:val="FootnoteAnchor"/>
          <w:rtl w:val="true"/>
        </w:rPr>
        <w:footnoteReference w:id="1676"/>
      </w:r>
      <w:r>
        <w:rPr>
          <w:rFonts w:ascii="IRNazanin" w:hAnsi="IRNazanin" w:eastAsia="IRNazanin"/>
          <w:color w:val="111111"/>
          <w:sz w:val="28"/>
          <w:sz w:val="28"/>
          <w:szCs w:val="28"/>
          <w:rtl w:val="true"/>
          <w:lang w:bidi="fa-IR"/>
        </w:rPr>
        <w:t xml:space="preserve">و شرکت ارتباط های دانش </w:t>
      </w:r>
      <w:r>
        <w:rPr>
          <w:rStyle w:val="FootnoteAnchor"/>
          <w:rtl w:val="true"/>
        </w:rPr>
        <w:footnoteReference w:id="1677"/>
      </w:r>
      <w:r>
        <w:rPr>
          <w:rFonts w:ascii="IRNazanin" w:hAnsi="IRNazanin" w:eastAsia="IRNazanin"/>
          <w:color w:val="111111"/>
          <w:sz w:val="28"/>
          <w:sz w:val="28"/>
          <w:szCs w:val="28"/>
          <w:rtl w:val="true"/>
          <w:lang w:bidi="fa-IR"/>
        </w:rPr>
        <w:t>هستند برای رسیدن به طرح های راهبردی شرکت کتابخانه عمومی پنانگ نیاز سریع به تجدید مداوم خود برای وفق دادن با محیط در حال تغییر و رقابتی را تشخیص داده است این که نسبت به گذشته بیشتر قابلیت انعطاف داشته باشد و راه های پیچیده تر بیشتری را برای الگوهای موثر یادگیری کارکنان کتابخانه شان فراهم کنند به اشتراک گذاشتن تجارب با جوامع محلی داخلی و خارجی کتابخانه نیاز به دانش جدید و ارتقاء مهارت های جدید دارد که نقاط عطف موفقیت در کاربست مداوم و در حال گسترش ظرفیت یادگیری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شرکت ارتباط های دانش، از طرف دیگر یک مرکز مشاوره است که متشکل از اطلاعات و فراهم کنندگان خدمات مدیریت دانش و کتابداران با تجربه هستند که زمان و کوشش خود را در ایجاد برنامه جوامع نمونه برای کتابخانه های مالزی به کار می گیرند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روی تسهیل برنامه های جوامع نمونه رو در رو برای یک سال در دامنه های مربوط به روش های مدیریت کتابخانه و بهترین عملکردها با استفاده از نظامها و ابزار تمرکز کرده است در ژوئن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نمونه کی مایا به عنوان یک جامعه نمونه روی خط ایجاد شده ،است با اهداف اشتراک ،دانش گسترش شبکه های جدید و تعیین بهترین عملکردها با جامعه ای که عمدتا از حرفه ای های کتابداری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کتابخانه عمومی پنانگ یکی از رهبران کیمایا است که از این الگوی جامعه نمونه برای حمایت از اشتراک دانش استفاده کرده است برای پرورش یک فرهنگ یادگیری جمعی ،غیر رسمی و درگیر شدن در ساختن دانش بین جامعه کتابخانه مسئولان کتابخانه پنانگ به طور فعال در برنامه های جوامع نمونه کیمایا شرکت کردهاند و نقش اساسی در ادامه این ابتکار عمل مشارکت دانش داشته اند</w:t>
      </w:r>
      <w:r>
        <w:rPr>
          <w:rFonts w:eastAsia="IRNazanin" w:cs="IRNazanin"/>
          <w:color w:val="111111"/>
          <w:sz w:val="28"/>
          <w:szCs w:val="28"/>
          <w:rtl w:val="true"/>
          <w:lang w:bidi="fa-IR"/>
        </w:rPr>
        <w:t xml:space="preserve">. </w:t>
      </w:r>
      <w:bookmarkStart w:id="1305" w:name="pg9653_82313"/>
    </w:p>
    <w:p>
      <w:pPr>
        <w:pStyle w:val="Heading4"/>
        <w:numPr>
          <w:ilvl w:val="3"/>
          <w:numId w:val="1"/>
        </w:numPr>
        <w:rPr/>
      </w:pPr>
      <w:bookmarkStart w:id="1306" w:name="__RefHeading___Toc7767208_2870459653"/>
      <w:bookmarkStart w:id="1307" w:name="_Toc479"/>
      <w:bookmarkEnd w:id="1305"/>
      <w:bookmarkEnd w:id="1306"/>
      <w:r>
        <w:rPr/>
        <w:t>1-3</w:t>
      </w:r>
      <w:r>
        <w:rPr>
          <w:rtl w:val="true"/>
        </w:rPr>
        <w:t xml:space="preserve">- </w:t>
      </w:r>
      <w:r>
        <w:rPr>
          <w:rtl w:val="true"/>
        </w:rPr>
        <w:t>روش شناسی</w:t>
      </w:r>
      <w:bookmarkEnd w:id="1307"/>
    </w:p>
    <w:p>
      <w:pPr>
        <w:pStyle w:val="Heading5"/>
        <w:numPr>
          <w:ilvl w:val="4"/>
          <w:numId w:val="1"/>
        </w:numPr>
        <w:rPr/>
      </w:pPr>
      <w:bookmarkStart w:id="1308" w:name="__RefHeading___Toc7767210_2870459653"/>
      <w:bookmarkStart w:id="1309" w:name="_Toc480"/>
      <w:bookmarkEnd w:id="1308"/>
      <w:r>
        <w:rPr>
          <w:rtl w:val="true"/>
        </w:rPr>
        <w:t>اشاره</w:t>
      </w:r>
      <w:bookmarkEnd w:id="1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شناسی </w:t>
      </w:r>
      <w:r>
        <w:rPr>
          <w:rStyle w:val="FootnoteAnchor"/>
          <w:rtl w:val="true"/>
        </w:rPr>
        <w:footnoteReference w:id="1678"/>
      </w:r>
    </w:p>
    <w:p>
      <w:pPr>
        <w:pStyle w:val="Heading5"/>
        <w:numPr>
          <w:ilvl w:val="4"/>
          <w:numId w:val="1"/>
        </w:numPr>
        <w:rPr/>
      </w:pPr>
      <w:bookmarkStart w:id="1310" w:name="__RefHeading___Toc7767212_2870459653"/>
      <w:bookmarkStart w:id="1311" w:name="_Toc481"/>
      <w:bookmarkEnd w:id="1310"/>
      <w:r>
        <w:rPr>
          <w:rtl w:val="true"/>
        </w:rPr>
        <w:t>روش شناسی تحقیق</w:t>
      </w:r>
      <w:bookmarkEnd w:id="1311"/>
    </w:p>
    <w:p>
      <w:pPr>
        <w:pStyle w:val="BookText"/>
        <w:rPr/>
      </w:pPr>
      <w:r>
        <w:rPr>
          <w:rFonts w:ascii="IRNazanin" w:hAnsi="IRNazanin" w:eastAsia="IRNazanin"/>
          <w:color w:val="111111"/>
          <w:sz w:val="28"/>
          <w:sz w:val="28"/>
          <w:szCs w:val="28"/>
          <w:rtl w:val="true"/>
          <w:lang w:bidi="fa-IR"/>
        </w:rPr>
        <w:t>ما تصمیم گرفته ایم که یک مورد کیفی برداشت مقایسه ای مداوم برای این بررسی را بپذیریم ما معتقدیم که چنین برداشتی مناسب بوده است زیرا یک جایگاه اکتشافی و استنتاجی را فراهم می کند که اساس مطالعه و بررسی است، جایی که ما قادر به جستجو برای به دست آوردن درک کلی و عمیقی از مورد مطالعه هستیم</w:t>
      </w:r>
      <w:r>
        <w:rPr>
          <w:rFonts w:eastAsia="IRNazanin" w:cs="IRNazanin"/>
          <w:color w:val="111111"/>
          <w:sz w:val="28"/>
          <w:szCs w:val="28"/>
          <w:rtl w:val="true"/>
          <w:lang w:bidi="fa-IR"/>
        </w:rPr>
        <w:t>.</w:t>
      </w:r>
    </w:p>
    <w:p>
      <w:pPr>
        <w:pStyle w:val="Heading5"/>
        <w:numPr>
          <w:ilvl w:val="4"/>
          <w:numId w:val="1"/>
        </w:numPr>
        <w:rPr/>
      </w:pPr>
      <w:bookmarkStart w:id="1312" w:name="__RefHeading___Toc7767214_2870459653"/>
      <w:bookmarkStart w:id="1313" w:name="_Toc482"/>
      <w:bookmarkEnd w:id="1312"/>
      <w:r>
        <w:rPr>
          <w:rtl w:val="true"/>
        </w:rPr>
        <w:t>شرکت کنندگان</w:t>
      </w:r>
      <w:bookmarkEnd w:id="1313"/>
    </w:p>
    <w:p>
      <w:pPr>
        <w:pStyle w:val="BookText"/>
        <w:rPr/>
      </w:pPr>
      <w:r>
        <w:rPr>
          <w:rFonts w:ascii="IRNazanin" w:hAnsi="IRNazanin" w:eastAsia="IRNazanin"/>
          <w:color w:val="111111"/>
          <w:sz w:val="28"/>
          <w:sz w:val="28"/>
          <w:szCs w:val="28"/>
          <w:rtl w:val="true"/>
          <w:lang w:bidi="fa-IR"/>
        </w:rPr>
        <w:t xml:space="preserve">شرکت کنندگان در این بررسی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کتابخانه بودند که عضو کی مایا بودند، در برنامه های جوامع نمونه شرکت کرده بودند و از کی مایا برای اشتراک تجارب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تجاربی شامل دیدگاه های کتابخانه در مورد بهترین عملکردها روش های بازاریابی چگونگی تنظیم پورتال کتابخانه و موضوعات مربوط به خدمات کتابخانه بوده است</w:t>
      </w:r>
      <w:r>
        <w:rPr>
          <w:rFonts w:eastAsia="IRNazanin" w:cs="IRNazanin"/>
          <w:color w:val="111111"/>
          <w:sz w:val="28"/>
          <w:szCs w:val="28"/>
          <w:rtl w:val="true"/>
          <w:lang w:bidi="fa-IR"/>
        </w:rPr>
        <w:t>.</w:t>
      </w:r>
    </w:p>
    <w:p>
      <w:pPr>
        <w:pStyle w:val="Heading5"/>
        <w:numPr>
          <w:ilvl w:val="4"/>
          <w:numId w:val="1"/>
        </w:numPr>
        <w:rPr/>
      </w:pPr>
      <w:bookmarkStart w:id="1314" w:name="__RefHeading___Toc7767216_2870459653"/>
      <w:bookmarkStart w:id="1315" w:name="_Toc483"/>
      <w:bookmarkEnd w:id="1314"/>
      <w:r>
        <w:rPr>
          <w:rtl w:val="true"/>
        </w:rPr>
        <w:t>روش ها</w:t>
      </w:r>
      <w:bookmarkEnd w:id="1315"/>
    </w:p>
    <w:p>
      <w:pPr>
        <w:pStyle w:val="BookText"/>
        <w:rPr/>
      </w:pPr>
      <w:r>
        <w:rPr>
          <w:rFonts w:ascii="IRNazanin" w:hAnsi="IRNazanin" w:eastAsia="IRNazanin"/>
          <w:color w:val="111111"/>
          <w:sz w:val="28"/>
          <w:sz w:val="28"/>
          <w:szCs w:val="28"/>
          <w:rtl w:val="true"/>
          <w:lang w:bidi="fa-IR"/>
        </w:rPr>
        <w:t xml:space="preserve">مشاهدات پیوسته </w:t>
      </w:r>
      <w:r>
        <w:rPr>
          <w:rStyle w:val="FootnoteAnchor"/>
          <w:rtl w:val="true"/>
        </w:rPr>
        <w:footnoteReference w:id="1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قوت مشاهدات این است که اجازه می دهد تا مستقیما درباره رفتار انسان، اطلاعات به دست بیاوریم بدون تکیه بر مصاحبه های ضبط شده یا بررسی هایی که ماهیت گذشته نگر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حاضر ما توانستیم ارتباطات را بین کتابدارها طی کارگاه های جوامع نمونه در کی مایا ببینیم، جایی که آن ها تجربیاتی را به دست می آورند که بحث کرده اند و خواستار مشارکت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 در محل های اجتماع عموم پست می شد و جامعه کی مایا و خبرگان حوزه که توسط شرکت ارتباط های دانش مورد مشاوره قرار می گرفتند پاسخ می داد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به عنوان یک منبع جایگزین انتخاب شده بودند، چون تجربه کتابداران از شروع با جامعه نمونه روی خط در حال حاضر مربوط به گذشته بود و همچنین چون درک و عقاید آن ها نمی توانست مشاهده شود ما از یک چارچوب مصاحبه نیمه ساختار یافته استفاده می کنیم جایی که مصاحبه ها متمرکز شده و با مسایل مربوط به تحقیق هدایت می شوند</w:t>
      </w:r>
      <w:r>
        <w:rPr>
          <w:rFonts w:eastAsia="IRNazanin" w:cs="IRNazanin"/>
          <w:color w:val="111111"/>
          <w:sz w:val="28"/>
          <w:szCs w:val="28"/>
          <w:rtl w:val="true"/>
          <w:lang w:bidi="fa-IR"/>
        </w:rPr>
        <w:t xml:space="preserve">. </w:t>
      </w:r>
      <w:bookmarkStart w:id="1316" w:name="pg9653_82314"/>
    </w:p>
    <w:p>
      <w:pPr>
        <w:pStyle w:val="Heading5"/>
        <w:numPr>
          <w:ilvl w:val="4"/>
          <w:numId w:val="1"/>
        </w:numPr>
        <w:rPr/>
      </w:pPr>
      <w:bookmarkStart w:id="1317" w:name="__RefHeading___Toc7767218_2870459653"/>
      <w:bookmarkStart w:id="1318" w:name="_Toc484"/>
      <w:bookmarkEnd w:id="1316"/>
      <w:bookmarkEnd w:id="1317"/>
      <w:r>
        <w:rPr>
          <w:rtl w:val="true"/>
        </w:rPr>
        <w:t>تحلیل داده ها</w:t>
      </w:r>
      <w:bookmarkEnd w:id="1318"/>
    </w:p>
    <w:p>
      <w:pPr>
        <w:pStyle w:val="BookText"/>
        <w:rPr/>
      </w:pPr>
      <w:r>
        <w:rPr>
          <w:rFonts w:ascii="IRNazanin" w:hAnsi="IRNazanin" w:eastAsia="IRNazanin"/>
          <w:color w:val="111111"/>
          <w:sz w:val="28"/>
          <w:sz w:val="28"/>
          <w:szCs w:val="28"/>
          <w:rtl w:val="true"/>
          <w:lang w:bidi="fa-IR"/>
        </w:rPr>
        <w:t>برای این که کشف شود کتابداران چگونه برای ارتباط با هم، از کیمایا استفاده می کنند از برداشت تحلیل محتوا استفاده شد تا انواع پیام ها و دانش هایی که شرکت کنندگان به صورت برخط با هم به اشتراک گذاشته اند تشخیص داده شود و طبقه بندی گردد ابتدا ارسال مطلب های نمونه را که به نظر می رسید به وضوح انواع مختلف پیام ها و دانش را تصویر می کند تشخیص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نمونه ها به عنوان کدهای آغازین برای راهنمایی ادامه تحلیل مورد استفاده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کار با اصلاح تعریف این کدها طی فرایند تحلیل داده با استفاده از روش مقایسه دایم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شامل جلو و عقب رفتن بین دسته های داده ها برای کشف کدهای جدید و طبقه بندی آن ها شد تا هر طبقه اشباع ،شد یعنی تا هنگامی که داده های جدید شروع به تایید شدند، به جای آنکه پرتو جدیدی در طبقات وارد شود</w:t>
      </w:r>
      <w:r>
        <w:rPr>
          <w:rFonts w:eastAsia="IRNazanin" w:cs="IRNazanin"/>
          <w:color w:val="111111"/>
          <w:sz w:val="28"/>
          <w:szCs w:val="28"/>
          <w:rtl w:val="true"/>
          <w:lang w:bidi="fa-IR"/>
        </w:rPr>
        <w:t>.</w:t>
      </w:r>
    </w:p>
    <w:p>
      <w:pPr>
        <w:pStyle w:val="Heading3"/>
        <w:numPr>
          <w:ilvl w:val="2"/>
          <w:numId w:val="1"/>
        </w:numPr>
        <w:rPr/>
      </w:pPr>
      <w:bookmarkStart w:id="1319" w:name="__RefHeading___Toc7767220_2870459653"/>
      <w:bookmarkStart w:id="1320" w:name="_Toc485"/>
      <w:bookmarkEnd w:id="1319"/>
      <w:r>
        <w:rPr/>
        <w:t>4</w:t>
      </w:r>
      <w:r>
        <w:rPr>
          <w:rtl w:val="true"/>
        </w:rPr>
        <w:t xml:space="preserve">. </w:t>
      </w:r>
      <w:r>
        <w:rPr>
          <w:rtl w:val="true"/>
        </w:rPr>
        <w:t>یافته ها و بحث</w:t>
      </w:r>
      <w:bookmarkEnd w:id="1320"/>
    </w:p>
    <w:p>
      <w:pPr>
        <w:pStyle w:val="Heading4"/>
        <w:numPr>
          <w:ilvl w:val="3"/>
          <w:numId w:val="1"/>
        </w:numPr>
        <w:rPr/>
      </w:pPr>
      <w:bookmarkStart w:id="1321" w:name="__RefHeading___Toc7767222_2870459653"/>
      <w:bookmarkStart w:id="1322" w:name="_Toc486"/>
      <w:bookmarkEnd w:id="1321"/>
      <w:r>
        <w:rPr>
          <w:rtl w:val="true"/>
        </w:rPr>
        <w:t>اشاره</w:t>
      </w:r>
      <w:bookmarkEnd w:id="1322"/>
    </w:p>
    <w:p>
      <w:pPr>
        <w:pStyle w:val="BookText"/>
        <w:rPr/>
      </w:pPr>
      <w:r>
        <w:rPr>
          <w:rFonts w:ascii="IRNazanin" w:hAnsi="IRNazanin" w:eastAsia="IRNazanin"/>
          <w:color w:val="111111"/>
          <w:sz w:val="28"/>
          <w:sz w:val="28"/>
          <w:szCs w:val="28"/>
          <w:rtl w:val="true"/>
          <w:lang w:bidi="fa-IR"/>
        </w:rPr>
        <w:t>این بخش به نتایج نگاه می کند و در موارد مرتبط با نتایج بر اساس دو هدف تحقیق که قبلا به آن پرداخته شد بحث می نماید</w:t>
      </w:r>
      <w:r>
        <w:rPr>
          <w:rFonts w:eastAsia="IRNazanin" w:cs="IRNazanin"/>
          <w:color w:val="111111"/>
          <w:sz w:val="28"/>
          <w:szCs w:val="28"/>
          <w:rtl w:val="true"/>
          <w:lang w:bidi="fa-IR"/>
        </w:rPr>
        <w:t>.</w:t>
      </w:r>
    </w:p>
    <w:p>
      <w:pPr>
        <w:pStyle w:val="Heading4"/>
        <w:numPr>
          <w:ilvl w:val="3"/>
          <w:numId w:val="1"/>
        </w:numPr>
        <w:rPr/>
      </w:pPr>
      <w:bookmarkStart w:id="1323" w:name="__RefHeading___Toc7767224_2870459653"/>
      <w:bookmarkStart w:id="1324" w:name="_Toc487"/>
      <w:bookmarkEnd w:id="1323"/>
      <w:r>
        <w:rPr/>
        <w:t>1-4</w:t>
      </w:r>
      <w:r>
        <w:rPr>
          <w:rtl w:val="true"/>
        </w:rPr>
        <w:t xml:space="preserve">- </w:t>
      </w:r>
      <w:r>
        <w:rPr>
          <w:rtl w:val="true"/>
        </w:rPr>
        <w:t>شرکت کتابداران در کی مایا تا چه میزان بر یادگیری غیررسمی تاثیر دارد؟</w:t>
      </w:r>
      <w:bookmarkEnd w:id="1324"/>
    </w:p>
    <w:p>
      <w:pPr>
        <w:pStyle w:val="Heading5"/>
        <w:numPr>
          <w:ilvl w:val="4"/>
          <w:numId w:val="1"/>
        </w:numPr>
        <w:rPr/>
      </w:pPr>
      <w:bookmarkStart w:id="1325" w:name="__RefHeading___Toc7767226_2870459653"/>
      <w:bookmarkStart w:id="1326" w:name="_Toc488"/>
      <w:bookmarkEnd w:id="1325"/>
      <w:r>
        <w:rPr>
          <w:rtl w:val="true"/>
        </w:rPr>
        <w:t>اشاره</w:t>
      </w:r>
      <w:bookmarkEnd w:id="1326"/>
    </w:p>
    <w:p>
      <w:pPr>
        <w:pStyle w:val="BookText"/>
        <w:rPr/>
      </w:pPr>
      <w:r>
        <w:rPr>
          <w:rFonts w:ascii="IRNazanin" w:hAnsi="IRNazanin" w:eastAsia="IRNazanin"/>
          <w:color w:val="111111"/>
          <w:sz w:val="28"/>
          <w:sz w:val="28"/>
          <w:szCs w:val="28"/>
          <w:rtl w:val="true"/>
          <w:lang w:bidi="fa-IR"/>
        </w:rPr>
        <w:t>یافته ها در این مطالعه پیشنهاد می کنند که کیمایا با کارگاه های رودر رو به طور کلی به عنوان یک سکو در یک چشم انداز اجتماعی عمل کرده و یادگیری غیر رسمی را جا انداخته است در جایی که مشارکت روى خط نه تنها به عنوان راهی برای اشتراک دانشی که در زمینه واقعی تجربه روزمره کتابداران است عمل کرده، بلکه این مشارکت کمک کرده است تا عملکرد کتابخانه به خودی خود تقویت شود</w:t>
      </w:r>
      <w:r>
        <w:rPr>
          <w:rFonts w:eastAsia="IRNazanin" w:cs="IRNazanin"/>
          <w:color w:val="111111"/>
          <w:sz w:val="28"/>
          <w:szCs w:val="28"/>
          <w:rtl w:val="true"/>
          <w:lang w:bidi="fa-IR"/>
        </w:rPr>
        <w:t>.</w:t>
      </w:r>
    </w:p>
    <w:p>
      <w:pPr>
        <w:pStyle w:val="Heading5"/>
        <w:numPr>
          <w:ilvl w:val="4"/>
          <w:numId w:val="1"/>
        </w:numPr>
        <w:rPr/>
      </w:pPr>
      <w:bookmarkStart w:id="1327" w:name="__RefHeading___Toc7767228_2870459653"/>
      <w:bookmarkStart w:id="1328" w:name="_Toc489"/>
      <w:bookmarkEnd w:id="1327"/>
      <w:r>
        <w:rPr/>
        <w:t>1-1-4</w:t>
      </w:r>
      <w:r>
        <w:rPr>
          <w:rtl w:val="true"/>
        </w:rPr>
        <w:t xml:space="preserve">- </w:t>
      </w:r>
      <w:r>
        <w:rPr>
          <w:rtl w:val="true"/>
        </w:rPr>
        <w:t>احساس هویت و برحق بودن برای مشارکت در جامعه</w:t>
      </w:r>
      <w:bookmarkEnd w:id="1328"/>
    </w:p>
    <w:p>
      <w:pPr>
        <w:pStyle w:val="BookText"/>
        <w:rPr/>
      </w:pPr>
      <w:r>
        <w:rPr>
          <w:rFonts w:ascii="IRNazanin" w:hAnsi="IRNazanin" w:eastAsia="IRNazanin"/>
          <w:color w:val="111111"/>
          <w:sz w:val="28"/>
          <w:sz w:val="28"/>
          <w:szCs w:val="28"/>
          <w:rtl w:val="true"/>
          <w:lang w:bidi="fa-IR"/>
        </w:rPr>
        <w:t>یکی از مشخصه های جامعه نمونه، این است که سکویی برای ایجاد هویت و معنا و درک دامنه ای از علائق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مشخص کرد که از طریق مشارکت در کی،مایا، اعضا به طور اساسی پرسش های مهم مربوط به قوانینی را که آن ها به عنوان فراهم کنندگان اطلاعات بازی می کنند کشف می کنند و در ازای آن کمک، به شکل دادن هویت های حرفه ای خود کمک می رسانند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یکی از اعضا گفته است ما به نوعی خودمان را تصحیح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من در مورد آن چه انجام می دهم سؤالی دارم، پیامی در کی مایا می گذارم من معمولا چند جواب می گیرم </w:t>
      </w:r>
      <w:bookmarkStart w:id="1329" w:name="pg9653_82315"/>
    </w:p>
    <w:p>
      <w:pPr>
        <w:pStyle w:val="BookText"/>
        <w:rPr/>
      </w:pPr>
      <w:bookmarkEnd w:id="1329"/>
      <w:r>
        <w:rPr>
          <w:rFonts w:ascii="IRNazanin" w:hAnsi="IRNazanin" w:eastAsia="IRNazanin"/>
          <w:color w:val="111111"/>
          <w:sz w:val="28"/>
          <w:sz w:val="28"/>
          <w:szCs w:val="28"/>
          <w:rtl w:val="true"/>
          <w:lang w:bidi="fa-IR"/>
        </w:rPr>
        <w:t xml:space="preserve">که با عملکرد من موافق یا مخالفند این راه خوبی است تا تجربه خود را بررسی کنم من می توانم استانداردهای خود را به عنوان یک کتابدار مشارکت کننده اندازه گیری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درست یا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عملی</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مورد بالا را می توانیم به وگنر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دهیم که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جامعه نمونه از درگیر شدن متقابل در کارهایی می آید که دربارۀ معنای آن ها با یکدیگر مذاکره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مشترک </w:t>
      </w:r>
      <w:r>
        <w:rPr>
          <w:rStyle w:val="FootnoteAnchor"/>
          <w:rtl w:val="true"/>
        </w:rPr>
        <w:footnoteReference w:id="1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هدف مشترک و پاسخ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موجودی مشترک </w:t>
      </w:r>
      <w:r>
        <w:rPr>
          <w:rStyle w:val="FootnoteAnchor"/>
          <w:rtl w:val="true"/>
        </w:rPr>
        <w:footnoteReference w:id="1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واژه هایی که تعریف و کاربرد آن ها معنای خاصی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حقیقت که عضویت در کی مایا را سازمان های مرتبط حمایت می کنند اعضای کی مایا می دانند که اگر چیزی می دهند در قبالش چیزی می گیرند مشاهده شده است که احساس متقابل نیرویی حیاتی در پیشبرد همکاری جامعه بوده است</w:t>
      </w:r>
      <w:r>
        <w:rPr>
          <w:rFonts w:eastAsia="IRNazanin" w:cs="IRNazanin"/>
          <w:color w:val="111111"/>
          <w:sz w:val="28"/>
          <w:szCs w:val="28"/>
          <w:rtl w:val="true"/>
          <w:lang w:bidi="fa-IR"/>
        </w:rPr>
        <w:t>.</w:t>
      </w:r>
    </w:p>
    <w:p>
      <w:pPr>
        <w:pStyle w:val="Heading5"/>
        <w:numPr>
          <w:ilvl w:val="4"/>
          <w:numId w:val="1"/>
        </w:numPr>
        <w:rPr/>
      </w:pPr>
      <w:bookmarkStart w:id="1330" w:name="__RefHeading___Toc7767230_2870459653"/>
      <w:bookmarkStart w:id="1331" w:name="_Toc490"/>
      <w:bookmarkEnd w:id="1330"/>
      <w:r>
        <w:rPr/>
        <w:t>2-1-4</w:t>
      </w:r>
      <w:r>
        <w:rPr>
          <w:rtl w:val="true"/>
        </w:rPr>
        <w:t xml:space="preserve">- </w:t>
      </w:r>
      <w:r>
        <w:rPr>
          <w:rtl w:val="true"/>
        </w:rPr>
        <w:t xml:space="preserve">جامعه </w:t>
      </w:r>
      <w:r>
        <w:rPr>
          <w:rtl w:val="true"/>
        </w:rPr>
        <w:t xml:space="preserve">- </w:t>
      </w:r>
      <w:r>
        <w:rPr>
          <w:rtl w:val="true"/>
        </w:rPr>
        <w:t>تعامل و یادگیری با هم</w:t>
      </w:r>
      <w:bookmarkEnd w:id="1331"/>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بحث کردیم، مشخصه های جوامع نمونه این است که اعضا با هم تعامل دارند و یاد می گیرند با هم در بحث ها و اشتراک اطلاعات درگیر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ما روشن کرد که به طور متوسط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در هر کارگاه جوامع نمونه پست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نمایانگر این مساله است که جوامع علی رغم شرط مشارکتی، مایل به تعامل و یادگیری از هم بودند وقتی از آن ها پرسیده شد که چرا مایل به شرکت کردن در کی مایا هستند، بسیاری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تازه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نیاز به تماس با کتابداران ارشد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برای پرسش ها، جستجوی اطلاعات مربوط یا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موارد آن ها را به سوی تعامل با دیگران کشانده است برای آن ها محیط برخط سازوکار برای کاهش جدایی آن ها در نتیجه وظیفه شغلی و محل جغرافیاییشان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عضو توضیح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فرد مسئول در کتابخانه هستم و تنها نیز می باشم و هیچ تماسی با سایر مسئولان در بنیاد و اساس بحث برای مشارکت ندارم تا نگرانی هایم را در مورد موقعیت هایی که با آن ها مواجه می شوم مطرح کنم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کاری</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را تفسیر نمایم کیمایا به من کمک کرده تا با دیگر مسئولان کتابخانه ها در سراسر کشور به صورت برخط و بر اساس یک پایه منظم در تماس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من اجازه می دهد تا پرسش هایم را بپرسم و در تشخیص عملکردم به من کمک می کند اگر جامعه قادر به پاسخ دادن ،نباشد مدیران کی مایا برای کمک از خارج از جامعه جستجو می کنند و برای </w:t>
      </w:r>
    </w:p>
    <w:p>
      <w:pPr>
        <w:pStyle w:val="BookText"/>
        <w:rPr/>
      </w:pPr>
      <w:r>
        <w:rPr>
          <w:rFonts w:ascii="IRNazanin" w:hAnsi="IRNazanin" w:eastAsia="IRNazanin"/>
          <w:color w:val="111111"/>
          <w:sz w:val="28"/>
          <w:sz w:val="28"/>
          <w:szCs w:val="28"/>
          <w:rtl w:val="true"/>
          <w:lang w:bidi="fa-IR"/>
        </w:rPr>
        <w:t>من بینشی فراهم می سازند که مربوط به موضوع من است من همیشه در تماس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مشاهده سناریو بالا ما می توانیم ادعا کنیم که همان طور که توسط لیو و ونگر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این مسئول که یک عضو جدید کی مایا است، حق شرکت در یادگیری در جامعه را دارد اما در هسته فرایند یادگیری نیست و از کار افراد قدیمی تر جامعه عقب تر است به جای آن او در محیط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رفتارها و ارزش های جامعه برای عضو جدید مورد نیاز است و وقتی او به عنوان عضو کامل در می آید هویت خود را در جامعه گسترش می دهد حرکت از این موقعیت مشارکت محیطی مشروع به سوی عضویت کامل ،جامعه جامعه را گسترش و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یافته های تحقیق هارا و هیو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4"/>
      </w:r>
      <w:r>
        <w:rPr>
          <w:rFonts w:ascii="IRNazanin" w:hAnsi="IRNazanin" w:eastAsia="IRNazanin"/>
          <w:color w:val="111111"/>
          <w:sz w:val="28"/>
          <w:sz w:val="28"/>
          <w:szCs w:val="28"/>
          <w:rtl w:val="true"/>
          <w:lang w:bidi="fa-IR"/>
        </w:rPr>
        <w:t xml:space="preserve">محیط مشارکتی برخط برای آن هایی که به طور فعال در نگارش و ارسال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نمی کنند اما در پس زمینه در انتظار فرصت هستند و آن چیزی را که در جامعه به بحث گذاشته می شود می خوانند منبع یادگیری با ارزشی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عضو کی مایا نیز در یک مصاحبه گفته بود من ممکن است وقت نداشته باشم تا به کیمایا وصل شوم و پیام هایی را که پست شده بخوانم با این وجود موارد پست شده مرتبط به پست الکترونیکی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مدیر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مرا برای اتصال به سایت کنجکاو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می خوانم مرتبط بوده اند و من آن ها را در عملکردهای واقعی به کار گرفته ام با وجود این من به ندرت مطلبی را پست می کنم شاید فقط در کارگاه های رودرور کی مایا در مواردی که راهنمایی می شوم تا بپرسم، قادر به بازگو کردن عقاید برای مورد مفیدی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مشارکت فوق، در واقع داوطلب شدن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های جانشین </w:t>
      </w:r>
      <w:r>
        <w:rPr>
          <w:rFonts w:eastAsia="IRNazanin" w:cs="IRNazanin"/>
          <w:color w:val="111111"/>
          <w:sz w:val="28"/>
          <w:szCs w:val="28"/>
          <w:rtl w:val="true"/>
          <w:lang w:bidi="fa-IR"/>
        </w:rPr>
        <w:t xml:space="preserve">" </w:t>
      </w:r>
      <w:r>
        <w:rPr>
          <w:rStyle w:val="FootnoteAnchor"/>
          <w:rtl w:val="true"/>
        </w:rPr>
        <w:footnoteReference w:id="16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تعامل جانشین 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رویدادی که در هنگام پردازش مشارکت فعال به صورت دوسویه در یک تعامل جهتدار بین دو مشارکت کننده اتفاق می افتد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ساتن دریافت آن هایی که تعامل جانشین داشته اند مطالب را خوانده اند، از تعامل های دیگران آموخته اند و قدردانی کرده اند اما احساس نکرده اند که خودشان با دیگران تعامل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قبلی توسط گری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1687"/>
      </w:r>
      <w:r>
        <w:rPr>
          <w:rFonts w:ascii="IRNazanin" w:hAnsi="IRNazanin" w:eastAsia="IRNazanin"/>
          <w:color w:val="111111"/>
          <w:sz w:val="28"/>
          <w:sz w:val="28"/>
          <w:szCs w:val="28"/>
          <w:rtl w:val="true"/>
          <w:lang w:bidi="fa-IR"/>
        </w:rPr>
        <w:t xml:space="preserve">و هارا و هیو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جامعه روی خط نمونه طراحی شده تا از محل کار یادگیری غیر رسمی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که شرکت کنندگان در خفا یاد گرفته اند و عقاید را انتخاب کرده و برداشته اند حتی فقط وقتی که پست های برخط را می خوانند، اما خودشان کمکی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ها پرسیده شد که آیا ماهیت برخط خودش کمکی به تسهیل تعامل بین </w:t>
      </w:r>
      <w:bookmarkStart w:id="1332" w:name="pg9653_82317"/>
    </w:p>
    <w:p>
      <w:pPr>
        <w:pStyle w:val="BookText"/>
        <w:rPr/>
      </w:pPr>
      <w:bookmarkEnd w:id="1332"/>
      <w:r>
        <w:rPr>
          <w:rFonts w:ascii="IRNazanin" w:hAnsi="IRNazanin" w:eastAsia="IRNazanin"/>
          <w:color w:val="111111"/>
          <w:sz w:val="28"/>
          <w:sz w:val="28"/>
          <w:szCs w:val="28"/>
          <w:rtl w:val="true"/>
          <w:lang w:bidi="fa-IR"/>
        </w:rPr>
        <w:t>اعضا می کند دو پاسخ اصلی از مصاحبه ها جمع 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محیط برخط به اعضا کمک کرد که بیشتر در مشارکت دانش به صورت باز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نتیجه محیط دوستانه ای بود که ابزار ارتباطی برخط فراهم کرده بود که اعضا را از سازمان های مختلف به هم مرتبط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مصاحبه ما از این دیدگاه حمایت می کرد که برخی از رؤسای کتابخانه ها که در سازمان های گوناگون کار می کردند احساس می کردند می توانند راحت تر دانش را به مشارکت بگذارند به دلیل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رسمی</w:t>
      </w:r>
      <w:r>
        <w:rPr>
          <w:rFonts w:eastAsia="IRNazanin" w:cs="IRNazanin"/>
          <w:color w:val="111111"/>
          <w:sz w:val="28"/>
          <w:szCs w:val="28"/>
          <w:rtl w:val="true"/>
          <w:lang w:bidi="fa-IR"/>
        </w:rPr>
        <w:t xml:space="preserve">" </w:t>
      </w:r>
      <w:r>
        <w:rPr>
          <w:rStyle w:val="FootnoteAnchor"/>
          <w:rtl w:val="true"/>
        </w:rPr>
        <w:footnoteReference w:id="168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نوار قرمز </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که محدود به محیطی است که اجازه می دهد در پاسخ های قبلی تعمق کنیم، وقتی به سناریوهای مشابه برخورد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حضور در همه جا در یک وقت </w:t>
      </w:r>
      <w:r>
        <w:rPr>
          <w:rStyle w:val="FootnoteAnchor"/>
          <w:rtl w:val="true"/>
        </w:rPr>
        <w:footnoteReference w:id="1690"/>
      </w:r>
      <w:r>
        <w:rPr>
          <w:rFonts w:ascii="IRNazanin" w:hAnsi="IRNazanin" w:eastAsia="IRNazanin"/>
          <w:color w:val="111111"/>
          <w:sz w:val="28"/>
          <w:sz w:val="28"/>
          <w:szCs w:val="28"/>
          <w:rtl w:val="true"/>
          <w:lang w:bidi="fa-IR"/>
        </w:rPr>
        <w:t>که توسط اینترنت ایجاد شده یک راه برای تعامل راحت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عضو این گونه تفسیر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اینترنت خودش سبب شده که مردم ما را دوست بدارند تا با دیگران از استان های مختلف سخن بگویند شما دوست دارید یک چیزی را در کی مایا آغاز کنید و شاغلین از تمام کشور به سرعت به شما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چرخش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افرادی که در آن ناحیه با تجربه هستند امری راحت است تا وقتی دوست دارند جواب بدهند این مورد برای شما هم راحت است که سؤال هایتان را مطرح کنید، زیرا می توانید آن را در هر زمانی از روز یا شب که می خواهید انجام دهید</w:t>
      </w:r>
      <w:r>
        <w:rPr>
          <w:rFonts w:eastAsia="IRNazanin" w:cs="IRNazanin"/>
          <w:color w:val="111111"/>
          <w:sz w:val="28"/>
          <w:szCs w:val="28"/>
          <w:rtl w:val="true"/>
          <w:lang w:bidi="fa-IR"/>
        </w:rPr>
        <w:t>".</w:t>
      </w:r>
    </w:p>
    <w:p>
      <w:pPr>
        <w:pStyle w:val="Heading5"/>
        <w:numPr>
          <w:ilvl w:val="4"/>
          <w:numId w:val="1"/>
        </w:numPr>
        <w:rPr/>
      </w:pPr>
      <w:bookmarkStart w:id="1333" w:name="__RefHeading___Toc7767232_2870459653"/>
      <w:bookmarkStart w:id="1334" w:name="_Toc491"/>
      <w:bookmarkEnd w:id="1333"/>
      <w:r>
        <w:rPr/>
        <w:t>3-1-4</w:t>
      </w:r>
      <w:r>
        <w:rPr>
          <w:rtl w:val="true"/>
        </w:rPr>
        <w:t xml:space="preserve">- </w:t>
      </w:r>
      <w:r>
        <w:rPr>
          <w:rtl w:val="true"/>
        </w:rPr>
        <w:t>عملکرد مشارکتی برای فهماندن یادگیری غیر رسمی</w:t>
      </w:r>
      <w:bookmarkEnd w:id="1334"/>
    </w:p>
    <w:p>
      <w:pPr>
        <w:pStyle w:val="BookText"/>
        <w:rPr/>
      </w:pPr>
      <w:r>
        <w:rPr>
          <w:rFonts w:ascii="IRNazanin" w:hAnsi="IRNazanin" w:eastAsia="IRNazanin"/>
          <w:color w:val="111111"/>
          <w:sz w:val="28"/>
          <w:sz w:val="28"/>
          <w:szCs w:val="28"/>
          <w:rtl w:val="true"/>
          <w:lang w:bidi="fa-IR"/>
        </w:rPr>
        <w:t>در مکالمه های کارگاهی و پاسخ های برخط مشاهده شده که یک روش جمعی وجود دارد که در آن راه هایی مقابله و تطبیق کنیم درباره این که چگونه بدانیم تا وظایفمان را در یک دامنه خاص به شکل چارچوب های کاری، عقاید، داستان ها، تجارب، دروسی که یاد گرفته اند و مدارکی که اعضای آن جامعه در کارشان به اشتراک گذاشته اند بنابراین یک شاهد قوی وجود دارد که چنین عملکرد مشترکی در کی مایا بوده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مورد می تواند در بخش زیر به دقت شرح داده شود وقتی انواع پیام ها و دانش را که کتابداران به اشتراک گذاشته اند در کی مایا شرح می دهیم با وجود ،این در این خط اتصال ارزش دارد که ذکر شود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های مشترک </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است که یکی از جاذبه های اصلی کی مایا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جامعه از این که کی مایا توانسته اسامی اول کشور در برادری کتابخانه ای را جذب کند تا کارشان را به اشتراک </w:t>
      </w:r>
      <w:bookmarkStart w:id="1335" w:name="pg9653_82318"/>
    </w:p>
    <w:p>
      <w:pPr>
        <w:pStyle w:val="BookText"/>
        <w:rPr/>
      </w:pPr>
      <w:bookmarkEnd w:id="1335"/>
      <w:r>
        <w:rPr>
          <w:rFonts w:ascii="IRNazanin" w:hAnsi="IRNazanin" w:eastAsia="IRNazanin"/>
          <w:color w:val="111111"/>
          <w:sz w:val="28"/>
          <w:sz w:val="28"/>
          <w:szCs w:val="28"/>
          <w:rtl w:val="true"/>
          <w:lang w:bidi="fa-IR"/>
        </w:rPr>
        <w:t>بگذارند و به کارگاه های جامعه کمک کنند قدردانی کرده اند یکی از اعضا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می تواند گفتگو کند و با دامنه ای از تفسیرها و پاسخ های متخصصان به پرسش هایش روبرو شود که درجای دیگری امکان این کار را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کمک به کیفیت از سوی مقامات بالای این حوزه سبب شد کتابداران احساس کنند که تنوع غنی اعضای کیمایا کمک کرد که ارزش هایی برای کمک موثر برقرار شود تفسیرها به شرح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دنبال بنیادهایی مانند این هستیم که به ما امکان دهد که با دیگر اعضای کتابخانه از سراسر کشور سخن بگوییم مردمی که از یک صنعت شغلی بودند ولی از فرهنگ های مختلف با تجارب و عقاید متفاوت ما می توانیم داستان های جالب بیشتر و راه های اقتباس موضوعات مرتبط کتابداری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ما به طور ایمن می توانیم بگوییم که کیمایا با ترکیب منظم کارگاه های رودررو می تواند عناصری را برای محیط یادگیری فراهم کند با راهی برای تعامل و اشتراک دانش که در موقعیت واقعی تجربه روزمره کتابداران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واقعیت تبدیل شود</w:t>
      </w:r>
      <w:r>
        <w:rPr>
          <w:rFonts w:eastAsia="IRNazanin" w:cs="IRNazanin"/>
          <w:color w:val="111111"/>
          <w:sz w:val="28"/>
          <w:szCs w:val="28"/>
          <w:rtl w:val="true"/>
          <w:lang w:bidi="fa-IR"/>
        </w:rPr>
        <w:t>.</w:t>
      </w:r>
    </w:p>
    <w:p>
      <w:pPr>
        <w:pStyle w:val="Heading4"/>
        <w:numPr>
          <w:ilvl w:val="3"/>
          <w:numId w:val="1"/>
        </w:numPr>
        <w:rPr/>
      </w:pPr>
      <w:bookmarkStart w:id="1336" w:name="__RefHeading___Toc7767234_2870459653"/>
      <w:bookmarkStart w:id="1337" w:name="_Toc492"/>
      <w:bookmarkEnd w:id="1336"/>
      <w:r>
        <w:rPr/>
        <w:t>2-4</w:t>
      </w:r>
      <w:r>
        <w:rPr>
          <w:rtl w:val="true"/>
        </w:rPr>
        <w:t xml:space="preserve">- </w:t>
      </w:r>
      <w:r>
        <w:rPr>
          <w:rtl w:val="true"/>
        </w:rPr>
        <w:t>کشف این که چگونه کتابداران از کیمایا برای ارتباط با هم استفاده می کنند</w:t>
      </w:r>
      <w:r>
        <w:rPr>
          <w:rtl w:val="true"/>
        </w:rPr>
        <w:t>.</w:t>
      </w:r>
      <w:bookmarkEnd w:id="1337"/>
    </w:p>
    <w:p>
      <w:pPr>
        <w:pStyle w:val="BookText"/>
        <w:rPr/>
      </w:pPr>
      <w:r>
        <w:rPr>
          <w:rFonts w:ascii="IRNazanin" w:hAnsi="IRNazanin" w:eastAsia="IRNazanin"/>
          <w:color w:val="111111"/>
          <w:sz w:val="28"/>
          <w:sz w:val="28"/>
          <w:szCs w:val="28"/>
          <w:rtl w:val="true"/>
          <w:lang w:bidi="fa-IR"/>
        </w:rPr>
        <w:t xml:space="preserve">تحلیل محتوای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فعالیت های جمعی در کی 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پیام به طور رایج توسط جامعه پست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کمک </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برای اطلاعات، عقاید، یا مشارکت</w:t>
      </w:r>
    </w:p>
    <w:p>
      <w:pPr>
        <w:pStyle w:val="BookText"/>
        <w:rPr/>
      </w:pPr>
      <w:r>
        <w:rPr>
          <w:rFonts w:ascii="IRNazanin" w:hAnsi="IRNazanin" w:eastAsia="IRNazanin"/>
          <w:color w:val="111111"/>
          <w:sz w:val="28"/>
          <w:sz w:val="28"/>
          <w:szCs w:val="28"/>
          <w:rtl w:val="true"/>
          <w:lang w:bidi="fa-IR"/>
        </w:rPr>
        <w:t xml:space="preserve">تقدیر </w:t>
      </w:r>
      <w:r>
        <w:rPr>
          <w:rStyle w:val="FootnoteAnchor"/>
          <w:rtl w:val="true"/>
        </w:rPr>
        <w:footnoteReference w:id="1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تشکر برای برخی کارها</w:t>
      </w:r>
    </w:p>
    <w:p>
      <w:pPr>
        <w:pStyle w:val="BookText"/>
        <w:rPr/>
      </w:pPr>
      <w:r>
        <w:rPr>
          <w:rFonts w:ascii="IRNazanin" w:hAnsi="IRNazanin" w:eastAsia="IRNazanin"/>
          <w:color w:val="111111"/>
          <w:sz w:val="28"/>
          <w:sz w:val="28"/>
          <w:szCs w:val="28"/>
          <w:rtl w:val="true"/>
          <w:lang w:bidi="fa-IR"/>
        </w:rPr>
        <w:t xml:space="preserve">شفاف سازی </w:t>
      </w:r>
      <w:r>
        <w:rPr>
          <w:rStyle w:val="FootnoteAnchor"/>
          <w:rtl w:val="true"/>
        </w:rPr>
        <w:footnoteReference w:id="1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متخصصان در مورد جزییات مرتبط با یک عنوان</w:t>
      </w:r>
    </w:p>
    <w:p>
      <w:pPr>
        <w:pStyle w:val="BookText"/>
        <w:rPr/>
      </w:pPr>
      <w:r>
        <w:rPr>
          <w:rFonts w:ascii="IRNazanin" w:hAnsi="IRNazanin" w:eastAsia="IRNazanin"/>
          <w:color w:val="111111"/>
          <w:sz w:val="28"/>
          <w:sz w:val="28"/>
          <w:szCs w:val="28"/>
          <w:rtl w:val="true"/>
          <w:lang w:bidi="fa-IR"/>
        </w:rPr>
        <w:t xml:space="preserve">اشتراک دانش </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دانش کتابی، دانش عملی،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سازمان ها انجام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پیام ها که در کی مایا پست شده است </w:t>
      </w:r>
      <w:bookmarkStart w:id="1338" w:name="pg9653_82319"/>
    </w:p>
    <w:p>
      <w:pPr>
        <w:pStyle w:val="BookText"/>
        <w:rPr/>
      </w:pPr>
      <w:bookmarkEnd w:id="1338"/>
      <w:r>
        <w:rPr>
          <w:rFonts w:ascii="IRNazanin" w:hAnsi="IRNazanin" w:eastAsia="IRNazanin"/>
          <w:color w:val="111111"/>
          <w:sz w:val="28"/>
          <w:sz w:val="28"/>
          <w:szCs w:val="28"/>
          <w:rtl w:val="true"/>
          <w:lang w:bidi="fa-IR"/>
        </w:rPr>
        <w:t xml:space="preserve">اکثریت پیام هایی که به اشتراک گذاشته شده درباره شفاف سازی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نزدیکی اشتراک دانش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کمک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این حقیقت که اشتراک دانش و شفاف سازی بیشترین نوع پیام ها در کارگاه ها بوده که پست شده است پیمان قوی در بر دارد که در یادگیری موقعیتی مهم است جایی که اعضا به طور مداوم یک مخزن مشترک از منابع را گسترش می دهند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های خطاب قرار دادن مشکلات جاری را پررنگ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اشتراک دانش، سه طبقه بندی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تولید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مستند، مقررات عمومی، خط مشی ها و مقررات؛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واقعی اقتباس شده از استانداردها یا خط مشی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جامعه محلی چه چیزی به طور جمعی مورد بحث قرار گرفته و در کارگاه های قبلی کی مایا به صورت یکپارچه درآمده و در انبارهای کی مایا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بندی بالا بر اساس مطالعه ای تجربی توسط ها را و هیو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جوامع محلی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اقتباس از این تحقیق تحلیل انواع اشتراک دانش آشکار کرد که اکثریت رایج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جامعه محلی</w:t>
      </w:r>
      <w:r>
        <w:rPr>
          <w:rFonts w:eastAsia="IRNazanin" w:cs="IRNazanin"/>
          <w:color w:val="111111"/>
          <w:sz w:val="28"/>
          <w:szCs w:val="28"/>
          <w:rtl w:val="true"/>
          <w:lang w:bidi="fa-IR"/>
        </w:rPr>
        <w:t xml:space="preserve">" </w:t>
      </w:r>
      <w:r>
        <w:rPr>
          <w:rStyle w:val="FootnoteAnchor"/>
          <w:rtl w:val="true"/>
        </w:rPr>
        <w:footnoteReference w:id="169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 xml:space="preserve">دومین مورد رایج بوده است که به اشتراک گذاشته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تولید شده </w:t>
      </w:r>
      <w:r>
        <w:rPr>
          <w:rFonts w:eastAsia="IRNazanin" w:cs="IRNazanin"/>
          <w:color w:val="111111"/>
          <w:sz w:val="28"/>
          <w:szCs w:val="28"/>
          <w:rtl w:val="true"/>
          <w:lang w:bidi="fa-IR"/>
        </w:rPr>
        <w:t xml:space="preserve">" </w:t>
      </w:r>
      <w:r>
        <w:rPr>
          <w:rStyle w:val="FootnoteAnchor"/>
          <w:rtl w:val="true"/>
        </w:rPr>
        <w:footnoteReference w:id="1698"/>
      </w:r>
      <w:r>
        <w:rPr>
          <w:rFonts w:ascii="IRNazanin" w:hAnsi="IRNazanin" w:eastAsia="IRNazanin"/>
          <w:color w:val="111111"/>
          <w:sz w:val="28"/>
          <w:sz w:val="28"/>
          <w:szCs w:val="28"/>
          <w:rtl w:val="true"/>
          <w:lang w:bidi="fa-IR"/>
        </w:rPr>
        <w:t>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نسبتا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جامعه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حرفه ای های کتابخانه ها در کی مایا مشترک بوده است که زیاد تعجب آور نیست و این حقیقت را روشن می کند که اکثر جامعه کی مایا را حرفه ای های جوان یا نوآموزان تشکیل می دهند که مایلند از کی مایا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 یادگیری </w:t>
      </w:r>
      <w:r>
        <w:rPr>
          <w:rFonts w:eastAsia="IRNazanin" w:cs="IRNazanin"/>
          <w:color w:val="111111"/>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Heading3"/>
        <w:numPr>
          <w:ilvl w:val="2"/>
          <w:numId w:val="1"/>
        </w:numPr>
        <w:rPr/>
      </w:pPr>
      <w:bookmarkStart w:id="1339" w:name="__RefHeading___Toc7767236_2870459653"/>
      <w:bookmarkStart w:id="1340" w:name="_Toc493"/>
      <w:bookmarkEnd w:id="1339"/>
      <w:r>
        <w:rPr>
          <w:rtl w:val="true"/>
        </w:rPr>
        <w:t>نتیجه گیری</w:t>
      </w:r>
      <w:bookmarkEnd w:id="1340"/>
    </w:p>
    <w:p>
      <w:pPr>
        <w:pStyle w:val="BookText"/>
        <w:rPr/>
      </w:pPr>
      <w:r>
        <w:rPr>
          <w:rFonts w:ascii="IRNazanin" w:hAnsi="IRNazanin" w:eastAsia="IRNazanin"/>
          <w:color w:val="111111"/>
          <w:sz w:val="28"/>
          <w:sz w:val="28"/>
          <w:szCs w:val="28"/>
          <w:rtl w:val="true"/>
          <w:lang w:bidi="fa-IR"/>
        </w:rPr>
        <w:t xml:space="preserve">یافته های این تحقیق نشان داد که محیط کی مایا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برخط ابزار عملی و رودر روی کارگاه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یک وابستگی مثبت برای یادگیری غیر رسمی از تعهدات متقابل را فراهم کرده است و یک سکوی قانونی برای ایجاد یک انبار از تجارب و داستان های کاری برای گسترش حرفه ای های اطلاع رسانی در جامعه محلی ایجاد کرده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گیر کردن اعضا از رشته های مختلف و نواحی جغرافیایی مختلف، جامعه کی مایا توانایی بالقوه </w:t>
      </w:r>
      <w:bookmarkStart w:id="1341" w:name="pg9653_82320"/>
    </w:p>
    <w:p>
      <w:pPr>
        <w:pStyle w:val="BookText"/>
        <w:rPr/>
      </w:pPr>
      <w:bookmarkEnd w:id="1341"/>
      <w:r>
        <w:rPr>
          <w:rFonts w:ascii="IRNazanin" w:hAnsi="IRNazanin" w:eastAsia="IRNazanin"/>
          <w:color w:val="111111"/>
          <w:sz w:val="28"/>
          <w:sz w:val="28"/>
          <w:szCs w:val="28"/>
          <w:rtl w:val="true"/>
          <w:lang w:bidi="fa-IR"/>
        </w:rPr>
        <w:t>جریان تکثیر دانش، مورد خطاب قرار دادن شکاف های دانش و ایجاد شراکت دانش را دارد الگوی جوامع محلی نمونه که به کار گرفته شد نشان داد که به طور فزایندهای یک الگوی جدید یادگیری در کی مایا الگویی است که روی یادگیری مداوم در مقابل رویدادهای یادگیری انفرادی تمرکز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تحقیق حاضر محدود به یک مطالعه موردی است به جز مشاهدات دست اول از گرایش های موضوعی که در نشست های برخط و کارگاه های رو در رو به دست آمد، یافته ها ممکن است بیش از حد خام باشند تا گزارش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مشاهداتی که گزارش شده ممکن است قطعی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برداشت ها و عقاید جامع محلی بیشتری را برای بینش وسیع تر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دسترس پذیر کردن داده ها، یک مطالعه وابسته به طول جغرافیایی باید در نظر گرفته شود تا ارزیابی دانش بتواند از پرورش جوامعی مشابه کی مایا مشتق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آینده در مورد جوامع محلی نمونه برخط ممکن است ارزش های قابل لمس و یا غیر محسوس از کمک های جمعی جوامع محلی نمونه را برای کارکنان دانش و یا سازمان های آن ها دارا باشد</w:t>
      </w:r>
      <w:r>
        <w:rPr>
          <w:rFonts w:eastAsia="IRNazanin" w:cs="IRNazanin"/>
          <w:color w:val="111111"/>
          <w:sz w:val="28"/>
          <w:szCs w:val="28"/>
          <w:rtl w:val="true"/>
          <w:lang w:bidi="fa-IR"/>
        </w:rPr>
        <w:t>.</w:t>
      </w:r>
    </w:p>
    <w:p>
      <w:pPr>
        <w:pStyle w:val="Heading3"/>
        <w:numPr>
          <w:ilvl w:val="2"/>
          <w:numId w:val="1"/>
        </w:numPr>
        <w:rPr/>
      </w:pPr>
      <w:bookmarkStart w:id="1342" w:name="__RefHeading___Toc7767238_2870459653"/>
      <w:bookmarkStart w:id="1343" w:name="_Toc494"/>
      <w:bookmarkEnd w:id="1342"/>
      <w:r>
        <w:rPr>
          <w:rtl w:val="true"/>
        </w:rPr>
        <w:t>منابع</w:t>
      </w:r>
      <w:bookmarkEnd w:id="1343"/>
    </w:p>
    <w:p>
      <w:pPr>
        <w:pStyle w:val="BookText"/>
        <w:rPr/>
      </w:pPr>
      <w:r>
        <w:rPr>
          <w:rFonts w:eastAsia="Times New Roman" w:cs="Times New Roman" w:ascii="Times New Roman" w:hAnsi="Times New Roman"/>
          <w:color w:val="111111"/>
          <w:sz w:val="28"/>
          <w:szCs w:val="28"/>
          <w:lang w:val="en-US" w:bidi="en-US"/>
        </w:rPr>
        <w:t>Andrew 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Tolson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 &amp; Ferguson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D. (2008). Building on Wenger: communities of practice in nursing. Nurse Education Today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246-252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Barab. S. A. &amp; Duffy T. M. (2000). From practice fields to communities of practice. In D. H. Jonassen &amp; S. M. Land (Eds.). Theoretical foundations of learning environments (pp. 25-55). Mahwah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NJ: Lawrence Erlbaum Associates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Berends H. Vanhaverbeke W. &amp; Kirschbaum R. (2007). Knowledge management challenges in new business development: case study observations. Journal of Engineering and Technology Management. 24(4)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314-328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Brown J.S. &amp; Duguid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(1991). Organizational learning and communities of practice: toward a unified view of working learning and innovation. Organization Science. 2(1), 40-57</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Collis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 &amp; Margaryan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(2004). Applying Activity Theory to Computer Supported Collaborative Learning and Work Based Activities in Corporate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Settings. Educational Technology Research and Development 52(4), 38-52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Laat M. &amp; Boer W. (2004). CoPs for cops: managing and creating knowledge through networked expertise. In P. Hildreth &amp; C. Kimble (Eds.). Knowledge Networks: Innovation through Communities of Practice (pp. 58-69). Hershey: Idea Group. 11</w:t>
      </w:r>
    </w:p>
    <w:p>
      <w:pPr>
        <w:pStyle w:val="BookText"/>
        <w:rPr/>
      </w:pPr>
      <w:r>
        <w:rPr>
          <w:rFonts w:eastAsia="Times New Roman" w:cs="Times New Roman" w:ascii="Times New Roman" w:hAnsi="Times New Roman"/>
          <w:color w:val="111111"/>
          <w:sz w:val="28"/>
          <w:szCs w:val="28"/>
          <w:lang w:val="en-US" w:bidi="en-US"/>
        </w:rPr>
        <w:t>Gausdal. A. H. (2008). Developing regional communities of practice by network. reflection: the case of the Norwegian electronics industry. Entrepreneurship and Regional Development. 20(3) 209-235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Gray B. (2004). Informal Learning in an Online Community of Practice. Journal of Distance Education. 19(1), 20-35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Hara N. Hew K. F. (2006). A Case Study of a Longstanding Online Community of Practice Involving Critical Care and Advanced Practice Nurses. 39th Hawaii International Conference on Systems Science (HICSS- 39 2006) Retrieved from http://www.computer.org/csdl/proceedings/hicss/2006/2507/07/250770147a.pdf</w:t>
      </w:r>
    </w:p>
    <w:p>
      <w:pPr>
        <w:pStyle w:val="BookText"/>
        <w:rPr/>
      </w:pPr>
      <w:r>
        <w:rPr>
          <w:rFonts w:eastAsia="Times New Roman" w:cs="Times New Roman" w:ascii="Times New Roman" w:hAnsi="Times New Roman"/>
          <w:color w:val="111111"/>
          <w:sz w:val="28"/>
          <w:szCs w:val="28"/>
          <w:lang w:val="en-US" w:bidi="en-US"/>
        </w:rPr>
        <w:t>Hung. C. T. Seng H. J. G. &amp; Seng K. T. (2005). A framework for fostering a community of practice: scaffolding learners through an evolving continuum. British Journal of Educational Technology. 36 (2) 159-176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Huzzard T. (2004). Communities of domination: Reconceptualising organisational learning and power. The Journal of Workplace Learning, 16(6). 350-361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Johnson C. M. (2001). A survey of current research on online communities of practice. The Internet and Higher Education 4(1) 45-60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Lave J. &amp; Wenger E. (1991). Situated Learning: Legitimate Peripheral Participation.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Lave J. (1988). Cognition in Practice: Mind. Mathematics. and Culture in Everyday Life. New York NY: Cambridge University Press</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Malone D. (2002). Knowledge management: a model for organizational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learning. International Journal of Accounting Information Systems. 3 (2) 111- 124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Meeuwesen. B. &amp; Berends H. (2007). Creating communities of practices to manage technological knowledge: an evaluation study at Rolls-Royce. European Journal of Innovation Management. 10(3) 333-347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Robey D. Khoo H. &amp; Powers C. (2000). Situated learning in cross- functional virtual teams. Technical Communication, 47(1) 51-66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Sutton L. A. (2001). The Principle of Vicarious Interaction in Computer- Mediated Communications. International Journal of EducationalTelecommunications. 7(3) 223-242. Norfolk VA: AACE. Retrieved from http://www.editlib.org/p/9534 on 5th May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Swan J. A. Scarbrough H. &amp; Robertson M. (2002). The construction of communities of practice in the management of innovation. Management Learning. 33(4) 477-497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Wenger E. (1998). Communities of Practice: Learning. Meaning and Identity.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Wenger E. &amp; Snyder W. M. (2000). Communities of practice: the organizational frontier. Harvard Business Review. 1 139-145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Wenger E. Trayner B. &amp; de Laat M. (2011). Promoting and assessing value creation in communities and networks: A conceptual framework. Rapport 18. Ruud de Moor Centrum Open Universiteit. The Netherlands. Retrieve from http://wengertrayner. com/documents/Wenger_Trayner_DeLaat_Value_creation.pdf</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Wenger.E. (1998). Communities of practices: Learning as a social system. Retrieve from http://ewenger.com http://www.kmaya.com.my (accessed on 10th May 2013)</w:t>
      </w:r>
      <w:r>
        <w:rPr>
          <w:rFonts w:eastAsia="Times New Roman" w:cs="Times New Roman" w:ascii="Times New Roman" w:hAnsi="Times New Roman"/>
          <w:color w:val="111111"/>
          <w:sz w:val="28"/>
          <w:szCs w:val="28"/>
          <w:rtl w:val="true"/>
          <w:lang w:val="en-US" w:bidi="en-US"/>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4" w:name="pg9653_82324"/>
      <w:bookmarkStart w:id="1345" w:name="pg9653_82324"/>
      <w:bookmarkEnd w:id="1345"/>
    </w:p>
    <w:p>
      <w:pPr>
        <w:pStyle w:val="Heading2"/>
        <w:numPr>
          <w:ilvl w:val="1"/>
          <w:numId w:val="1"/>
        </w:numPr>
        <w:rPr/>
      </w:pPr>
      <w:bookmarkStart w:id="1346" w:name="pg9653_82324"/>
      <w:bookmarkStart w:id="1347" w:name="__RefHeading___Toc7767240_2870459653"/>
      <w:bookmarkStart w:id="1348" w:name="_Toc495"/>
      <w:bookmarkEnd w:id="1346"/>
      <w:bookmarkEnd w:id="1347"/>
      <w:r>
        <w:rPr>
          <w:rtl w:val="true"/>
        </w:rPr>
        <w:t>چکیده</w:t>
      </w:r>
      <w:bookmarkEnd w:id="1348"/>
    </w:p>
    <w:p>
      <w:pPr>
        <w:pStyle w:val="BookText"/>
        <w:rPr/>
      </w:pPr>
      <w:r>
        <w:rPr>
          <w:rFonts w:ascii="IRNazanin" w:hAnsi="IRNazanin" w:eastAsia="IRNazanin"/>
          <w:color w:val="111111"/>
          <w:sz w:val="28"/>
          <w:sz w:val="28"/>
          <w:szCs w:val="28"/>
          <w:rtl w:val="true"/>
          <w:lang w:bidi="fa-IR"/>
        </w:rPr>
        <w:t xml:space="preserve">آینده کتابخانه ها به کجا باید ختم شود؟ بعد از این که ساختمان های شیشه، بتن و خشت کتابخانه به مکان سومی تبدیل شده است که ،جامعه هنر و فرهنگ در آن مستقر است مرحله بعدی چیست؟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اندر آکوپای</w:t>
      </w:r>
      <w:r>
        <w:rPr>
          <w:rFonts w:eastAsia="IRNazanin" w:cs="IRNazanin"/>
          <w:color w:val="111111"/>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 xml:space="preserve">در مرکز طراحی شیلا سی جانسن </w:t>
      </w:r>
      <w:r>
        <w:rPr>
          <w:rStyle w:val="FootnoteAnchor"/>
          <w:rtl w:val="true"/>
        </w:rPr>
        <w:footnoteReference w:id="1701"/>
      </w:r>
      <w:r>
        <w:rPr>
          <w:rFonts w:ascii="IRNazanin" w:hAnsi="IRNazanin" w:eastAsia="IRNazanin"/>
          <w:color w:val="111111"/>
          <w:sz w:val="28"/>
          <w:sz w:val="28"/>
          <w:szCs w:val="28"/>
          <w:rtl w:val="true"/>
          <w:lang w:bidi="fa-IR"/>
        </w:rPr>
        <w:t xml:space="preserve">در نیویورک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پویا</w:t>
      </w:r>
      <w:r>
        <w:rPr>
          <w:rFonts w:eastAsia="IRNazanin" w:cs="IRNazanin"/>
          <w:color w:val="111111"/>
          <w:sz w:val="28"/>
          <w:szCs w:val="28"/>
          <w:rtl w:val="true"/>
          <w:lang w:bidi="fa-IR"/>
        </w:rPr>
        <w:t xml:space="preserve">" </w:t>
      </w:r>
      <w:r>
        <w:rPr>
          <w:rStyle w:val="FootnoteAnchor"/>
          <w:rtl w:val="true"/>
        </w:rPr>
        <w:footnoteReference w:id="1702"/>
      </w:r>
      <w:r>
        <w:rPr>
          <w:rFonts w:ascii="IRNazanin" w:hAnsi="IRNazanin" w:eastAsia="IRNazanin"/>
          <w:color w:val="111111"/>
          <w:sz w:val="28"/>
          <w:sz w:val="28"/>
          <w:szCs w:val="28"/>
          <w:rtl w:val="true"/>
          <w:lang w:bidi="fa-IR"/>
        </w:rPr>
        <w:t xml:space="preserve">است که به صورت بصری پاسخ های انتقادی و خلاق جامعه دانشجویی نیواسکول </w:t>
      </w:r>
      <w:r>
        <w:rPr>
          <w:rStyle w:val="FootnoteAnchor"/>
          <w:rtl w:val="true"/>
        </w:rPr>
        <w:footnoteReference w:id="1703"/>
      </w:r>
      <w:r>
        <w:rPr>
          <w:rFonts w:ascii="IRNazanin" w:hAnsi="IRNazanin" w:eastAsia="IRNazanin"/>
          <w:color w:val="111111"/>
          <w:sz w:val="28"/>
          <w:sz w:val="28"/>
          <w:szCs w:val="28"/>
          <w:rtl w:val="true"/>
          <w:lang w:bidi="fa-IR"/>
        </w:rPr>
        <w:t xml:space="preserve">درباره جنبش اشغال خیابان وال استریت </w:t>
      </w:r>
      <w:r>
        <w:rPr>
          <w:rStyle w:val="FootnoteAnchor"/>
          <w:rtl w:val="true"/>
        </w:rPr>
        <w:footnoteReference w:id="1704"/>
      </w:r>
      <w:r>
        <w:rPr>
          <w:rFonts w:ascii="IRNazanin" w:hAnsi="IRNazanin" w:eastAsia="IRNazanin"/>
          <w:color w:val="111111"/>
          <w:sz w:val="28"/>
          <w:sz w:val="28"/>
          <w:szCs w:val="28"/>
          <w:rtl w:val="true"/>
          <w:lang w:bidi="fa-IR"/>
        </w:rPr>
        <w:t>را به نمایش می گذارد این نمایش نه تنها متشکل از ویدئو عکس ها طرح های اجرایی و بصری است بلکه همچنین آثار متنی نظیر نمایش های بصری متنی برخط پوسترها و بلاگ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بواسطه ماهیت خود آماده شده اند تا تبدیل به نیروهایی برای تغییرات اجتماعی شوند و به عنوان مثال با استفاده از این نمایش، کتابخانه ها، خود می توانند از طریق نمایش پاسخ های جوامع خود زندگی جوامع خود را به تصویر بکشند تا بدین طریق از شمول مردم در جنبش های اجتماعی حمایت نموده، دیگران را درگیر کرده و برای آینده، آن ها را مستند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زیادی درباره آرشیو زنده و پویا از طریق فضای مجازی وجود دارد نظیر رقومی سازی مواد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یا ایجاد فرصت برای اشتراک خاطرات مردم، دانش عکس ها و عقاید آن ها نمونه نمایشی مشابه و نزدیک به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آندر اکیوپای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فعالیت ها و مکالمات ویلیام مک دانو </w:t>
      </w:r>
      <w:r>
        <w:rPr>
          <w:rStyle w:val="FootnoteAnchor"/>
          <w:rtl w:val="true"/>
        </w:rPr>
        <w:footnoteReference w:id="1705"/>
      </w:r>
      <w:r>
        <w:rPr>
          <w:rFonts w:ascii="IRNazanin" w:hAnsi="IRNazanin" w:eastAsia="IRNazanin"/>
          <w:color w:val="111111"/>
          <w:sz w:val="28"/>
          <w:sz w:val="28"/>
          <w:szCs w:val="28"/>
          <w:rtl w:val="true"/>
          <w:lang w:bidi="fa-IR"/>
        </w:rPr>
        <w:t xml:space="preserve">طراح، به کتابخانه های دانشگاه های استانفورد </w:t>
      </w:r>
      <w:r>
        <w:rPr>
          <w:rStyle w:val="FootnoteAnchor"/>
          <w:rtl w:val="true"/>
        </w:rPr>
        <w:footnoteReference w:id="17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طرح ها شیوه نیواسکول امکان خوداظهاری بیشتری را از طریق رسانه های بصری با توجه به فناوری امروز فراهم می نماید رسانه های اجتماعی چیزی است که به گسترش جنبش های اجتماعی نسل کنونی کمک کرده و به واسطه ماهیت همیشه متغیر خود، این تفسیر آرشیو پویا، کتابخانه آینده را پر از امکانات نامحدود نشان می دهد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 آرشیو پویا، اشغال وال استریت، جنبش های اجتماعی </w:t>
      </w:r>
      <w:bookmarkStart w:id="1349" w:name="pg9653_82325"/>
    </w:p>
    <w:p>
      <w:pPr>
        <w:pStyle w:val="Heading2"/>
        <w:numPr>
          <w:ilvl w:val="1"/>
          <w:numId w:val="1"/>
        </w:numPr>
        <w:rPr/>
      </w:pPr>
      <w:bookmarkStart w:id="1350" w:name="__RefHeading___Toc7767242_2870459653"/>
      <w:bookmarkStart w:id="1351" w:name="_Toc496"/>
      <w:bookmarkEnd w:id="1349"/>
      <w:bookmarkEnd w:id="1350"/>
      <w:r>
        <w:rPr>
          <w:rtl w:val="true"/>
        </w:rPr>
        <w:t>تحولی زنده و پویا</w:t>
      </w:r>
      <w:r>
        <w:rPr>
          <w:rtl w:val="true"/>
        </w:rPr>
        <w:t xml:space="preserve">: </w:t>
      </w:r>
      <w:r>
        <w:rPr>
          <w:rtl w:val="true"/>
        </w:rPr>
        <w:t xml:space="preserve">چگونه کتابخانه ها می توانند </w:t>
      </w:r>
      <w:r>
        <w:rPr>
          <w:rtl w:val="true"/>
        </w:rPr>
        <w:t>"</w:t>
      </w:r>
      <w:r>
        <w:rPr>
          <w:rtl w:val="true"/>
        </w:rPr>
        <w:t>آرشیوهای پویا</w:t>
      </w:r>
      <w:r>
        <w:rPr>
          <w:rtl w:val="true"/>
        </w:rPr>
        <w:t xml:space="preserve">" </w:t>
      </w:r>
      <w:r>
        <w:rPr>
          <w:rtl w:val="true"/>
        </w:rPr>
        <w:t>را به منظور پشتیبانی، بکارگیری و مستندسازی جنبش های اجتماعی بکار گیرند</w:t>
      </w:r>
      <w:bookmarkEnd w:id="1351"/>
    </w:p>
    <w:p>
      <w:pPr>
        <w:pStyle w:val="Heading3"/>
        <w:numPr>
          <w:ilvl w:val="2"/>
          <w:numId w:val="1"/>
        </w:numPr>
        <w:rPr/>
      </w:pPr>
      <w:bookmarkStart w:id="1352" w:name="__RefHeading___Toc7767244_2870459653"/>
      <w:bookmarkStart w:id="1353" w:name="_Toc497"/>
      <w:bookmarkEnd w:id="1352"/>
      <w:r>
        <w:rPr>
          <w:rtl w:val="true"/>
        </w:rPr>
        <w:t>اشاره</w:t>
      </w:r>
      <w:bookmarkEnd w:id="1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تحولی زنده و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کتابخانه ها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آرشیوهای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منظور پشتیبانی، بکارگیری و مستندسازی جنبش های اجتماعی بکار گیرند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نوشته تا ما را رودز </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اعظم نجفقلی نژاد </w:t>
      </w:r>
      <w:r>
        <w:rPr>
          <w:rStyle w:val="FootnoteAnchor"/>
          <w:rtl w:val="true"/>
        </w:rPr>
        <w:footnoteReference w:id="1709"/>
      </w:r>
    </w:p>
    <w:p>
      <w:pPr>
        <w:pStyle w:val="Heading3"/>
        <w:numPr>
          <w:ilvl w:val="2"/>
          <w:numId w:val="1"/>
        </w:numPr>
        <w:rPr/>
      </w:pPr>
      <w:bookmarkStart w:id="1354" w:name="__RefHeading___Toc7767246_2870459653"/>
      <w:bookmarkStart w:id="1355" w:name="_Toc498"/>
      <w:bookmarkEnd w:id="1354"/>
      <w:r>
        <w:rPr>
          <w:rtl w:val="true"/>
        </w:rPr>
        <w:t>مقدمه</w:t>
      </w:r>
      <w:bookmarkEnd w:id="1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روزگاری که کتابخانه به عنوان مخزنی برای انبار متون و منابع کلاسیک و استاندارد بود و بیش از این کاربردی نداشت، گذشته است باید یادآور شد جهان به لحاظ سیاسی، اقتصادی و اجتماعی با سرعت فوق العاده ای در حال تغییر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در حال گذار، کتابخانه ها باید با این تغییر همگام باشند و یا باید سقوط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ایمهوف،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در یک کتابشناسی با عنوان کتابخانه و جنبش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منابع قابل دسترس رایگان یا با هزینه کم</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منتشر شده است این جملات تند، مبنای فرصتی برای کتابخانه ها در مواجهه با دنیایی با جنبش های اجتماعی اخیر جهانی است تا به پشتیبانی بکارگیری و مستندسازی جنبش های اجتماعی که در جوامع ما به وقوع می پیوندند بپردازند این مطالعه موردی بر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همچنین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آندر آکیوپای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می گیرد که </w:t>
      </w:r>
      <w:bookmarkStart w:id="1356" w:name="pg9653_82326"/>
    </w:p>
    <w:p>
      <w:pPr>
        <w:pStyle w:val="BookText"/>
        <w:rPr/>
      </w:pPr>
      <w:bookmarkEnd w:id="1356"/>
      <w:r>
        <w:rPr>
          <w:rFonts w:ascii="IRNazanin" w:hAnsi="IRNazanin" w:eastAsia="IRNazanin"/>
          <w:color w:val="111111"/>
          <w:sz w:val="28"/>
          <w:sz w:val="28"/>
          <w:szCs w:val="28"/>
          <w:rtl w:val="true"/>
          <w:lang w:bidi="fa-IR"/>
        </w:rPr>
        <w:t>توسط مرکز طراحی شیلا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جانسن و نیو اسکول در شهر نیویورک سازماندهی شده است و به عنوان الگوی است که نظمی را برای عناصر بصری، </w:t>
      </w:r>
      <w:r>
        <w:rPr>
          <w:rStyle w:val="FootnoteAnchor"/>
          <w:rtl w:val="true"/>
        </w:rPr>
        <w:footnoteReference w:id="1712"/>
      </w:r>
      <w:r>
        <w:rPr>
          <w:rFonts w:ascii="IRNazanin" w:hAnsi="IRNazanin" w:eastAsia="IRNazanin"/>
          <w:color w:val="111111"/>
          <w:sz w:val="28"/>
          <w:sz w:val="28"/>
          <w:szCs w:val="28"/>
          <w:rtl w:val="true"/>
          <w:lang w:bidi="fa-IR"/>
        </w:rPr>
        <w:t>رسانه های اجتماعی و یک آرشیو مجازی برای ساختار آن جهت مستندسازی جنبش های اجتماعی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طرح بحث در مورد این که چگونه کتابخانه ها ممکن است این الگو را بکار گیرند مباحثی در ادامه درباره چرایی ارتباط کتابخانه ها با این موضوع، گفتمان های قبلی درباره آرشیوهای پویا و توصیفی از الگو مذکور و دلایل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آندر آکیوپای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گردد</w:t>
      </w:r>
      <w:r>
        <w:rPr>
          <w:rFonts w:eastAsia="IRNazanin" w:cs="IRNazanin"/>
          <w:color w:val="111111"/>
          <w:sz w:val="28"/>
          <w:szCs w:val="28"/>
          <w:rtl w:val="true"/>
          <w:lang w:bidi="fa-IR"/>
        </w:rPr>
        <w:t>.</w:t>
      </w:r>
    </w:p>
    <w:p>
      <w:pPr>
        <w:pStyle w:val="Heading3"/>
        <w:numPr>
          <w:ilvl w:val="2"/>
          <w:numId w:val="1"/>
        </w:numPr>
        <w:rPr/>
      </w:pPr>
      <w:bookmarkStart w:id="1357" w:name="__RefHeading___Toc7767248_2870459653"/>
      <w:bookmarkStart w:id="1358" w:name="_Toc499"/>
      <w:bookmarkEnd w:id="1357"/>
      <w:r>
        <w:rPr>
          <w:rtl w:val="true"/>
        </w:rPr>
        <w:t>چرا باید کتابخانه ها در این زمینه درگیر شوند؟</w:t>
      </w:r>
      <w:bookmarkEnd w:id="135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پشتیبانی </w:t>
      </w:r>
      <w:r>
        <w:rPr>
          <w:rFonts w:eastAsia="IRNazanin" w:cs="IRNazanin"/>
          <w:color w:val="111111"/>
          <w:sz w:val="28"/>
          <w:szCs w:val="28"/>
          <w:rtl w:val="true"/>
          <w:lang w:bidi="fa-IR"/>
        </w:rPr>
        <w:t xml:space="preserve">" </w:t>
      </w:r>
      <w:r>
        <w:rPr>
          <w:rStyle w:val="FootnoteAnchor"/>
          <w:rtl w:val="true"/>
        </w:rPr>
        <w:footnoteReference w:id="1713"/>
      </w:r>
      <w:r>
        <w:rPr>
          <w:rFonts w:ascii="IRNazanin" w:hAnsi="IRNazanin" w:eastAsia="IRNazanin"/>
          <w:color w:val="111111"/>
          <w:sz w:val="28"/>
          <w:sz w:val="28"/>
          <w:szCs w:val="28"/>
          <w:rtl w:val="true"/>
          <w:lang w:bidi="fa-IR"/>
        </w:rPr>
        <w:t xml:space="preserve">جنبش های اجتماعی کتابخانه ها به سنت دیرینه تسهیل گفتمان اجتماعی جامعه ادامه خواهند داد، انجمن کتابداری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 ای</w:t>
      </w:r>
      <w:r>
        <w:rPr>
          <w:rFonts w:eastAsia="IRNazanin" w:cs="IRNazanin"/>
          <w:color w:val="111111"/>
          <w:sz w:val="28"/>
          <w:szCs w:val="28"/>
          <w:rtl w:val="true"/>
          <w:lang w:bidi="fa-IR"/>
        </w:rPr>
        <w:t xml:space="preserve">) </w:t>
      </w:r>
      <w:r>
        <w:rPr>
          <w:rStyle w:val="FootnoteAnchor"/>
          <w:rtl w:val="true"/>
        </w:rPr>
        <w:footnoteReference w:id="1714"/>
      </w:r>
      <w:r>
        <w:rPr>
          <w:rFonts w:ascii="IRNazanin" w:hAnsi="IRNazanin" w:eastAsia="IRNazanin"/>
          <w:color w:val="111111"/>
          <w:sz w:val="28"/>
          <w:sz w:val="28"/>
          <w:szCs w:val="28"/>
          <w:rtl w:val="true"/>
          <w:lang w:bidi="fa-IR"/>
        </w:rPr>
        <w:t>به عنوان نماینده ای برای تمام انواع کتابخانه ها در مقیاس ملی، شواهدی را دال بر تمایل کتابخانه ها در جهت حمایت و سهیم بودن در فعالیت های حقوق اجتماعی جوامع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ایالای میزگرد مسئولیت های اجتماعی </w:t>
      </w:r>
      <w:r>
        <w:rPr>
          <w:rStyle w:val="FootnoteAnchor"/>
          <w:rtl w:val="true"/>
        </w:rPr>
        <w:footnoteReference w:id="1715"/>
      </w:r>
      <w:r>
        <w:rPr>
          <w:rFonts w:ascii="IRNazanin" w:hAnsi="IRNazanin" w:eastAsia="IRNazanin"/>
          <w:color w:val="111111"/>
          <w:sz w:val="28"/>
          <w:sz w:val="28"/>
          <w:szCs w:val="28"/>
          <w:rtl w:val="true"/>
          <w:lang w:bidi="fa-IR"/>
        </w:rPr>
        <w:t xml:space="preserve">خود را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پاسخگوتر ساختن کتابخانه ها نسبت به نیارهای اجتماعی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روبین،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716"/>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ایام آشفته جنبش حقوق مدنی، </w:t>
      </w:r>
      <w:r>
        <w:rPr>
          <w:rStyle w:val="FootnoteAnchor"/>
          <w:rtl w:val="true"/>
        </w:rPr>
        <w:footnoteReference w:id="1717"/>
      </w:r>
      <w:r>
        <w:rPr>
          <w:rFonts w:ascii="IRNazanin" w:hAnsi="IRNazanin" w:eastAsia="IRNazanin"/>
          <w:color w:val="111111"/>
          <w:sz w:val="28"/>
          <w:sz w:val="28"/>
          <w:szCs w:val="28"/>
          <w:rtl w:val="true"/>
          <w:lang w:bidi="fa-IR"/>
        </w:rPr>
        <w:t xml:space="preserve">ای ال ای از ایده خود درباره فراهم سازی خدمات کتابخانه برای آمریکایی های آفریقایی منصرف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روبین،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 ای احساس می کرد به دلیل این که نماینده ای برای کتابخانه ها و کتابداران جامعه خود بود، اظهار عقیده درباره این موضوع در نتیجه، مورد تایید اعضایش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روبین،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جنبش مذکور به سراشیبی رسید، برای ای ال ای امکان باقی ماندن در موقعیت قبلی فراهم نشد و این انجمن با طرفداری از خدمات آزاد برای همگان ارائه خدمت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روبین،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ایجاد میزگرد مسئولیت های اجتماعی و نیز از زمان ایجاد ای ال ،ای این انجمن، از حقوق گروه های مختلف حمایت کرده اند و میزگردهایی برای نظارت مداوم آن ها ایجاد شده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راهبردی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 ای از تحول کتابخانه ها برای شرکت در الگو پیشنهادی آرشیو پویا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هدف این برنامه تحول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دو هدفی که مربوط به این طرح </w:t>
      </w:r>
      <w:bookmarkStart w:id="1359" w:name="pg9653_82327"/>
    </w:p>
    <w:p>
      <w:pPr>
        <w:pStyle w:val="BookText"/>
        <w:rPr/>
      </w:pPr>
      <w:bookmarkEnd w:id="1359"/>
      <w:r>
        <w:rPr>
          <w:rFonts w:ascii="IRNazanin" w:hAnsi="IRNazanin" w:eastAsia="IRNazanin"/>
          <w:color w:val="111111"/>
          <w:sz w:val="28"/>
          <w:sz w:val="28"/>
          <w:szCs w:val="28"/>
          <w:rtl w:val="true"/>
          <w:lang w:bidi="fa-IR"/>
        </w:rPr>
        <w:t xml:space="preserve">است عبارتند از افزایش شناخت و حمایت از تجربه عملی </w:t>
      </w:r>
      <w:r>
        <w:rPr>
          <w:rStyle w:val="FootnoteAnchor"/>
          <w:rtl w:val="true"/>
        </w:rPr>
        <w:footnoteReference w:id="1718"/>
      </w:r>
      <w:r>
        <w:rPr>
          <w:rFonts w:ascii="IRNazanin" w:hAnsi="IRNazanin" w:eastAsia="IRNazanin"/>
          <w:color w:val="111111"/>
          <w:sz w:val="28"/>
          <w:sz w:val="28"/>
          <w:szCs w:val="28"/>
          <w:rtl w:val="true"/>
          <w:lang w:bidi="fa-IR"/>
        </w:rPr>
        <w:t xml:space="preserve">با ایده های ابتکاری و تحولی؛ و کمک به کتابخانه ها جهت استفاده از فناوری های نو و جدید از طریق ارتقا و پشتیبانی از نوآوری و آزمون های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کتابداری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نمونه هایی از تعهد ای ال ای به منظور معرفی عناصر جدید به کتابخانه ها جهت حرکت به سمت مفهوم کتابخانه آینده است همان طور که در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و جنبش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از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کتابخانه ها در جهت تبدیل شدن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مخزن انباشت کتاب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اونو </w:t>
      </w:r>
      <w:r>
        <w:rPr>
          <w:rStyle w:val="FootnoteAnchor"/>
          <w:rtl w:val="true"/>
        </w:rPr>
        <w:footnoteReference w:id="1719"/>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احساس همچنان باقی است و عبارت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 xml:space="preserve">More than </w:t>
      </w:r>
      <w:r>
        <w:rPr>
          <w:rFonts w:eastAsia="Times New Roman" w:cs="Times New Roman" w:ascii="Times New Roman" w:hAnsi="Times New Roman"/>
          <w:color w:val="111111"/>
          <w:sz w:val="28"/>
          <w:szCs w:val="28"/>
          <w:vertAlign w:val="superscript"/>
          <w:lang w:val="en-US" w:bidi="en-US"/>
        </w:rPr>
        <w:t>(4)</w:t>
      </w:r>
      <w:r>
        <w:rPr>
          <w:rFonts w:ascii="IRNazanin" w:hAnsi="IRNazanin" w:eastAsia="IRNazanin"/>
          <w:color w:val="111111"/>
          <w:sz w:val="28"/>
          <w:sz w:val="28"/>
          <w:szCs w:val="28"/>
          <w:rtl w:val="true"/>
          <w:lang w:bidi="fa-IR"/>
        </w:rPr>
        <w:t xml:space="preserve">اکنون محکم تر شده است لازم است کتابخانه ها از اهداف ای ال ای به عنوان الگو تبعیت کنند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مکان</w:t>
      </w:r>
      <w:r>
        <w:rPr>
          <w:rFonts w:eastAsia="IRNazanin" w:cs="IRNazanin"/>
          <w:color w:val="111111"/>
          <w:sz w:val="28"/>
          <w:szCs w:val="28"/>
          <w:rtl w:val="true"/>
          <w:lang w:bidi="fa-IR"/>
        </w:rPr>
        <w:t xml:space="preserve">" </w:t>
      </w:r>
      <w:r>
        <w:rPr>
          <w:rStyle w:val="FootnoteAnchor"/>
          <w:rtl w:val="true"/>
        </w:rPr>
        <w:footnoteReference w:id="1720"/>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 مدنی </w:t>
      </w:r>
      <w:r>
        <w:rPr>
          <w:rStyle w:val="FootnoteAnchor"/>
          <w:rtl w:val="true"/>
        </w:rPr>
        <w:footnoteReference w:id="1721"/>
      </w:r>
      <w:r>
        <w:rPr>
          <w:rFonts w:ascii="IRNazanin" w:hAnsi="IRNazanin" w:eastAsia="IRNazanin"/>
          <w:color w:val="111111"/>
          <w:sz w:val="28"/>
          <w:sz w:val="28"/>
          <w:szCs w:val="28"/>
          <w:rtl w:val="true"/>
          <w:lang w:bidi="fa-IR"/>
        </w:rPr>
        <w:t xml:space="preserve">ری الدنبرگ </w:t>
      </w:r>
      <w:r>
        <w:rPr>
          <w:rStyle w:val="FootnoteAnchor"/>
          <w:rtl w:val="true"/>
        </w:rPr>
        <w:footnoteReference w:id="1722"/>
      </w:r>
      <w:r>
        <w:rPr>
          <w:rFonts w:ascii="IRNazanin" w:hAnsi="IRNazanin" w:eastAsia="IRNazanin"/>
          <w:color w:val="111111"/>
          <w:sz w:val="28"/>
          <w:sz w:val="28"/>
          <w:szCs w:val="28"/>
          <w:rtl w:val="true"/>
          <w:lang w:bidi="fa-IR"/>
        </w:rPr>
        <w:t xml:space="preserve">سومین مکان را به عنوان مکانی متمایز از خانه و کار توصیف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1723"/>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برایسن، </w:t>
      </w:r>
      <w:r>
        <w:rPr>
          <w:rStyle w:val="FootnoteAnchor"/>
          <w:rtl w:val="true"/>
        </w:rPr>
        <w:footnoteReference w:id="1724"/>
      </w:r>
      <w:r>
        <w:rPr>
          <w:rFonts w:ascii="IRNazanin" w:hAnsi="IRNazanin" w:eastAsia="IRNazanin"/>
          <w:color w:val="111111"/>
          <w:sz w:val="28"/>
          <w:sz w:val="28"/>
          <w:szCs w:val="28"/>
          <w:rtl w:val="true"/>
          <w:lang w:bidi="fa-IR"/>
        </w:rPr>
        <w:t xml:space="preserve">آشروود </w:t>
      </w:r>
      <w:r>
        <w:rPr>
          <w:rStyle w:val="FootnoteAnchor"/>
          <w:rtl w:val="true"/>
        </w:rPr>
        <w:footnoteReference w:id="1725"/>
      </w:r>
      <w:r>
        <w:rPr>
          <w:rFonts w:ascii="IRNazanin" w:hAnsi="IRNazanin" w:eastAsia="IRNazanin"/>
          <w:color w:val="111111"/>
          <w:sz w:val="28"/>
          <w:sz w:val="28"/>
          <w:szCs w:val="28"/>
          <w:rtl w:val="true"/>
          <w:lang w:bidi="fa-IR"/>
        </w:rPr>
        <w:t xml:space="preserve">و پراکتور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 xml:space="preserve">مقاله هریس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می کند به دلیل این که کتابخانه ها می توانند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 گردهمایی، </w:t>
      </w:r>
      <w:r>
        <w:rPr>
          <w:rStyle w:val="FootnoteAnchor"/>
          <w:rtl w:val="true"/>
        </w:rPr>
        <w:footnoteReference w:id="1727"/>
      </w:r>
      <w:r>
        <w:rPr>
          <w:rFonts w:ascii="IRNazanin" w:hAnsi="IRNazanin" w:eastAsia="IRNazanin"/>
          <w:color w:val="111111"/>
          <w:sz w:val="28"/>
          <w:sz w:val="28"/>
          <w:szCs w:val="28"/>
          <w:rtl w:val="true"/>
          <w:lang w:bidi="fa-IR"/>
        </w:rPr>
        <w:t>یک منبع یادگیری و فضای عمومی راحت و آرامی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فرصت تبدیل شدن به مرکز کانونی </w:t>
      </w:r>
      <w:r>
        <w:rPr>
          <w:rStyle w:val="FootnoteAnchor"/>
          <w:rtl w:val="true"/>
        </w:rPr>
        <w:footnoteReference w:id="1728"/>
      </w:r>
      <w:r>
        <w:rPr>
          <w:rFonts w:ascii="IRNazanin" w:hAnsi="IRNazanin" w:eastAsia="IRNazanin"/>
          <w:color w:val="111111"/>
          <w:sz w:val="28"/>
          <w:sz w:val="28"/>
          <w:szCs w:val="28"/>
          <w:rtl w:val="true"/>
          <w:lang w:bidi="fa-IR"/>
        </w:rPr>
        <w:t>جامعه را دارا هستند به دلیل این ویژگی اصلی کتابخانه ها مبنایی برای جنبش های اجتماعی جامعه خود هستند</w:t>
      </w:r>
      <w:r>
        <w:rPr>
          <w:rFonts w:eastAsia="IRNazanin" w:cs="IRNazanin"/>
          <w:color w:val="111111"/>
          <w:sz w:val="28"/>
          <w:szCs w:val="28"/>
          <w:rtl w:val="true"/>
          <w:lang w:bidi="fa-IR"/>
        </w:rPr>
        <w:t>.</w:t>
      </w:r>
    </w:p>
    <w:p>
      <w:pPr>
        <w:pStyle w:val="Heading3"/>
        <w:numPr>
          <w:ilvl w:val="2"/>
          <w:numId w:val="1"/>
        </w:numPr>
        <w:rPr/>
      </w:pPr>
      <w:bookmarkStart w:id="1360" w:name="__RefHeading___Toc7767250_2870459653"/>
      <w:bookmarkStart w:id="1361" w:name="_Toc500"/>
      <w:bookmarkEnd w:id="1360"/>
      <w:r>
        <w:rPr>
          <w:rtl w:val="true"/>
        </w:rPr>
        <w:t>"</w:t>
      </w:r>
      <w:r>
        <w:rPr>
          <w:rtl w:val="true"/>
        </w:rPr>
        <w:t>آرشیو پویا</w:t>
      </w:r>
      <w:r>
        <w:rPr>
          <w:rtl w:val="true"/>
        </w:rPr>
        <w:t>"</w:t>
      </w:r>
      <w:bookmarkEnd w:id="1361"/>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تفاسیر متفاوت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تحول و پایه های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آندر آکیوپای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جستجو از طریق پایگاه های ،روزنامه منابعی را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کند که این عبارت را این گونه تبیین می کنند آرشیوی از گیاهان خاص، شخصی که دانش زیادی درباره وقایع متعدد گذشته دارد یا احیای نمایش های فراموش شده که مسائل اجتماعی دوران خود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تعاریف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و پویا </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 xml:space="preserve">حالت تحت اللفظی دارد که به سوژه واقعی یا سرزندگی </w:t>
      </w:r>
    </w:p>
    <w:p>
      <w:pPr>
        <w:pStyle w:val="BookText"/>
        <w:rPr/>
      </w:pPr>
      <w:r>
        <w:rPr>
          <w:rFonts w:ascii="IRNazanin" w:hAnsi="IRNazanin" w:eastAsia="IRNazanin"/>
          <w:color w:val="111111"/>
          <w:sz w:val="28"/>
          <w:sz w:val="28"/>
          <w:szCs w:val="28"/>
          <w:rtl w:val="true"/>
          <w:lang w:bidi="fa-IR"/>
        </w:rPr>
        <w:t xml:space="preserve">رسانه </w:t>
      </w:r>
      <w:r>
        <w:rPr>
          <w:rStyle w:val="FootnoteAnchor"/>
          <w:rtl w:val="true"/>
        </w:rPr>
        <w:footnoteReference w:id="1730"/>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بعدی به وسیله طرح تاریخ شفاهی یبروبک </w:t>
      </w:r>
      <w:r>
        <w:rPr>
          <w:rStyle w:val="FootnoteAnchor"/>
          <w:rtl w:val="true"/>
        </w:rPr>
        <w:footnoteReference w:id="1731"/>
      </w:r>
      <w:r>
        <w:rPr>
          <w:rFonts w:ascii="IRNazanin" w:hAnsi="IRNazanin" w:eastAsia="IRNazanin"/>
          <w:color w:val="111111"/>
          <w:sz w:val="28"/>
          <w:sz w:val="28"/>
          <w:szCs w:val="28"/>
          <w:rtl w:val="true"/>
          <w:lang w:bidi="fa-IR"/>
        </w:rPr>
        <w:t xml:space="preserve">در دانشگاه پسیفیک </w:t>
      </w:r>
      <w:r>
        <w:rPr>
          <w:rStyle w:val="FootnoteAnchor"/>
          <w:rtl w:val="true"/>
        </w:rPr>
        <w:footnoteReference w:id="1732"/>
      </w:r>
      <w:r>
        <w:rPr>
          <w:rFonts w:ascii="IRNazanin" w:hAnsi="IRNazanin" w:eastAsia="IRNazanin"/>
          <w:color w:val="111111"/>
          <w:sz w:val="28"/>
          <w:sz w:val="28"/>
          <w:szCs w:val="28"/>
          <w:rtl w:val="true"/>
          <w:lang w:bidi="fa-IR"/>
        </w:rPr>
        <w:t>در کالیفرنیا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و آئولا بروبک </w:t>
      </w:r>
      <w:r>
        <w:rPr>
          <w:rStyle w:val="FootnoteAnchor"/>
          <w:rtl w:val="true"/>
        </w:rPr>
        <w:footnoteReference w:id="1733"/>
      </w:r>
      <w:r>
        <w:rPr>
          <w:rFonts w:ascii="IRNazanin" w:hAnsi="IRNazanin" w:eastAsia="IRNazanin"/>
          <w:color w:val="111111"/>
          <w:sz w:val="28"/>
          <w:sz w:val="28"/>
          <w:szCs w:val="28"/>
          <w:rtl w:val="true"/>
          <w:lang w:bidi="fa-IR"/>
        </w:rPr>
        <w:t>خاطرات مربوط به زندگی موسیقیایی خود را به دانشگاه پسیفیک اهدا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توضیح داد شرط اهدای این منابع تعهد دانشگاه مبنی بر رفتار با این مواد و منابع به عنوان یک آرشیو زنده و پویا بود پیلزبری،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734"/>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برای تغییر در مجموعه لازمه این نوع آرشیو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هدف اولیه برای ایجاد نمایشگاهی که بتواند در فضاهای واقعی وجود داشته باشد تا حضور در فضای مجازی و به علاوه اضافه شدن مصاحبه های ثبت شده بریک و جریان و سیالیت </w:t>
      </w:r>
      <w:r>
        <w:rPr>
          <w:rStyle w:val="FootnoteAnchor"/>
          <w:rtl w:val="true"/>
        </w:rPr>
        <w:footnoteReference w:id="1735"/>
      </w:r>
      <w:r>
        <w:rPr>
          <w:rFonts w:ascii="IRNazanin" w:hAnsi="IRNazanin" w:eastAsia="IRNazanin"/>
          <w:color w:val="111111"/>
          <w:sz w:val="28"/>
          <w:sz w:val="28"/>
          <w:szCs w:val="28"/>
          <w:rtl w:val="true"/>
          <w:lang w:bidi="fa-IR"/>
        </w:rPr>
        <w:t xml:space="preserve">مجموعه چیزی است که آن را زنده و پویا می سازد پیلزبری،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مثال مذکور درباره سیالیت مجموعه، بسیاری از طرح ها رابطه ای مجازی ایجاد کرده اند که این امکان را بیشتر فراهم می سازد در مقاله ای در مجله کتابداری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Style w:val="FootnoteAnchor"/>
          <w:rtl w:val="true"/>
        </w:rPr>
        <w:footnoteReference w:id="1736"/>
      </w:r>
      <w:r>
        <w:rPr>
          <w:rFonts w:ascii="IRNazanin" w:hAnsi="IRNazanin" w:eastAsia="IRNazanin"/>
          <w:color w:val="111111"/>
          <w:sz w:val="28"/>
          <w:sz w:val="28"/>
          <w:szCs w:val="28"/>
          <w:rtl w:val="true"/>
          <w:lang w:bidi="fa-IR"/>
        </w:rPr>
        <w:t xml:space="preserve">کالینز، </w:t>
      </w:r>
      <w:r>
        <w:rPr>
          <w:rStyle w:val="FootnoteAnchor"/>
          <w:rtl w:val="true"/>
        </w:rPr>
        <w:footnoteReference w:id="1737"/>
      </w:r>
      <w:r>
        <w:rPr>
          <w:rFonts w:ascii="IRNazanin" w:hAnsi="IRNazanin" w:eastAsia="IRNazanin"/>
          <w:color w:val="111111"/>
          <w:sz w:val="28"/>
          <w:sz w:val="28"/>
          <w:szCs w:val="28"/>
          <w:rtl w:val="true"/>
          <w:lang w:bidi="fa-IR"/>
        </w:rPr>
        <w:t>اینترنت را به طور برجسته به عنوان یک آرشیو پویا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می کند که وب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برای یافتن هدفی از حافظه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w:t>
      </w:r>
      <w:r>
        <w:rPr>
          <w:rFonts w:eastAsia="IRNazanin" w:cs="IRNazanin"/>
          <w:color w:val="111111"/>
          <w:sz w:val="28"/>
          <w:szCs w:val="28"/>
          <w:rtl w:val="true"/>
          <w:lang w:bidi="fa-IR"/>
        </w:rPr>
        <w:t xml:space="preserve">" </w:t>
      </w:r>
      <w:r>
        <w:rPr>
          <w:rStyle w:val="FootnoteAnchor"/>
          <w:rtl w:val="true"/>
        </w:rPr>
        <w:footnoteReference w:id="1738"/>
      </w:r>
      <w:r>
        <w:rPr>
          <w:rFonts w:ascii="IRNazanin" w:hAnsi="IRNazanin" w:eastAsia="IRNazanin"/>
          <w:color w:val="111111"/>
          <w:sz w:val="28"/>
          <w:sz w:val="28"/>
          <w:szCs w:val="28"/>
          <w:rtl w:val="true"/>
          <w:lang w:bidi="fa-IR"/>
        </w:rPr>
        <w:t>دسترسی مداوم به صداهایی که فراموش شده است قدیمی یا به هر ترتیبی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کالینز،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می تواند در بسیاری از طرح های اخیر دیده شود چه برگزاری مراسم یادبود در یک سازمان خاص، چه جمع آوری خاطرات تاثیرگذار برای تبلیغ و نظرات تعاملی یا فرم های ثبت نام در یک وب سایت در حال تبدیل شدن به یک ویژگی متعارفی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جستجوی ساده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یادبودهای خوب کشور</w:t>
      </w:r>
      <w:r>
        <w:rPr>
          <w:rFonts w:eastAsia="IRNazanin" w:cs="IRNazanin"/>
          <w:color w:val="111111"/>
          <w:sz w:val="28"/>
          <w:szCs w:val="28"/>
          <w:rtl w:val="true"/>
          <w:lang w:bidi="fa-IR"/>
        </w:rPr>
        <w:t xml:space="preserve">" </w:t>
      </w:r>
      <w:r>
        <w:rPr>
          <w:rStyle w:val="FootnoteAnchor"/>
          <w:rtl w:val="true"/>
        </w:rPr>
        <w:footnoteReference w:id="1739"/>
      </w:r>
      <w:r>
        <w:rPr>
          <w:rFonts w:ascii="IRNazanin" w:hAnsi="IRNazanin" w:eastAsia="IRNazanin"/>
          <w:color w:val="111111"/>
          <w:sz w:val="28"/>
          <w:sz w:val="28"/>
          <w:szCs w:val="28"/>
          <w:rtl w:val="true"/>
          <w:lang w:bidi="fa-IR"/>
        </w:rPr>
        <w:t xml:space="preserve">فهرستی از وب سایت های خوب کشور بازیابی می شود که هر فردی می تواند یادبودهای خوب کشور خود را در یک فرم برخط ثبت نماید ان سی لایو، </w:t>
      </w:r>
      <w:r>
        <w:rPr>
          <w:rStyle w:val="FootnoteAnchor"/>
          <w:rtl w:val="true"/>
        </w:rPr>
        <w:footnoteReference w:id="1740"/>
      </w:r>
      <w:r>
        <w:rPr>
          <w:rFonts w:ascii="IRNazanin" w:hAnsi="IRNazanin" w:eastAsia="IRNazanin"/>
          <w:color w:val="111111"/>
          <w:sz w:val="28"/>
          <w:sz w:val="28"/>
          <w:szCs w:val="28"/>
          <w:rtl w:val="true"/>
          <w:lang w:bidi="fa-IR"/>
        </w:rPr>
        <w:t>یکی از خدمات برخط کشوری کتابخانه در حال برگزاری پنجاهمین مراسم یادبود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به جمع آوری خاطرات و روایت های مراجعه کنندگان و کارکنان کتابخانه در سرتاسر کالیفرنیای شمالی با یک قالب یکسان اقدام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سی لایو، </w:t>
      </w:r>
    </w:p>
    <w:p>
      <w:pPr>
        <w:pStyle w:val="BookText"/>
        <w:rPr/>
      </w:pP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مشابهی توسط گروه روایت رادیو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پی آر</w:t>
      </w:r>
      <w:r>
        <w:rPr>
          <w:rFonts w:eastAsia="IRNazanin" w:cs="IRNazanin"/>
          <w:color w:val="111111"/>
          <w:sz w:val="28"/>
          <w:szCs w:val="28"/>
          <w:rtl w:val="true"/>
          <w:lang w:bidi="fa-IR"/>
        </w:rPr>
        <w:t xml:space="preserve">) </w:t>
      </w:r>
      <w:r>
        <w:rPr>
          <w:rStyle w:val="FootnoteAnchor"/>
          <w:rtl w:val="true"/>
        </w:rPr>
        <w:footnoteReference w:id="1741"/>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می توانند با بازدید از خدمات گروه روایت نقل و روایت خود را در مرکز زندگی مردم آمریکا </w:t>
      </w:r>
      <w:r>
        <w:rPr>
          <w:rStyle w:val="FootnoteAnchor"/>
          <w:rtl w:val="true"/>
        </w:rPr>
        <w:footnoteReference w:id="1742"/>
      </w:r>
      <w:r>
        <w:rPr>
          <w:rFonts w:ascii="IRNazanin" w:hAnsi="IRNazanin" w:eastAsia="IRNazanin"/>
          <w:color w:val="111111"/>
          <w:sz w:val="28"/>
          <w:sz w:val="28"/>
          <w:szCs w:val="28"/>
          <w:rtl w:val="true"/>
          <w:lang w:bidi="fa-IR"/>
        </w:rPr>
        <w:t xml:space="preserve">در کتابخانه کنگره ثبت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پی آر،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ویژگی یک آرشیو پویا، شیوه شکار وقایع به همان صورتی است که رخ می دهند آرشیوها ممکن است این فرایند را به شیوه های متعددی انجام دهند از ذخیره و فراهم آوری ضبط های دیداری شنیداری که در زمان وقوع یک رویداد گرفته می شود تا افزودن مداوم اطلاعات جدید به نحوی که گویا آن رویداد به طور واقعی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نخستین مرحله این ویژگی، می توان مجموعه منازعه آزادیخواه آفریقای جنوبی </w:t>
      </w:r>
      <w:r>
        <w:rPr>
          <w:rStyle w:val="FootnoteAnchor"/>
          <w:rtl w:val="true"/>
        </w:rPr>
        <w:footnoteReference w:id="1743"/>
      </w:r>
      <w:r>
        <w:rPr>
          <w:rFonts w:ascii="IRNazanin" w:hAnsi="IRNazanin" w:eastAsia="IRNazanin"/>
          <w:color w:val="111111"/>
          <w:sz w:val="28"/>
          <w:sz w:val="28"/>
          <w:szCs w:val="28"/>
          <w:rtl w:val="true"/>
          <w:lang w:bidi="fa-IR"/>
        </w:rPr>
        <w:t xml:space="preserve">را مثال زد که در هفتاد و سومین کنفرانس سالانه ایفلا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متیو، پیترز، و پتیت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 xml:space="preserve">) </w:t>
      </w:r>
      <w:r>
        <w:rPr>
          <w:rStyle w:val="FootnoteAnchor"/>
          <w:rtl w:val="true"/>
        </w:rPr>
        <w:footnoteReference w:id="1744"/>
      </w:r>
      <w:r>
        <w:rPr>
          <w:rFonts w:ascii="IRNazanin" w:hAnsi="IRNazanin" w:eastAsia="IRNazanin"/>
          <w:color w:val="111111"/>
          <w:sz w:val="28"/>
          <w:sz w:val="28"/>
          <w:szCs w:val="28"/>
          <w:rtl w:val="true"/>
          <w:lang w:bidi="fa-IR"/>
        </w:rPr>
        <w:t>هدف این مجموعه رقومی سازی و حفاظت از آرشیوهای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درباره تاریخچه منازعه آزادیخواه آفریقای جنوبی به منظور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فضاهای دانشی تعاملی</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متیو، پیترز و پتیت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ویدئوهای گذشته درباره وقایع روزشمار یکی از ایالت های آفریقا و نیز دیگر رویدادهای مهمی که در سایر کشورهای آفریقایی به وقوع پیوسته است را رقومی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متیو، پیترز و پتیت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وقایع فعال به جای مصاحبه ها یا نقل های انفرادی چیزی است که این ابتکار آرشیوی را به الگو پیشنهادی نزدیک تر می کند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اخیر کتابخانه های دانشگاه استانفورد بکارگیری رویکرد اخذ بیشتر رویدادها و خاص کردن آن به کتابخانه ها است تا مصنوعات گذشته و حال ویلیام مک دانو را آرشیو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آر نیوزوایر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1746"/>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مک دانو یک معمار نمونه برای توسعه مقاومتی </w:t>
      </w:r>
      <w:r>
        <w:rPr>
          <w:rStyle w:val="FootnoteAnchor"/>
          <w:rtl w:val="true"/>
        </w:rPr>
        <w:footnoteReference w:id="1747"/>
      </w:r>
      <w:r>
        <w:rPr>
          <w:rFonts w:ascii="IRNazanin" w:hAnsi="IRNazanin" w:eastAsia="IRNazanin"/>
          <w:color w:val="111111"/>
          <w:sz w:val="28"/>
          <w:sz w:val="28"/>
          <w:szCs w:val="28"/>
          <w:rtl w:val="true"/>
          <w:lang w:bidi="fa-IR"/>
        </w:rPr>
        <w:t xml:space="preserve">است و دانشگاه استانفورد در صدد ایجاد آرشیوی رقومی از نوشته ها فعالیت ها و مکالمه 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آر نیوزوایر،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زمانی مجموعه های تاریخی او شامل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شغل حرفه ای او است اما آن ها همچنین علاقمند به افزودن مستمر نمودها و طرح های او به مجموعه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آر نیوزوایر،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مداوم منبع جدید با هدف شمول رسانه های اجتماعی، این خصیصه را یکی از سه تفسیر نزدیک الگو سرچ آندر آکیوپای می سازد که در ادامه ذکر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دیگری در بلاگی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Style w:val="FootnoteAnchor"/>
          <w:rtl w:val="true"/>
        </w:rPr>
        <w:footnoteReference w:id="1748"/>
      </w:r>
      <w:r>
        <w:rPr>
          <w:rFonts w:ascii="IRNazanin" w:hAnsi="IRNazanin" w:eastAsia="IRNazanin"/>
          <w:color w:val="111111"/>
          <w:sz w:val="28"/>
          <w:sz w:val="28"/>
          <w:szCs w:val="28"/>
          <w:rtl w:val="true"/>
          <w:lang w:bidi="fa-IR"/>
        </w:rPr>
        <w:t>طرح ریزی شده است که مربوط به کتابخانه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آگهی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آرشیو پویا</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 xml:space="preserve">دو طرح را برای آرشیو کردن انقلاب مصر مطرح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آنتون،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 xml:space="preserve">مجموعه فیلم موسایرین </w:t>
      </w:r>
      <w:r>
        <w:rPr>
          <w:rStyle w:val="FootnoteAnchor"/>
        </w:rPr>
        <w:footnoteReference w:id="1751"/>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فوت فیلم را گردآوری نموده و در مورد چگونگی سازماندهی مجموعه عظیمی که شامل فوت تصویری سلولار </w:t>
      </w:r>
      <w:r>
        <w:rPr>
          <w:rStyle w:val="FootnoteAnchor"/>
          <w:rtl w:val="true"/>
        </w:rPr>
        <w:footnoteReference w:id="1752"/>
      </w:r>
      <w:r>
        <w:rPr>
          <w:rFonts w:ascii="IRNazanin" w:hAnsi="IRNazanin" w:eastAsia="IRNazanin"/>
          <w:color w:val="111111"/>
          <w:sz w:val="28"/>
          <w:sz w:val="28"/>
          <w:szCs w:val="28"/>
          <w:rtl w:val="true"/>
          <w:lang w:bidi="fa-IR"/>
        </w:rPr>
        <w:t xml:space="preserve">است، رقابت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آنتون،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همچنین در حال ثبت و ضبط این فرایند آرشیوی هستند تا خود فرایند آرشیو را گزارش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آنتون،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طرح بخشی از طرح های ابتکاری آرشیوهای ملی مصری است مسائلی که خالد فَی </w:t>
      </w:r>
      <w:r>
        <w:rPr>
          <w:rStyle w:val="FootnoteAnchor"/>
          <w:rtl w:val="true"/>
        </w:rPr>
        <w:footnoteReference w:id="1753"/>
      </w:r>
      <w:r>
        <w:rPr>
          <w:rFonts w:ascii="IRNazanin" w:hAnsi="IRNazanin" w:eastAsia="IRNazanin"/>
          <w:color w:val="111111"/>
          <w:sz w:val="28"/>
          <w:sz w:val="28"/>
          <w:szCs w:val="28"/>
          <w:rtl w:val="true"/>
          <w:lang w:bidi="fa-IR"/>
        </w:rPr>
        <w:t xml:space="preserve">مورخ، با آن ها روبرو است مسئله تضمین توانایی گفتن گزارش ها و روایت های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آنتون،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سوالاتی که کمیته باید پاسخ دهد پارامترهای انقلاب را در بر می گیرد مثلا چه موقع انقلاب آغاز شد و فعلان آن چه کسانی بودند آن ها تصمیم گرفتند جنبه سیالیت آرشیو پویا را ادامه دهند و برنامه ریزی کردند تا به طور مستمر پاسخ های ایجاد شده را مرور و بازبینی نمایند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و تفسیر نهایی یک آرشیو پویا که به عنوان مبنایی برای توصیف الگو سرچ آندر آکوپای انتخاب شده است، کار دوک </w:t>
      </w:r>
      <w:r>
        <w:rPr>
          <w:rStyle w:val="FootnoteAnchor"/>
          <w:rtl w:val="true"/>
        </w:rPr>
        <w:footnoteReference w:id="1754"/>
      </w:r>
      <w:r>
        <w:rPr>
          <w:rFonts w:ascii="IRNazanin" w:hAnsi="IRNazanin" w:eastAsia="IRNazanin"/>
          <w:color w:val="111111"/>
          <w:sz w:val="28"/>
          <w:sz w:val="28"/>
          <w:szCs w:val="28"/>
          <w:rtl w:val="true"/>
          <w:lang w:bidi="fa-IR"/>
        </w:rPr>
        <w:t>است که یک کتابخانه هلندی در هلند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ایجاد انجمن دوک، </w:t>
      </w:r>
      <w:r>
        <w:rPr>
          <w:rStyle w:val="FootnoteAnchor"/>
          <w:rtl w:val="true"/>
        </w:rPr>
        <w:footnoteReference w:id="1755"/>
      </w:r>
      <w:r>
        <w:rPr>
          <w:rFonts w:ascii="IRNazanin" w:hAnsi="IRNazanin" w:eastAsia="IRNazanin"/>
          <w:color w:val="111111"/>
          <w:sz w:val="28"/>
          <w:sz w:val="28"/>
          <w:szCs w:val="28"/>
          <w:rtl w:val="true"/>
          <w:lang w:bidi="fa-IR"/>
        </w:rPr>
        <w:t xml:space="preserve">همکاری کتابخانه مذکور با شرکت های طراحی متعدد و سازمان های 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باكستين،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 xml:space="preserve">انجمن دوک مرکز نمایش چندرسانه ای است که ایستگاه هایی را نشان می دهد که کاربران می توانند گزارش های خود را ثبت نمایند و آن ها را بر روی دیوار تصویری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اینچ نمایش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باکستین،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زمینه و موضوعی دارد که هر سه ماه یکبار تغییر می یابد این زمینه، متناسب با جامعه کتابخانه است و کتابخانه منابع مرتبط را از آرشیوهای محلی و مجموعه های خود نمایش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باکستین،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رویداد مطرح، هر موضوع را افتتاح می کند و در پایان سه ماه رویداد مشابهی بهترین گزارش های مربوط به آن زمینه را به طور برجسته به تصویر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باکستین،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نمایش توسط کاربران و با نهایت همکاری آن ها ساخته می شود و پس از آن در وبسایت کتابخانه آرشیو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باکستین،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طرح ابتکاری خلاصه رئوس خدمات را به جامعه ارائه می دهد؛ گزارش ها را به نمایش می گذارد و ایده ها و خاطرات را در مورد وقایعی که در همسایگی اعضا رخ می دهد به طور برجسته 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آرشیوهای پویای زیادی وجود داشته که قبل از الگو سرچ آندر آکوپای آمده اند و در مورد ضرورت آرشیو به نتایجی رسیده اند اما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آندر آکیوپای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 آندر آکوپای ترکیبی از اشکال متنوع بیان بصری رسانه های اجتماعی و آرشیو مجازی گسترده ای است که کتابخانه ها می توانند در آن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جنبش های اجتماعی مدرن ماهیت متغیر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بریتانیکا </w:t>
      </w:r>
      <w:r>
        <w:rPr>
          <w:rStyle w:val="FootnoteAnchor"/>
          <w:rtl w:val="true"/>
        </w:rPr>
        <w:footnoteReference w:id="1757"/>
      </w:r>
      <w:r>
        <w:rPr>
          <w:rFonts w:ascii="IRNazanin" w:hAnsi="IRNazanin" w:eastAsia="IRNazanin"/>
          <w:color w:val="111111"/>
          <w:sz w:val="28"/>
          <w:sz w:val="28"/>
          <w:szCs w:val="28"/>
          <w:rtl w:val="true"/>
          <w:lang w:bidi="fa-IR"/>
        </w:rPr>
        <w:t xml:space="preserve">به طور خلاصه بیان می کند اهداف و سازمان یک جنبش اجتماعی، به واسطه ماهیت متغیر آن ها به مثابه جزر و مد است این جنبش ها متشکل از گروهی از افراد خودجوش با تشکلی نیمه سازمان یافته هستند که ارتباط بین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قوانین و روندها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 مشترک در مورد جامعه</w:t>
      </w:r>
      <w:r>
        <w:rPr>
          <w:rFonts w:eastAsia="IRNazanin" w:cs="IRNazanin"/>
          <w:color w:val="111111"/>
          <w:sz w:val="28"/>
          <w:szCs w:val="28"/>
          <w:rtl w:val="true"/>
          <w:lang w:bidi="fa-IR"/>
        </w:rPr>
        <w:t xml:space="preserve">" </w:t>
      </w:r>
      <w:r>
        <w:rPr>
          <w:rStyle w:val="FootnoteAnchor"/>
          <w:rtl w:val="true"/>
        </w:rPr>
        <w:footnoteReference w:id="1758"/>
      </w:r>
      <w:r>
        <w:rPr>
          <w:rFonts w:ascii="IRNazanin" w:hAnsi="IRNazanin" w:eastAsia="IRNazanin"/>
          <w:color w:val="111111"/>
          <w:sz w:val="28"/>
          <w:sz w:val="28"/>
          <w:szCs w:val="28"/>
          <w:rtl w:val="true"/>
          <w:lang w:bidi="fa-IR"/>
        </w:rPr>
        <w:t xml:space="preserve">حضور دارند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جنبش آکوپای وال استریت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دبلیو اس</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به طور آشکارا به عنوان یک جنبش اجتماعی و جنبشی که بسیاری از جوامع دنیا را تحت تاثیر قرار داده شناسایی شده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نظر رادیکا سوبرامانیام، </w:t>
      </w:r>
      <w:r>
        <w:rPr>
          <w:rStyle w:val="FootnoteAnchor"/>
          <w:rtl w:val="true"/>
        </w:rPr>
        <w:footnoteReference w:id="1760"/>
      </w:r>
      <w:r>
        <w:rPr>
          <w:rFonts w:ascii="IRNazanin" w:hAnsi="IRNazanin" w:eastAsia="IRNazanin"/>
          <w:color w:val="111111"/>
          <w:sz w:val="28"/>
          <w:sz w:val="28"/>
          <w:szCs w:val="28"/>
          <w:rtl w:val="true"/>
          <w:lang w:bidi="fa-IR"/>
        </w:rPr>
        <w:t>مدیر و سرپرست مرکز طراحی شیلا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جانسن، پاسخ نیواسکول به جنبش اُ دبلیو اس مستند کردن آن نبود، بلکه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الزام آرشیوی بود که تقریبا به نظر می رسید در این جنبش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قالب آرشیو پویا به عنوان روشی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با رویدادهایی بود که روز به روز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اعضای هیات علمی و دانشجویان نیواسکول به طرح رسیدگی می کردند و بسیاری از آن ها افرادی بودند که تقریبا در جنبش اُ دبلیو اس درگیر بودند هر کدام مسئولیت های خود را داشتند و مفهوم مازادی را به طرح می 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سوبر امانیام، مکاتبه شخصی،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،آپریل،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سرچ آندر آکیوپای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آندر آکوپای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اول ماه مارس تا اول آپریل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طراحی شیلا سی جانسن در نیویورک نمایش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این طرح بر پاسخ جامعه نیواسکول به جنبش به جنبش اُ دبلیو ای بود یک فراخوان عمومی برای ارائه آثار در نوامبر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اعلان و آگهی توسط اتحادیه های دانشجویی اساتید و کلاس های آن ها و رسانه های اجتماعی تهیه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سوبر امانیام، مکاتبه شخصی،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آپریل،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ابتدا قرار بر این بود که فرایند مورد بازنگری قرار 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مدیریتی، آرشیوی بود و بنابراین زمانی که ضوابط و معیارها تهیه نشده بود و وضعیت در حال تغییر بود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مانعیت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معیار برای پذیرش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w:t>
      </w:r>
      <w:bookmarkStart w:id="1362" w:name="pg9653_82332"/>
    </w:p>
    <w:p>
      <w:pPr>
        <w:pStyle w:val="BookText"/>
        <w:rPr/>
      </w:pPr>
      <w:bookmarkEnd w:id="1362"/>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سوبرامانیام، مکاتبه شخصی،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آپریل،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وضعیت یک نمایش و آرشیو مجازی بود از طیف وسیعی از رسانه ها شامل ،ویدئو عکس ها مواد شنیداری و طرح های عملکرد و نیز شامل آثار متنی مثل نمایش های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برخط، </w:t>
      </w:r>
      <w:r>
        <w:rPr>
          <w:rStyle w:val="FootnoteAnchor"/>
          <w:rtl w:val="true"/>
        </w:rPr>
        <w:footnoteReference w:id="1761"/>
      </w:r>
      <w:r>
        <w:rPr>
          <w:rFonts w:ascii="IRNazanin" w:hAnsi="IRNazanin" w:eastAsia="IRNazanin"/>
          <w:color w:val="111111"/>
          <w:sz w:val="28"/>
          <w:sz w:val="28"/>
          <w:szCs w:val="28"/>
          <w:rtl w:val="true"/>
          <w:lang w:bidi="fa-IR"/>
        </w:rPr>
        <w:t xml:space="preserve">پوسترها، بلاگ 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بخش های وسیع تر عناصر ذکر شده در بالا نشان می دهد که چقدر کتابخانه ها در الگو آرشیو پویا و در قلمرو خدماتی که به کاربران عضو خود ارائه می کنند می توانند سهیم باشند</w:t>
      </w:r>
      <w:r>
        <w:rPr>
          <w:rFonts w:eastAsia="IRNazanin" w:cs="IRNazanin"/>
          <w:color w:val="111111"/>
          <w:sz w:val="28"/>
          <w:szCs w:val="28"/>
          <w:rtl w:val="true"/>
          <w:lang w:bidi="fa-IR"/>
        </w:rPr>
        <w:t>.</w:t>
      </w:r>
    </w:p>
    <w:p>
      <w:pPr>
        <w:pStyle w:val="Heading3"/>
        <w:numPr>
          <w:ilvl w:val="2"/>
          <w:numId w:val="1"/>
        </w:numPr>
        <w:rPr/>
      </w:pPr>
      <w:bookmarkStart w:id="1363" w:name="__RefHeading___Toc7767252_2870459653"/>
      <w:bookmarkStart w:id="1364" w:name="_Toc501"/>
      <w:bookmarkEnd w:id="1363"/>
      <w:r>
        <w:rPr>
          <w:rtl w:val="true"/>
        </w:rPr>
        <w:t>عناصر بصری</w:t>
      </w:r>
      <w:bookmarkEnd w:id="1364"/>
    </w:p>
    <w:p>
      <w:pPr>
        <w:pStyle w:val="BookText"/>
        <w:rPr/>
      </w:pPr>
      <w:r>
        <w:rPr>
          <w:rFonts w:ascii="IRNazanin" w:hAnsi="IRNazanin" w:eastAsia="IRNazanin"/>
          <w:color w:val="111111"/>
          <w:sz w:val="28"/>
          <w:sz w:val="28"/>
          <w:szCs w:val="28"/>
          <w:rtl w:val="true"/>
          <w:lang w:bidi="fa-IR"/>
        </w:rPr>
        <w:t>هنر یکی از مهمترین بخش های جنبش های اجتماعی، خصوصا در جنبش اُ دبلیو 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بخش مهمی از بیان، معرفت و بنابراین مکتب عملی </w:t>
      </w:r>
      <w:r>
        <w:rPr>
          <w:rStyle w:val="FootnoteAnchor"/>
          <w:rtl w:val="true"/>
        </w:rPr>
        <w:footnoteReference w:id="1762"/>
      </w:r>
      <w:r>
        <w:rPr>
          <w:rFonts w:ascii="IRNazanin" w:hAnsi="IRNazanin" w:eastAsia="IRNazanin"/>
          <w:color w:val="111111"/>
          <w:sz w:val="28"/>
          <w:sz w:val="28"/>
          <w:szCs w:val="28"/>
          <w:rtl w:val="true"/>
          <w:lang w:bidi="fa-IR"/>
        </w:rPr>
        <w:t>است نمایش سرچ آندر آکوپای بسیاری از اشکال بیان بصری را به طور برجسته نمایان کرد هر رسانه ای یک تجربه تعاملی ایجاد می کند که یادگیری را در مورد جنبش تسهیل می کند همچنین از شمول جامعه نیوِاسکول پشتیبانی می کند و دیگران را در گفتمان خود درگیر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 گیبسن </w:t>
      </w:r>
      <w:r>
        <w:rPr>
          <w:rStyle w:val="FootnoteAnchor"/>
          <w:rtl w:val="true"/>
        </w:rPr>
        <w:footnoteReference w:id="1763"/>
      </w:r>
      <w:r>
        <w:rPr>
          <w:rFonts w:ascii="IRNazanin" w:hAnsi="IRNazanin" w:eastAsia="IRNazanin"/>
          <w:color w:val="111111"/>
          <w:sz w:val="28"/>
          <w:sz w:val="28"/>
          <w:szCs w:val="28"/>
          <w:rtl w:val="true"/>
          <w:lang w:bidi="fa-IR"/>
        </w:rPr>
        <w:t xml:space="preserve">صنعتگری است که توسط مدیر مرکز طراحی </w:t>
      </w:r>
      <w:r>
        <w:rPr>
          <w:rStyle w:val="FootnoteAnchor"/>
          <w:rtl w:val="true"/>
        </w:rPr>
        <w:footnoteReference w:id="1764"/>
      </w:r>
      <w:r>
        <w:rPr>
          <w:rFonts w:ascii="IRNazanin" w:hAnsi="IRNazanin" w:eastAsia="IRNazanin"/>
          <w:color w:val="111111"/>
          <w:sz w:val="28"/>
          <w:sz w:val="28"/>
          <w:szCs w:val="28"/>
          <w:rtl w:val="true"/>
          <w:lang w:bidi="fa-IR"/>
        </w:rPr>
        <w:t xml:space="preserve">دعوت شد تا تاسیساتی را نصب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گیبسن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به عنوان یک مرکز کانونی ایستا </w:t>
      </w:r>
      <w:r>
        <w:rPr>
          <w:rStyle w:val="FootnoteAnchor"/>
          <w:rtl w:val="true"/>
        </w:rPr>
        <w:footnoteReference w:id="1765"/>
      </w:r>
      <w:r>
        <w:rPr>
          <w:rFonts w:ascii="IRNazanin" w:hAnsi="IRNazanin" w:eastAsia="IRNazanin"/>
          <w:color w:val="111111"/>
          <w:sz w:val="28"/>
          <w:sz w:val="28"/>
          <w:szCs w:val="28"/>
          <w:rtl w:val="true"/>
          <w:lang w:bidi="fa-IR"/>
        </w:rPr>
        <w:t>نمایش عمل می کرد که بازدید کننده ها می توانستند ویدئوی پاسخ های اعضای جامعه نیواسکول را تماشا کنند و درباره دیگر حقایق جنبش آگاهی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توسط کریس هیون چوی </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دیگر تاسیسات شامل یک پازل جدول معمایی بزرگی بود که بازدید کننده ها می توانستند خانه های آن را با چیزهایی که می دانند پر کنند و در مورد چیزهایی که نمی دانند یاد بگیرند مورد دیگر یک ماکت چوبی برای بازدید کننده ها بود تا عکس بگیرند و خود را در صحنه جنبش وارد کنند در حالی که توسط پلیس دستگیر می شوند</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 هون چوی </w:t>
      </w:r>
      <w:bookmarkStart w:id="1365" w:name="pg9653_82334"/>
    </w:p>
    <w:p>
      <w:pPr>
        <w:pStyle w:val="BookText"/>
        <w:rPr/>
      </w:pPr>
      <w:bookmarkEnd w:id="1365"/>
      <w:r>
        <w:rPr>
          <w:rFonts w:ascii="IRNazanin" w:hAnsi="IRNazanin" w:eastAsia="IRNazanin"/>
          <w:color w:val="111111"/>
          <w:sz w:val="28"/>
          <w:sz w:val="28"/>
          <w:szCs w:val="28"/>
          <w:rtl w:val="true"/>
          <w:lang w:bidi="fa-IR"/>
        </w:rPr>
        <w:t xml:space="preserve">مجموعه هنری بری کِلاب </w:t>
      </w:r>
      <w:r>
        <w:rPr>
          <w:rStyle w:val="FootnoteAnchor"/>
          <w:rtl w:val="true"/>
        </w:rPr>
        <w:footnoteReference w:id="1767"/>
      </w:r>
      <w:r>
        <w:rPr>
          <w:rFonts w:ascii="IRNazanin" w:hAnsi="IRNazanin" w:eastAsia="IRNazanin"/>
          <w:color w:val="111111"/>
          <w:sz w:val="28"/>
          <w:sz w:val="28"/>
          <w:szCs w:val="28"/>
          <w:rtl w:val="true"/>
          <w:lang w:bidi="fa-IR"/>
        </w:rPr>
        <w:t xml:space="preserve">جنبه اجرایی نمایش را نشان می داد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دموکراسی</w:t>
      </w:r>
      <w:r>
        <w:rPr>
          <w:rFonts w:eastAsia="IRNazanin" w:cs="IRNazanin"/>
          <w:color w:val="111111"/>
          <w:sz w:val="28"/>
          <w:szCs w:val="28"/>
          <w:rtl w:val="true"/>
          <w:lang w:bidi="fa-IR"/>
        </w:rPr>
        <w:t xml:space="preserve">" </w:t>
      </w:r>
      <w:r>
        <w:rPr>
          <w:rStyle w:val="FootnoteAnchor"/>
          <w:rtl w:val="true"/>
        </w:rPr>
        <w:footnoteReference w:id="1768"/>
      </w:r>
      <w:r>
        <w:rPr>
          <w:rFonts w:ascii="IRNazanin" w:hAnsi="IRNazanin" w:eastAsia="IRNazanin"/>
          <w:color w:val="111111"/>
          <w:sz w:val="28"/>
          <w:sz w:val="28"/>
          <w:szCs w:val="28"/>
          <w:rtl w:val="true"/>
          <w:lang w:bidi="fa-IR"/>
        </w:rPr>
        <w:t xml:space="preserve">اعضای جامعه نیواسکول تفکرات نظرات و شکایت های خود را درباره اُ دبلیو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آندر آکوپای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 آن ها با همدیگر تنظیم می شد و محصول نهایی در فضای نمایش توسط مجریان داوطلب نشان داده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 آندر آکوپای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این اجراها و نمایش های بصری سخنرانی های غیر رسمی اساتید و کارگاه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آزاد با یک دوربین</w:t>
      </w:r>
      <w:r>
        <w:rPr>
          <w:rFonts w:eastAsia="IRNazanin" w:cs="IRNazanin"/>
          <w:color w:val="111111"/>
          <w:sz w:val="28"/>
          <w:szCs w:val="28"/>
          <w:rtl w:val="true"/>
          <w:lang w:bidi="fa-IR"/>
        </w:rPr>
        <w:t xml:space="preserve">" </w:t>
      </w:r>
      <w:r>
        <w:rPr>
          <w:rStyle w:val="FootnoteAnchor"/>
          <w:rtl w:val="true"/>
        </w:rPr>
        <w:footnoteReference w:id="1769"/>
      </w:r>
      <w:r>
        <w:rPr>
          <w:rFonts w:ascii="IRNazanin" w:hAnsi="IRNazanin" w:eastAsia="IRNazanin"/>
          <w:color w:val="111111"/>
          <w:sz w:val="28"/>
          <w:sz w:val="28"/>
          <w:szCs w:val="28"/>
          <w:rtl w:val="true"/>
          <w:lang w:bidi="fa-IR"/>
        </w:rPr>
        <w:t>به این امر یاری می رساند چنین تلاش هایی این ابتکار هنرمندانه را به لحظه آموزش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نه تنها اشکال زیادی از هنر را ورای عناصر ایستا به نمایش سرچ آندر آکوپای وارد می نمود بلکه به ابعاد مختلف خوداظهاری هنرمندان میدان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که در صحنه وارد می شدند را جلب می کرد و آن ها را در فکر و در یادگیری مشغول می نمود</w:t>
      </w:r>
      <w:r>
        <w:rPr>
          <w:rFonts w:eastAsia="IRNazanin" w:cs="IRNazanin"/>
          <w:color w:val="111111"/>
          <w:sz w:val="28"/>
          <w:szCs w:val="28"/>
          <w:rtl w:val="true"/>
          <w:lang w:bidi="fa-IR"/>
        </w:rPr>
        <w:t>.</w:t>
      </w:r>
    </w:p>
    <w:p>
      <w:pPr>
        <w:pStyle w:val="Heading3"/>
        <w:numPr>
          <w:ilvl w:val="2"/>
          <w:numId w:val="1"/>
        </w:numPr>
        <w:rPr/>
      </w:pPr>
      <w:bookmarkStart w:id="1366" w:name="__RefHeading___Toc7767254_2870459653"/>
      <w:bookmarkStart w:id="1367" w:name="_Toc502"/>
      <w:bookmarkEnd w:id="1366"/>
      <w:r>
        <w:rPr>
          <w:rtl w:val="true"/>
        </w:rPr>
        <w:t>رسانه های اجتماعی</w:t>
      </w:r>
      <w:bookmarkEnd w:id="1367"/>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اجتماعی جزء ضروری رشد و رونق جنبش های اجتماعی و هر آرشیو پویایی است که ممکن است در اثر سهل انگاری به حساب آورده نشوند جنبش اُ دبلیو ای با یک نامه بلاگ از مجله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گرایی کانادایی، اَدَبسترز، </w:t>
      </w:r>
      <w:r>
        <w:rPr>
          <w:rStyle w:val="FootnoteAnchor"/>
          <w:rtl w:val="true"/>
        </w:rPr>
        <w:footnoteReference w:id="1770"/>
      </w:r>
      <w:r>
        <w:rPr>
          <w:rFonts w:ascii="IRNazanin" w:hAnsi="IRNazanin" w:eastAsia="IRNazanin"/>
          <w:color w:val="111111"/>
          <w:sz w:val="28"/>
          <w:sz w:val="28"/>
          <w:szCs w:val="28"/>
          <w:rtl w:val="true"/>
          <w:lang w:bidi="fa-IR"/>
        </w:rPr>
        <w:t xml:space="preserve">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لَدانی،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771"/>
      </w:r>
      <w:r>
        <w:rPr>
          <w:rFonts w:ascii="IRNazanin" w:hAnsi="IRNazanin" w:eastAsia="IRNazanin"/>
          <w:color w:val="111111"/>
          <w:sz w:val="28"/>
          <w:sz w:val="28"/>
          <w:szCs w:val="28"/>
          <w:rtl w:val="true"/>
          <w:lang w:bidi="fa-IR"/>
        </w:rPr>
        <w:t>این نامه به مردم اعلام کرد تا کمپ ها را بپا کنند، و خیابان وال استریت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این که چقدر پیام شبکه توییتر مبنی بر اشغال وال استریت ممکن است بعد از دعوت به اشغال افزایش یافته باشد، رویترز </w:t>
      </w:r>
      <w:r>
        <w:rPr>
          <w:rStyle w:val="FootnoteAnchor"/>
          <w:rtl w:val="true"/>
        </w:rPr>
        <w:footnoteReference w:id="1772"/>
      </w:r>
      <w:r>
        <w:rPr>
          <w:rFonts w:ascii="IRNazanin" w:hAnsi="IRNazanin" w:eastAsia="IRNazanin"/>
          <w:color w:val="111111"/>
          <w:sz w:val="28"/>
          <w:sz w:val="28"/>
          <w:szCs w:val="28"/>
          <w:rtl w:val="true"/>
          <w:lang w:bidi="fa-IR"/>
        </w:rPr>
        <w:t xml:space="preserve">شروع به کار با آژانس ردیابی رسانه های اجتماعی، </w:t>
      </w:r>
      <w:r>
        <w:rPr>
          <w:rStyle w:val="FootnoteAnchor"/>
          <w:rtl w:val="true"/>
        </w:rPr>
        <w:footnoteReference w:id="1773"/>
      </w:r>
      <w:r>
        <w:rPr>
          <w:rFonts w:ascii="IRNazanin" w:hAnsi="IRNazanin" w:eastAsia="IRNazanin"/>
          <w:color w:val="111111"/>
          <w:sz w:val="28"/>
          <w:sz w:val="28"/>
          <w:szCs w:val="28"/>
          <w:rtl w:val="true"/>
          <w:lang w:bidi="fa-IR"/>
        </w:rPr>
        <w:t xml:space="preserve">سوشیل فلو، </w:t>
      </w:r>
      <w:r>
        <w:rPr>
          <w:rStyle w:val="FootnoteAnchor"/>
          <w:rtl w:val="true"/>
        </w:rPr>
        <w:footnoteReference w:id="1774"/>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او نشان داد که روز قبل از اعتراضات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این موضوع به واسطه خبرهای پویای اشغال، به یک موضوع مورد علاقه مردم تبدیل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لَدانی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اختلاف عقیده هایی درباره اهمیت نقش رسانه های اجتماعی در جنبش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اسپرینگ</w:t>
      </w:r>
      <w:r>
        <w:rPr>
          <w:rFonts w:eastAsia="IRNazanin" w:cs="IRNazanin"/>
          <w:color w:val="111111"/>
          <w:sz w:val="28"/>
          <w:szCs w:val="28"/>
          <w:rtl w:val="true"/>
          <w:lang w:bidi="fa-IR"/>
        </w:rPr>
        <w:t xml:space="preserve">" </w:t>
      </w:r>
      <w:r>
        <w:rPr>
          <w:rStyle w:val="FootnoteAnchor"/>
          <w:rtl w:val="true"/>
        </w:rPr>
        <w:footnoteReference w:id="1775"/>
      </w:r>
      <w:r>
        <w:rPr>
          <w:rFonts w:ascii="IRNazanin" w:hAnsi="IRNazanin" w:eastAsia="IRNazanin"/>
          <w:color w:val="111111"/>
          <w:sz w:val="28"/>
          <w:sz w:val="28"/>
          <w:szCs w:val="28"/>
          <w:rtl w:val="true"/>
          <w:lang w:bidi="fa-IR"/>
        </w:rPr>
        <w:t>وجود دارد اما این رسانه ها شیوه سریع و جهانی برای افراد هستند تا سازمان یافته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رسانه ها، شهروندان عادی را قادر می سازد تا دروازه بانی رسانه های تجاری </w:t>
      </w:r>
      <w:r>
        <w:rPr>
          <w:rStyle w:val="FootnoteAnchor"/>
          <w:rtl w:val="true"/>
        </w:rPr>
        <w:footnoteReference w:id="1776"/>
      </w:r>
      <w:r>
        <w:rPr>
          <w:rFonts w:ascii="IRNazanin" w:hAnsi="IRNazanin" w:eastAsia="IRNazanin"/>
          <w:color w:val="111111"/>
          <w:sz w:val="28"/>
          <w:sz w:val="28"/>
          <w:szCs w:val="28"/>
          <w:rtl w:val="true"/>
          <w:lang w:bidi="fa-IR"/>
        </w:rPr>
        <w:t xml:space="preserve">و کانال های سنتی گفتمان </w:t>
      </w:r>
    </w:p>
    <w:p>
      <w:pPr>
        <w:pStyle w:val="BookText"/>
        <w:rPr/>
      </w:pPr>
      <w:r>
        <w:rPr>
          <w:rFonts w:ascii="IRNazanin" w:hAnsi="IRNazanin" w:eastAsia="IRNazanin"/>
          <w:color w:val="111111"/>
          <w:sz w:val="28"/>
          <w:sz w:val="28"/>
          <w:szCs w:val="28"/>
          <w:rtl w:val="true"/>
          <w:lang w:bidi="fa-IR"/>
        </w:rPr>
        <w:t>سیاسی با محتوای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Style w:val="FootnoteAnchor"/>
          <w:rtl w:val="true"/>
        </w:rPr>
        <w:footnoteReference w:id="1777"/>
      </w:r>
      <w:r>
        <w:rPr>
          <w:rFonts w:ascii="IRNazanin" w:hAnsi="IRNazanin" w:eastAsia="IRNazanin"/>
          <w:color w:val="111111"/>
          <w:sz w:val="28"/>
          <w:sz w:val="28"/>
          <w:szCs w:val="28"/>
          <w:rtl w:val="true"/>
          <w:lang w:bidi="fa-IR"/>
        </w:rPr>
        <w:t xml:space="preserve">را در دست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آگوآیو،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778"/>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اجتماعی بزرگ ترین تاثیر را بر نمایش الگوی سرچ آندر آکوپای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این رسانه ها توانایی فراهم کردن واکنش های به موقع در زمان جنبش و نیز تلاش های داده کاوی برای تهیه آرشیو مجازی را به وجود آورده بود به طوری که در مدت دو روز، شرکت کنندگان لپ تاپ های خود را به همراه داده های پژوهشی در دسترس فوت های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و فعالیت توییتر فراهم کردند تا در تبدیل این داده ها به قالب بصری و تغییرات مورد لزوم داده ها همکاری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کریستو،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779"/>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یک تلاش تعاونی بین آکوپای ریسرچ؛ </w:t>
      </w:r>
      <w:r>
        <w:rPr>
          <w:rStyle w:val="FootnoteAnchor"/>
          <w:rtl w:val="true"/>
        </w:rPr>
        <w:footnoteReference w:id="1780"/>
      </w:r>
      <w:r>
        <w:rPr>
          <w:rFonts w:ascii="IRNazanin" w:hAnsi="IRNazanin" w:eastAsia="IRNazanin"/>
          <w:color w:val="111111"/>
          <w:sz w:val="28"/>
          <w:sz w:val="28"/>
          <w:szCs w:val="28"/>
          <w:rtl w:val="true"/>
          <w:lang w:bidi="fa-IR"/>
        </w:rPr>
        <w:t xml:space="preserve">و دیتاسنتر؛ </w:t>
      </w:r>
      <w:r>
        <w:rPr>
          <w:rStyle w:val="FootnoteAnchor"/>
          <w:rtl w:val="true"/>
        </w:rPr>
        <w:footnoteReference w:id="1781"/>
      </w:r>
      <w:r>
        <w:rPr>
          <w:rFonts w:ascii="IRNazanin" w:hAnsi="IRNazanin" w:eastAsia="IRNazanin"/>
          <w:color w:val="111111"/>
          <w:sz w:val="28"/>
          <w:sz w:val="28"/>
          <w:szCs w:val="28"/>
          <w:rtl w:val="true"/>
          <w:lang w:bidi="fa-IR"/>
        </w:rPr>
        <w:t>و سازمان ها و لابراتوارهای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 </w:t>
      </w:r>
      <w:r>
        <w:rPr>
          <w:rStyle w:val="FootnoteAnchor"/>
          <w:rtl w:val="true"/>
        </w:rPr>
        <w:footnoteReference w:id="1782"/>
      </w:r>
      <w:r>
        <w:rPr>
          <w:rFonts w:ascii="IRNazanin" w:hAnsi="IRNazanin" w:eastAsia="IRNazanin"/>
          <w:color w:val="111111"/>
          <w:sz w:val="28"/>
          <w:sz w:val="28"/>
          <w:szCs w:val="28"/>
          <w:rtl w:val="true"/>
          <w:lang w:bidi="fa-IR"/>
        </w:rPr>
        <w:t xml:space="preserve">که علاقمند به جمع آوری داده ها از جنبش اُ دبلیو اس بودند و نیز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آی تی</w:t>
      </w:r>
      <w:r>
        <w:rPr>
          <w:rFonts w:eastAsia="IRNazanin" w:cs="IRNazanin"/>
          <w:color w:val="111111"/>
          <w:sz w:val="28"/>
          <w:szCs w:val="28"/>
          <w:rtl w:val="true"/>
          <w:lang w:bidi="fa-IR"/>
        </w:rPr>
        <w:t xml:space="preserve">) </w:t>
      </w:r>
      <w:r>
        <w:rPr>
          <w:rStyle w:val="FootnoteAnchor"/>
          <w:rtl w:val="true"/>
        </w:rPr>
        <w:footnoteReference w:id="1783"/>
      </w:r>
      <w:r>
        <w:rPr>
          <w:rFonts w:ascii="IRNazanin" w:hAnsi="IRNazanin" w:eastAsia="IRNazanin"/>
          <w:color w:val="111111"/>
          <w:sz w:val="28"/>
          <w:sz w:val="28"/>
          <w:szCs w:val="28"/>
          <w:rtl w:val="true"/>
          <w:lang w:bidi="fa-IR"/>
        </w:rPr>
        <w:t xml:space="preserve">برای رسانه های شهری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کریستو،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که در آدرس زیر موجود است</w:t>
      </w:r>
      <w:r>
        <w:rPr>
          <w:rFonts w:eastAsia="IRNazanin" w:cs="IRNazanin"/>
          <w:color w:val="111111"/>
          <w:sz w:val="28"/>
          <w:szCs w:val="28"/>
          <w:rtl w:val="true"/>
          <w:lang w:bidi="fa-IR"/>
        </w:rPr>
        <w:t xml:space="preserve">. </w:t>
      </w:r>
      <w:r>
        <w:rPr>
          <w:rStyle w:val="FootnoteAnchor"/>
          <w:rtl w:val="true"/>
        </w:rPr>
        <w:footnoteReference w:id="1784"/>
      </w:r>
      <w:r>
        <w:rPr>
          <w:rFonts w:ascii="IRNazanin" w:hAnsi="IRNazanin" w:eastAsia="IRNazanin"/>
          <w:color w:val="111111"/>
          <w:sz w:val="28"/>
          <w:sz w:val="28"/>
          <w:szCs w:val="28"/>
          <w:rtl w:val="true"/>
          <w:lang w:bidi="fa-IR"/>
        </w:rPr>
        <w:t xml:space="preserve">شامل ارائه های بصری نظیر انبوه کلمات، </w:t>
      </w:r>
      <w:r>
        <w:rPr>
          <w:rStyle w:val="FootnoteAnchor"/>
          <w:rtl w:val="true"/>
        </w:rPr>
        <w:footnoteReference w:id="1785"/>
      </w:r>
      <w:r>
        <w:rPr>
          <w:rFonts w:ascii="IRNazanin" w:hAnsi="IRNazanin" w:eastAsia="IRNazanin"/>
          <w:color w:val="111111"/>
          <w:sz w:val="28"/>
          <w:sz w:val="28"/>
          <w:szCs w:val="28"/>
          <w:rtl w:val="true"/>
          <w:lang w:bidi="fa-IR"/>
        </w:rPr>
        <w:t>شبکه های لغات سلسله مراتب های فراوان و نمودارهای ماتریسی است یک طرح خاص از این آشفتگی استفاده کرد تا در مورد پیام هایی درباره نکات مثبت رفتارهای پلیس و سوءرفتار پلیس که مربوط به وقایع آکوپای بود تحقیق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آکوپای دیتانیک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ار جی </w:t>
      </w:r>
    </w:p>
    <w:p>
      <w:pPr>
        <w:pStyle w:val="BookText"/>
        <w:rPr/>
      </w:pPr>
      <w:r>
        <w:rPr>
          <w:rFonts w:ascii="IRNazanin" w:hAnsi="IRNazanin" w:eastAsia="IRNazanin"/>
          <w:color w:val="111111"/>
          <w:sz w:val="28"/>
          <w:sz w:val="28"/>
          <w:szCs w:val="28"/>
          <w:rtl w:val="true"/>
          <w:lang w:bidi="fa-IR"/>
        </w:rPr>
        <w:t xml:space="preserve">ابتکار دیگر خصوصا با هدف استفاده از توییتر به عنوان روشی برای جریان و سیالیت جنبش های اعتراضی آکوپای پاپس </w:t>
      </w:r>
      <w:r>
        <w:rPr>
          <w:rStyle w:val="FootnoteAnchor"/>
          <w:rtl w:val="true"/>
        </w:rPr>
        <w:footnoteReference w:id="1786"/>
      </w:r>
      <w:r>
        <w:rPr>
          <w:rFonts w:ascii="IRNazanin" w:hAnsi="IRNazanin" w:eastAsia="IRNazanin"/>
          <w:color w:val="111111"/>
          <w:sz w:val="28"/>
          <w:sz w:val="28"/>
          <w:szCs w:val="28"/>
          <w:rtl w:val="true"/>
          <w:lang w:bidi="fa-IR"/>
        </w:rPr>
        <w:t>است که یک برنامه خودکار توییتر است که به صورت اتوماتیک جنبش های کوچک هفتگی را در سرتاسر شهر نیویورک هماهنگ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پاپس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عمومی شخصی اختصاصی</w:t>
      </w:r>
      <w:r>
        <w:rPr>
          <w:rFonts w:eastAsia="IRNazanin" w:cs="IRNazanin"/>
          <w:color w:val="111111"/>
          <w:sz w:val="28"/>
          <w:szCs w:val="28"/>
          <w:rtl w:val="true"/>
          <w:lang w:bidi="fa-IR"/>
        </w:rPr>
        <w:t xml:space="preserve">) </w:t>
      </w:r>
      <w:r>
        <w:rPr>
          <w:rStyle w:val="FootnoteAnchor"/>
          <w:rtl w:val="true"/>
        </w:rPr>
        <w:footnoteReference w:id="1787"/>
      </w:r>
      <w:r>
        <w:rPr>
          <w:rFonts w:ascii="IRNazanin" w:hAnsi="IRNazanin" w:eastAsia="IRNazanin"/>
          <w:color w:val="111111"/>
          <w:sz w:val="28"/>
          <w:sz w:val="28"/>
          <w:szCs w:val="28"/>
          <w:rtl w:val="true"/>
          <w:lang w:bidi="fa-IR"/>
        </w:rPr>
        <w:t xml:space="preserve">برنامه ای است که شهر فضای مازادی را به توسعه دهندگان اعطا می کند تا این فضا برای استفاده عموم اختصاص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دپارتمان آن و ای سی برنامه ریزی شهر</w:t>
      </w:r>
      <w:r>
        <w:rPr>
          <w:rFonts w:eastAsia="IRNazanin" w:cs="IRNazanin"/>
          <w:color w:val="111111"/>
          <w:sz w:val="28"/>
          <w:szCs w:val="28"/>
          <w:rtl w:val="true"/>
          <w:lang w:bidi="fa-IR"/>
        </w:rPr>
        <w:t xml:space="preserve">). </w:t>
      </w:r>
      <w:r>
        <w:rPr>
          <w:rStyle w:val="FootnoteAnchor"/>
          <w:rtl w:val="true"/>
        </w:rPr>
        <w:footnoteReference w:id="1788"/>
      </w:r>
      <w:r>
        <w:rPr>
          <w:rFonts w:ascii="IRNazanin" w:hAnsi="IRNazanin" w:eastAsia="IRNazanin"/>
          <w:color w:val="111111"/>
          <w:sz w:val="28"/>
          <w:sz w:val="28"/>
          <w:szCs w:val="28"/>
          <w:rtl w:val="true"/>
          <w:lang w:bidi="fa-IR"/>
        </w:rPr>
        <w:t xml:space="preserve">برنامه فضا </w:t>
      </w:r>
      <w:r>
        <w:rPr>
          <w:rStyle w:val="FootnoteAnchor"/>
          <w:rtl w:val="true"/>
        </w:rPr>
        <w:footnoteReference w:id="1789"/>
      </w:r>
      <w:r>
        <w:rPr>
          <w:rFonts w:ascii="IRNazanin" w:hAnsi="IRNazanin" w:eastAsia="IRNazanin"/>
          <w:color w:val="111111"/>
          <w:sz w:val="28"/>
          <w:sz w:val="28"/>
          <w:szCs w:val="28"/>
          <w:rtl w:val="true"/>
          <w:lang w:bidi="fa-IR"/>
        </w:rPr>
        <w:t>را کنترل می کند و توییتر پیام ها را کنترل کرده و پیامی را به کاربر ارسال می کند که نزدیک محل پاپس است این پیام درخواست تایید اطلاعات فراهم شده بوسیله شهر را در مورد محل و این که آیا فضا مناسب تجمع هست یا نه،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نه تنها داده های فراهم شده بوسیله شهر را روشن می سازد بلکه همچنین جنبش های اشغال کوچک را به منظور افزایش استفاده از این فضاها بکار می گیرد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نهایی که برای کتابخانه ها زمانی که در الگو سرچ آندر آکوپای مشارکت داشتند حائز اهمیت است آرشیو مجازی است وقتی که ارائه و نمایش در اول مارس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فعالیت و گفتمان به صورت برخط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آکوپای دیتانیک </w:t>
      </w:r>
      <w:r>
        <w:rPr>
          <w:rStyle w:val="FootnoteAnchor"/>
          <w:rtl w:val="true"/>
        </w:rPr>
        <w:footnoteReference w:id="1790"/>
      </w:r>
      <w:r>
        <w:rPr>
          <w:rFonts w:ascii="IRNazanin" w:hAnsi="IRNazanin" w:eastAsia="IRNazanin"/>
          <w:color w:val="111111"/>
          <w:sz w:val="28"/>
          <w:sz w:val="28"/>
          <w:szCs w:val="28"/>
          <w:rtl w:val="true"/>
          <w:lang w:bidi="fa-IR"/>
        </w:rPr>
        <w:t xml:space="preserve">بر آرشیو کردن طرح ها داده ها ابزارها و اسناد و وقایعی که با نمایش سرچ آندر آکوپای شروع شد و جامعه نیواسکول را شامل می شد تمرکز کرد پس از ارائه و نمایش جلسات متعددی با هدف آموزش چگونگی جمع آوری داده ها با استفاده از سیستم مدیریت مانگودی بی </w:t>
      </w:r>
      <w:r>
        <w:rPr>
          <w:rStyle w:val="FootnoteAnchor"/>
          <w:rtl w:val="true"/>
        </w:rPr>
        <w:footnoteReference w:id="1791"/>
      </w:r>
      <w:r>
        <w:rPr>
          <w:rFonts w:ascii="IRNazanin" w:hAnsi="IRNazanin" w:eastAsia="IRNazanin"/>
          <w:color w:val="111111"/>
          <w:sz w:val="28"/>
          <w:sz w:val="28"/>
          <w:szCs w:val="28"/>
          <w:rtl w:val="true"/>
          <w:lang w:bidi="fa-IR"/>
        </w:rPr>
        <w:t xml:space="preserve">و تولید نقشه متن باز </w:t>
      </w:r>
      <w:r>
        <w:rPr>
          <w:rStyle w:val="FootnoteAnchor"/>
          <w:rtl w:val="true"/>
        </w:rPr>
        <w:footnoteReference w:id="1792"/>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گالری آرونسون </w:t>
      </w:r>
      <w:r>
        <w:rPr>
          <w:rStyle w:val="FootnoteAnchor"/>
          <w:rtl w:val="true"/>
        </w:rPr>
        <w:footnoteReference w:id="1793"/>
      </w:r>
      <w:r>
        <w:rPr>
          <w:rFonts w:ascii="IRNazanin" w:hAnsi="IRNazanin" w:eastAsia="IRNazanin"/>
          <w:color w:val="111111"/>
          <w:sz w:val="28"/>
          <w:sz w:val="28"/>
          <w:szCs w:val="28"/>
          <w:rtl w:val="true"/>
          <w:lang w:bidi="fa-IR"/>
        </w:rPr>
        <w:t xml:space="preserve">یک گردهمایی به منظور آماده سازی برای روز آرشیو اُ دبلیو اس برگزار کرد آن ها روند پیشرفت طرح های بصری سازی خود را مرور کردند و سایر انتخاب و گزینه های خود را برای همکاری بیشتر مدنظر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کریستو،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آرشیو، واضح است این ابتکارات به فراتر از اُ دبلیو اس پیشرفت کرد تا دید بهتر و آگاهانه تری نسبت به دیگر وقایعی که جامعه را تحت تاثیر قرار می دهد داشته باشد شرکت کنندگان آکوپای سندی، </w:t>
      </w:r>
      <w:r>
        <w:rPr>
          <w:rStyle w:val="FootnoteAnchor"/>
          <w:rtl w:val="true"/>
        </w:rPr>
        <w:footnoteReference w:id="1794"/>
      </w:r>
      <w:r>
        <w:rPr>
          <w:rFonts w:ascii="IRNazanin" w:hAnsi="IRNazanin" w:eastAsia="IRNazanin"/>
          <w:color w:val="111111"/>
          <w:sz w:val="28"/>
          <w:sz w:val="28"/>
          <w:szCs w:val="28"/>
          <w:rtl w:val="true"/>
          <w:lang w:bidi="fa-IR"/>
        </w:rPr>
        <w:t xml:space="preserve">روش های دادهای مشابه با روش های استفاده شده در اُ دبلیو ای را بکار بستند تا رکوردهای منزل و خانواده های متاثر از طوفان سندی </w:t>
      </w:r>
      <w:r>
        <w:rPr>
          <w:rStyle w:val="FootnoteAnchor"/>
          <w:rtl w:val="true"/>
        </w:rPr>
        <w:footnoteReference w:id="179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مستند و ردیابی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 xml:space="preserve">هر طرح داده ای، محصولات </w:t>
      </w:r>
      <w:bookmarkStart w:id="1368" w:name="pg9653_82337"/>
    </w:p>
    <w:p>
      <w:pPr>
        <w:pStyle w:val="BookText"/>
        <w:rPr/>
      </w:pPr>
      <w:bookmarkEnd w:id="1368"/>
      <w:r>
        <w:rPr>
          <w:rFonts w:ascii="IRNazanin" w:hAnsi="IRNazanin" w:eastAsia="IRNazanin"/>
          <w:color w:val="111111"/>
          <w:sz w:val="28"/>
          <w:sz w:val="28"/>
          <w:szCs w:val="28"/>
          <w:rtl w:val="true"/>
          <w:lang w:bidi="fa-IR"/>
        </w:rPr>
        <w:t>و روش های مورد استفاده را مستند می نماید این وضعیت آرشیو را به یک پایگاه دانش برای دیگرانی که می خواهند چنین تلاش هایی را تقلید نمایند مبدل می کند</w:t>
      </w:r>
    </w:p>
    <w:p>
      <w:pPr>
        <w:pStyle w:val="Heading3"/>
        <w:numPr>
          <w:ilvl w:val="2"/>
          <w:numId w:val="1"/>
        </w:numPr>
        <w:rPr/>
      </w:pPr>
      <w:bookmarkStart w:id="1369" w:name="__RefHeading___Toc7767256_2870459653"/>
      <w:bookmarkStart w:id="1370" w:name="_Toc503"/>
      <w:bookmarkEnd w:id="1369"/>
      <w:r>
        <w:rPr>
          <w:rtl w:val="true"/>
        </w:rPr>
        <w:t>بحث</w:t>
      </w:r>
      <w:bookmarkEnd w:id="1370"/>
    </w:p>
    <w:p>
      <w:pPr>
        <w:pStyle w:val="BookText"/>
        <w:rPr/>
      </w:pPr>
      <w:r>
        <w:rPr>
          <w:rFonts w:ascii="IRNazanin" w:hAnsi="IRNazanin" w:eastAsia="IRNazanin"/>
          <w:color w:val="111111"/>
          <w:sz w:val="28"/>
          <w:sz w:val="28"/>
          <w:szCs w:val="28"/>
          <w:rtl w:val="true"/>
          <w:lang w:bidi="fa-IR"/>
        </w:rPr>
        <w:t>مفهوم مدرن یک کتابخانه ریشه در فراهم آوری خدمات به جامعه خود و پیشرفت مداوم فناوری و تغییرات چگونگی انجام عملکرد روزانه اشخاص دارد، تغییر برای کتابخانه امری حتمی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اجتماعی مدرن نیز سریع، سیال و گسترده است این جنبش، رسانه های اجتماعی و رسانه های بصری قوی و نیز الزامات آرشیوی مجازی را با هم یکپارچه می نماید کتابخانه ها این فرصت را دارند تا چنین کار مشابهی را به منظور پشتیبانی، بکارگیری و مستندسازی آن چه که در اطراف آن ها می گذرد به انجام برسانند تا از این طریق در تغییرات زندگی کاربران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آینده نقش عمده ای در جامعه دارد کتابخانه آینده به ورای دیوارهای محصور خود می رود تا با دیگر سازمان ها و موسسه ها همکاری نماید کتابخانه آینده تمام اشکال بیان و فناوری را در بر می گیرد تا جاری و مرتبط باقی بماند</w:t>
      </w:r>
      <w:r>
        <w:rPr>
          <w:rFonts w:eastAsia="IRNazanin" w:cs="IRNazanin"/>
          <w:color w:val="111111"/>
          <w:sz w:val="28"/>
          <w:szCs w:val="28"/>
          <w:rtl w:val="true"/>
          <w:lang w:bidi="fa-IR"/>
        </w:rPr>
        <w:t>.</w:t>
      </w:r>
    </w:p>
    <w:p>
      <w:pPr>
        <w:pStyle w:val="Heading3"/>
        <w:numPr>
          <w:ilvl w:val="2"/>
          <w:numId w:val="1"/>
        </w:numPr>
        <w:rPr/>
      </w:pPr>
      <w:bookmarkStart w:id="1371" w:name="__RefHeading___Toc7767258_2870459653"/>
      <w:bookmarkStart w:id="1372" w:name="_Toc504"/>
      <w:bookmarkEnd w:id="1371"/>
      <w:r>
        <w:rPr>
          <w:rtl w:val="true"/>
        </w:rPr>
        <w:t>منابع</w:t>
      </w:r>
      <w:bookmarkEnd w:id="1372"/>
    </w:p>
    <w:p>
      <w:pPr>
        <w:pStyle w:val="BookText"/>
        <w:rPr/>
      </w:pPr>
      <w:r>
        <w:rPr>
          <w:rFonts w:eastAsia="Times New Roman" w:cs="Times New Roman" w:ascii="Times New Roman" w:hAnsi="Times New Roman"/>
          <w:color w:val="111111"/>
          <w:sz w:val="28"/>
          <w:szCs w:val="28"/>
          <w:lang w:val="en-US" w:bidi="en-US"/>
        </w:rPr>
        <w:t>Aguayo, A. (2011). New media and activism. In J. Downing (Ed.), Encyclopedia of social movement media. (pp. 363-366). Thousand Oaks, CA: SAGE Publications,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American Library Association. (2010, June 28). Strategic plan: 2011-2015. Retrieved from: http://www.ala.org/aboutala/sites/ala.org.aboutala/files/content/ missionhistory/plan/strategic%20plan%202015%20documents/strategic_plan_2. pdf</w:t>
      </w:r>
    </w:p>
    <w:p>
      <w:pPr>
        <w:pStyle w:val="BookText"/>
        <w:rPr/>
      </w:pPr>
      <w:r>
        <w:rPr>
          <w:rFonts w:eastAsia="Times New Roman" w:cs="Times New Roman" w:ascii="Times New Roman" w:hAnsi="Times New Roman"/>
          <w:color w:val="111111"/>
          <w:sz w:val="28"/>
          <w:szCs w:val="28"/>
          <w:lang w:val="en-US" w:bidi="en-US"/>
        </w:rPr>
        <w:t>Antoun, N. (2012, September 30). The archive of the revolution: A living archive. Retrieved from: http://arablit.wordpress.com/2012/09/30/the-archive-of-the revolution-a- living-archive</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Christo (2012, March 22a). occupydata hackathon NYC. Retrieved from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http://occupydatanyc.org/2012/03/22/hello-world-2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Christo (2012, March 24b). March 31: archive day. Retrieved from: http://occupydatanyc.org/2012/03/24/march-31-l-archive-day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Collins, B.R. (1996). Webwatch. Library Journal, 121(10), p. 37-39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Harris, C. (2007). Libraries with lattes: The new third place. APLIS, 20(4), 145-152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Imhoff, MO. (Ed.). (1911). The library and social movements: A list of material obtainable free or at small expense. Madison, WI: Democrat Printing Company. Retrieved from: http://openlibrary.org/books/OL6569588M/The_library_and_social_ movements</w:t>
      </w:r>
    </w:p>
    <w:p>
      <w:pPr>
        <w:pStyle w:val="BookText"/>
        <w:rPr/>
      </w:pPr>
      <w:r>
        <w:rPr>
          <w:rFonts w:eastAsia="Times New Roman" w:cs="Times New Roman" w:ascii="Times New Roman" w:hAnsi="Times New Roman"/>
          <w:color w:val="111111"/>
          <w:sz w:val="28"/>
          <w:szCs w:val="28"/>
          <w:lang w:val="en-US" w:bidi="en-US"/>
        </w:rPr>
        <w:t>Ladhani, N. (2011). Occupy social media. Social Policy, 41, p. 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Matthew, C., Peters, D., Petit-Perrot, C. (2007). South African liberation struggle living archive collection. IFLA Conference Proceedings, p. 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NPR. (2013). StoryCorps: Recording the lives and stories of everyday Americans. Retrieved from http://www.npr.org/series/4516989/storycorps</w:t>
      </w:r>
    </w:p>
    <w:p>
      <w:pPr>
        <w:pStyle w:val="BookText"/>
        <w:rPr/>
      </w:pPr>
      <w:r>
        <w:rPr>
          <w:rFonts w:eastAsia="Times New Roman" w:cs="Times New Roman" w:ascii="Times New Roman" w:hAnsi="Times New Roman"/>
          <w:color w:val="111111"/>
          <w:sz w:val="28"/>
          <w:szCs w:val="28"/>
          <w:lang w:val="en-US" w:bidi="en-US"/>
        </w:rPr>
        <w:t>NYC Department of City Planning. (2013). Privately owned public spaces. Retrieved from: http://www.nyc.gov/html/dcp/html/pops/pops.shtml</w:t>
      </w:r>
    </w:p>
    <w:p>
      <w:pPr>
        <w:pStyle w:val="BookText"/>
        <w:rPr/>
      </w:pPr>
      <w:r>
        <w:rPr>
          <w:rFonts w:eastAsia="Times New Roman" w:cs="Times New Roman" w:ascii="Times New Roman" w:hAnsi="Times New Roman"/>
          <w:color w:val="111111"/>
          <w:sz w:val="28"/>
          <w:szCs w:val="28"/>
          <w:lang w:val="en-US" w:bidi="en-US"/>
        </w:rPr>
        <w:t>Pillsbury, G. (2008). Behind the Brubeck oral history project. Society for American MusicBulletin, 34(1), 12-13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 Newswire. (2013, March 20). Pulling the present into the future: William McDonough to be Stanford University Libraries' first "living archive". PR Newswire US</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Rood, P. (2012, March 24). State and space. Retrieved from: http:// occupydatanyc.org/2012/03/24/state-and-space/ Searchunderoccupy. (n.d.). Voices un/heard. Retrieved from: http://searchunderoccupy.parsons.edu/voices-unheard/ Shawn. (2013, February 28). Red hook sandy data. Retrieved from http:// occupydatanyc.org/2013/02/28/red-hook-sandy-data</w:t>
      </w:r>
      <w:r>
        <w:rPr>
          <w:rFonts w:eastAsia="Times New Roman" w:cs="Times New Roman" w:ascii="Times New Roman" w:hAnsi="Times New Roman"/>
          <w:color w:val="111111"/>
          <w:sz w:val="28"/>
          <w:szCs w:val="28"/>
          <w:rtl w:val="true"/>
          <w:lang w:val="en-US" w:bidi="en-US"/>
        </w:rPr>
        <w:t xml:space="preserve">/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Social Movement. (2013). In Encyclopedia Britannica. Retrieved April 30, 2013, from: http://www.britannica.com/EBchecked/topic/551335/social- movement</w:t>
      </w:r>
      <w:r>
        <w:rPr>
          <w:rFonts w:eastAsia="Times New Roman" w:cs="Times New Roman" w:ascii="Times New Roman" w:hAnsi="Times New Roman"/>
          <w:color w:val="111111"/>
          <w:sz w:val="28"/>
          <w:szCs w:val="28"/>
          <w:rtl w:val="true"/>
          <w:lang w:val="en-US" w:bidi="en-US"/>
        </w:rPr>
        <w:t xml:space="preserve"> </w:t>
      </w:r>
      <w:bookmarkStart w:id="1373" w:name="pg9653_82340"/>
    </w:p>
    <w:p>
      <w:pPr>
        <w:pStyle w:val="Heading2"/>
        <w:numPr>
          <w:ilvl w:val="1"/>
          <w:numId w:val="1"/>
        </w:numPr>
        <w:rPr/>
      </w:pPr>
      <w:bookmarkStart w:id="1374" w:name="__RefHeading___Toc7767260_2870459653"/>
      <w:bookmarkStart w:id="1375" w:name="_Toc505"/>
      <w:bookmarkEnd w:id="1373"/>
      <w:bookmarkEnd w:id="1374"/>
      <w:r>
        <w:rPr>
          <w:rtl w:val="true"/>
        </w:rPr>
        <w:t>چکیده</w:t>
      </w:r>
      <w:bookmarkEnd w:id="1375"/>
    </w:p>
    <w:p>
      <w:pPr>
        <w:pStyle w:val="BookText"/>
        <w:rPr/>
      </w:pPr>
      <w:r>
        <w:rPr>
          <w:rFonts w:ascii="IRNazanin" w:hAnsi="IRNazanin" w:eastAsia="IRNazanin"/>
          <w:color w:val="111111"/>
          <w:sz w:val="28"/>
          <w:sz w:val="28"/>
          <w:szCs w:val="28"/>
          <w:rtl w:val="true"/>
          <w:lang w:bidi="fa-IR"/>
        </w:rPr>
        <w:t>به نظر می رسد که بین جنبه عملی و نظری آموزش علوم کتابداری و اطلاع رسانی باید ارتباط نزدیکی وجود داشته باشد اما این رابطه با اولویت دادن به این رویکردها معمولا نادیده گرفته می شود و به طور کلی فراموش می شود که نظریه ها از جنبه های عملی به وجود می آیند و آموزش عملی نیز باید بر اساس نظریه ها پیش می روند جاده ای که از مفاهیم و ایده ها به عمل و اجرا و برعکس آن کشیده شده، یک راه دو طرفه است اشاره به یک نظریه در علوم کتابداری و اطلاع رسانی مستلزم بحث در مورد مجموعه ای از مفاهیم و ایده هایی است که اساساً به پدیده ایاز رشته مذکور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امور عملی در علوم کتابداری و اطلاع رسانی مجموعه ای از اقداماتی را در بر می گیرد که در زمان و مکان مشخصی به آن مفاهیم و ایده ها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علوم کتابداری و اطلاع رسانی راهی برای درک واقعیت ها هستند در حالی که امور عملی و اجرایی این رشته راهی برای کاربست آن نظریه ها در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این ارتباط نزدیک میان تئوری و عمل گاهی مشاهده می شود که آموزش علوم کتابداری و اطلاع رسانی ضرورتاً مبتنی بر امور عملی هستند، زیرا وجود نظریه های ناقص و غیر واقعی نسبت به مسائل واقعی و رایج کتابخانه ها غیر کاربردی و دور از واقعیت به حساب می آیند از سوی دیگر گاهی دیده می شود که آموزش کتابداری و اطلاع رسانی به طور کلی بر اساس نظریه ها انجام می شوند و از واقعیت ها و امور اجرایی دور می مانند نهایتاً دانشجویان نه تنها آموزش عملی را فرا نمی گیرند بلکه برای آموخته های خود نیز ارزش قائل نمی شوند این تضاد و دوگانگی در آموزش علوم کتابداری و اطلاع رسانی در آمریکای لاتین و کشورهای کارائیب همچون دیگر کشورهای جهان وجود دارد بنابراین ارائه این مطالعه، دو هدف دارد یکم تجزیه و تحلیل رابطه بین جنبه های نظری و امور اجرایی و عملی در آموزش علوم کتابداری و اطلاع رسانی در این منطقه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مجموعه ای از پیشنهادها برای مستحکم تر نمودن رابطه این دو و برقراری تعادل بین دو جنبه نظری و عملی</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علوم کتابداری و اطلاع رسانی، آمریکای لاتین و کارائیب</w:t>
      </w:r>
      <w:r>
        <w:rPr>
          <w:rFonts w:eastAsia="IRNazanin" w:cs="IRNazanin"/>
          <w:color w:val="111111"/>
          <w:sz w:val="28"/>
          <w:szCs w:val="28"/>
          <w:rtl w:val="true"/>
          <w:lang w:bidi="fa-IR"/>
        </w:rPr>
        <w:t xml:space="preserve">. </w:t>
      </w:r>
      <w:bookmarkStart w:id="1376" w:name="pg9653_82341"/>
    </w:p>
    <w:p>
      <w:pPr>
        <w:pStyle w:val="Heading2"/>
        <w:numPr>
          <w:ilvl w:val="1"/>
          <w:numId w:val="1"/>
        </w:numPr>
        <w:rPr/>
      </w:pPr>
      <w:bookmarkStart w:id="1377" w:name="__RefHeading___Toc7767262_2870459653"/>
      <w:bookmarkStart w:id="1378" w:name="_Toc506"/>
      <w:bookmarkEnd w:id="1376"/>
      <w:bookmarkEnd w:id="1377"/>
      <w:r>
        <w:rPr>
          <w:rtl w:val="true"/>
        </w:rPr>
        <w:t>پیوند جنبه های نظری و عملی در آموزش علوم کتابداری و اطلاع رسانی در آمریکای لاتین و کارائیب</w:t>
      </w:r>
      <w:bookmarkEnd w:id="1378"/>
    </w:p>
    <w:p>
      <w:pPr>
        <w:pStyle w:val="Heading3"/>
        <w:numPr>
          <w:ilvl w:val="2"/>
          <w:numId w:val="1"/>
        </w:numPr>
        <w:rPr/>
      </w:pPr>
      <w:bookmarkStart w:id="1379" w:name="__RefHeading___Toc7767264_2870459653"/>
      <w:bookmarkStart w:id="1380" w:name="_Toc507"/>
      <w:bookmarkEnd w:id="1379"/>
      <w:r>
        <w:rPr>
          <w:rtl w:val="true"/>
        </w:rPr>
        <w:t>اشاره</w:t>
      </w:r>
      <w:bookmarkEnd w:id="1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جنبه های نظری و عملی در آموزش علوم کتابداری و اطلاع رسانی در آمریکای لاتین و کارائیب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 xml:space="preserve">نوشته فیلیپرِتو فیلیپه مارتینِز آرلاندو، </w:t>
      </w:r>
      <w:r>
        <w:rPr>
          <w:rStyle w:val="FootnoteAnchor"/>
          <w:rtl w:val="true"/>
        </w:rPr>
        <w:footnoteReference w:id="1798"/>
      </w:r>
      <w:r>
        <w:rPr>
          <w:rFonts w:ascii="IRNazanin" w:hAnsi="IRNazanin" w:eastAsia="IRNazanin"/>
          <w:color w:val="111111"/>
          <w:sz w:val="28"/>
          <w:sz w:val="28"/>
          <w:szCs w:val="28"/>
          <w:rtl w:val="true"/>
          <w:lang w:bidi="fa-IR"/>
        </w:rPr>
        <w:t xml:space="preserve">جِیمی رایوز اورتگا </w:t>
      </w:r>
      <w:r>
        <w:rPr>
          <w:rStyle w:val="FootnoteAnchor"/>
          <w:rtl w:val="true"/>
        </w:rPr>
        <w:footnoteReference w:id="1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لیلا نعمتی </w:t>
      </w:r>
      <w:r>
        <w:rPr>
          <w:rStyle w:val="FootnoteAnchor"/>
          <w:rtl w:val="true"/>
        </w:rPr>
        <w:footnoteReference w:id="1800"/>
      </w:r>
    </w:p>
    <w:p>
      <w:pPr>
        <w:pStyle w:val="Heading3"/>
        <w:numPr>
          <w:ilvl w:val="2"/>
          <w:numId w:val="1"/>
        </w:numPr>
        <w:rPr/>
      </w:pPr>
      <w:bookmarkStart w:id="1381" w:name="__RefHeading___Toc7767266_2870459653"/>
      <w:bookmarkStart w:id="1382" w:name="_Toc508"/>
      <w:bookmarkEnd w:id="1381"/>
      <w:r>
        <w:rPr>
          <w:rtl w:val="true"/>
        </w:rPr>
        <w:t>آموزش علوم کتابداری و اطلاع رسانی بر اساس جنبه های عملی</w:t>
      </w:r>
      <w:bookmarkEnd w:id="1382"/>
    </w:p>
    <w:p>
      <w:pPr>
        <w:pStyle w:val="BookText"/>
        <w:rPr/>
      </w:pPr>
      <w:r>
        <w:rPr>
          <w:rFonts w:ascii="IRNazanin" w:hAnsi="IRNazanin" w:eastAsia="IRNazanin"/>
          <w:color w:val="111111"/>
          <w:sz w:val="28"/>
          <w:sz w:val="28"/>
          <w:szCs w:val="28"/>
          <w:rtl w:val="true"/>
          <w:lang w:bidi="fa-IR"/>
        </w:rPr>
        <w:t xml:space="preserve">بحث بين جنبه های نظری و عملی و اهمیت هر یک از آن ها برای هدایت امور کتابداران به مدت چند دهه مطرح بوده است دانتون، در مقاله خود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هایی را که تا قبل از آن تاریخ در آموزش کتابداران به کار می رفتند و مبنای بسیاری از روش های آموزش علوم کتابداری و اطلاع رسانی امروز هستند به طور خلاصه مطرح کرد تضادی که میان جنبه های نظری و عملی علوم کتابداری و اطلاع رسانی وجود دارد در مقاله او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شده بودند دانتون این رویه ها را به صورت زیر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هایی که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کنند ادعا می کنند که علوم کتابداری و اطلاع رسانی قالب مشخصی از دانش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کتابداران آینده فقط با کسب تجربه در کتابخانه ها و یا مراجعه به کلاس های فهرست نویسی در کارگاه ها می توانند کار عملی را به صورت صحیح یاد بگیرند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دیدگاه نظری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کتابداری و اطلاع رسانی مبنی بر دانشی است که یک بدنه و چارچوب مشخص دارد پس بهتر است کتابداران آینده با درک نظریات و اصول کلی مثل مدیریت انتخاب کتاب، طبقه بندی و آشنایی با کاربرد آن ها در موقعیت های مختلف بتوانند کار خود را به صورت </w:t>
      </w:r>
      <w:bookmarkStart w:id="1383" w:name="pg9653_82342"/>
    </w:p>
    <w:p>
      <w:pPr>
        <w:pStyle w:val="BookText"/>
        <w:rPr/>
      </w:pPr>
      <w:bookmarkEnd w:id="1383"/>
      <w:r>
        <w:rPr>
          <w:rFonts w:ascii="IRNazanin" w:hAnsi="IRNazanin" w:eastAsia="IRNazanin"/>
          <w:color w:val="111111"/>
          <w:sz w:val="28"/>
          <w:sz w:val="28"/>
          <w:szCs w:val="28"/>
          <w:rtl w:val="true"/>
          <w:lang w:bidi="fa-IR"/>
        </w:rPr>
        <w:t>حرفه ای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بحث در مورد آموزش عملی و نظری علوم کتابداری و اطلاع رسانی در دوران ما هنوز به پایان نرسیده و این نوع مباحث را می توان در کتاب ها و نوشتارهای حرفه ای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انتقاداتی بر دیدگاه عملی آموزش کتابداران می شود، ولی این رویکرد برای چندین دهه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این بحث که برای مدت های طولانی وجود داشته و همچنین با توجه به اهمیت دیدگاه نظری در آموزش کتابداران، دیدگاه نظری در رویکرد آموزش فنی بیشتر مورد توجه بوده است در نتیجه هیچ روش آموزشی تا کنون در زمینه علوم کتابداری و اطلاع رسانی با رویکرد ایجاد راهکارهای هوشمندانه برای آموزش مبتنی بر نظریه و مشکلات شناختی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وجود رابطه نزدیک بین جنبه عملی و نظری علوم کتابداری و اطلاع رسانی گاهی می توان آموزش هایی را دید که ضرورتاً مبتنی بر رویکرد عملی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نظریات برای مشکلات واقعی کتابداری کافی نیستند از طرف ،دیگر می توان در آموزش علوم کتابداری و اطلاع رسانی رویکردهای نظری را نیز دید که بطور کلی از رویکرد عملی جدا و مستقل هستند و به نحوه اجرای عملی آموزش و یادگیری چندان توجهی نکرده اند به طوری که دانشجویان نمی توانند آموخته های خود را در عمل به کار ببندند</w:t>
      </w:r>
      <w:r>
        <w:rPr>
          <w:rFonts w:eastAsia="IRNazanin" w:cs="IRNazanin"/>
          <w:color w:val="111111"/>
          <w:sz w:val="28"/>
          <w:szCs w:val="28"/>
          <w:rtl w:val="true"/>
          <w:lang w:bidi="fa-IR"/>
        </w:rPr>
        <w:t>.</w:t>
      </w:r>
    </w:p>
    <w:p>
      <w:pPr>
        <w:pStyle w:val="Heading3"/>
        <w:numPr>
          <w:ilvl w:val="2"/>
          <w:numId w:val="1"/>
        </w:numPr>
        <w:rPr/>
      </w:pPr>
      <w:bookmarkStart w:id="1384" w:name="__RefHeading___Toc7767268_2870459653"/>
      <w:bookmarkStart w:id="1385" w:name="_Toc509"/>
      <w:bookmarkEnd w:id="1384"/>
      <w:r>
        <w:rPr>
          <w:rtl w:val="true"/>
        </w:rPr>
        <w:t>آموزش علوم کتابداری و اطلاع رسانی مبتنی بر نظریه و عمل</w:t>
      </w:r>
      <w:bookmarkEnd w:id="1385"/>
    </w:p>
    <w:p>
      <w:pPr>
        <w:pStyle w:val="BookText"/>
        <w:rPr/>
      </w:pPr>
      <w:r>
        <w:rPr>
          <w:rFonts w:ascii="IRNazanin" w:hAnsi="IRNazanin" w:eastAsia="IRNazanin"/>
          <w:color w:val="111111"/>
          <w:sz w:val="28"/>
          <w:sz w:val="28"/>
          <w:szCs w:val="28"/>
          <w:rtl w:val="true"/>
          <w:lang w:bidi="fa-IR"/>
        </w:rPr>
        <w:t>بحث در مورد آموزش کتابداران نمی توان جنبه دو بعدی آموزش علوم کتابداری و اطلاع رسانی و زمینه اجرایی آن را نادیده گرفت از یک طرف رویکردی مبتنی بر واقعیت های کتابداری را داریم و از طرف دیگر دیدگاه مبتنی بر چارچوب نظری که می کوشد فرآیندها و فعالیت های کتابداری را روشن و تبیین کند ولی گاهی جنبه نظری از واقعیت های کاری و عملی دور می،شود بدین روی گاهی اساتید علوم کتابداری و اطلاع رسانی این جنبه را کم ارزش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نظریه پردازان علوم کتابداری و اطلاع رسانی نیز گاهی کارهایی را که فعالان و مجریان به کار می بندند، ناکافی و ناکارآمد می دانند و این گونه مطرح می کنند که کار بست اصول نظری در کار، می تواند امور اجرایی را بهینه کرده و ارتقاء دهد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که گفتیم موران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1801"/>
      </w:r>
      <w:r>
        <w:rPr>
          <w:rFonts w:ascii="IRNazanin" w:hAnsi="IRNazanin" w:eastAsia="IRNazanin"/>
          <w:color w:val="111111"/>
          <w:sz w:val="28"/>
          <w:sz w:val="28"/>
          <w:szCs w:val="28"/>
          <w:rtl w:val="true"/>
          <w:lang w:bidi="fa-IR"/>
        </w:rPr>
        <w:t xml:space="preserve">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کتابداران و مدرسان این رشته در دنیاهای متفاوت و مجزایی زندگی می کنند و بین آن ها تعامل و ارتباط زیادی وجود ندارد بسیاری از </w:t>
      </w:r>
    </w:p>
    <w:p>
      <w:pPr>
        <w:pStyle w:val="BookText"/>
        <w:rPr/>
      </w:pPr>
      <w:r>
        <w:rPr>
          <w:rFonts w:ascii="IRNazanin" w:hAnsi="IRNazanin" w:eastAsia="IRNazanin"/>
          <w:color w:val="111111"/>
          <w:sz w:val="28"/>
          <w:sz w:val="28"/>
          <w:szCs w:val="28"/>
          <w:rtl w:val="true"/>
          <w:lang w:bidi="fa-IR"/>
        </w:rPr>
        <w:t>کتابداران، بعد از آن که فارغ التحصیل می شوند، تجربه بسیار اندکی در زمینه کتابداری دارند، بعد از آن نیز به مدارس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اغلب دانش آن ها نسبت به آن چه در مدارس اتفاق می افتد، محدود است به آن چه دیگران به آن 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 مدرسان حرفه کتابداری نیز نتوانسته اند به خوبی با این حرفه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تجربه کاری در کتابخانه ها را ندارند حتی تجربیات جدید آن ها از بازدید و ارتباطات در کتابخانه ها بسیار سطحی و بدون کاوش و بررسی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منابع محدود هستند آن ها نیازهای واقعی و اساسی این حرفه را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جنبه های نظری و عملی ذاتا با هم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 از موقعیت های عملی و واقعی سر چشمه می گیرند و کارهای اجرایی و عملی نیز تا حد زیادی وابسته به نظریات و دانش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نظری از فعالیت های عملی پدید می آیند و کارهای عملی نیز بر گرفته از اصول نظری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که مبتنی بر عمل نباشد و نقطه شروع و پایان آن ایده و نظریه بر گرفته از واقعیت ها نباشد و امکانات لازم برای عمل را نگیرد نمی تواند به فرآیند آموزش معنی و ارزش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فعالیت ها و اقدامات مبتنی بر نظریه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مشکل در این است که رابطه بین آن ها گاهی آشکار و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عملی علوم کتابداری و اطلاع رسانی تعیین اهداف، تصمیم گیری و حل تناقضات از کارهایی هستند که به کار عملی و اجرایی و همچنین مبانی نظری نیاز دارد هر عمل توسط نظریه مربوطه حمایت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نیز از همان عمل پدید می آید برای این که دیدگاه کسانی را بازتاب دهد که می توانند به درک آن عمل کمک کنند متأسفانه بعضی از دست اندرکاران و مخصوصاً مجریان این حیطه مبانی نظری را مزاحم کار خود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نظریات و امور اجرایی را از هم جدا می کنند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های قدیم، علوم کتابداری و اطلاع رسانی به عنوان یک حرفه تجربی و صرفاً یک کار خدماتی در نظر گرفته می شد، بنابراین به عقیده اکثر افراد این حرفه نیازمند اصول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کتابداران سال هاست که مشکلات خود را بر اساس تجربه و درک مستقیم خود حل می کنند ولى تصمیمگیری صحیح برای اداره و فعالیت صحیح کتابخانه و خدمات آن، باید فعالیت ها و امور را مبنی بر نظریه های صحیح به اجرا درآورد بنابراین، نمی توان انکار کرد که استفاده از مبانی نظری در امور اجرایی برای فارغ التحصیلان این رشته علمی ضروری و لازم است یکی از کارهایی که در دانشکده های علوم کتابداری و اطلاع رسانی انجام می گیرد باید آموزش متخصصین لایق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آموزش علوم کتابداری و اطلاع رسانی باید متمرکز بر کسب مهارت ها عادت ها و نگرش هایی باشد که امکان بررسی و تحلیل مسائل را به دانشجویان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مباحثه و تضاد بین جنبه های نظری و عملی علوم کتابداری و اطلاع رسانی می توان تا حدی بیان کرد که آموزش علوم کتابداری و اطلاع رسانی از جنبه متمرکز بر فنون به جنبه دیگری که متمرکز بر شناخت و رفتار است تغییر کرده است این جنبه و شکل جدید، آموزش علوم کتابداری و اطلاع رسانی را به شکل های گوناگون بیان کرده اند و تلاش شده که حیطه نظری امور اجرایی تقویت شوند، فعالیت های کتابدارها و هویت حرفه ای آن ها ارتقاء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موران در این رابطه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اندازه شکاف بین مدرسان و اجرا کننده های حرفه کتابداری بیشتر شود کار مشکل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مجریان کتابداری متقاعد شده اند که دانشکده های علوم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و علوم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 از تدریس در این رشته کشیده اند و یا خوب تدریس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مدرسان این رشته متقاعد شده اند که بسیاری از مجریان دسترسی خوب و کافی به برنامه ها و مطالب و دانش موجود در واحدهای آموزش عالی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هر دو طرف، حرف ها و مطالب خود را بیان می کنند ولی بخش کمی از پیام ها و مطالبشان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آن رسیده که بحث و جدل کنار گذاشته شود و راهی برای همکاری و کار در کنار یکدیگر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مسائل، وورال خاطرنشان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تنشی که بین این دو دیدگاه پدید آمده حداقل سه گروه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گروه اول، بهتر است آموزش وسیع و مبتنی بر نظریات مفید باشد به طوری که دانشجویان بتوانند خود را با محیط ها و شرایط متغیر و گوناگون سازگار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مهارت ها و دانش عملی را برای دانشجویان مفیدتر می داند زیرا به آن ها کمک می کنند که بهتر بتوانند در بازار کار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گروه سوم آموزش جنبه های عملی و جنبه های نظری را به یک اندازه مهم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درسی و آموزشی دانشجویان باید شامل هر دوی آن ها باشد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جنبه های عملی و جنبه های نظری به عنوان عناصر ضروری و مکمل در نظر گرفته شوند، از این رو باید رابطه مناسب و صحیحی بین آن ها برقرار کرد اگر هر یک از این جنبه ها بر جنبه دیگر غلبه داده شود کیفیت کار در حرفه مذکور تنزل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 در حرفه کتابداری و اطلاع رسانی دو جنبه کاملاً متفاوت وجود دارد پس این غلبه گرایی بسیار مورد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حرفه ای است که از طرفی کاملاً به عنوان یک کار اجرایی شناخته شده و از طرفی جنبه های نظری آن نیز بارز و ملموس است ولی مثل هر کار اجرایی دیگر، به مبانی نظری نیز تکیه دارد و میزان ارزش نیز در </w:t>
      </w:r>
    </w:p>
    <w:p>
      <w:pPr>
        <w:pStyle w:val="BookText"/>
        <w:rPr/>
      </w:pPr>
      <w:r>
        <w:rPr>
          <w:rFonts w:ascii="IRNazanin" w:hAnsi="IRNazanin" w:eastAsia="IRNazanin"/>
          <w:color w:val="111111"/>
          <w:sz w:val="28"/>
          <w:sz w:val="28"/>
          <w:szCs w:val="28"/>
          <w:rtl w:val="true"/>
          <w:lang w:bidi="fa-IR"/>
        </w:rPr>
        <w:t>قوانین عملی آن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خاطرنشان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دانشکده های علوم کتابداری و اطلاع رسانی همواره می کوشند جنبه های نظری و عملی را در کنار یکدیگر به دانشجویان ارائه نمایند آن ها می خواهند بین نیازهای رقابتی دانشجویان برای موفقیت کاری بلند مدت از یک سو و کارایی و شغل حرفه ای و صحیح آن ها، تعادل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معمولاً جنبه نظری نسبت به جنبه عملی از اولویت بالاتری برخوردار می شود و بیشتر مورد توجه قرار می گیرد در آموزش همه حرفه ها و کارها، بیشتر باید بر کارایی و کفایت بلند مدت تکیه و تمرکز شود این امر باعث شده که بر اصول پایه نظریات و مبانی، بیشتر از جزئیات عملی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جزئیات باید در بافت کلاس ها و آموزش ها که بر طرح و ساختار اطلاعات و دسترسی به آن متمرکز هستند گنجانده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دانشکده های علوم کتابداری و اطلاع رسانی قصد داشته باشند به عنوان بخشی از مراکز آموزشی علوم کتابداری و اطلاع رسانی باقی بمانند باید بیشتر بر آموزش تأکید داشته باشند و نه بر کارآموزی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بررسی و مطالعه مطالب و نوشته های نویسندگان و مؤسسات گوناگون که مستقیماً یا به طور غیر مستقیم به مبحث جنبه های نظری و عملی آموزش علوم کتابداری و اطلاع رسانی پرداخته اند یا مراجعه به روش های آموزشی و یا حتی برنامه های آموزشی نشان می دهد که امروزه میل به اولویت دادن به جنبه های نظری در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حیطه عملی این 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و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مهم است که به دیدگاه وورال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802"/>
      </w:r>
      <w:r>
        <w:rPr>
          <w:rFonts w:ascii="IRNazanin" w:hAnsi="IRNazanin" w:eastAsia="IRNazanin"/>
          <w:color w:val="111111"/>
          <w:sz w:val="28"/>
          <w:sz w:val="28"/>
          <w:szCs w:val="28"/>
          <w:rtl w:val="true"/>
          <w:lang w:bidi="fa-IR"/>
        </w:rPr>
        <w:t>اشاره شود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های زیادی در زمینه رابطه یا تضاد بین جنبه های نظری و عملی در برنامه آموزشی علوم کتابداری و اطلاع رسانی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به نظر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رویکردها در تنظیم برنامه های آموزشی آن هایی هستند که سعی می کنند هر دو جنبه را در بر گیرند و با کاوش بخش های مشترک بین این دو جنبه نظریه پردازان و مجریان این حرفه را برای آموزش کتابداران فعالان اطلاع رسانی آینده در کنار هم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های زیر را ورال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که با پاسخ به آن ها، به راحتی می توان بین جنبه های نظری و عملی علوم کتابداری و اطلاع رسانی سازش و هماهنگی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تغییر در برنامه های آموزشی علوم کتابداری و اطلاع رسانی و اولویت دادن به جنبه های عملی مبتنی بر دانش و تجربیات مجریان این رشته می تواند توانایی دانشجویان را برای کسب موفقیت بیشتر در بازار کار افزایش دهد؟</w:t>
      </w:r>
      <w:bookmarkStart w:id="1386" w:name="pg9653_82346"/>
    </w:p>
    <w:p>
      <w:pPr>
        <w:pStyle w:val="BookText"/>
        <w:rPr/>
      </w:pPr>
      <w:bookmarkEnd w:id="13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الگو برای کاهش شکاف بین برنامه های آموزشی نظری و عملی علوم کتابداری و اطلاع رسانی می تواند استفاده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همکاری برای توسعه برنامه آموزش علوم کتابداری و اطلاع رسانی می تواند به کاهش شکاف بین آموزش عملی و نظری علوم کتابداری و اطلاع رسانی کمک کند؟ در این صورت این همکاری باید چگونه صورت گیرد تا بهترین نتایج به دست آیند؟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کتابداری مبتنی بر یادگیری خدمات و یا کتابداری مبتنی بر شواهد می توان برای کاهش شکاف بین برنامه های آموزشی نظری و عملی علوم کتابداری و اطلاع رسانی در زمینه ها و محیط های گوناگون استفاده کرد؟</w:t>
      </w:r>
    </w:p>
    <w:p>
      <w:pPr>
        <w:pStyle w:val="Heading3"/>
        <w:numPr>
          <w:ilvl w:val="2"/>
          <w:numId w:val="1"/>
        </w:numPr>
        <w:rPr/>
      </w:pPr>
      <w:bookmarkStart w:id="1387" w:name="__RefHeading___Toc7767270_2870459653"/>
      <w:bookmarkStart w:id="1388" w:name="_Toc510"/>
      <w:bookmarkEnd w:id="1387"/>
      <w:r>
        <w:rPr>
          <w:rtl w:val="true"/>
        </w:rPr>
        <w:t>رویه های آموزش علوم کتابداری و اطلاع رسانی در آمریکای لاتین</w:t>
      </w:r>
      <w:bookmarkEnd w:id="1388"/>
    </w:p>
    <w:p>
      <w:pPr>
        <w:pStyle w:val="BookText"/>
        <w:rPr/>
      </w:pPr>
      <w:r>
        <w:rPr>
          <w:rFonts w:ascii="IRNazanin" w:hAnsi="IRNazanin" w:eastAsia="IRNazanin"/>
          <w:color w:val="111111"/>
          <w:sz w:val="28"/>
          <w:sz w:val="28"/>
          <w:szCs w:val="28"/>
          <w:rtl w:val="true"/>
          <w:lang w:bidi="fa-IR"/>
        </w:rPr>
        <w:t>در آموزش علوم کتابداری و اطلاع رسانی آمریکای لاتین و کشورهای کارائیب نیز مثل دیگر نقاط جهان دوگانگی در آموزش این حرفه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رودریگز گالاردو </w:t>
      </w:r>
      <w:r>
        <w:rPr>
          <w:rStyle w:val="FootnoteAnchor"/>
          <w:rtl w:val="true"/>
        </w:rPr>
        <w:footnoteReference w:id="1803"/>
      </w:r>
      <w:r>
        <w:rPr>
          <w:rFonts w:ascii="IRNazanin" w:hAnsi="IRNazanin" w:eastAsia="IRNazanin"/>
          <w:color w:val="111111"/>
          <w:sz w:val="28"/>
          <w:sz w:val="28"/>
          <w:szCs w:val="28"/>
          <w:rtl w:val="true"/>
          <w:lang w:bidi="fa-IR"/>
        </w:rPr>
        <w:t xml:space="preserve">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بشریت به کتابداران در جهت بهبود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تحلیل آموزش علوم کتابداری و اطلاع رسانی در سطح بین المللی و در مکزیکو، مطرح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که تاکنون در اکثر دانشکده ها برای آموزش استفاده شده بر تکرار فعالیت های فنی و بر استفاده از فناوری تمرکز داشته اند زیرا بر این باور بوده اند که مشکلات را در کار و در اجرا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تأکید می کند که بزرگترین مسئله در آموزش علوم کتابداری و اطلاع رسانی کمبود توانایی در بکارگیری مفاهیم بسیار انتزاعی است در آموزش علوم کتابداری و اطلاع رسانی از یک نظام به نام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مورد بحث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عنوان دانش غیر تجربی و دانش محض در نظر گرفته می شود دائما مورد بازبینی اصلاح و ارتقاء قرار می گیرد با وجود این اظهارات، در مقابل دانشجویان از آموزش راضی نیستند و نگرانی هایی دارند بسیاری از دانشجویان بدون آن که فعالیت های عملی از جمله مرجع فهرست نویسی و رده بندی را یاد بگیرند فارغ التحصیل می شوند این در حالی است که دانشجویان به خوبی می دانند این توانایی ها برای مشاغل آینده و موفقیت آن ها بسیار ضروری هستند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تحقیقی که بین دانشجویان یک دانشکده علوم کتابداری و اطلاع رسانی در مکزیک انجام شد، </w:t>
      </w:r>
    </w:p>
    <w:p>
      <w:pPr>
        <w:pStyle w:val="BookText"/>
        <w:rPr/>
      </w:pPr>
      <w:r>
        <w:rPr>
          <w:rFonts w:ascii="IRNazanin" w:hAnsi="IRNazanin" w:eastAsia="IRNazanin"/>
          <w:color w:val="111111"/>
          <w:sz w:val="28"/>
          <w:sz w:val="28"/>
          <w:szCs w:val="28"/>
          <w:rtl w:val="true"/>
          <w:lang w:bidi="fa-IR"/>
        </w:rPr>
        <w:t xml:space="preserve">رینا گیمز روجاس و هینوجوسا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1804"/>
      </w:r>
      <w:r>
        <w:rPr>
          <w:rFonts w:ascii="IRNazanin" w:hAnsi="IRNazanin" w:eastAsia="IRNazanin"/>
          <w:color w:val="111111"/>
          <w:sz w:val="28"/>
          <w:sz w:val="28"/>
          <w:szCs w:val="28"/>
          <w:rtl w:val="true"/>
          <w:lang w:bidi="fa-IR"/>
        </w:rPr>
        <w:t xml:space="preserve">دریافتند که اکثریت شرکت کنندگان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بودند که می بایست جنبه های عملی بیشتری در آموزش ها به کار گرفته شوند؛ بخش زیادی از آن ها نیز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دادند که تعداد کارگاه های آموزشی بیشتر شوند آن ها خاطر نشان کردند که موضوعاتی که تأثیر بیشتری در کتابداری دارند مثل رده بندی فهرست نویسی و مرجع به خاطر وجود ابزار گوناگون باید بیشتر مورد توجه قرار گیرند و تمرین شوند علاوه بر آن آن ها ذکر کردند که عدم وجود تعادل بین جنبه های نظری و عملی و نیاز به فضا برای اجرای جنبه های عملی از دیگر مشکلاتی هستند که باید مد نظر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دلاوگا و آراکاکی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805"/>
      </w:r>
      <w:r>
        <w:rPr>
          <w:rFonts w:ascii="IRNazanin" w:hAnsi="IRNazanin" w:eastAsia="IRNazanin"/>
          <w:color w:val="111111"/>
          <w:sz w:val="28"/>
          <w:sz w:val="28"/>
          <w:szCs w:val="28"/>
          <w:rtl w:val="true"/>
          <w:lang w:bidi="fa-IR"/>
        </w:rPr>
        <w:t>نیز اهمیت جنبه های عملی در آموزش علوم کتابداری و اطلاع رسانی را مورد تأکید قرار دادند و اظهار داشتند که در آموزش مبتنی بر توانایی امور اجرایی حرفه ای نیازمند نقش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رویکردهای آموزشی گوناگون، آن ها همیشه پلی بین دانشگاه و دنیای کار بوده اند و رویکرد مبتنی بر توانایی بر نیاز به آموزش، نه تنها به صورت آموزش برای کسب دانش و مهارت بلکه برای ایجاد مهارت ها ارزش ها و نگرش ها در دوره دانشجویی تأکید دارند که بعداً به محل کار و زندگی حرفه ای آن ها منتقل خواهند شد دانشجویان در عمل با مسائلی روبرو می شوند که مهارت های حرفه ای و فنی و همچنین مهارت های شخصی آن ها را به چالش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این موقعیت ها توانایی آن ها در برقراری رابطه با دیگران و همکاری با گروه های مختلف و نامتناجس و به طور کلی کار در چارچوب اخلاقی و اجتماعی نیز به چالش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ها و رویه های حرفه ای برنامه آموزشی علوم کتابداری و اطلاع رسانی در دانشگاه کاتولیک پرو اهداف زیر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مهارت ها و دانش مورد نیاز دانشجویان در طول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و کار در موقعیت های واقعی، مهارت های مورد نیاز و واکنش و اقدامات مناسب و صحیح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بین شکل دانشگاهی و زندگی حرفه ای فارغ التحصیلان</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تیست </w:t>
      </w:r>
      <w:r>
        <w:rPr>
          <w:rStyle w:val="FootnoteAnchor"/>
          <w:rtl w:val="true"/>
        </w:rPr>
        <w:footnoteReference w:id="1806"/>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دهه شصت میلادی، نوعی تمایل عمومی برای حمایت از ارزش های نظری و اولویت واضح و مسلم جنبه های عملی را بیان می دارد او همچنین خاطرنشان کرد که مسئله بزرگتر و عمومی،تر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تأکید کرد که کتابداران باید ذهنی خلاق داشته باشند و البته یادگیری صرفاً جنبه های عملی نمی تواند موفقیت آن ها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الزامی بود که کتابداران بتوانند بهترین مسیر و راه حل را در یک موقعیت خاص بکار بندند و تکیه به </w:t>
      </w:r>
    </w:p>
    <w:p>
      <w:pPr>
        <w:pStyle w:val="BookText"/>
        <w:rPr/>
      </w:pPr>
      <w:r>
        <w:rPr>
          <w:rFonts w:ascii="IRNazanin" w:hAnsi="IRNazanin" w:eastAsia="IRNazanin"/>
          <w:color w:val="111111"/>
          <w:sz w:val="28"/>
          <w:sz w:val="28"/>
          <w:szCs w:val="28"/>
          <w:rtl w:val="true"/>
          <w:lang w:bidi="fa-IR"/>
        </w:rPr>
        <w:t>آن چه که آموخته اند، نمی تواند کافی باشد بلکه این توانایی با کار بست اصول و نظریات صحیح می تواند به حل مسائل در این نوع موقعیت ها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گاسکن، کومالات اسپلت دکستریتی، روبیو سالس و وال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1807"/>
      </w:r>
      <w:r>
        <w:rPr>
          <w:rFonts w:ascii="IRNazanin" w:hAnsi="IRNazanin" w:eastAsia="IRNazanin"/>
          <w:color w:val="111111"/>
          <w:sz w:val="28"/>
          <w:sz w:val="28"/>
          <w:szCs w:val="28"/>
          <w:rtl w:val="true"/>
          <w:lang w:bidi="fa-IR"/>
        </w:rPr>
        <w:t>همچنین اظهار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ایجاد مبانی نظری و عملی در مشاغل دانشگاهی، خصوصاً آن هایی که در امر آموزش فنی 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 که با جنبه های عملی سر و کار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نه تنها اجرای فعالیت ها بلکه اجرای آموخته های قبلی دانشجویان همراه با تفکر و استفاده از هوش را نیز در بر گیرند تنها زمانی می توانیم مطمئن باشیم که یک فعالیت عملی، به عنوان بخشی از آموزش موفقیت آمیز و رضایت بخش بوده که یک دانشجو بتواند کار اجرایی را به نظریاتی که آموخته ربط دهد و نظریات و آموخته ها را در تجربیات و فعالیت های واقعی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این هماهنگی و سازگاری لافونته و مورالز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Style w:val="FootnoteAnchor"/>
          <w:rtl w:val="true"/>
        </w:rPr>
        <w:footnoteReference w:id="1808"/>
      </w:r>
      <w:r>
        <w:rPr>
          <w:rFonts w:ascii="IRNazanin" w:hAnsi="IRNazanin" w:eastAsia="IRNazanin"/>
          <w:color w:val="111111"/>
          <w:sz w:val="28"/>
          <w:sz w:val="28"/>
          <w:szCs w:val="28"/>
          <w:rtl w:val="true"/>
          <w:lang w:bidi="fa-IR"/>
        </w:rPr>
        <w:t>مطرح کرده اند که آموزش مبانی و نظریات باید بر درک این پدیده متمرکز باشد به طوری که دانشجویان بتوانند دانش کافی برای شناسایی آن ها کسب کنند و همچنین بتوانند این دانش را به طور کاربردی در موقعیت های واقعی و مستقل از برنامه های آموزشی به کار بندند آن ها خاطر نشان کردند که دانشکده های علوم کتابداری و اطلاع رسانی باید روش ها و فنون آموزشی خود را مبتنی بر موقعیت ها و نگرش های زیر اولویت بندی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تحقیق و آموزش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تجزیه و تحلیل و انتقاد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تغییر و تطبیق</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آن چه که در دنیای واقعی انجام شده</w:t>
      </w:r>
    </w:p>
    <w:p>
      <w:pPr>
        <w:pStyle w:val="BookText"/>
        <w:rPr/>
      </w:pPr>
      <w:r>
        <w:rPr>
          <w:rFonts w:ascii="IRNazanin" w:hAnsi="IRNazanin" w:eastAsia="IRNazanin"/>
          <w:color w:val="111111"/>
          <w:sz w:val="28"/>
          <w:sz w:val="28"/>
          <w:szCs w:val="28"/>
          <w:rtl w:val="true"/>
          <w:lang w:bidi="fa-IR"/>
        </w:rPr>
        <w:t>بدون شک، تغییر آموزش علوم کتابداری و اطلاع رسانی از یک رویکرد صرفاً عملی و یا رویکرد صرفا نظری و جدا از موقعیت های واقعی کار، به رویکردی که این دو نگرش تواما به صورت متعادل بکار گرفته شوند، مستلزم سه اصل راهبردی روش شناختی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علوم کتابداری و اطلاع رسانی بر مبنای پدیده، مفاهیم و نظریات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راهبردی دوم مبتنی بر نقش حیاتی تاریخچه هوشمند مفاهیم و نظریات علوم کتابداری و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راهبردی سوم متمرکز است بر تغییر ادراکی دانشجویان رشته علوم کتابداری و اطلاع رسانی</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ماهیت هایی که موضوع و مواد رشته مذکور را تشکیل می دهند شناسایی نماییم دانشجویانی که آموزش علوم کتابداری و اطلاع رسانی را تازه شروع می کنند، باید از اصطلاحاتی </w:t>
      </w:r>
    </w:p>
    <w:p>
      <w:pPr>
        <w:pStyle w:val="BookText"/>
        <w:rPr/>
      </w:pPr>
      <w:r>
        <w:rPr>
          <w:rFonts w:ascii="IRNazanin" w:hAnsi="IRNazanin" w:eastAsia="IRNazanin"/>
          <w:color w:val="111111"/>
          <w:sz w:val="28"/>
          <w:sz w:val="28"/>
          <w:szCs w:val="28"/>
          <w:rtl w:val="true"/>
          <w:lang w:bidi="fa-IR"/>
        </w:rPr>
        <w:t>استفاده کنند که فقط در این رشته معنی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عمر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های نظری هستند که در زبان تخصصی این رشته بیان می شوند این مفاهیم، همچنین می توانند به عنوان موضوع تحقیق و فعالیت های دانشجویی و تحقیقاتی در نظر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دانشجویان باید جنبه تاریخی علوم کتابداری و اطلاع رسانی را درک کنند این شناخت به آن ها اجازه می دهد که موقعیت های متغیر عملی و موقعیت های متغیر نظری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تاریخچه علوم کتابداری و اطلاع رسانی به آن ها اجازه می دهد که کار اجزاء کار و مسائل نظری مورد نظر را بصورتی عینی تر و واقعی تر بازسازی و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لازم است که نحوه آموزش دانشجویان به لحاظ مفهومی تغییر کند باید بر فرآیندهای شبیه سازی و موقعیت های واقعی در آموزش بیشتر تأکید شود ولی برای جلوگیری از آموزش صرفاً مبتنی بر شبیه سازی و به دور از موقعیت های واقعی دانشجویان باید شناخت کافی نسبت به این مسئله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سازندگی گرایی تا حد زیادی به تجزیه و تحلیل مسائل آموزش علوم کتابداری و اطلاع رسانی و به بهبود آن کمک کرده است دو جزء و رویکرد اصلی و ضروری در این رابطه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 نقش مهمی در ساخت و شکل گیری دانش ایفا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و ادراکات توسط افراد بیشتر بوجود می آیند و کمتر کشف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فرآیندی است که برای ساخت توسعه و معنی دادن به دانش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کاسکن کومالات اسپلت دکستریتی، روبیو، سالس و وال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ها و همچنین مشکلاتی را برای این نوع آموزش در علوم کتابداری و اطلاع رسانی بر 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موضوعی است که واقعاً دانشجو را مجبور می کند بین مفاهیم گوناگونی که طی دوره فرا ،گرفته رابطه برقرار کند و درباره واقعیت ها و فعالیت هایی که انجام می دهد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آن نیز باید جامع باشد به طوری که عناصر گوناگون و مرتبط توانایی و نگرش های 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دوره آموزشی فرا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دانشجو می تواند در فرآیند آموزش خود نقشی اصلی تر از استاد ایفا نماید و آموخته ها را در کارآموزی عملا درک کند با این حال چند مشکل نیز در این ارزیابی ها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به عدم بلوغ و پیش زمینه مربوط می شوند جدایی و ناسازگاری مسائل نظری و عملی، مشکلات مربوط به تهیه مقالات و یا فکر درباره یک فرآیند مثل کارآموزی و غیره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رویکرد یادگیری در چندین مورد در آموزش علوم کتابداری و اطلاع رسانی به کار گرفته شده </w:t>
      </w:r>
      <w:bookmarkStart w:id="1389" w:name="pg9653_82350"/>
    </w:p>
    <w:p>
      <w:pPr>
        <w:pStyle w:val="BookText"/>
        <w:rPr/>
      </w:pPr>
      <w:bookmarkEnd w:id="1389"/>
      <w:r>
        <w:rPr>
          <w:rFonts w:ascii="IRNazanin" w:hAnsi="IRNazanin" w:eastAsia="IRNazanin"/>
          <w:color w:val="111111"/>
          <w:sz w:val="28"/>
          <w:sz w:val="28"/>
          <w:szCs w:val="28"/>
          <w:rtl w:val="true"/>
          <w:lang w:bidi="fa-IR"/>
        </w:rPr>
        <w:t xml:space="preserve">است، از جمله در موارد زیر، مارتینز آرلانو، </w:t>
      </w:r>
      <w:r>
        <w:rPr>
          <w:rStyle w:val="FootnoteAnchor"/>
          <w:rtl w:val="true"/>
        </w:rPr>
        <w:footnoteReference w:id="1809"/>
      </w:r>
      <w:r>
        <w:rPr>
          <w:rFonts w:ascii="Amiri" w:hAnsi="Amiri" w:eastAsia="Amiri" w:cs="Amiri"/>
          <w:color w:val="111111"/>
          <w:sz w:val="28"/>
          <w:sz w:val="28"/>
          <w:szCs w:val="28"/>
          <w:rtl w:val="true"/>
          <w:lang w:bidi="ar-SA"/>
        </w:rPr>
        <w:t xml:space="preserve">ساليناس </w:t>
      </w:r>
      <w:r>
        <w:rPr>
          <w:rStyle w:val="FootnoteAnchor"/>
          <w:rtl w:val="true"/>
        </w:rPr>
        <w:footnoteReference w:id="1810"/>
      </w:r>
      <w:r>
        <w:rPr>
          <w:rFonts w:ascii="IRNazanin" w:hAnsi="IRNazanin" w:eastAsia="IRNazanin"/>
          <w:color w:val="111111"/>
          <w:sz w:val="28"/>
          <w:sz w:val="28"/>
          <w:szCs w:val="28"/>
          <w:rtl w:val="true"/>
          <w:lang w:bidi="fa-IR"/>
        </w:rPr>
        <w:t xml:space="preserve">و سبروسکی </w:t>
      </w:r>
      <w:r>
        <w:rPr>
          <w:rStyle w:val="FootnoteAnchor"/>
          <w:rtl w:val="true"/>
        </w:rPr>
        <w:footnoteReference w:id="1811"/>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فنون یادگیری بر اساس طرح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آموزش محور</w:t>
      </w:r>
      <w:r>
        <w:rPr>
          <w:rFonts w:eastAsia="IRNazanin" w:cs="IRNazanin"/>
          <w:color w:val="111111"/>
          <w:sz w:val="28"/>
          <w:szCs w:val="28"/>
          <w:rtl w:val="true"/>
          <w:lang w:bidi="fa-IR"/>
        </w:rPr>
        <w:t xml:space="preserve">) </w:t>
      </w:r>
      <w:r>
        <w:rPr>
          <w:rStyle w:val="FootnoteAnchor"/>
          <w:rtl w:val="true"/>
        </w:rPr>
        <w:footnoteReference w:id="1812"/>
      </w:r>
      <w:r>
        <w:rPr>
          <w:rFonts w:ascii="IRNazanin" w:hAnsi="IRNazanin" w:eastAsia="IRNazanin"/>
          <w:color w:val="111111"/>
          <w:sz w:val="28"/>
          <w:sz w:val="28"/>
          <w:szCs w:val="28"/>
          <w:rtl w:val="true"/>
          <w:lang w:bidi="fa-IR"/>
        </w:rPr>
        <w:t xml:space="preserve">را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کارشناسی ارشد رشته علوم کتابداری و اطلاع رسانی دانشگاه مجازی موسسه فناوری دِ مونترِری </w:t>
      </w:r>
      <w:r>
        <w:rPr>
          <w:rStyle w:val="FootnoteAnchor"/>
          <w:rtl w:val="true"/>
        </w:rPr>
        <w:footnoteReference w:id="1813"/>
      </w:r>
      <w:r>
        <w:rPr>
          <w:rFonts w:ascii="IRNazanin" w:hAnsi="IRNazanin" w:eastAsia="IRNazanin"/>
          <w:color w:val="111111"/>
          <w:sz w:val="28"/>
          <w:sz w:val="28"/>
          <w:szCs w:val="28"/>
          <w:rtl w:val="true"/>
          <w:lang w:bidi="fa-IR"/>
        </w:rPr>
        <w:t>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کوئیندمیل توريجو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814"/>
      </w:r>
      <w:r>
        <w:rPr>
          <w:rFonts w:ascii="IRNazanin" w:hAnsi="IRNazanin" w:eastAsia="IRNazanin"/>
          <w:color w:val="111111"/>
          <w:sz w:val="28"/>
          <w:sz w:val="28"/>
          <w:szCs w:val="28"/>
          <w:rtl w:val="true"/>
          <w:lang w:bidi="fa-IR"/>
        </w:rPr>
        <w:t xml:space="preserve">در گزارش خود کاربرد این فنون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سواد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تخصصی علوم کتابداری و اطلاع رسانی در کوبا را در گزارش خود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برای آموزش فهرست نویس در دانشگاه ملی جنوب باهیا بلانکا </w:t>
      </w:r>
      <w:r>
        <w:rPr>
          <w:rStyle w:val="FootnoteAnchor"/>
          <w:rtl w:val="true"/>
        </w:rPr>
        <w:footnoteReference w:id="1815"/>
      </w:r>
      <w:r>
        <w:rPr>
          <w:rFonts w:ascii="IRNazanin" w:hAnsi="IRNazanin" w:eastAsia="IRNazanin"/>
          <w:color w:val="111111"/>
          <w:sz w:val="28"/>
          <w:sz w:val="28"/>
          <w:szCs w:val="28"/>
          <w:rtl w:val="true"/>
          <w:lang w:bidi="fa-IR"/>
        </w:rPr>
        <w:t xml:space="preserve">در آرژانتین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هِررا،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1816"/>
      </w:r>
      <w:r>
        <w:rPr>
          <w:rFonts w:ascii="IRNazanin" w:hAnsi="IRNazanin" w:eastAsia="IRNazanin"/>
          <w:color w:val="111111"/>
          <w:sz w:val="28"/>
          <w:sz w:val="28"/>
          <w:szCs w:val="28"/>
          <w:rtl w:val="true"/>
          <w:lang w:bidi="fa-IR"/>
        </w:rPr>
        <w:t>نیز بکار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کاربرد این روش در دوره مدیریت سازماندهی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ملی سن مارکوس </w:t>
      </w:r>
      <w:r>
        <w:rPr>
          <w:rStyle w:val="FootnoteAnchor"/>
          <w:rtl w:val="true"/>
        </w:rPr>
        <w:footnoteReference w:id="1817"/>
      </w:r>
      <w:r>
        <w:rPr>
          <w:rFonts w:ascii="IRNazanin" w:hAnsi="IRNazanin" w:eastAsia="IRNazanin"/>
          <w:color w:val="111111"/>
          <w:sz w:val="28"/>
          <w:sz w:val="28"/>
          <w:szCs w:val="28"/>
          <w:rtl w:val="true"/>
          <w:lang w:bidi="fa-IR"/>
        </w:rPr>
        <w:t>در لیمای پرو نیز ذکر شده است</w:t>
      </w:r>
      <w:r>
        <w:rPr>
          <w:rFonts w:eastAsia="IRNazanin" w:cs="IRNazanin"/>
          <w:color w:val="111111"/>
          <w:sz w:val="28"/>
          <w:szCs w:val="28"/>
          <w:rtl w:val="true"/>
          <w:lang w:bidi="fa-IR"/>
        </w:rPr>
        <w:t>.</w:t>
      </w:r>
    </w:p>
    <w:p>
      <w:pPr>
        <w:pStyle w:val="Heading3"/>
        <w:numPr>
          <w:ilvl w:val="2"/>
          <w:numId w:val="1"/>
        </w:numPr>
        <w:rPr/>
      </w:pPr>
      <w:bookmarkStart w:id="1390" w:name="__RefHeading___Toc7767272_2870459653"/>
      <w:bookmarkStart w:id="1391" w:name="_Toc511"/>
      <w:bookmarkEnd w:id="1390"/>
      <w:r>
        <w:rPr>
          <w:rtl w:val="true"/>
        </w:rPr>
        <w:t>نتیجه گیری</w:t>
      </w:r>
      <w:bookmarkEnd w:id="1391"/>
    </w:p>
    <w:p>
      <w:pPr>
        <w:pStyle w:val="BookText"/>
        <w:rPr/>
      </w:pPr>
      <w:r>
        <w:rPr>
          <w:rFonts w:ascii="IRNazanin" w:hAnsi="IRNazanin" w:eastAsia="IRNazanin"/>
          <w:color w:val="111111"/>
          <w:sz w:val="28"/>
          <w:sz w:val="28"/>
          <w:szCs w:val="28"/>
          <w:rtl w:val="true"/>
          <w:lang w:bidi="fa-IR"/>
        </w:rPr>
        <w:t>مبحث رویکردهای آموزش علوم کتابداری و اطلاع رسانی که بر مبنای جنبه های نظری و عملی است مدت ها وجود داشته و هنوز هم در مورد آن بحث می شود که بخشی از آن ها را می توان در متون حرفه ای مشاهده کرد اگرچه انتقاداتی به رویکرد عملی آموزش می شود ولی این رویکرد برای چندین دهه همچنان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آموزش عملی علوم کتابداری و اطلاع رسانی این رویکرد بیشتر از رویکرد نظری مورد استفاده قرار گرفته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آموزش علوم کتابداری و اطلاع رسانی، در حال تغییر از رویکرد فقط متمرکز بر جنبه های عملی و فنون یا فقط متمرکز بر جنبه های نظری، به رویکردی است که در آن به جنبه های نظری نیز به همان اندازه اهمیت داده می شود این رویکرد جدید که هر دو رویکرد قبلی را به اندازه متعادل مورد استفاده قرار می دهد مستلزم بررسی مفاهیم و مضامین این رشته علمی بر اساس سه راهبرد روش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علوم کتابداری و اطلاع رسانی بر مبنای پدیده، مفاهیم و نظریات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راهبردی دوم مبتنی بر نقش حیاتی تاریخچه هوشمند مفاهیم و نظریات علوم کتابداری و اطلاع رسانی است و اصل راهبردی سوم متمرکز است بر تغییر ادراکی دانشجویان رشته علوم کتابداری و اطلاع رسانی </w:t>
      </w:r>
      <w:bookmarkStart w:id="1392" w:name="pg9653_82351"/>
    </w:p>
    <w:p>
      <w:pPr>
        <w:pStyle w:val="BookText"/>
        <w:rPr/>
      </w:pPr>
      <w:bookmarkEnd w:id="1392"/>
      <w:r>
        <w:rPr>
          <w:rFonts w:ascii="IRNazanin" w:hAnsi="IRNazanin" w:eastAsia="IRNazanin"/>
          <w:color w:val="111111"/>
          <w:sz w:val="28"/>
          <w:sz w:val="28"/>
          <w:szCs w:val="28"/>
          <w:rtl w:val="true"/>
          <w:lang w:bidi="fa-IR"/>
        </w:rPr>
        <w:t>در راهبرد سوم، میل به سازندگی در آموزش نقش مهمی دارد زیرا به دانشجویان اجازه می دهد برای حل مسائل از رویه های ابداعی خود استفاده نمایند این فرآیند یادگیری به عنوان یک کار تعاملی و مشارکتی و پویا توسط دانشجویان انجام می گیرد به طوری که دانش به یک سازه واقعی مبتنی بر اصول نظری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روند آموزشی می تواند به برقراری تعادل بین جنبه نظری و جنبه عملی آموزش علوم کتابداری و اطلاع رسانی کمک نماید</w:t>
      </w:r>
      <w:r>
        <w:rPr>
          <w:rFonts w:eastAsia="IRNazanin" w:cs="IRNazanin"/>
          <w:color w:val="111111"/>
          <w:sz w:val="28"/>
          <w:szCs w:val="28"/>
          <w:rtl w:val="true"/>
          <w:lang w:bidi="fa-IR"/>
        </w:rPr>
        <w:t>.</w:t>
      </w:r>
    </w:p>
    <w:p>
      <w:pPr>
        <w:pStyle w:val="Heading3"/>
        <w:numPr>
          <w:ilvl w:val="2"/>
          <w:numId w:val="1"/>
        </w:numPr>
        <w:rPr/>
      </w:pPr>
      <w:bookmarkStart w:id="1393" w:name="__RefHeading___Toc7767274_2870459653"/>
      <w:bookmarkStart w:id="1394" w:name="_Toc512"/>
      <w:bookmarkEnd w:id="1393"/>
      <w:r>
        <w:rPr>
          <w:rtl w:val="true"/>
        </w:rPr>
        <w:t>منابع</w:t>
      </w:r>
      <w:bookmarkEnd w:id="1394"/>
    </w:p>
    <w:p>
      <w:pPr>
        <w:pStyle w:val="BookText"/>
        <w:rPr/>
      </w:pPr>
      <w:r>
        <w:rPr>
          <w:rFonts w:eastAsia="Times New Roman" w:cs="Times New Roman" w:ascii="Times New Roman" w:hAnsi="Times New Roman"/>
          <w:color w:val="111111"/>
          <w:sz w:val="28"/>
          <w:szCs w:val="28"/>
          <w:lang w:val="en-US" w:bidi="en-US"/>
        </w:rPr>
        <w:t>Allendez Sullivan, P. (2012). El papel de la bibliotecologiadentro de las cienciassociales: la formación de los futurosprofesionales. In: Serie Documentos de Trabajo: ÁreaEducación. http://eprints.rclis.org/bitstream/10760/16707/1/DT_032.pdf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Danton, P. (1950). La formaciónprofesionaldelbibliotecario. Paris: UNESCO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la Vega, A. &amp; Arakaki, M. (2011). Las prácticaspreprofesionales en la formación en Ciencias de la Información: el caso de la Pontificia Universidad CatólicadelPerú (PUCP). RevistaInteramericana de Bibliotecología, 34 (1), 77-86. http://www.redalyc.org/src/inicio/ArtPdfRed.jsp?iCve=179018530006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Gascón, J., Comalat, M., Espelt, C., Mañà T., Rubió A., Salse, M. &amp;Vall, A. Practice and academy, or working as learning: internship course at the Universitat de Barcelona LIS Faculty. In: BOBCATSSS 2009 "Challenges for the New Information Professional". http://eprints.rclis.org/bitstream/10760/12920/1/65.pdf Accessed: May 14, 2012</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Herrera, L. (2004). Boletíninformativoelectrónicodel Centro de Estudios sobre Bibliotecología de la Sociedad Argentina de Información (2004). http://www.sai.com.ar/bibliotecologia/boletin/bie011.htm Accessed: May 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Huisa Veria &amp; Alfaro, 2008). Universidad Nacional Mayor de San Marcos E.A.P. Bibliotecologia y Ciencias de la InformaciónCurso: Administración de Unidades de Información. http://administracion2- bibliotecologia.wetpaint.com/page/Silabus+2008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LafuenteLópez Ramiro &amp; Morales Campos (1992). Reflexiones en torno a la enseñanza de la bibliotecología." InvestigaciónBibliotecológica 6(12), 25-27. http://www.ejournal.unam.mx/ibi/vol06-12/IBI000601203.pdf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Martínez Arellano, F.F., Salinas, V., &amp;Cebrowski, C. (2002). Aplicación de latécnica "AprendizajeBasado en Proyectos" en un curso de la Maestría en 12 Bibliotecología y Ciencias de la Información de la Universidad virtual del</w:t>
      </w:r>
    </w:p>
    <w:p>
      <w:pPr>
        <w:pStyle w:val="BookText"/>
        <w:rPr/>
      </w:pPr>
      <w:r>
        <w:rPr>
          <w:rFonts w:eastAsia="Times New Roman" w:cs="Times New Roman" w:ascii="Times New Roman" w:hAnsi="Times New Roman"/>
          <w:color w:val="111111"/>
          <w:sz w:val="28"/>
          <w:szCs w:val="28"/>
          <w:lang w:val="en-US" w:bidi="en-US"/>
        </w:rPr>
        <w:t>ITESM, 2002. In: XXXIII JornadasMexicanas de Biblioteconomía, Monterrey, Nuevo León (Mexico),5-7 June 2002. Asociación</w:t>
      </w:r>
    </w:p>
    <w:p>
      <w:pPr>
        <w:pStyle w:val="BookText"/>
        <w:rPr/>
      </w:pPr>
      <w:r>
        <w:rPr>
          <w:rFonts w:eastAsia="Times New Roman" w:cs="Times New Roman" w:ascii="Times New Roman" w:hAnsi="Times New Roman"/>
          <w:color w:val="111111"/>
          <w:sz w:val="28"/>
          <w:szCs w:val="28"/>
          <w:lang w:val="en-US" w:bidi="en-US"/>
        </w:rPr>
        <w:t>Mexicana de Bibliotecarios, A. C..pp. 1-20. http://hdl.handle.net/10760/6128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Moran B. B. (2001) Attempts to reach consensus seem to have increased the rancor. Library Journal Archive, 11/01/2001. http://www.libraryjournal.com/article/CA178199.html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QuindemilTorrijo E.M. (2010). Introducción de la alfabetización informacional en la especialidad de Bibliotecología y Ciencias de la Información. Acimed, 21(2). En: http://bvs.sld.cu/revistas/aci/vol21_1_10/aci08110.htm Accessed: May 14, 2012</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Reyna Rojas, A. B. &amp; Hinojosa Gámez, A. A. (2006). La Bibliotecología en laenseñanza y la práctica: diferencias entre el aula y el trabajo. In: Primer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Encuentro de Estudiantes de Bibliotecología y Ciencias de la Información de la UANL. http://hdl.handle.net/10760/11437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Ríos Ortega, J. (2007). La teoría en la educaciónbibliotecológica: directrices. básicas para suenseñanza. Investigaciónbibliotecológica 21(42), 109-142. http://www.revistas.unam.mx/index.php/ibi/article/view/4121 Accessed: May 14,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Rodríguez Gallardo, A. (2001). La formaciónhumanistadelbibliotecario: haciasurecuperación. México: UNAM, Centro Universitario de InvestigacionesBibliotecológicas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Sabor, J. (1968). Métodos de enseñanza de la bibliotecología. (París: UNESCO). http://unesdoc.unesco.org/images/0013/001355/135585so.pdf Accessed: May 14, 2012</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Worral, A. (2011). Theory- and practice-based approaches to LIS curricula: a literature review. http://www.adam worrall.org/portfolio/courses/lis6289/worrall_6289 theory_p ractice curricula literature review 041911.pdfAccessed: May 14, 2012</w:t>
      </w:r>
      <w:r>
        <w:rPr>
          <w:rFonts w:eastAsia="Times New Roman" w:cs="Times New Roman" w:ascii="Times New Roman" w:hAnsi="Times New Roman"/>
          <w:color w:val="111111"/>
          <w:sz w:val="28"/>
          <w:szCs w:val="28"/>
          <w:rtl w:val="true"/>
          <w:lang w:val="en-US" w:bidi="en-US"/>
        </w:rPr>
        <w:t xml:space="preserve">. </w:t>
      </w:r>
      <w:bookmarkStart w:id="1395" w:name="pg9653_82354"/>
    </w:p>
    <w:p>
      <w:pPr>
        <w:pStyle w:val="Heading2"/>
        <w:numPr>
          <w:ilvl w:val="1"/>
          <w:numId w:val="1"/>
        </w:numPr>
        <w:rPr/>
      </w:pPr>
      <w:bookmarkStart w:id="1396" w:name="__RefHeading___Toc7767276_2870459653"/>
      <w:bookmarkStart w:id="1397" w:name="_Toc513"/>
      <w:bookmarkEnd w:id="1395"/>
      <w:bookmarkEnd w:id="1396"/>
      <w:r>
        <w:rPr>
          <w:rtl w:val="true"/>
        </w:rPr>
        <w:t>چکیده</w:t>
      </w:r>
      <w:bookmarkEnd w:id="1397"/>
    </w:p>
    <w:p>
      <w:pPr>
        <w:pStyle w:val="BookText"/>
        <w:rPr/>
      </w:pPr>
      <w:r>
        <w:rPr>
          <w:rFonts w:ascii="IRNazanin" w:hAnsi="IRNazanin" w:eastAsia="IRNazanin"/>
          <w:color w:val="111111"/>
          <w:sz w:val="28"/>
          <w:sz w:val="28"/>
          <w:szCs w:val="28"/>
          <w:rtl w:val="true"/>
          <w:lang w:bidi="fa-IR"/>
        </w:rPr>
        <w:t>بخش کتابخانه های دولتی در یونان موردی است که به اندازه کافی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بخش مستند آماری هلنی اچ اس ای </w:t>
      </w:r>
      <w:r>
        <w:rPr>
          <w:rStyle w:val="FootnoteAnchor"/>
          <w:rtl w:val="true"/>
        </w:rPr>
        <w:footnoteReference w:id="1818"/>
      </w:r>
      <w:r>
        <w:rPr>
          <w:rFonts w:ascii="IRNazanin" w:hAnsi="IRNazanin" w:eastAsia="IRNazanin"/>
          <w:color w:val="111111"/>
          <w:sz w:val="28"/>
          <w:sz w:val="28"/>
          <w:szCs w:val="28"/>
          <w:rtl w:val="true"/>
          <w:lang w:bidi="fa-IR"/>
        </w:rPr>
        <w:t>وزارت اقتصاد داده های آماری را از تمام کتابخانه های عمومی هر دو سال گردآوری می کند ولی این داده ها به اندازه کافی ارتقاء نیافته و در جهت منافع جامعه خاص خود به کار گرفته نشده اند هدف اولیه این پژوهش، کمک به ایجاد همکاری بین کتابخانه های دولتی یونان است این مقاله، به ویژه بر توصیف و روش های همکاری متمرکز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اشتراکی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مجموعه های مشترک از طریق توافقات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آوری اطلاعات مورد نیاز از داده های به دست آمده از بخش مستند آماری هلنی وزارت اقتصاد استفاده کردیم علاوه بر آن از طریق مصاحبه و جستجو در وبگاه های سازمان های مورد نظر پژوهش را انجام دادیم از تحلیل کیفی و کمی اطلاعات جمع آوری شده به منظور اشاعه نتایج نهایی بهره بردیم یکی از یافته ها حجم محدود اطلاعات موجود درباره کتابخانه ها در وبگاه سازمان های میزبان است علاوه بر این به این نتیجه رسیدیم که حتی تعداد اندکی از کتابخانه ها واقعا وبگاه های خود را دارند یا میزبان ایک هایی هستند که بیانگر موجودی آن هاست کتابخانه های دولتی، پراکنده و جدا از یکدیگرند و کاربران نمی توانند به آسانی به تمام داده های آن ها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به نظر می رسد کتابخانه های دولتی مجموعه هایی غنی از شکل های گوناگون اطلاعات را دارند که بخشی یا تمام آن ها از طریق نظام های یکپارچه کتابخانه ای سازماندهی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دولتی وجود دارند که اطلاعات و خدماتشان بالاتر از سطح رضایت است و می توانند راه را برای دیگر کتابخانه ها هموار کنند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دولتی یونان، داده های آماری، فهرستنویسی اشتراکی، دسترسی به مجموعه های مشترک </w:t>
      </w:r>
      <w:bookmarkStart w:id="1398" w:name="pg9653_82355"/>
    </w:p>
    <w:p>
      <w:pPr>
        <w:pStyle w:val="Heading2"/>
        <w:numPr>
          <w:ilvl w:val="1"/>
          <w:numId w:val="1"/>
        </w:numPr>
        <w:rPr/>
      </w:pPr>
      <w:bookmarkStart w:id="1399" w:name="__RefHeading___Toc7767278_2870459653"/>
      <w:bookmarkStart w:id="1400" w:name="_Toc514"/>
      <w:bookmarkEnd w:id="1398"/>
      <w:bookmarkEnd w:id="1399"/>
      <w:r>
        <w:rPr>
          <w:rtl w:val="true"/>
        </w:rPr>
        <w:t>کتابخانه های دولتی یونان</w:t>
      </w:r>
      <w:r>
        <w:rPr>
          <w:rtl w:val="true"/>
        </w:rPr>
        <w:t xml:space="preserve">: </w:t>
      </w:r>
      <w:r>
        <w:rPr>
          <w:rtl w:val="true"/>
        </w:rPr>
        <w:t>وضعیت فعلی و ملاحظات آینده</w:t>
      </w:r>
      <w:bookmarkEnd w:id="1400"/>
    </w:p>
    <w:p>
      <w:pPr>
        <w:pStyle w:val="Heading3"/>
        <w:numPr>
          <w:ilvl w:val="2"/>
          <w:numId w:val="1"/>
        </w:numPr>
        <w:rPr/>
      </w:pPr>
      <w:bookmarkStart w:id="1401" w:name="__RefHeading___Toc7767280_2870459653"/>
      <w:bookmarkStart w:id="1402" w:name="_Toc515"/>
      <w:bookmarkEnd w:id="1401"/>
      <w:r>
        <w:rPr>
          <w:rtl w:val="true"/>
        </w:rPr>
        <w:t>اشاره</w:t>
      </w:r>
      <w:bookmarkEnd w:id="1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های دولتی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فعلی و ملاحظات آینده </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 xml:space="preserve">نوشته ماریا مونوپولی، </w:t>
      </w:r>
      <w:r>
        <w:rPr>
          <w:rStyle w:val="FootnoteAnchor"/>
          <w:rtl w:val="true"/>
        </w:rPr>
        <w:footnoteReference w:id="1820"/>
      </w:r>
      <w:r>
        <w:rPr>
          <w:rFonts w:ascii="IRNazanin" w:hAnsi="IRNazanin" w:eastAsia="IRNazanin"/>
          <w:color w:val="111111"/>
          <w:sz w:val="28"/>
          <w:sz w:val="28"/>
          <w:szCs w:val="28"/>
          <w:rtl w:val="true"/>
          <w:lang w:bidi="fa-IR"/>
        </w:rPr>
        <w:t xml:space="preserve">آنا ماستورا </w:t>
      </w:r>
      <w:r>
        <w:rPr>
          <w:rStyle w:val="FootnoteAnchor"/>
          <w:rtl w:val="true"/>
        </w:rPr>
        <w:footnoteReference w:id="1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مرضیه هدایت </w:t>
      </w:r>
      <w:r>
        <w:rPr>
          <w:rStyle w:val="FootnoteAnchor"/>
          <w:rtl w:val="true"/>
        </w:rPr>
        <w:footnoteReference w:id="1822"/>
      </w:r>
    </w:p>
    <w:p>
      <w:pPr>
        <w:pStyle w:val="Heading3"/>
        <w:numPr>
          <w:ilvl w:val="2"/>
          <w:numId w:val="1"/>
        </w:numPr>
        <w:rPr/>
      </w:pPr>
      <w:bookmarkStart w:id="1403" w:name="__RefHeading___Toc7767282_2870459653"/>
      <w:bookmarkStart w:id="1404" w:name="_Toc516"/>
      <w:bookmarkEnd w:id="1403"/>
      <w:r>
        <w:rPr/>
        <w:t>1</w:t>
      </w:r>
      <w:r>
        <w:rPr>
          <w:rtl w:val="true"/>
        </w:rPr>
        <w:t xml:space="preserve">. </w:t>
      </w:r>
      <w:r>
        <w:rPr>
          <w:rtl w:val="true"/>
        </w:rPr>
        <w:t>مقدمه</w:t>
      </w:r>
      <w:bookmarkEnd w:id="1404"/>
    </w:p>
    <w:p>
      <w:pPr>
        <w:pStyle w:val="Heading4"/>
        <w:numPr>
          <w:ilvl w:val="3"/>
          <w:numId w:val="1"/>
        </w:numPr>
        <w:rPr/>
      </w:pPr>
      <w:bookmarkStart w:id="1405" w:name="__RefHeading___Toc7767284_2870459653"/>
      <w:bookmarkStart w:id="1406" w:name="_Toc517"/>
      <w:bookmarkEnd w:id="1405"/>
      <w:r>
        <w:rPr>
          <w:rtl w:val="true"/>
        </w:rPr>
        <w:t>اشاره</w:t>
      </w:r>
      <w:bookmarkEnd w:id="1406"/>
    </w:p>
    <w:p>
      <w:pPr>
        <w:pStyle w:val="BookText"/>
        <w:rPr/>
      </w:pPr>
      <w:r>
        <w:rPr>
          <w:rFonts w:ascii="IRNazanin" w:hAnsi="IRNazanin" w:eastAsia="IRNazanin"/>
          <w:color w:val="111111"/>
          <w:sz w:val="28"/>
          <w:sz w:val="28"/>
          <w:szCs w:val="28"/>
          <w:rtl w:val="true"/>
          <w:lang w:bidi="fa-IR"/>
        </w:rPr>
        <w:t>کتابخانه های دولتی، مانند سایر انواع ،کتابخانه مجبورند با تغییرات مداوم نظام های اطلاعاتی و ارتباطات از راه دور هماهنگ شوند این تغییرات به ترتیب زیر اثر 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انجام وظایف کتابخانه ها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کتابخانه ها باید در برآوردن نیازهای کاربرانشان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برای توصیف مشروح وضعیت فعلی کتابخانه ها این نکات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اطلاعات به شکل رقومی پیوسته رو به افزایش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رسد کتابخانه ها بیشتر و بیشتر به همکاری با سایر کتابخانه ها یا سازمان هایی که احتمالاً داده های مورد علاقه و مرتبط با آن ها را دارند گرایش پیدا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 رسد کتابخانه ها دیگر نمی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باشند بلکه ترجیح می دهند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آورندگان دسترسی</w:t>
      </w:r>
      <w:r>
        <w:rPr>
          <w:rFonts w:eastAsia="IRNazanin" w:cs="IRNazanin"/>
          <w:color w:val="111111"/>
          <w:sz w:val="28"/>
          <w:szCs w:val="28"/>
          <w:rtl w:val="true"/>
          <w:lang w:bidi="fa-IR"/>
        </w:rPr>
        <w:t xml:space="preserve">" </w:t>
      </w:r>
      <w:r>
        <w:rPr>
          <w:rStyle w:val="FootnoteAnchor"/>
          <w:rtl w:val="true"/>
        </w:rPr>
        <w:footnoteReference w:id="1823"/>
      </w:r>
      <w:r>
        <w:rPr>
          <w:rFonts w:ascii="IRNazanin" w:hAnsi="IRNazanin" w:eastAsia="IRNazanin"/>
          <w:color w:val="111111"/>
          <w:sz w:val="28"/>
          <w:sz w:val="28"/>
          <w:szCs w:val="28"/>
          <w:rtl w:val="true"/>
          <w:lang w:bidi="fa-IR"/>
        </w:rPr>
        <w:t>شناخته شوند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کتابخانه ها مجبورند با بحران اقتصادی و کاهش مداوم بودجه نیز روبرو شوند</w:t>
      </w:r>
      <w:r>
        <w:rPr>
          <w:rFonts w:eastAsia="IRNazanin" w:cs="IRNazanin"/>
          <w:color w:val="111111"/>
          <w:sz w:val="28"/>
          <w:szCs w:val="28"/>
          <w:rtl w:val="true"/>
          <w:lang w:bidi="fa-IR"/>
        </w:rPr>
        <w:t xml:space="preserve">. </w:t>
      </w:r>
      <w:bookmarkStart w:id="1407" w:name="pg9653_82356"/>
    </w:p>
    <w:p>
      <w:pPr>
        <w:pStyle w:val="BookText"/>
        <w:rPr/>
      </w:pPr>
      <w:bookmarkEnd w:id="1407"/>
      <w:r>
        <w:rPr>
          <w:rFonts w:ascii="IRNazanin" w:hAnsi="IRNazanin" w:eastAsia="IRNazanin"/>
          <w:color w:val="111111"/>
          <w:sz w:val="28"/>
          <w:sz w:val="28"/>
          <w:szCs w:val="28"/>
          <w:rtl w:val="true"/>
          <w:lang w:bidi="fa-IR"/>
        </w:rPr>
        <w:t>این مشکل حتّی در کتابخانه های دولتی هم به چشم می خورد، به ویژه وقتی که همکاری نظام مند و سازمان یافته میان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 تخصصی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راهنمای کتابخانه های بخش های دولتی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بالت و بورگ،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24"/>
      </w:r>
      <w:r>
        <w:rPr>
          <w:rFonts w:ascii="IRNazanin" w:hAnsi="IRNazanin" w:eastAsia="IRNazanin"/>
          <w:color w:val="111111"/>
          <w:sz w:val="28"/>
          <w:sz w:val="28"/>
          <w:szCs w:val="28"/>
          <w:rtl w:val="true"/>
          <w:lang w:bidi="fa-IR"/>
        </w:rPr>
        <w:t xml:space="preserve">همکاری و شبکه سازی میان کتابخانه های دولتی از وظایف بسیار مهمّ این کتابخانه هاست تا بتوانند پاسخگوی نیازهای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نکته ذکر شده که کتابخانه های دولتی باید از عهده نیاز روزافزون اطلاعات و جستجو برآیند، حتی زمانی که از حمایت و درک ناکافی مدیریت سازمان های مادر خود برخوردارند برای مدیریت کردن این تضاد و پاسخگویی به انتظارات، آن ها مجبورند در جستجوی حمایت و کمک از سوی همتایان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،تخصصی نمونه هایی از فعالیت های منطقه ای بین منطقه ای و تخصصی درباره همکاری آمده است از قبیل نشست های معمول درباره موضوع های تخصصی، فهرستنویسی اشتراکی حمایت از همکارانی که با تعطیلی یا قطع بودجه روبرویند، بازدید از کتابخانه ها میزگردهای کاری برای موضوع های خاص یا برنامه ها و توافقات مشترک در راستای صرفه جویی در هزینه ها</w:t>
      </w:r>
      <w:r>
        <w:rPr>
          <w:rFonts w:eastAsia="IRNazanin" w:cs="IRNazanin"/>
          <w:color w:val="111111"/>
          <w:sz w:val="28"/>
          <w:szCs w:val="28"/>
          <w:rtl w:val="true"/>
          <w:lang w:bidi="fa-IR"/>
        </w:rPr>
        <w:t>.</w:t>
      </w:r>
    </w:p>
    <w:p>
      <w:pPr>
        <w:pStyle w:val="Heading4"/>
        <w:numPr>
          <w:ilvl w:val="3"/>
          <w:numId w:val="1"/>
        </w:numPr>
        <w:rPr/>
      </w:pPr>
      <w:bookmarkStart w:id="1408" w:name="__RefHeading___Toc7767286_2870459653"/>
      <w:bookmarkStart w:id="1409" w:name="_Toc518"/>
      <w:bookmarkEnd w:id="1408"/>
      <w:r>
        <w:rPr/>
        <w:t>1-1</w:t>
      </w:r>
      <w:r>
        <w:rPr>
          <w:rtl w:val="true"/>
        </w:rPr>
        <w:t xml:space="preserve">- </w:t>
      </w:r>
      <w:r>
        <w:rPr>
          <w:rtl w:val="true"/>
        </w:rPr>
        <w:t>اهداف</w:t>
      </w:r>
      <w:bookmarkEnd w:id="1409"/>
    </w:p>
    <w:p>
      <w:pPr>
        <w:pStyle w:val="BookText"/>
        <w:rPr/>
      </w:pPr>
      <w:r>
        <w:rPr>
          <w:rFonts w:ascii="IRNazanin" w:hAnsi="IRNazanin" w:eastAsia="IRNazanin"/>
          <w:color w:val="111111"/>
          <w:sz w:val="28"/>
          <w:sz w:val="28"/>
          <w:szCs w:val="28"/>
          <w:rtl w:val="true"/>
          <w:lang w:bidi="fa-IR"/>
        </w:rPr>
        <w:t xml:space="preserve">با توجه به این واقعیت نخستین هدف این پژوهش مستمر کمک به همکاری بین کتابخانه های دولتی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توجه به بحران اقتصادی که کتابخانه ها با آن روبرویند و به ویژه با توجه به کاهش بودجه شان کتابخانه های دولتی یونان مجبورند از پس این شرایط مشکل برآیند این امر به این معناست که کتابخانه ها مجبورند پاسخگوی نیازهای کاربرانشان باشند ولی با منابع مالی کمتر و گاه حتی با کارکنان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یونان </w:t>
      </w:r>
      <w:r>
        <w:rPr>
          <w:rStyle w:val="FootnoteAnchor"/>
          <w:rtl w:val="true"/>
        </w:rPr>
        <w:footnoteReference w:id="1825"/>
      </w:r>
      <w:r>
        <w:rPr>
          <w:rFonts w:ascii="IRNazanin" w:hAnsi="IRNazanin" w:eastAsia="IRNazanin"/>
          <w:color w:val="111111"/>
          <w:sz w:val="28"/>
          <w:sz w:val="28"/>
          <w:szCs w:val="28"/>
          <w:rtl w:val="true"/>
          <w:lang w:bidi="fa-IR"/>
        </w:rPr>
        <w:t xml:space="preserve">در وبگاه خود برای اطلاع رسانی بیشتر درباره وضعیت اقتصادی یونان، گزارش سالانه دولتی </w:t>
      </w:r>
      <w:r>
        <w:rPr>
          <w:rStyle w:val="FootnoteAnchor"/>
          <w:rtl w:val="true"/>
        </w:rPr>
        <w:footnoteReference w:id="1826"/>
      </w:r>
      <w:r>
        <w:rPr>
          <w:rFonts w:ascii="IRNazanin" w:hAnsi="IRNazanin" w:eastAsia="IRNazanin"/>
          <w:color w:val="111111"/>
          <w:sz w:val="28"/>
          <w:sz w:val="28"/>
          <w:szCs w:val="28"/>
          <w:rtl w:val="true"/>
          <w:lang w:bidi="fa-IR"/>
        </w:rPr>
        <w:t>را تهیه و ارائه می کند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به طور ویژه، بر بیان دو روش همکاری متمرکز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فهرستگان</w:t>
      </w:r>
      <w:r>
        <w:rPr>
          <w:rFonts w:eastAsia="IRNazanin" w:cs="IRNazanin"/>
          <w:color w:val="111111"/>
          <w:sz w:val="28"/>
          <w:szCs w:val="28"/>
          <w:rtl w:val="true"/>
          <w:lang w:bidi="fa-IR"/>
        </w:rPr>
        <w:t xml:space="preserve">) </w:t>
      </w:r>
      <w:r>
        <w:rPr>
          <w:rStyle w:val="FootnoteAnchor"/>
          <w:rtl w:val="true"/>
        </w:rPr>
        <w:footnoteReference w:id="1827"/>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مجموعه های اشتراکی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داده یا نشریات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توافقنامه ها به منظور صرفه جویی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کنسرسیوم</w:t>
      </w:r>
      <w:r>
        <w:rPr>
          <w:rFonts w:eastAsia="IRNazanin" w:cs="IRNazanin"/>
          <w:color w:val="111111"/>
          <w:sz w:val="28"/>
          <w:szCs w:val="28"/>
          <w:rtl w:val="true"/>
          <w:lang w:bidi="fa-IR"/>
        </w:rPr>
        <w:t xml:space="preserve">) </w:t>
      </w:r>
      <w:r>
        <w:rPr>
          <w:rStyle w:val="FootnoteAnchor"/>
          <w:rtl w:val="true"/>
        </w:rPr>
        <w:footnoteReference w:id="1828"/>
      </w:r>
      <w:r>
        <w:rPr>
          <w:rFonts w:ascii="IRNazanin" w:hAnsi="IRNazanin" w:eastAsia="IRNazanin"/>
          <w:color w:val="111111"/>
          <w:sz w:val="28"/>
          <w:sz w:val="28"/>
          <w:szCs w:val="28"/>
          <w:rtl w:val="true"/>
          <w:lang w:bidi="fa-IR"/>
        </w:rPr>
        <w:t xml:space="preserve">و نیز افزایش جذابیت آن ها برای عموم مردم </w:t>
      </w:r>
      <w:bookmarkStart w:id="1410" w:name="pg9653_82357"/>
    </w:p>
    <w:p>
      <w:pPr>
        <w:pStyle w:val="BookText"/>
        <w:rPr/>
      </w:pPr>
      <w:bookmarkEnd w:id="1410"/>
      <w:r>
        <w:rPr>
          <w:rFonts w:ascii="IRNazanin" w:hAnsi="IRNazanin" w:eastAsia="IRNazanin"/>
          <w:color w:val="111111"/>
          <w:sz w:val="28"/>
          <w:sz w:val="28"/>
          <w:szCs w:val="28"/>
          <w:rtl w:val="true"/>
          <w:lang w:bidi="fa-IR"/>
        </w:rPr>
        <w:t xml:space="preserve">گرایش اصلی این است که یک مدل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w:t>
      </w:r>
      <w:r>
        <w:rPr>
          <w:rFonts w:eastAsia="IRNazanin" w:cs="IRNazanin"/>
          <w:color w:val="111111"/>
          <w:sz w:val="28"/>
          <w:szCs w:val="28"/>
          <w:rtl w:val="true"/>
          <w:lang w:bidi="fa-IR"/>
        </w:rPr>
        <w:t xml:space="preserve">) </w:t>
      </w:r>
      <w:r>
        <w:rPr>
          <w:rStyle w:val="FootnoteAnchor"/>
          <w:rtl w:val="true"/>
        </w:rPr>
        <w:footnoteReference w:id="1829"/>
      </w:r>
      <w:r>
        <w:rPr>
          <w:rFonts w:ascii="IRNazanin" w:hAnsi="IRNazanin" w:eastAsia="IRNazanin"/>
          <w:color w:val="111111"/>
          <w:sz w:val="28"/>
          <w:sz w:val="28"/>
          <w:szCs w:val="28"/>
          <w:rtl w:val="true"/>
          <w:lang w:bidi="fa-IR"/>
        </w:rPr>
        <w:t>تهیّه شود که مسئول پیشنهاد نقاط کلیدی اصلی باشد که یک کتابخانه دولتی در یونان باید مورد توجه قرار دهد تا عضو فهرستگان یا یک مجموعه اشتراکی باشد</w:t>
      </w:r>
    </w:p>
    <w:p>
      <w:pPr>
        <w:pStyle w:val="Heading4"/>
        <w:numPr>
          <w:ilvl w:val="3"/>
          <w:numId w:val="1"/>
        </w:numPr>
        <w:rPr/>
      </w:pPr>
      <w:bookmarkStart w:id="1411" w:name="__RefHeading___Toc7767288_2870459653"/>
      <w:bookmarkStart w:id="1412" w:name="_Toc519"/>
      <w:bookmarkEnd w:id="1411"/>
      <w:r>
        <w:rPr/>
        <w:t>2-1</w:t>
      </w:r>
      <w:r>
        <w:rPr>
          <w:rtl w:val="true"/>
        </w:rPr>
        <w:t xml:space="preserve">- </w:t>
      </w:r>
      <w:r>
        <w:rPr>
          <w:rtl w:val="true"/>
        </w:rPr>
        <w:t>تعریف و وضعیت</w:t>
      </w:r>
      <w:bookmarkEnd w:id="1412"/>
    </w:p>
    <w:p>
      <w:pPr>
        <w:pStyle w:val="Heading5"/>
        <w:numPr>
          <w:ilvl w:val="4"/>
          <w:numId w:val="1"/>
        </w:numPr>
        <w:rPr/>
      </w:pPr>
      <w:bookmarkStart w:id="1413" w:name="__RefHeading___Toc7767290_2870459653"/>
      <w:bookmarkStart w:id="1414" w:name="_Toc520"/>
      <w:bookmarkEnd w:id="1413"/>
      <w:r>
        <w:rPr>
          <w:rtl w:val="true"/>
        </w:rPr>
        <w:t>فهرستگان</w:t>
      </w:r>
      <w:bookmarkEnd w:id="1414"/>
    </w:p>
    <w:p>
      <w:pPr>
        <w:pStyle w:val="BookText"/>
        <w:rPr/>
      </w:pPr>
      <w:r>
        <w:rPr>
          <w:rFonts w:ascii="IRNazanin" w:hAnsi="IRNazanin" w:eastAsia="IRNazanin"/>
          <w:color w:val="111111"/>
          <w:sz w:val="28"/>
          <w:sz w:val="28"/>
          <w:szCs w:val="28"/>
          <w:rtl w:val="true"/>
          <w:lang w:bidi="fa-IR"/>
        </w:rPr>
        <w:t>به بیان ساده فهرستگان عبارت است از مجموعه ای از پیشینه های فهرستی از دو یا چند کتابخانه که در وهله اول هدفش تسهیل امانت بین کتابخانه ای و سایر شکل های اشتراک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بنیادی، این حقیقت واضح است که کاربر کتابخانه، زمانی می تواند از منابع سایر کتابخانه ها بهره بگیرد که بداند این منابع چیستند مفهوم اصلی فهرستگان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اشتراک 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امروزه همان قدر مرتبط است که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پیشرفت در فهرستنویسی فناوری و استانداردسازی، داده های فهرستنویسی نسبت به آن چه که تاکنون داشته ایم، ابزار قوی تر و در دسترستری در اختیار ما قرار گرفته است وقتی که درباره فهرستگان سخن می گوییم باید روشن باشد که هدف اولیه چنین فهرست هایی، تهیه سیاهه هایی از مجموعه های کتابخانه هایی است که می توان آن ها را از راه های زیر در اختیار کاربری گذاشت که از محل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بین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صفحه های موسیقی ویدئو و سایر اشیاء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تحویل مدرک مقاله های مجلات و سایر متنهای کوتاه که می توان آن ها را برای کاربر دور از محل به صورت دورنگار ارسال کرد، و دستیابی به پایگاه های داده که متعلق به کتابخانه است یا کتابخانه حق استفاده از آن ها را دارد با نگاهی دیگر، آشکارا هیچ موردی در اقلام سیاهه ها نیست که کاربر از راه دور به آن دسترسی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مرجع، مواد نایاب نفیس که نمی توان آن ها را از کتابخانه بیرون برد و منابع الکترونیکی که استفاده از آن ها منوط به توافقنامه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نگاهی دیگر علم به این که چیزی وجود دارد در نفس خود با ارزش است حتی اگر کاربر کتابخانه امکان دستیابی مستقیم به آن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گورمن،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1830"/>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نظر سیمپوگلو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831"/>
      </w:r>
      <w:r>
        <w:rPr>
          <w:rFonts w:ascii="IRNazanin" w:hAnsi="IRNazanin" w:eastAsia="IRNazanin"/>
          <w:color w:val="111111"/>
          <w:sz w:val="28"/>
          <w:sz w:val="28"/>
          <w:szCs w:val="28"/>
          <w:rtl w:val="true"/>
          <w:lang w:bidi="fa-IR"/>
        </w:rPr>
        <w:t xml:space="preserve">برخی موارد که باید مورد توجه قرار گیرند، عبارت اند از وجود قواعد فهرستنویسی، نظام رده بندی، طرحواره فراداده، اُپک </w:t>
      </w:r>
      <w:r>
        <w:rPr>
          <w:rStyle w:val="FootnoteAnchor"/>
          <w:rtl w:val="true"/>
        </w:rPr>
        <w:footnoteReference w:id="1832"/>
      </w:r>
      <w:r>
        <w:rPr>
          <w:rFonts w:ascii="IRNazanin" w:hAnsi="IRNazanin" w:eastAsia="IRNazanin"/>
          <w:color w:val="111111"/>
          <w:sz w:val="28"/>
          <w:sz w:val="28"/>
          <w:szCs w:val="28"/>
          <w:rtl w:val="true"/>
          <w:lang w:bidi="fa-IR"/>
        </w:rPr>
        <w:t>مبتنی بر وب، توافقنامه درباره مجموعه ویژگی های فراداده و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سرویس دهنده برای جستجو و بازیابی اطلاعات از داده های رایانه قابل کنترل از راه دور</w:t>
      </w:r>
      <w:r>
        <w:rPr>
          <w:rFonts w:eastAsia="IRNazanin" w:cs="IRNazanin"/>
          <w:color w:val="111111"/>
          <w:sz w:val="28"/>
          <w:szCs w:val="28"/>
          <w:rtl w:val="true"/>
          <w:lang w:bidi="fa-IR"/>
        </w:rPr>
        <w:t xml:space="preserve">. </w:t>
      </w:r>
      <w:bookmarkStart w:id="1415" w:name="pg9653_82358"/>
    </w:p>
    <w:p>
      <w:pPr>
        <w:pStyle w:val="Heading5"/>
        <w:numPr>
          <w:ilvl w:val="4"/>
          <w:numId w:val="1"/>
        </w:numPr>
        <w:rPr/>
      </w:pPr>
      <w:bookmarkStart w:id="1416" w:name="__RefHeading___Toc7767292_2870459653"/>
      <w:bookmarkStart w:id="1417" w:name="_Toc521"/>
      <w:bookmarkEnd w:id="1415"/>
      <w:bookmarkEnd w:id="1416"/>
      <w:r>
        <w:rPr>
          <w:rtl w:val="true"/>
        </w:rPr>
        <w:t>توسعه مجموعه مشترک</w:t>
      </w:r>
      <w:bookmarkEnd w:id="1417"/>
    </w:p>
    <w:p>
      <w:pPr>
        <w:pStyle w:val="BookText"/>
        <w:rPr/>
      </w:pPr>
      <w:r>
        <w:rPr>
          <w:rFonts w:ascii="IRNazanin" w:hAnsi="IRNazanin" w:eastAsia="IRNazanin"/>
          <w:color w:val="111111"/>
          <w:sz w:val="28"/>
          <w:sz w:val="28"/>
          <w:szCs w:val="28"/>
          <w:rtl w:val="true"/>
          <w:lang w:bidi="fa-IR"/>
        </w:rPr>
        <w:t xml:space="preserve">بر اساس راهنمای توسعه مجموعه همکارانه و مشترک میان کتابخانه ها </w:t>
      </w:r>
      <w:r>
        <w:rPr>
          <w:rStyle w:val="FootnoteAnchor"/>
          <w:rtl w:val="true"/>
        </w:rPr>
        <w:footnoteReference w:id="1833"/>
      </w:r>
      <w:r>
        <w:rPr>
          <w:rFonts w:ascii="IRNazanin" w:hAnsi="IRNazanin" w:eastAsia="IRNazanin"/>
          <w:color w:val="111111"/>
          <w:sz w:val="28"/>
          <w:sz w:val="28"/>
          <w:szCs w:val="28"/>
          <w:rtl w:val="true"/>
          <w:lang w:bidi="fa-IR"/>
        </w:rPr>
        <w:t xml:space="preserve">تهیّه شده توسط ای ال ای، </w:t>
      </w:r>
      <w:r>
        <w:rPr>
          <w:rStyle w:val="FootnoteAnchor"/>
          <w:rtl w:val="true"/>
        </w:rPr>
        <w:footnoteReference w:id="1834"/>
      </w:r>
      <w:r>
        <w:rPr>
          <w:rFonts w:ascii="IRNazanin" w:hAnsi="IRNazanin" w:eastAsia="IRNazanin"/>
          <w:color w:val="111111"/>
          <w:sz w:val="28"/>
          <w:sz w:val="28"/>
          <w:szCs w:val="28"/>
          <w:rtl w:val="true"/>
          <w:lang w:bidi="fa-IR"/>
        </w:rPr>
        <w:t xml:space="preserve">توسعه مجموعه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سی دی</w:t>
      </w:r>
      <w:r>
        <w:rPr>
          <w:rFonts w:eastAsia="IRNazanin" w:cs="IRNazanin"/>
          <w:color w:val="111111"/>
          <w:sz w:val="28"/>
          <w:szCs w:val="28"/>
          <w:rtl w:val="true"/>
          <w:lang w:bidi="fa-IR"/>
        </w:rPr>
        <w:t xml:space="preserve">) </w:t>
      </w:r>
      <w:r>
        <w:rPr>
          <w:rStyle w:val="FootnoteAnchor"/>
          <w:rtl w:val="true"/>
        </w:rPr>
        <w:footnoteReference w:id="1835"/>
      </w:r>
      <w:r>
        <w:rPr>
          <w:rFonts w:ascii="IRNazanin" w:hAnsi="IRNazanin" w:eastAsia="IRNazanin"/>
          <w:color w:val="111111"/>
          <w:sz w:val="28"/>
          <w:sz w:val="28"/>
          <w:szCs w:val="28"/>
          <w:rtl w:val="true"/>
          <w:lang w:bidi="fa-IR"/>
        </w:rPr>
        <w:t>این 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 همکاری یا شرکت در توسعه و مدیریت مجموعه های دو کتابخانه یا بیشتر که برای این هدف با یکدیگر توافق می کنند</w:t>
      </w:r>
      <w:r>
        <w:rPr>
          <w:rFonts w:eastAsia="IRNazanin" w:cs="IRNazanin"/>
          <w:color w:val="111111"/>
          <w:sz w:val="28"/>
          <w:szCs w:val="28"/>
          <w:rtl w:val="true"/>
          <w:lang w:bidi="fa-IR"/>
        </w:rPr>
        <w:t>".</w:t>
      </w:r>
    </w:p>
    <w:p>
      <w:pPr>
        <w:pStyle w:val="Heading4"/>
        <w:numPr>
          <w:ilvl w:val="3"/>
          <w:numId w:val="1"/>
        </w:numPr>
        <w:rPr/>
      </w:pPr>
      <w:bookmarkStart w:id="1418" w:name="__RefHeading___Toc7767294_2870459653"/>
      <w:bookmarkStart w:id="1419" w:name="_Toc522"/>
      <w:bookmarkEnd w:id="1418"/>
      <w:r>
        <w:rPr/>
        <w:t>3-1</w:t>
      </w:r>
      <w:r>
        <w:rPr>
          <w:rtl w:val="true"/>
        </w:rPr>
        <w:t xml:space="preserve">- </w:t>
      </w:r>
      <w:r>
        <w:rPr>
          <w:rtl w:val="true"/>
        </w:rPr>
        <w:t>دامنه و واقعیّات یونانی</w:t>
      </w:r>
      <w:bookmarkEnd w:id="1419"/>
    </w:p>
    <w:p>
      <w:pPr>
        <w:pStyle w:val="BookText"/>
        <w:rPr/>
      </w:pPr>
      <w:r>
        <w:rPr>
          <w:rFonts w:ascii="IRNazanin" w:hAnsi="IRNazanin" w:eastAsia="IRNazanin"/>
          <w:color w:val="111111"/>
          <w:sz w:val="28"/>
          <w:sz w:val="28"/>
          <w:szCs w:val="28"/>
          <w:rtl w:val="true"/>
          <w:lang w:bidi="fa-IR"/>
        </w:rPr>
        <w:t>برای این پژوهش، کتابخانه های دولتی یونان را جستجو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بر مطالعه روی کتابخانه های وزارتخانه ها و دفاتر کل ،آن ها به طور عام و خاص تمرکز کردیم در زمانی که این پژوهش انجام شده تعداد وزارتخانه 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دفاتر کلّ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w:t>
      </w:r>
      <w:r>
        <w:rPr>
          <w:rFonts w:eastAsia="IRNazanin" w:cs="IRNazanin"/>
          <w:color w:val="111111"/>
          <w:sz w:val="28"/>
          <w:szCs w:val="28"/>
          <w:rtl w:val="true"/>
          <w:lang w:bidi="fa-IR"/>
        </w:rPr>
        <w:t xml:space="preserve">. </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 xml:space="preserve">یک منبع دیگر اطلاعاتی در این باره بخش مستند آماری هلنی بود این منبع داده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مشتمل بر داده های معتبر را تا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 این داده ها متعلق بودند به کتابخانه های وزارت کشور، وزارت امور خارجه وزارت توسعه روستایی و خواربار وزارت دادگستری دفتر کل 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کلّ رسانه های جمعی، وزارت توسعه، رقابت و کشتیرانی، وزارت سلامت و وحدت اجتماعی، وزارت کار و امنیت اجتماعی، و دفتر کلّ تأسیسات عمرانی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زیر ساخت، حمل و نقل و شبکه ها</w:t>
      </w:r>
      <w:r>
        <w:rPr>
          <w:rFonts w:eastAsia="IRNazanin" w:cs="IRNazanin"/>
          <w:color w:val="111111"/>
          <w:sz w:val="28"/>
          <w:szCs w:val="28"/>
          <w:rtl w:val="true"/>
          <w:lang w:bidi="fa-IR"/>
        </w:rPr>
        <w:t xml:space="preserve">). </w:t>
      </w:r>
      <w:r>
        <w:rPr>
          <w:rStyle w:val="FootnoteAnchor"/>
          <w:rtl w:val="true"/>
        </w:rPr>
        <w:footnoteReference w:id="1837"/>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های آماری تهیه شده توسط بخش مستند آماری هلنی به موارد زیر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کارکنان و میزان تحصیلات آن 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کتاب های موجود، پیایندها، پایگاه های داده و سی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وی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رده بندی،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رایانه های شخصی موجود، دستگاه های تکثیر، ابزار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کتابخانه، امانت، امانت بین کتابخانه ای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کتابخانه و تالارهای مطالعه داده ها در شش جدول زیر به طور تحلیلی نشان داده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کارکنان و میزان تحصیلات آن ها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جدول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اقلام هر مجموعه</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جدول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رده بندی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جدول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رایانه 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جدول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اعضای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بین کتابخانه ای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جدول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پس از جستجوی بسیار در اینترنت در مورد کتابخانه های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هایی که توسط بخش مستند آماری هلنی و چه توسط وبگاه دولت تهیه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اطلاعات رسیدیم که تعداد کتابخانه های وزارتخانه ها و دفاتر کل، کمتر از تعداد واقعی وزارتخانه ها و دفاتر کل موجود است حتی کمتر از تعداد کتابخانه هایی که مجموعه های آن ها سازماندهی شده و آیین نامه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نامبرده تنها سه کتابخانه واقعا صفحات وبی داشتند که ما توانستیم از طریق آن ها اطلاعات بیشتری درباره این کتابخانه ها به دست آوریم اکثر کتابخانه های دولتی در چارت سازمان مادر به عنوان خدمات یا یک بخش دیگر آمده اند و نه چیزی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تصمیم گرفتیم کتابخانه هایی را که در وضعیت بهتری هستند و پیش از آن با رفتار برونگرایانه نسبت به جامعه به منظور انتقال دانش به دیگران فعالیت کرده اند نسبت به کتابخانه های کمتر سازمان یافته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معیارهای پایه برای انتخاب کتابخانه ها عبارت بودند از داشتن وبگاه رسمی، سازماندهی مجموعه از طریق نظام یکپارچه کتابخانه ای و داشتن آیین نامه رسمی ثبت شده در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زیر از این ضوابط برخوردار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جنسیت و برابری </w:t>
      </w:r>
      <w:r>
        <w:rPr>
          <w:rStyle w:val="FootnoteAnchor"/>
          <w:rtl w:val="true"/>
        </w:rPr>
        <w:footnoteReference w:id="1839"/>
      </w:r>
      <w:r>
        <w:rPr>
          <w:rFonts w:ascii="IRNazanin" w:hAnsi="IRNazanin" w:eastAsia="IRNazanin"/>
          <w:color w:val="111111"/>
          <w:sz w:val="28"/>
          <w:sz w:val="28"/>
          <w:szCs w:val="28"/>
          <w:rtl w:val="true"/>
          <w:lang w:bidi="fa-IR"/>
        </w:rPr>
        <w:t>دفتر مرکزی برابری جنسیت وزارت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دفتر کلّ اطلاعات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کلّ رسانه های جمعی </w:t>
      </w:r>
      <w:r>
        <w:rPr>
          <w:rStyle w:val="FootnoteAnchor"/>
          <w:rtl w:val="true"/>
        </w:rPr>
        <w:footnoteReference w:id="1840"/>
      </w:r>
      <w:bookmarkStart w:id="1420" w:name="pg9653_82361"/>
    </w:p>
    <w:p>
      <w:pPr>
        <w:pStyle w:val="BookText"/>
        <w:rPr/>
      </w:pPr>
      <w:bookmarkEnd w:id="14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وزارت توسعه روستایی و خواربار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 این که ملاحظه کردیم بخش کتابخانه های دولتی یونان موردی است که به اندازه کافی در باره آن پژوهش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مستند آماری هلنی وابسته به وزارت اقتصاد داده های آماری را هر دو سال از تمام کتابخانه ها گرد می آورد ولی این داده ها به اندازه کافی مورد توجه و به سود این جامعه خاص به کار گرفته نشده اند</w:t>
      </w:r>
    </w:p>
    <w:p>
      <w:pPr>
        <w:pStyle w:val="Heading3"/>
        <w:numPr>
          <w:ilvl w:val="2"/>
          <w:numId w:val="1"/>
        </w:numPr>
        <w:rPr/>
      </w:pPr>
      <w:bookmarkStart w:id="1421" w:name="__RefHeading___Toc7767296_2870459653"/>
      <w:bookmarkStart w:id="1422" w:name="_Toc523"/>
      <w:bookmarkEnd w:id="1421"/>
      <w:r>
        <w:rPr/>
        <w:t>2</w:t>
      </w:r>
      <w:r>
        <w:rPr>
          <w:rtl w:val="true"/>
        </w:rPr>
        <w:t xml:space="preserve">. </w:t>
      </w:r>
      <w:r>
        <w:rPr>
          <w:rtl w:val="true"/>
        </w:rPr>
        <w:t>روش شناسی</w:t>
      </w:r>
      <w:bookmarkEnd w:id="1422"/>
    </w:p>
    <w:p>
      <w:pPr>
        <w:pStyle w:val="BookText"/>
        <w:rPr/>
      </w:pPr>
      <w:r>
        <w:rPr>
          <w:rFonts w:ascii="IRNazanin" w:hAnsi="IRNazanin" w:eastAsia="IRNazanin"/>
          <w:color w:val="111111"/>
          <w:sz w:val="28"/>
          <w:sz w:val="28"/>
          <w:szCs w:val="28"/>
          <w:rtl w:val="true"/>
          <w:lang w:bidi="fa-IR"/>
        </w:rPr>
        <w:t xml:space="preserve">براساس شرایط توسعه که پیش از این ذکر ،شد چه به صورت فهرستنویسی اشتراکی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مجموعه اشتراکی بررسی کتابخانه های دولتی یونان و جمع آوری داده های تفصیلی درباره آن ها اهمیت بسیار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گروه هدف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موضوعی، شکل، زبان، پایگاه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اینترنتی، راهکار افزایش مجموعه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تسهیلات تالارهای مطالعه، دستگاه های 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عکسبرداری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آن ها با سایر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مشترک مواد تعاملی، شکل های ساختاریافته یا ساختار نیافته همکاری، سازماندهی پیشنهادی برای همکاری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سازی فهرستنویسی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فهرستنویسی، نظام رده بندی، چگونگی ترتیب رف آرایی مجموعه در قفسه ها، طرحواره فراداده، اپک بر پایه وب، مجموعه ویژگی های فراداده، توافقنامه سرویس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دهنده برای جستجو و بازیابی اطلاعات از پایگاه های دیگر</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جمع آوری داده ها راجع به موارد بیان شده از سه منبع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گزارش ها، مصاحبه با کارکنان وبگاه رسمی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زمانی که گردآوری داده های مذکور تمام شد، با رؤسای دفتر کلّ اطلاعات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کل رسانه های جمعی مصاحبه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این بود که موارد مطرح شده از سوی کارکنان را به اطلاع آن ها برسانیم</w:t>
      </w:r>
      <w:r>
        <w:rPr>
          <w:rFonts w:eastAsia="IRNazanin" w:cs="IRNazanin"/>
          <w:color w:val="111111"/>
          <w:sz w:val="28"/>
          <w:szCs w:val="28"/>
          <w:rtl w:val="true"/>
          <w:lang w:bidi="fa-IR"/>
        </w:rPr>
        <w:t xml:space="preserve">. </w:t>
      </w:r>
      <w:bookmarkStart w:id="1423" w:name="pg9653_82362"/>
    </w:p>
    <w:p>
      <w:pPr>
        <w:pStyle w:val="Heading3"/>
        <w:numPr>
          <w:ilvl w:val="2"/>
          <w:numId w:val="1"/>
        </w:numPr>
        <w:rPr/>
      </w:pPr>
      <w:bookmarkStart w:id="1424" w:name="__RefHeading___Toc7767298_2870459653"/>
      <w:bookmarkStart w:id="1425" w:name="_Toc524"/>
      <w:bookmarkEnd w:id="1423"/>
      <w:bookmarkEnd w:id="1424"/>
      <w:r>
        <w:rPr/>
        <w:t>3</w:t>
      </w:r>
      <w:r>
        <w:rPr>
          <w:rtl w:val="true"/>
        </w:rPr>
        <w:t xml:space="preserve">. </w:t>
      </w:r>
      <w:r>
        <w:rPr>
          <w:rtl w:val="true"/>
        </w:rPr>
        <w:t>نتایج</w:t>
      </w:r>
      <w:bookmarkEnd w:id="1425"/>
    </w:p>
    <w:p>
      <w:pPr>
        <w:pStyle w:val="Heading4"/>
        <w:numPr>
          <w:ilvl w:val="3"/>
          <w:numId w:val="1"/>
        </w:numPr>
        <w:rPr/>
      </w:pPr>
      <w:bookmarkStart w:id="1426" w:name="__RefHeading___Toc7767300_2870459653"/>
      <w:bookmarkStart w:id="1427" w:name="_Toc525"/>
      <w:bookmarkEnd w:id="1426"/>
      <w:r>
        <w:rPr/>
        <w:t>1-3</w:t>
      </w:r>
      <w:r>
        <w:rPr>
          <w:rtl w:val="true"/>
        </w:rPr>
        <w:t xml:space="preserve">- </w:t>
      </w:r>
      <w:r>
        <w:rPr>
          <w:rtl w:val="true"/>
        </w:rPr>
        <w:t>مشخصات</w:t>
      </w:r>
      <w:bookmarkEnd w:id="1427"/>
    </w:p>
    <w:p>
      <w:pPr>
        <w:pStyle w:val="BookText"/>
        <w:rPr/>
      </w:pPr>
      <w:r>
        <w:rPr>
          <w:rFonts w:ascii="IRNazanin" w:hAnsi="IRNazanin" w:eastAsia="IRNazanin"/>
          <w:color w:val="111111"/>
          <w:sz w:val="28"/>
          <w:sz w:val="28"/>
          <w:szCs w:val="28"/>
          <w:rtl w:val="true"/>
          <w:lang w:bidi="fa-IR"/>
        </w:rPr>
        <w:t xml:space="preserve">اهداف کتابخانه های دولتی خاص، حمایت از رسالت سازمان ما در آن هاست اگرچه این امر، تداعی کننده این مطلب است که تلاش اولیه آن ها پاسخگویی رضایت بخش به نیازهای اطلاعاتی کارکنان خودشان است، ولی کارکنان هر سه کتابخانه بیشتر مشتاقند اطلاعات را در اختیار هر مراجعه کننده ای به کتابخانه از جمله دانشجویان پژوهشگران یا کارکنان سایر وزارتخانه ها یا سازمان ها و البته عامه مردم نیز قرار دهند کتابخانه به کارکنان خود و گروه های خاص کاربران بیرونی، تا زمانی که کارت عضویت </w:t>
      </w:r>
      <w:r>
        <w:rPr>
          <w:rStyle w:val="FootnoteAnchor"/>
          <w:rtl w:val="true"/>
        </w:rPr>
        <w:footnoteReference w:id="1841"/>
      </w:r>
      <w:r>
        <w:rPr>
          <w:rFonts w:ascii="IRNazanin" w:hAnsi="IRNazanin" w:eastAsia="IRNazanin"/>
          <w:color w:val="111111"/>
          <w:sz w:val="28"/>
          <w:sz w:val="28"/>
          <w:szCs w:val="28"/>
          <w:rtl w:val="true"/>
          <w:lang w:bidi="fa-IR"/>
        </w:rPr>
        <w:t>آن ها معتبر است، کتاب امانت می دهد تهیه اطلاعات بیشتر بر اساس آیین نامه داخلی هر کتابخانه انجام می شود</w:t>
      </w:r>
      <w:r>
        <w:rPr>
          <w:rFonts w:eastAsia="IRNazanin" w:cs="IRNazanin"/>
          <w:color w:val="111111"/>
          <w:sz w:val="28"/>
          <w:szCs w:val="28"/>
          <w:rtl w:val="true"/>
          <w:lang w:bidi="fa-IR"/>
        </w:rPr>
        <w:t>.</w:t>
      </w:r>
    </w:p>
    <w:p>
      <w:pPr>
        <w:pStyle w:val="Heading4"/>
        <w:numPr>
          <w:ilvl w:val="3"/>
          <w:numId w:val="1"/>
        </w:numPr>
        <w:rPr/>
      </w:pPr>
      <w:bookmarkStart w:id="1428" w:name="__RefHeading___Toc7767302_2870459653"/>
      <w:bookmarkStart w:id="1429" w:name="_Toc526"/>
      <w:bookmarkEnd w:id="1428"/>
      <w:r>
        <w:rPr/>
        <w:t>2-3</w:t>
      </w:r>
      <w:r>
        <w:rPr>
          <w:rtl w:val="true"/>
        </w:rPr>
        <w:t xml:space="preserve">- </w:t>
      </w:r>
      <w:r>
        <w:rPr>
          <w:rtl w:val="true"/>
        </w:rPr>
        <w:t>مجموعه حوزه های موضوعی</w:t>
      </w:r>
      <w:bookmarkEnd w:id="1429"/>
    </w:p>
    <w:p>
      <w:pPr>
        <w:pStyle w:val="Heading5"/>
        <w:numPr>
          <w:ilvl w:val="4"/>
          <w:numId w:val="1"/>
        </w:numPr>
        <w:rPr/>
      </w:pPr>
      <w:bookmarkStart w:id="1430" w:name="__RefHeading___Toc7767304_2870459653"/>
      <w:bookmarkStart w:id="1431" w:name="_Toc527"/>
      <w:bookmarkEnd w:id="1430"/>
      <w:r>
        <w:rPr>
          <w:rtl w:val="true"/>
        </w:rPr>
        <w:t>اشاره</w:t>
      </w:r>
      <w:bookmarkEnd w:id="1431"/>
    </w:p>
    <w:p>
      <w:pPr>
        <w:pStyle w:val="BookText"/>
        <w:rPr/>
      </w:pPr>
      <w:r>
        <w:rPr>
          <w:rFonts w:ascii="IRNazanin" w:hAnsi="IRNazanin" w:eastAsia="IRNazanin"/>
          <w:color w:val="111111"/>
          <w:sz w:val="28"/>
          <w:sz w:val="28"/>
          <w:szCs w:val="28"/>
          <w:rtl w:val="true"/>
          <w:lang w:bidi="fa-IR"/>
        </w:rPr>
        <w:t>با توجه به حوزه های موضوعی تحت پوشش، کتابخانه جنسیت و برابری، مدارکی را گرد می آورد که اساسا بر مسائل مربوط به برابری جنسیت و تاریخ جنبش زنان متمرکز است این ،کتابخانه تنها کتابخانه در یونان است که مجموعه سازماندهی شده دارد و مسئول جمع آوری مطالب مربوط به گذشته و حال و در اختیار گذاشتن آن به هر کسی است که به بررسی وضعیت زنان در یونان و سراسر دنیا میپردازد اهداف ،کارکنان ذخیره موادی است که آغاز و رشد چالش های زنان را برای برابری در یونان نشان می دهد و نیز ارائه آن ها در سطح گسترده عمومی است به طور تحلیلی مواد مربوط در</w:t>
      </w:r>
    </w:p>
    <w:p>
      <w:pPr>
        <w:pStyle w:val="BookText"/>
        <w:rPr/>
      </w:pPr>
      <w:r>
        <w:rPr>
          <w:rFonts w:ascii="IRNazanin" w:hAnsi="IRNazanin" w:eastAsia="IRNazanin"/>
          <w:color w:val="111111"/>
          <w:sz w:val="28"/>
          <w:sz w:val="28"/>
          <w:szCs w:val="28"/>
          <w:rtl w:val="true"/>
          <w:lang w:bidi="fa-IR"/>
        </w:rPr>
        <w:t>واحدهای موضوعی زیر سازماندهی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اطلاعات عمومی مطالعات زنان، اسطوره شناسی، دین، انسان شناسی، اجتماعی، تاریخ، زنان، زندگینامه ها، فلسفه، جنبش زنان، نظریه های فمینیستی، سیاست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،قانونی موقعیت زنان در یونان و سایر، جاها مراقبت های اجتماعی و بیمه آمارنگاری محیط زیست، رسانه های جمعی، زبان، ورزش، روانشناسی، بهداشت روانی جسمی و بازتوانی مسائل جنسی، خانواده و ازدواج، ادبیات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دفتر کلّ اطلاعات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کل رسانه های جمعی موضوع های زیر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جمعی، مدیریت عمومی اتحادیه اروپا روابط بین الملل، علوم سیاسی و اجتماعی، حقوق، ادبیات، تاریخ، آموزش، فرهنگ، دین و فرهنگ عامه</w:t>
      </w:r>
      <w:r>
        <w:rPr>
          <w:rFonts w:eastAsia="IRNazanin" w:cs="IRNazanin"/>
          <w:color w:val="111111"/>
          <w:sz w:val="28"/>
          <w:szCs w:val="28"/>
          <w:rtl w:val="true"/>
          <w:lang w:bidi="fa-IR"/>
        </w:rPr>
        <w:t xml:space="preserve">. </w:t>
      </w:r>
      <w:bookmarkStart w:id="1432" w:name="pg9653_82363"/>
    </w:p>
    <w:p>
      <w:pPr>
        <w:pStyle w:val="BookText"/>
        <w:rPr/>
      </w:pPr>
      <w:bookmarkEnd w:id="1432"/>
      <w:r>
        <w:rPr>
          <w:rFonts w:ascii="IRNazanin" w:hAnsi="IRNazanin" w:eastAsia="IRNazanin"/>
          <w:color w:val="111111"/>
          <w:sz w:val="28"/>
          <w:sz w:val="28"/>
          <w:szCs w:val="28"/>
          <w:rtl w:val="true"/>
          <w:lang w:bidi="fa-IR"/>
        </w:rPr>
        <w:t>آخرین مورد، کتابخانه وزارت توسعه روستایی و خواربار به شکل تخصصی، غنی ترین مجموعه کشاورزی را در یونان دارد در حالی که اطلاعات سایر حوزه های موضوعی از قبیل علوم اجتماعی را نیز جمع آوری می کند</w:t>
      </w:r>
      <w:r>
        <w:rPr>
          <w:rFonts w:eastAsia="IRNazanin" w:cs="IRNazanin"/>
          <w:color w:val="111111"/>
          <w:sz w:val="28"/>
          <w:szCs w:val="28"/>
          <w:rtl w:val="true"/>
          <w:lang w:bidi="fa-IR"/>
        </w:rPr>
        <w:t>.</w:t>
      </w:r>
    </w:p>
    <w:p>
      <w:pPr>
        <w:pStyle w:val="Heading5"/>
        <w:numPr>
          <w:ilvl w:val="4"/>
          <w:numId w:val="1"/>
        </w:numPr>
        <w:rPr/>
      </w:pPr>
      <w:bookmarkStart w:id="1433" w:name="__RefHeading___Toc7767306_2870459653"/>
      <w:bookmarkStart w:id="1434" w:name="_Toc528"/>
      <w:bookmarkEnd w:id="1433"/>
      <w:r>
        <w:rPr>
          <w:rtl w:val="true"/>
        </w:rPr>
        <w:t>قالب مواد</w:t>
      </w:r>
      <w:bookmarkEnd w:id="1434"/>
    </w:p>
    <w:p>
      <w:pPr>
        <w:pStyle w:val="BookText"/>
        <w:rPr/>
      </w:pPr>
      <w:r>
        <w:rPr>
          <w:rFonts w:ascii="IRNazanin" w:hAnsi="IRNazanin" w:eastAsia="IRNazanin"/>
          <w:color w:val="111111"/>
          <w:sz w:val="28"/>
          <w:sz w:val="28"/>
          <w:szCs w:val="28"/>
          <w:rtl w:val="true"/>
          <w:lang w:bidi="fa-IR"/>
        </w:rPr>
        <w:t>بخش اصلی مجموعه این کتابخانه ها مواد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زیادی سی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وی دی و نوار کاست نیز دارند از جنبه ،تحلیلی کتابخانه جنسیت و برابری مجموعه خود را به شکل دو زیر مجموعه سازماندهی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اصلی و مجموعه مواد آرشیوی و کمیاب مجموعه اصلی شامل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نشریه است ضمن این که تعدادی اسناد برگ های اعلامیه فرهنگ لغت و دایره المعارف، پوستر، مجموعه های عکس و قوانین را نیز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مواد آرشیوی، از قبل به صورت رقومی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آرشیوی بیش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دفتر کل اطلاعات و ارتباطات دفتر کل رسانه های جمعی، بیش از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بیش از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روزنامه دارد دوره زمانی روزنامه ها از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حاضر است که مشتمل است بر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روزنامه های آتنین پرس </w:t>
      </w:r>
      <w:r>
        <w:rPr>
          <w:rStyle w:val="FootnoteAnchor"/>
          <w:rtl w:val="true"/>
        </w:rPr>
        <w:footnoteReference w:id="1842"/>
      </w:r>
      <w:r>
        <w:rPr>
          <w:rFonts w:ascii="IRNazanin" w:hAnsi="IRNazanin" w:eastAsia="IRNazanin"/>
          <w:color w:val="111111"/>
          <w:sz w:val="28"/>
          <w:sz w:val="28"/>
          <w:szCs w:val="28"/>
          <w:rtl w:val="true"/>
          <w:lang w:bidi="fa-IR"/>
        </w:rPr>
        <w:t xml:space="preserve">خبرگزاری منطقه ای و خبرگزاری یونان </w:t>
      </w:r>
      <w:r>
        <w:rPr>
          <w:rStyle w:val="FootnoteAnchor"/>
          <w:rtl w:val="true"/>
        </w:rPr>
        <w:footnoteReference w:id="1843"/>
      </w:r>
      <w:r>
        <w:rPr>
          <w:rFonts w:ascii="IRNazanin" w:hAnsi="IRNazanin" w:eastAsia="IRNazanin"/>
          <w:color w:val="111111"/>
          <w:sz w:val="28"/>
          <w:sz w:val="28"/>
          <w:szCs w:val="28"/>
          <w:rtl w:val="true"/>
          <w:lang w:bidi="fa-IR"/>
        </w:rPr>
        <w:t xml:space="preserve">که در خارج از یونان چاپ شده اند خبرگزاری خارجی </w:t>
      </w:r>
      <w:r>
        <w:rPr>
          <w:rStyle w:val="FootnoteAnchor"/>
          <w:rtl w:val="true"/>
        </w:rPr>
        <w:footnoteReference w:id="1844"/>
      </w:r>
      <w:r>
        <w:rPr>
          <w:rFonts w:ascii="IRNazanin" w:hAnsi="IRNazanin" w:eastAsia="IRNazanin"/>
          <w:color w:val="111111"/>
          <w:sz w:val="28"/>
          <w:sz w:val="28"/>
          <w:szCs w:val="28"/>
          <w:rtl w:val="true"/>
          <w:lang w:bidi="fa-IR"/>
        </w:rPr>
        <w:t xml:space="preserve">و نشریه رسمی دولتی، </w:t>
      </w:r>
      <w:r>
        <w:rPr>
          <w:rFonts w:eastAsia="IRNazanin" w:cs="IRNazanin"/>
          <w:color w:val="111111"/>
          <w:sz w:val="28"/>
          <w:szCs w:val="28"/>
          <w:rtl w:val="true"/>
          <w:lang w:bidi="fa-IR"/>
        </w:rPr>
        <w:t>(</w:t>
      </w:r>
      <w:r>
        <w:rPr>
          <w:rFonts w:eastAsia="IRNazanin" w:cs="IRNazanin"/>
          <w:color w:val="111111"/>
          <w:sz w:val="28"/>
          <w:szCs w:val="28"/>
          <w:lang w:bidi="fa-IR"/>
        </w:rPr>
        <w:t>1/4084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Style w:val="FootnoteAnchor"/>
          <w:rtl w:val="true"/>
        </w:rPr>
        <w:footnoteReference w:id="1845"/>
      </w:r>
      <w:r>
        <w:rPr>
          <w:rFonts w:ascii="IRNazanin" w:hAnsi="IRNazanin" w:eastAsia="IRNazanin"/>
          <w:color w:val="111111"/>
          <w:sz w:val="28"/>
          <w:sz w:val="28"/>
          <w:szCs w:val="28"/>
          <w:rtl w:val="true"/>
          <w:lang w:bidi="fa-IR"/>
        </w:rPr>
        <w:t xml:space="preserve">مربوط به سال های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روزنامه و ،کتاب این کتابخانه نقشه پیایند و کتاب های کمیاب نیز دارد که تاریخ آن ها به سال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به تازگی یک مجموعه مهم از مواد تصویری مربوط به تاریخ یونان که متعلق به بخش دیگر سازمان مادر است توسط این کتابخانه مدیریت می شود اما در این مورد بحث است که باید یکپارچگی مجموعه های موجود حفظ شود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وزارت توسعه روستایی و خواربار بیش از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و پیایند از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را دارا است مایه شگفتی است که این کتابخانه تخصصی تمام لایحه های قانونی یونان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چاپی و از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به شکل الکترونیکی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نقشه و مجموعه های عکس نیز دارند</w:t>
      </w:r>
      <w:r>
        <w:rPr>
          <w:rFonts w:eastAsia="IRNazanin" w:cs="IRNazanin"/>
          <w:color w:val="111111"/>
          <w:sz w:val="28"/>
          <w:szCs w:val="28"/>
          <w:rtl w:val="true"/>
          <w:lang w:bidi="fa-IR"/>
        </w:rPr>
        <w:t xml:space="preserve">. </w:t>
      </w:r>
      <w:bookmarkStart w:id="1435" w:name="pg9653_82364"/>
    </w:p>
    <w:p>
      <w:pPr>
        <w:pStyle w:val="Heading5"/>
        <w:numPr>
          <w:ilvl w:val="4"/>
          <w:numId w:val="1"/>
        </w:numPr>
        <w:rPr/>
      </w:pPr>
      <w:bookmarkStart w:id="1436" w:name="__RefHeading___Toc7767308_2870459653"/>
      <w:bookmarkStart w:id="1437" w:name="_Toc529"/>
      <w:bookmarkEnd w:id="1435"/>
      <w:bookmarkEnd w:id="1436"/>
      <w:r>
        <w:rPr>
          <w:rtl w:val="true"/>
        </w:rPr>
        <w:t>زبان</w:t>
      </w:r>
      <w:bookmarkEnd w:id="1437"/>
    </w:p>
    <w:p>
      <w:pPr>
        <w:pStyle w:val="BookText"/>
        <w:rPr/>
      </w:pPr>
      <w:r>
        <w:rPr>
          <w:rFonts w:ascii="IRNazanin" w:hAnsi="IRNazanin" w:eastAsia="IRNazanin"/>
          <w:color w:val="111111"/>
          <w:sz w:val="28"/>
          <w:sz w:val="28"/>
          <w:szCs w:val="28"/>
          <w:rtl w:val="true"/>
          <w:lang w:bidi="fa-IR"/>
        </w:rPr>
        <w:t>با توجه به زبان های تحت پوشش تمام کتابخانه ها مدارک را به زبان یونانی و سایر زبان 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فرانسه، ایتالیایی، آلمانی، اسپانیائی و روسی تهیه می کنند</w:t>
      </w:r>
      <w:r>
        <w:rPr>
          <w:rFonts w:eastAsia="IRNazanin" w:cs="IRNazanin"/>
          <w:color w:val="111111"/>
          <w:sz w:val="28"/>
          <w:szCs w:val="28"/>
          <w:rtl w:val="true"/>
          <w:lang w:bidi="fa-IR"/>
        </w:rPr>
        <w:t>.</w:t>
      </w:r>
    </w:p>
    <w:p>
      <w:pPr>
        <w:pStyle w:val="Heading5"/>
        <w:numPr>
          <w:ilvl w:val="4"/>
          <w:numId w:val="1"/>
        </w:numPr>
        <w:rPr/>
      </w:pPr>
      <w:bookmarkStart w:id="1438" w:name="__RefHeading___Toc7767310_2870459653"/>
      <w:bookmarkStart w:id="1439" w:name="_Toc530"/>
      <w:bookmarkEnd w:id="1438"/>
      <w:r>
        <w:rPr>
          <w:rtl w:val="true"/>
        </w:rPr>
        <w:t xml:space="preserve">پایگاه های </w:t>
      </w:r>
      <w:r>
        <w:rPr>
          <w:rtl w:val="true"/>
        </w:rPr>
        <w:t>/</w:t>
      </w:r>
      <w:r>
        <w:rPr>
          <w:rtl w:val="true"/>
        </w:rPr>
        <w:t>داده دسترسی اینترنتی</w:t>
      </w:r>
      <w:bookmarkEnd w:id="1439"/>
    </w:p>
    <w:p>
      <w:pPr>
        <w:pStyle w:val="BookText"/>
        <w:rPr/>
      </w:pPr>
      <w:r>
        <w:rPr>
          <w:rFonts w:ascii="IRNazanin" w:hAnsi="IRNazanin" w:eastAsia="IRNazanin"/>
          <w:color w:val="111111"/>
          <w:sz w:val="28"/>
          <w:sz w:val="28"/>
          <w:szCs w:val="28"/>
          <w:rtl w:val="true"/>
          <w:lang w:bidi="fa-IR"/>
        </w:rPr>
        <w:t>متأسفانه، هیچ یک از این سه کتابخانه به پایگاه های داده قابل اشتراک بیرونی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کتابخانه دفتر کل اطلاعات و ارتباطات دفتر کل رسانه های جمعی به پایگاه داده مس میدیا لجسلیشن </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 و اروپایی قانونگذاری اقتصادی</w:t>
      </w:r>
      <w:r>
        <w:rPr>
          <w:rFonts w:eastAsia="IRNazanin" w:cs="IRNazanin"/>
          <w:color w:val="111111"/>
          <w:sz w:val="28"/>
          <w:szCs w:val="28"/>
          <w:rtl w:val="true"/>
          <w:lang w:bidi="fa-IR"/>
        </w:rPr>
        <w:t xml:space="preserve">" </w:t>
      </w:r>
      <w:r>
        <w:rPr>
          <w:rStyle w:val="FootnoteAnchor"/>
          <w:rtl w:val="true"/>
        </w:rPr>
        <w:footnoteReference w:id="1847"/>
      </w:r>
      <w:r>
        <w:rPr>
          <w:rFonts w:ascii="IRNazanin" w:hAnsi="IRNazanin" w:eastAsia="IRNazanin"/>
          <w:color w:val="111111"/>
          <w:sz w:val="28"/>
          <w:sz w:val="28"/>
          <w:szCs w:val="28"/>
          <w:rtl w:val="true"/>
          <w:lang w:bidi="fa-IR"/>
        </w:rPr>
        <w:t xml:space="preserve">به صورت داخلی توسعه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اینترنتی کاربران در هر سه کتابخانه رایگان است</w:t>
      </w:r>
      <w:r>
        <w:rPr>
          <w:rFonts w:eastAsia="IRNazanin" w:cs="IRNazanin"/>
          <w:color w:val="111111"/>
          <w:sz w:val="28"/>
          <w:szCs w:val="28"/>
          <w:rtl w:val="true"/>
          <w:lang w:bidi="fa-IR"/>
        </w:rPr>
        <w:t>.</w:t>
      </w:r>
    </w:p>
    <w:p>
      <w:pPr>
        <w:pStyle w:val="Heading5"/>
        <w:numPr>
          <w:ilvl w:val="4"/>
          <w:numId w:val="1"/>
        </w:numPr>
        <w:rPr/>
      </w:pPr>
      <w:bookmarkStart w:id="1440" w:name="__RefHeading___Toc7767312_2870459653"/>
      <w:bookmarkStart w:id="1441" w:name="_Toc531"/>
      <w:bookmarkEnd w:id="1440"/>
      <w:r>
        <w:rPr>
          <w:rtl w:val="true"/>
        </w:rPr>
        <w:t>غنی سازی مجموعه کتابخانه</w:t>
      </w:r>
      <w:bookmarkEnd w:id="1441"/>
    </w:p>
    <w:p>
      <w:pPr>
        <w:pStyle w:val="BookText"/>
        <w:rPr/>
      </w:pPr>
      <w:r>
        <w:rPr>
          <w:rFonts w:ascii="IRNazanin" w:hAnsi="IRNazanin" w:eastAsia="IRNazanin"/>
          <w:color w:val="111111"/>
          <w:sz w:val="28"/>
          <w:sz w:val="28"/>
          <w:szCs w:val="28"/>
          <w:rtl w:val="true"/>
          <w:lang w:bidi="fa-IR"/>
        </w:rPr>
        <w:t>غنی سازی کتابخانه ها از طریق خرید و اهداء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طی چند سال گذشته به ویژه به خاطر بحران اقتصادی و نیز کاهش بودجه کتابخانه، خرید به میزان قابل توجهی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کتابخانه دفتر کل اطلاعات و ارتباطات دفتر کل رسانه های جمعی خرید کتاب و مجلات را قطع کرده و فقط روزنامه ها را می خرد همچنین این کتابخانه موارد اهدائی و ارسالی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خبرگزاری و ارتباطات</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را در خارج از یونان که زیر نظر این دفتر کل هستند،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کتابخانه جنسیت و برابری، تعداد مواد چاپی را که پیش از این می خرید، کاهش داده و خرید مجلات را قطع کرده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وزارت توسعه روستایی و خواربار، همیشه به میزان زیاد به اهدای دست و دلبازانه سازمان 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خواربار و کشاورزی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 xml:space="preserve">) </w:t>
      </w:r>
      <w:r>
        <w:rPr>
          <w:rStyle w:val="FootnoteAnchor"/>
          <w:rtl w:val="true"/>
        </w:rPr>
        <w:footnoteReference w:id="1849"/>
      </w:r>
      <w:r>
        <w:rPr>
          <w:rFonts w:ascii="IRNazanin" w:hAnsi="IRNazanin" w:eastAsia="IRNazanin"/>
          <w:color w:val="111111"/>
          <w:sz w:val="28"/>
          <w:sz w:val="28"/>
          <w:szCs w:val="28"/>
          <w:rtl w:val="true"/>
          <w:lang w:bidi="fa-IR"/>
        </w:rPr>
        <w:t xml:space="preserve">، مؤسسه پژوهش های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ان آی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50"/>
      </w:r>
      <w:r>
        <w:rPr>
          <w:rFonts w:ascii="IRNazanin" w:hAnsi="IRNazanin" w:eastAsia="IRNazanin"/>
          <w:color w:val="111111"/>
          <w:sz w:val="28"/>
          <w:sz w:val="28"/>
          <w:szCs w:val="28"/>
          <w:rtl w:val="true"/>
          <w:lang w:bidi="fa-IR"/>
        </w:rPr>
        <w:t xml:space="preserve">اتحادیه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w:t>
      </w:r>
      <w:r>
        <w:rPr>
          <w:rFonts w:eastAsia="IRNazanin" w:cs="IRNazanin"/>
          <w:color w:val="111111"/>
          <w:sz w:val="28"/>
          <w:szCs w:val="28"/>
          <w:rtl w:val="true"/>
          <w:lang w:bidi="fa-IR"/>
        </w:rPr>
        <w:t xml:space="preserve">) </w:t>
      </w:r>
      <w:r>
        <w:rPr>
          <w:rStyle w:val="FootnoteAnchor"/>
          <w:rtl w:val="true"/>
        </w:rPr>
        <w:footnoteReference w:id="1851"/>
      </w:r>
      <w:r>
        <w:rPr>
          <w:rFonts w:ascii="IRNazanin" w:hAnsi="IRNazanin" w:eastAsia="IRNazanin"/>
          <w:color w:val="111111"/>
          <w:sz w:val="28"/>
          <w:sz w:val="28"/>
          <w:szCs w:val="28"/>
          <w:rtl w:val="true"/>
          <w:lang w:bidi="fa-IR"/>
        </w:rPr>
        <w:t xml:space="preserve">سازمان توسعه و همکاری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 سی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52"/>
      </w:r>
      <w:r>
        <w:rPr>
          <w:rFonts w:ascii="IRNazanin" w:hAnsi="IRNazanin" w:eastAsia="IRNazanin"/>
          <w:color w:val="111111"/>
          <w:sz w:val="28"/>
          <w:sz w:val="28"/>
          <w:szCs w:val="28"/>
          <w:rtl w:val="true"/>
          <w:lang w:bidi="fa-IR"/>
        </w:rPr>
        <w:t xml:space="preserve">بانک کشاورزی یونان و مرکز برنامه ریزی و پژوهش اقتصادی </w:t>
      </w:r>
      <w:r>
        <w:rPr>
          <w:rStyle w:val="FootnoteAnchor"/>
          <w:rtl w:val="true"/>
        </w:rPr>
        <w:footnoteReference w:id="1853"/>
      </w:r>
      <w:r>
        <w:rPr>
          <w:rFonts w:ascii="IRNazanin" w:hAnsi="IRNazanin" w:eastAsia="IRNazanin"/>
          <w:color w:val="111111"/>
          <w:sz w:val="28"/>
          <w:sz w:val="28"/>
          <w:szCs w:val="28"/>
          <w:rtl w:val="true"/>
          <w:lang w:bidi="fa-IR"/>
        </w:rPr>
        <w:t>وابسته بوده است</w:t>
      </w:r>
      <w:r>
        <w:rPr>
          <w:rFonts w:eastAsia="IRNazanin" w:cs="IRNazanin"/>
          <w:color w:val="111111"/>
          <w:sz w:val="28"/>
          <w:szCs w:val="28"/>
          <w:rtl w:val="true"/>
          <w:lang w:bidi="fa-IR"/>
        </w:rPr>
        <w:t xml:space="preserve">. </w:t>
      </w:r>
      <w:bookmarkStart w:id="1442" w:name="pg9653_82365"/>
    </w:p>
    <w:p>
      <w:pPr>
        <w:pStyle w:val="Heading4"/>
        <w:numPr>
          <w:ilvl w:val="3"/>
          <w:numId w:val="1"/>
        </w:numPr>
        <w:rPr/>
      </w:pPr>
      <w:bookmarkStart w:id="1443" w:name="__RefHeading___Toc7767314_2870459653"/>
      <w:bookmarkStart w:id="1444" w:name="_Toc532"/>
      <w:bookmarkEnd w:id="1442"/>
      <w:bookmarkEnd w:id="1443"/>
      <w:r>
        <w:rPr/>
        <w:t>3-3</w:t>
      </w:r>
      <w:r>
        <w:rPr>
          <w:rtl w:val="true"/>
        </w:rPr>
        <w:t xml:space="preserve">- </w:t>
      </w:r>
      <w:r>
        <w:rPr>
          <w:rtl w:val="true"/>
        </w:rPr>
        <w:t>امکانات</w:t>
      </w:r>
      <w:bookmarkEnd w:id="1444"/>
    </w:p>
    <w:p>
      <w:pPr>
        <w:pStyle w:val="Heading5"/>
        <w:numPr>
          <w:ilvl w:val="4"/>
          <w:numId w:val="1"/>
        </w:numPr>
        <w:rPr/>
      </w:pPr>
      <w:bookmarkStart w:id="1445" w:name="__RefHeading___Toc7767316_2870459653"/>
      <w:bookmarkStart w:id="1446" w:name="_Toc533"/>
      <w:bookmarkEnd w:id="1445"/>
      <w:r>
        <w:rPr>
          <w:rtl w:val="true"/>
        </w:rPr>
        <w:t xml:space="preserve">تالار مطالعه </w:t>
      </w:r>
      <w:r>
        <w:rPr>
          <w:rtl w:val="true"/>
        </w:rPr>
        <w:t xml:space="preserve">- </w:t>
      </w:r>
      <w:r>
        <w:rPr>
          <w:rtl w:val="true"/>
        </w:rPr>
        <w:t>امکانات تکثیر</w:t>
      </w:r>
      <w:r>
        <w:rPr>
          <w:rtl w:val="true"/>
        </w:rPr>
        <w:t xml:space="preserve">/ </w:t>
      </w:r>
      <w:r>
        <w:rPr>
          <w:rtl w:val="true"/>
        </w:rPr>
        <w:t>پویشگری</w:t>
      </w:r>
      <w:r>
        <w:rPr>
          <w:rtl w:val="true"/>
        </w:rPr>
        <w:t xml:space="preserve">/ </w:t>
      </w:r>
      <w:r>
        <w:rPr>
          <w:rtl w:val="true"/>
        </w:rPr>
        <w:t>عکسبرداری</w:t>
      </w:r>
      <w:bookmarkEnd w:id="1446"/>
    </w:p>
    <w:p>
      <w:pPr>
        <w:pStyle w:val="BookText"/>
        <w:rPr/>
      </w:pPr>
      <w:r>
        <w:rPr>
          <w:rFonts w:ascii="IRNazanin" w:hAnsi="IRNazanin" w:eastAsia="IRNazanin"/>
          <w:color w:val="111111"/>
          <w:sz w:val="28"/>
          <w:sz w:val="28"/>
          <w:szCs w:val="28"/>
          <w:rtl w:val="true"/>
          <w:lang w:bidi="fa-IR"/>
        </w:rPr>
        <w:t>این کتابخانه ها تالارهای مطالعه مجهّز را در اختیار کاربران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آن جا به مطالعه می پردازند دستگاه های تکثیر وجود دارد که کاربران می توانند به تعدادی که آیین نامه کتابخانه اجازه داده است به رایگان تکثیر بگیرند کتابخانه دفتر کل 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کل رسانه های جمعی، امکانات پویشگری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عکسبرداری را برای موادی که نمی شود از آن ها تکثیر گرفت، جهت استفاده همگانی در اختیار می گذارد</w:t>
      </w:r>
      <w:r>
        <w:rPr>
          <w:rFonts w:eastAsia="IRNazanin" w:cs="IRNazanin"/>
          <w:color w:val="111111"/>
          <w:sz w:val="28"/>
          <w:szCs w:val="28"/>
          <w:rtl w:val="true"/>
          <w:lang w:bidi="fa-IR"/>
        </w:rPr>
        <w:t>.</w:t>
      </w:r>
    </w:p>
    <w:p>
      <w:pPr>
        <w:pStyle w:val="Heading4"/>
        <w:numPr>
          <w:ilvl w:val="3"/>
          <w:numId w:val="1"/>
        </w:numPr>
        <w:rPr/>
      </w:pPr>
      <w:bookmarkStart w:id="1447" w:name="__RefHeading___Toc7767318_2870459653"/>
      <w:bookmarkStart w:id="1448" w:name="_Toc534"/>
      <w:bookmarkEnd w:id="1447"/>
      <w:r>
        <w:rPr/>
        <w:t>4-3</w:t>
      </w:r>
      <w:r>
        <w:rPr>
          <w:rtl w:val="true"/>
        </w:rPr>
        <w:t xml:space="preserve">- </w:t>
      </w:r>
      <w:r>
        <w:rPr>
          <w:rtl w:val="true"/>
        </w:rPr>
        <w:t>سازماندهی مجموعه</w:t>
      </w:r>
      <w:bookmarkEnd w:id="1448"/>
    </w:p>
    <w:p>
      <w:pPr>
        <w:pStyle w:val="BookText"/>
        <w:rPr/>
      </w:pPr>
      <w:r>
        <w:rPr>
          <w:rFonts w:ascii="IRNazanin" w:hAnsi="IRNazanin" w:eastAsia="IRNazanin"/>
          <w:color w:val="111111"/>
          <w:sz w:val="28"/>
          <w:sz w:val="28"/>
          <w:szCs w:val="28"/>
          <w:rtl w:val="true"/>
          <w:lang w:bidi="fa-IR"/>
        </w:rPr>
        <w:t xml:space="preserve">کتابخانه ها مواد خود را با بهره گیری از نظام یکپارچه کتابخانه فهرستنویسی می کنند کتابخانه دفتر کل اطلاعات و ارتباطات دفتر کل رسانه های جمعی، از برنامه خودکار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آبکت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Style w:val="FootnoteAnchor"/>
          <w:rtl w:val="true"/>
        </w:rPr>
        <w:footnoteReference w:id="1854"/>
      </w:r>
      <w:r>
        <w:rPr>
          <w:rFonts w:ascii="IRNazanin" w:hAnsi="IRNazanin" w:eastAsia="IRNazanin"/>
          <w:color w:val="111111"/>
          <w:sz w:val="28"/>
          <w:sz w:val="28"/>
          <w:szCs w:val="28"/>
          <w:rtl w:val="true"/>
          <w:lang w:bidi="fa-IR"/>
        </w:rPr>
        <w:t xml:space="preserve">استفاده می کند که توسط مرکز اسناد ملی یونان </w:t>
      </w:r>
      <w:r>
        <w:rPr>
          <w:rStyle w:val="FootnoteAnchor"/>
          <w:rtl w:val="true"/>
        </w:rPr>
        <w:footnoteReference w:id="1855"/>
      </w:r>
      <w:r>
        <w:rPr>
          <w:rFonts w:ascii="IRNazanin" w:hAnsi="IRNazanin" w:eastAsia="IRNazanin"/>
          <w:color w:val="111111"/>
          <w:sz w:val="28"/>
          <w:sz w:val="28"/>
          <w:szCs w:val="28"/>
          <w:rtl w:val="true"/>
          <w:lang w:bidi="fa-IR"/>
        </w:rPr>
        <w:t xml:space="preserve">توسعه یافته است کتابخانه جنسیت و برابری از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ویوبیس اسمارت</w:t>
      </w:r>
      <w:r>
        <w:rPr>
          <w:rFonts w:eastAsia="IRNazanin" w:cs="IRNazanin"/>
          <w:color w:val="111111"/>
          <w:sz w:val="28"/>
          <w:szCs w:val="28"/>
          <w:rtl w:val="true"/>
          <w:lang w:bidi="fa-IR"/>
        </w:rPr>
        <w:t xml:space="preserve">) </w:t>
      </w:r>
      <w:r>
        <w:rPr>
          <w:rStyle w:val="FootnoteAnchor"/>
          <w:rtl w:val="true"/>
        </w:rPr>
        <w:footnoteReference w:id="1856"/>
      </w:r>
      <w:r>
        <w:rPr>
          <w:rFonts w:ascii="IRNazanin" w:hAnsi="IRNazanin" w:eastAsia="IRNazanin"/>
          <w:color w:val="111111"/>
          <w:sz w:val="28"/>
          <w:sz w:val="28"/>
          <w:szCs w:val="28"/>
          <w:rtl w:val="true"/>
          <w:lang w:bidi="fa-IR"/>
        </w:rPr>
        <w:t xml:space="preserve">و کتابخانه وزارت توسعه روستایی و خواربار از نسخه قدیمی در محیط آبِکت داس </w:t>
      </w:r>
      <w:r>
        <w:rPr>
          <w:rStyle w:val="FootnoteAnchor"/>
          <w:rtl w:val="true"/>
        </w:rPr>
        <w:footnoteReference w:id="1857"/>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Heading4"/>
        <w:numPr>
          <w:ilvl w:val="3"/>
          <w:numId w:val="1"/>
        </w:numPr>
        <w:rPr/>
      </w:pPr>
      <w:bookmarkStart w:id="1449" w:name="__RefHeading___Toc7767320_2870459653"/>
      <w:bookmarkStart w:id="1450" w:name="_Toc535"/>
      <w:bookmarkEnd w:id="1449"/>
      <w:r>
        <w:rPr/>
        <w:t>5-3</w:t>
      </w:r>
      <w:r>
        <w:rPr>
          <w:rtl w:val="true"/>
        </w:rPr>
        <w:t xml:space="preserve">- </w:t>
      </w:r>
      <w:r>
        <w:rPr>
          <w:rtl w:val="true"/>
        </w:rPr>
        <w:t>همکاری با سایر کتابخانه ها</w:t>
      </w:r>
      <w:bookmarkEnd w:id="1450"/>
    </w:p>
    <w:p>
      <w:pPr>
        <w:pStyle w:val="BookText"/>
        <w:rPr/>
      </w:pPr>
      <w:r>
        <w:rPr>
          <w:rFonts w:ascii="IRNazanin" w:hAnsi="IRNazanin" w:eastAsia="IRNazanin"/>
          <w:color w:val="111111"/>
          <w:sz w:val="28"/>
          <w:sz w:val="28"/>
          <w:szCs w:val="28"/>
          <w:rtl w:val="true"/>
          <w:lang w:bidi="fa-IR"/>
        </w:rPr>
        <w:t xml:space="preserve">به نظر می رسد کتابخانه ها همکاری های غیر رسمی با سایر سازمان ها و کتابخانه ها دارند به عنوان نمونه، کتابخانه جنسیت و برابری با کتابخانه دانشگاهی مثل کتابخانه و خدمات اطلاع رسانی دانشگاه پنتین </w:t>
      </w:r>
      <w:r>
        <w:rPr>
          <w:rStyle w:val="FootnoteAnchor"/>
          <w:rtl w:val="true"/>
        </w:rPr>
        <w:footnoteReference w:id="1858"/>
      </w:r>
      <w:r>
        <w:rPr>
          <w:rFonts w:ascii="IRNazanin" w:hAnsi="IRNazanin" w:eastAsia="IRNazanin"/>
          <w:color w:val="111111"/>
          <w:sz w:val="28"/>
          <w:sz w:val="28"/>
          <w:szCs w:val="28"/>
          <w:rtl w:val="true"/>
          <w:lang w:bidi="fa-IR"/>
        </w:rPr>
        <w:t>و نیز با تعدادی کتابخانه تخصصی به صورت غیر رسمی و نه سازمانی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کارکنان نیاز به این امر را که این همکاری ها باید سازمان یافته تر و رسمی باشند توضیح داد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کتابخانه دفتر کلّ 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کلّ رسانه های جمعی با ناشران روزنامه ها و مجلات بخش مستند آمارگیری هلنی، دفتر ملی چاپ </w:t>
      </w:r>
      <w:r>
        <w:rPr>
          <w:rStyle w:val="FootnoteAnchor"/>
          <w:rtl w:val="true"/>
        </w:rPr>
        <w:footnoteReference w:id="1859"/>
      </w:r>
      <w:r>
        <w:rPr>
          <w:rFonts w:ascii="IRNazanin" w:hAnsi="IRNazanin" w:eastAsia="IRNazanin"/>
          <w:color w:val="111111"/>
          <w:sz w:val="28"/>
          <w:sz w:val="28"/>
          <w:szCs w:val="28"/>
          <w:rtl w:val="true"/>
          <w:lang w:bidi="fa-IR"/>
        </w:rPr>
        <w:t>و نیز با کتابخانه های دانشگاهی مشخصی پیمان همکاری دارد این همکاری ها رایگان و غیر رسمی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کارکنان تمایل برای همکاری های رسمی را در آینده با ناشران روزنامه ها و کتابخانه بانک یونان، کتابخانه های دانشگاهی </w:t>
      </w:r>
      <w:bookmarkStart w:id="1451" w:name="pg9653_82366"/>
    </w:p>
    <w:p>
      <w:pPr>
        <w:pStyle w:val="BookText"/>
        <w:rPr/>
      </w:pPr>
      <w:bookmarkEnd w:id="1451"/>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و مرکز خدمات اطلاع رسانی دانشگاه علوم اجتماعی و سیاسی پنتین </w:t>
      </w:r>
      <w:r>
        <w:rPr>
          <w:rStyle w:val="FootnoteAnchor"/>
          <w:rtl w:val="true"/>
        </w:rPr>
        <w:footnoteReference w:id="1860"/>
      </w:r>
      <w:r>
        <w:rPr>
          <w:rFonts w:ascii="IRNazanin" w:hAnsi="IRNazanin" w:eastAsia="IRNazanin"/>
          <w:color w:val="111111"/>
          <w:sz w:val="28"/>
          <w:sz w:val="28"/>
          <w:szCs w:val="28"/>
          <w:rtl w:val="true"/>
          <w:lang w:bidi="fa-IR"/>
        </w:rPr>
        <w:t>و البته سایر کتابخانه های دولتی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وزارت توسعه روستایی و خواربار به طور اساسی با کتابخانه های دانشگاهی از قبیل کتابخانه دانشگاهی ملی و کاپودیسترين </w:t>
      </w:r>
      <w:r>
        <w:rPr>
          <w:rStyle w:val="FootnoteAnchor"/>
          <w:rtl w:val="true"/>
        </w:rPr>
        <w:footnoteReference w:id="1861"/>
      </w:r>
      <w:r>
        <w:rPr>
          <w:rFonts w:ascii="IRNazanin" w:hAnsi="IRNazanin" w:eastAsia="IRNazanin"/>
          <w:color w:val="111111"/>
          <w:sz w:val="28"/>
          <w:sz w:val="28"/>
          <w:szCs w:val="28"/>
          <w:rtl w:val="true"/>
          <w:lang w:bidi="fa-IR"/>
        </w:rPr>
        <w:t xml:space="preserve">و کتابخانه دانشگاه ارسطو در تسالونیکی </w:t>
      </w:r>
      <w:r>
        <w:rPr>
          <w:rStyle w:val="FootnoteAnchor"/>
          <w:rtl w:val="true"/>
        </w:rPr>
        <w:footnoteReference w:id="1862"/>
      </w:r>
      <w:r>
        <w:rPr>
          <w:rFonts w:ascii="IRNazanin" w:hAnsi="IRNazanin" w:eastAsia="IRNazanin"/>
          <w:color w:val="111111"/>
          <w:sz w:val="28"/>
          <w:sz w:val="28"/>
          <w:szCs w:val="28"/>
          <w:rtl w:val="true"/>
          <w:lang w:bidi="fa-IR"/>
        </w:rPr>
        <w:t xml:space="preserve">علاوه بر همکاری، تمایل به حفظ آن نیز دارد همکاری های محدود نیز با کتابخانه دانشگاه کشاورزی آتن </w:t>
      </w:r>
      <w:r>
        <w:rPr>
          <w:rStyle w:val="FootnoteAnchor"/>
          <w:rtl w:val="true"/>
        </w:rPr>
        <w:footnoteReference w:id="1863"/>
      </w:r>
      <w:r>
        <w:rPr>
          <w:rFonts w:ascii="IRNazanin" w:hAnsi="IRNazanin" w:eastAsia="IRNazanin"/>
          <w:color w:val="111111"/>
          <w:sz w:val="28"/>
          <w:sz w:val="28"/>
          <w:szCs w:val="28"/>
          <w:rtl w:val="true"/>
          <w:lang w:bidi="fa-IR"/>
        </w:rPr>
        <w:t xml:space="preserve">و دانشگاه دایموکریتیو تریس </w:t>
      </w:r>
      <w:r>
        <w:rPr>
          <w:rStyle w:val="FootnoteAnchor"/>
          <w:rtl w:val="true"/>
        </w:rPr>
        <w:footnoteReference w:id="186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همکاری ها مشتمل اند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به پرسش ها از طریق تلفن یا ارسال مطلب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نشریه یا کتاب از طریق پست الکترونیکی پست یا دورنگار افزون بر ،این اقلام اهدایی برای سایر کتابخانه ها وقتی که دیگر کتابخانه به آن نیاز ندارد یا این که بیشتر از یک نسخه در کتابخانه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همکاری هایی بر اساس توافق متقابل است و هیچ هزینه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پرداخت پول به هر شکل باعث ایجاد موانع در خدمت رسانی به نیازهای اطلاعاتی مردم می شود</w:t>
      </w:r>
      <w:r>
        <w:rPr>
          <w:rFonts w:eastAsia="IRNazanin" w:cs="IRNazanin"/>
          <w:color w:val="111111"/>
          <w:sz w:val="28"/>
          <w:szCs w:val="28"/>
          <w:rtl w:val="true"/>
          <w:lang w:bidi="fa-IR"/>
        </w:rPr>
        <w:t>.</w:t>
      </w:r>
    </w:p>
    <w:p>
      <w:pPr>
        <w:pStyle w:val="Heading4"/>
        <w:numPr>
          <w:ilvl w:val="3"/>
          <w:numId w:val="1"/>
        </w:numPr>
        <w:rPr/>
      </w:pPr>
      <w:bookmarkStart w:id="1452" w:name="__RefHeading___Toc7767322_2870459653"/>
      <w:bookmarkStart w:id="1453" w:name="_Toc536"/>
      <w:bookmarkEnd w:id="1452"/>
      <w:r>
        <w:rPr/>
        <w:t>6-3</w:t>
      </w:r>
      <w:r>
        <w:rPr>
          <w:rtl w:val="true"/>
        </w:rPr>
        <w:t xml:space="preserve">- </w:t>
      </w:r>
      <w:r>
        <w:rPr>
          <w:rtl w:val="true"/>
        </w:rPr>
        <w:t>شبکه سازی فهرستنویسی اشتراکی</w:t>
      </w:r>
      <w:bookmarkEnd w:id="1453"/>
    </w:p>
    <w:p>
      <w:pPr>
        <w:pStyle w:val="BookText"/>
        <w:rPr/>
      </w:pPr>
      <w:r>
        <w:rPr>
          <w:rFonts w:ascii="IRNazanin" w:hAnsi="IRNazanin" w:eastAsia="IRNazanin"/>
          <w:color w:val="111111"/>
          <w:sz w:val="28"/>
          <w:sz w:val="28"/>
          <w:szCs w:val="28"/>
          <w:rtl w:val="true"/>
          <w:lang w:bidi="fa-IR"/>
        </w:rPr>
        <w:t>امکان شبکه سازی فهرستنویسی اشتراکی با گردآوری اطلاعات درباره موارد زیر مرتبط است وجود قواعد فهرستنویسی نظام رده بندی، رف آرایی، طرحواره فراداده، ایک بر پایه وب، مجموعه ویژگی فراداده و قرارداد سرویس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دهنده محور برای جستجو و بازیابی اطلاعات از پایگاه داده رایانه ای از راه دور جدول زیر این موارد را برای هر کتابخانه توضیح می دهد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جنسیت و برابری کتابخانه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دفتر کل اطلاعات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کل رسانه های جمعی و کتابخانه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کتابخانه وزارت توسعه روستایی و خواربار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مورد نیاز برای شبکه سازی فهرستنویسی اشتراکی</w:t>
      </w:r>
    </w:p>
    <w:p>
      <w:pPr>
        <w:pStyle w:val="BookText"/>
        <w:rPr/>
      </w:pPr>
      <w:r>
        <w:rPr>
          <w:rFonts w:ascii="IRNazanin" w:hAnsi="IRNazanin" w:eastAsia="IRNazanin"/>
          <w:color w:val="111111"/>
          <w:sz w:val="28"/>
          <w:sz w:val="28"/>
          <w:szCs w:val="28"/>
          <w:rtl w:val="true"/>
          <w:lang w:bidi="fa-IR"/>
        </w:rPr>
        <w:t>تصویر</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خود را بر اساس نظام رده بندی مطالب مربوط به زنان که توسط کتابخانه استفاده می شود و از سوی نماینده ویژه سازمان همکاری های اقتصادی و رشد </w:t>
      </w:r>
      <w:r>
        <w:rPr>
          <w:rStyle w:val="FootnoteAnchor"/>
          <w:rtl w:val="true"/>
        </w:rPr>
        <w:footnoteReference w:id="1865"/>
      </w:r>
      <w:r>
        <w:rPr>
          <w:rFonts w:ascii="IRNazanin" w:hAnsi="IRNazanin" w:eastAsia="IRNazanin"/>
          <w:color w:val="111111"/>
          <w:sz w:val="28"/>
          <w:sz w:val="28"/>
          <w:szCs w:val="28"/>
          <w:rtl w:val="true"/>
          <w:lang w:bidi="fa-IR"/>
        </w:rPr>
        <w:t xml:space="preserve">خانم یوته لارسن </w:t>
      </w:r>
      <w:r>
        <w:rPr>
          <w:rStyle w:val="FootnoteAnchor"/>
          <w:rtl w:val="true"/>
        </w:rPr>
        <w:footnoteReference w:id="186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شد انجام می دهد این نظام با نیازهای خوانندگان و نیز خوانندگان یونانی زبان هماهنگ شده و به طور پیوسته به غنای آن اضافه می شود </w:t>
      </w:r>
      <w:bookmarkStart w:id="1454" w:name="pg9653_82368"/>
    </w:p>
    <w:p>
      <w:pPr>
        <w:pStyle w:val="Heading4"/>
        <w:numPr>
          <w:ilvl w:val="3"/>
          <w:numId w:val="1"/>
        </w:numPr>
        <w:rPr/>
      </w:pPr>
      <w:bookmarkStart w:id="1455" w:name="__RefHeading___Toc7767324_2870459653"/>
      <w:bookmarkStart w:id="1456" w:name="_Toc537"/>
      <w:bookmarkEnd w:id="1454"/>
      <w:bookmarkEnd w:id="1455"/>
      <w:r>
        <w:rPr/>
        <w:t>7-3</w:t>
      </w:r>
      <w:r>
        <w:rPr>
          <w:rtl w:val="true"/>
        </w:rPr>
        <w:t xml:space="preserve">- </w:t>
      </w:r>
      <w:r>
        <w:rPr>
          <w:rtl w:val="true"/>
        </w:rPr>
        <w:t>مصاحبه با رؤسای کتابخانه ها</w:t>
      </w:r>
      <w:bookmarkEnd w:id="1456"/>
    </w:p>
    <w:p>
      <w:pPr>
        <w:pStyle w:val="BookText"/>
        <w:rPr/>
      </w:pPr>
      <w:r>
        <w:rPr>
          <w:rFonts w:ascii="IRNazanin" w:hAnsi="IRNazanin" w:eastAsia="IRNazanin"/>
          <w:color w:val="111111"/>
          <w:sz w:val="28"/>
          <w:sz w:val="28"/>
          <w:szCs w:val="28"/>
          <w:rtl w:val="true"/>
          <w:lang w:bidi="fa-IR"/>
        </w:rPr>
        <w:t xml:space="preserve">از دو رئیس، رئیس بخش تحلیل و اسناد </w:t>
      </w:r>
      <w:r>
        <w:rPr>
          <w:rStyle w:val="FootnoteAnchor"/>
          <w:rtl w:val="true"/>
        </w:rPr>
        <w:footnoteReference w:id="1867"/>
      </w:r>
      <w:r>
        <w:rPr>
          <w:rFonts w:ascii="IRNazanin" w:hAnsi="IRNazanin" w:eastAsia="IRNazanin"/>
          <w:color w:val="111111"/>
          <w:sz w:val="28"/>
          <w:sz w:val="28"/>
          <w:szCs w:val="28"/>
          <w:rtl w:val="true"/>
          <w:lang w:bidi="fa-IR"/>
        </w:rPr>
        <w:t xml:space="preserve">و بخش خدمات فنّی اطلاع رسانی </w:t>
      </w:r>
      <w:r>
        <w:rPr>
          <w:rStyle w:val="FootnoteAnchor"/>
          <w:rtl w:val="true"/>
        </w:rPr>
        <w:footnoteReference w:id="1868"/>
      </w:r>
      <w:r>
        <w:rPr>
          <w:rFonts w:ascii="IRNazanin" w:hAnsi="IRNazanin" w:eastAsia="IRNazanin"/>
          <w:color w:val="111111"/>
          <w:sz w:val="28"/>
          <w:sz w:val="28"/>
          <w:szCs w:val="28"/>
          <w:rtl w:val="true"/>
          <w:lang w:bidi="fa-IR"/>
        </w:rPr>
        <w:t>کتابخانه دفتر کلّ 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کل رسانه های جمعی دعوت شد تا نظرات خود را در پاره ای موارد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مشتمل بودند بر انواع اطلاعاتی که مورد نیازشان بود تا از عهده مسؤلیت حرفه ای خود برآیند اطلاعات درباره همکاری های غیر رسمیشان با سازمان ها یا سایر کتابخانه ها علاوه بر این از آن ها پرسیده شد آیا از رقومی سازی مجموعه سازمانشان بررسی درخواست های مطالعاتی کاربران به منظور شناسایی نیازهای واقعی کاربران کتابخانه و تلاش در جهت همکاری های رسمی بیشتر با سازمان ها یا کتابخانه هایی که داده های مورد علاقه آن ها را در مجموعه هایشان دارند پشتیبانی می کنند یا نه؟ دست آخر از آن ها خواسته شد مواد پیشنهادی برای رقومی سازی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رسید هر دو نفر همکاری غیر رسمی با سازمان 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رسانه های جمعی دفاتر وابسته اداری وزارت ،زیر ساخت حمل و نقل و شبکه ها رادیو تلویزیون یونان دفاتر خبرگزاری وزارتخانه ها و مأمورین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آن ها همچنین به دو منبع با ارزش اطلاعاتی یعنی اینترنت و تماس های شخصی با همکاران سازمان خود اشاره کردند با توجه به اطلاعات مورد علاقه شان گفتند که ترجیح می دهند به داده های روزآمد و تاریخی که اساسا از سوی رسانه های جمعی تهیه می شوند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خدمات فنی اطلاع رسانی همچنین به داده های فنی مرتبط با حوزه موضوعی اش از قبیل فناوری های اینترنتی و مدیریت نظام های اطلاع رسانی علاقه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امکان رقومی سازی تمام مواد موجود، هر دو رئیس نشان دادند که از این تلاش پشتیبانی می کنند و بر اهمیت چنین برنامه ای برای میراث فرهنگی یونان تأکید کردند رئیس خدمات فنی اطلاع رسانی بیان کرد یک برنامه رقومی سازی از سوی دفتر کل اطلاعات و ارتباطات دفتر کل رسانه های جمعی در دست اقدام است که هدف اولیه آن، رقومی سازی حدود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فیلم های آرشیوی است این برنامه به جز رقومی سازی، بر تهیه یک نرم افزار مناسب برای آرشیوسازی جستجو و بازیابی داده های رقومی را نیز در مرکز توجه دارد وی همچنین گفت بخش تحت نظرش به رقومی کردن سایر شکل های داده از قبیل عکس و نسخه های نفیس و کمیاب مجلات و نشریات علاقه مند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به صراحت اظهار کردند که از بررسی درخواست های اطلاعاتی کاربران به منظور شناخت نیازهای واقعی کاربران و نیز برقراری همکاری های غیر رسمی بیشتر با سازمان ها و کتابخانه هایی </w:t>
      </w:r>
      <w:bookmarkStart w:id="1457" w:name="pg9653_82369"/>
    </w:p>
    <w:p>
      <w:pPr>
        <w:pStyle w:val="BookText"/>
        <w:rPr/>
      </w:pPr>
      <w:bookmarkEnd w:id="1457"/>
      <w:r>
        <w:rPr>
          <w:rFonts w:ascii="IRNazanin" w:hAnsi="IRNazanin" w:eastAsia="IRNazanin"/>
          <w:color w:val="111111"/>
          <w:sz w:val="28"/>
          <w:sz w:val="28"/>
          <w:szCs w:val="28"/>
          <w:rtl w:val="true"/>
          <w:lang w:bidi="fa-IR"/>
        </w:rPr>
        <w:t>که داده های مورد علاقه آن ها را دارند پشتیبانی می کنند به ویژه رئیس خدمات فنی اطلاع رسانی یادآور شد که دفتر کل 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کل رسانه های جمعی 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درباره ارسال و اشاعه الکترونیکی محتوای چندرسانه ای و نیز خدمات پیشرفته درباره حوزه های مورد علاقه سازمان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از مصاحبه با دو تا از رؤسا، باید از علاقه مشترک و حمایت با ارزش رئیس بخش خارجی </w:t>
      </w:r>
      <w:r>
        <w:rPr>
          <w:rStyle w:val="FootnoteAnchor"/>
          <w:rtl w:val="true"/>
        </w:rPr>
        <w:footnoteReference w:id="1869"/>
      </w:r>
      <w:r>
        <w:rPr>
          <w:rFonts w:ascii="IRNazanin" w:hAnsi="IRNazanin" w:eastAsia="IRNazanin"/>
          <w:color w:val="111111"/>
          <w:sz w:val="28"/>
          <w:sz w:val="28"/>
          <w:szCs w:val="28"/>
          <w:rtl w:val="true"/>
          <w:lang w:bidi="fa-IR"/>
        </w:rPr>
        <w:t>نیز بگوییم کارکنان کتابخانه دفتر کل وزارت اطلاعات و ارتباطات دفتر کل رسانه های جمعی اظهار داشتند رئیس این بخش، اغلب مواد کتابخانه را از طریق اهداهای شخصی یا از طریق تقاضا از دفاتر خبرگزاری و ارتباطات واقع در خارج از کشور که زیر نظر وی هستند تهیه می کند</w:t>
      </w:r>
      <w:r>
        <w:rPr>
          <w:rFonts w:eastAsia="IRNazanin" w:cs="IRNazanin"/>
          <w:color w:val="111111"/>
          <w:sz w:val="28"/>
          <w:szCs w:val="28"/>
          <w:rtl w:val="true"/>
          <w:lang w:bidi="fa-IR"/>
        </w:rPr>
        <w:t>.</w:t>
      </w:r>
    </w:p>
    <w:p>
      <w:pPr>
        <w:pStyle w:val="Heading3"/>
        <w:numPr>
          <w:ilvl w:val="2"/>
          <w:numId w:val="1"/>
        </w:numPr>
        <w:rPr/>
      </w:pPr>
      <w:bookmarkStart w:id="1458" w:name="__RefHeading___Toc7767326_2870459653"/>
      <w:bookmarkStart w:id="1459" w:name="_Toc538"/>
      <w:bookmarkEnd w:id="1458"/>
      <w:r>
        <w:rPr/>
        <w:t>4</w:t>
      </w:r>
      <w:r>
        <w:rPr>
          <w:rtl w:val="true"/>
        </w:rPr>
        <w:t xml:space="preserve">. </w:t>
      </w:r>
      <w:r>
        <w:rPr>
          <w:rtl w:val="true"/>
        </w:rPr>
        <w:t>نتایج</w:t>
      </w:r>
      <w:bookmarkEnd w:id="1459"/>
    </w:p>
    <w:p>
      <w:pPr>
        <w:pStyle w:val="BookText"/>
        <w:rPr/>
      </w:pPr>
      <w:r>
        <w:rPr>
          <w:rFonts w:ascii="IRNazanin" w:hAnsi="IRNazanin" w:eastAsia="IRNazanin"/>
          <w:color w:val="111111"/>
          <w:sz w:val="28"/>
          <w:sz w:val="28"/>
          <w:szCs w:val="28"/>
          <w:rtl w:val="true"/>
          <w:lang w:bidi="fa-IR"/>
        </w:rPr>
        <w:t>با این بررسی، ابتدا داده هایی واقعی درباره وضعیت فعلی کتابخانه های دولتی یونان، به ویژه کتابخانه های پانزده وزارتخانه یونان و شعبه های آن به اطلاع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همکاری موجود میان آن ها را بیان کردیم تا از عهده برآمدن چالش های اقتصادی پیش رویشان بر آییم در حال حاضر هیچ شبکه ای میان کتابخانه های دولتی یونان ایجاد نشده است ما بر این باوریم که وقتی به افراد کاردان فرصتی داده شود، دورنمایی از بقا و حتی توسعه در این دوران سخت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داده های جمع آوری شده برای سه کتابخانه دولتی، کتابخانه جنسیت و برابری کتابخانه دفتر کل اطلاعات و ارتباطات دفتر کل رسانه های ،جمعی و کتابخانه وزارت توسعه روستایی و خواربار روشن است همکاری رسمی بیشتر میان کتابخانه های دولتی یونان باید یک هدف باشد به نظر می رسد کارکنان کتابخانه برای رسیدن به این هدف اشتیاق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نتایج نشان دادند کتابخانه های دولتی در یونان وجود دارد که اطلاعات و خدماتشان بالاتر از سطح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هر سه کتابخانه مجموعه ای غنی از اطلاعات سازماندهی شده دارند که بخشی یا تمام آن ها از طریق نظام یکپارچه کتابخانه ای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کتابخانه از این سه کتابخانه، برای پشتیبانی از فهرستگان به تنظیم مجدد هرچند حداقل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کتابخانه وزارت توسعه روستایی و خواربار باید در این جهت بیشتر بکوشد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هیچ یک از این سه کتابخانه دسترسی به پایگاه های داده قابل اشتراک ندارند با این حال به نظر می رسد کارکنان کتابخانه، برای غنای مجموعه شان از طریق مشترک شدن با پایگاه های داده </w:t>
      </w:r>
      <w:bookmarkStart w:id="1460" w:name="pg9653_82370"/>
    </w:p>
    <w:p>
      <w:pPr>
        <w:pStyle w:val="BookText"/>
        <w:rPr/>
      </w:pPr>
      <w:bookmarkEnd w:id="1460"/>
      <w:r>
        <w:rPr>
          <w:rFonts w:ascii="IRNazanin" w:hAnsi="IRNazanin" w:eastAsia="IRNazanin"/>
          <w:color w:val="111111"/>
          <w:sz w:val="28"/>
          <w:sz w:val="28"/>
          <w:szCs w:val="28"/>
          <w:rtl w:val="true"/>
          <w:lang w:bidi="fa-IR"/>
        </w:rPr>
        <w:t>و حمایت از این نوع همکاری، تمایل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نبودِ این نوع اشتراک، می تواند انگیزه ای برای توسعه مجموعه های اشتراکی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پایگاه های داده ای یا مجلّات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توافقنامه های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ذخیره پول باشد کتابخانه ها پیش از این با کتابخانه های مختلف، ناشران و سازمان ها توافق هایی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کتابخانه های دانشگاهی همکاری دائمی دارند و احتمالا پژوهش بیشتری در این حوزه ضرورت دارد تا این همکاری ها شکل رسمی گرفته و پذیرفته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 خواهیم این مطلب را بگوییم که کتابخانه های دولتی باید نقش خود را در سازمان مادر خود تقویت کنند یک راهکار بررسی درخواست های کاربران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خوب بررسی جامعه کتابخانه ای است که کتابخانه دفتر کل اطلاعات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کلّ رسانه های جمعی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هدف اولیه آن ها، بررسی جامعه کتابخانه ای و مشخص کردن نیازهای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ها جمع آوری داده با توجه به موارد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شخصی کاربران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جنسیت، شغل و سطح آموزش،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کاربر با فناوری،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کاربران از نوع اطلاعات و خدمات تهیه شده توسط کتابخانه،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کاربران از سایر کتابخانه ها،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موضوعی مورد علاقه کاربران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کاربران به شرکت در هر نوع نشستی که به آن ها کمک می کند تا از خدمات کتابخانه، بهره بیشتر ببرند</w:t>
      </w:r>
      <w:r>
        <w:rPr>
          <w:rFonts w:eastAsia="IRNazanin" w:cs="IRNazanin"/>
          <w:color w:val="111111"/>
          <w:sz w:val="28"/>
          <w:szCs w:val="28"/>
          <w:rtl w:val="true"/>
          <w:lang w:bidi="fa-IR"/>
        </w:rPr>
        <w:t>.</w:t>
      </w:r>
    </w:p>
    <w:p>
      <w:pPr>
        <w:pStyle w:val="Heading3"/>
        <w:numPr>
          <w:ilvl w:val="2"/>
          <w:numId w:val="1"/>
        </w:numPr>
        <w:rPr/>
      </w:pPr>
      <w:bookmarkStart w:id="1461" w:name="__RefHeading___Toc7767328_2870459653"/>
      <w:bookmarkStart w:id="1462" w:name="_Toc539"/>
      <w:bookmarkEnd w:id="1461"/>
      <w:r>
        <w:rPr/>
        <w:t>5</w:t>
      </w:r>
      <w:r>
        <w:rPr>
          <w:rtl w:val="true"/>
        </w:rPr>
        <w:t xml:space="preserve">. </w:t>
      </w:r>
      <w:r>
        <w:rPr>
          <w:rtl w:val="true"/>
        </w:rPr>
        <w:t>پیشنهاد برای پژوهش های بیشتر</w:t>
      </w:r>
      <w:bookmarkEnd w:id="1462"/>
    </w:p>
    <w:p>
      <w:pPr>
        <w:pStyle w:val="BookText"/>
        <w:rPr/>
      </w:pPr>
      <w:r>
        <w:rPr>
          <w:rFonts w:ascii="IRNazanin" w:hAnsi="IRNazanin" w:eastAsia="IRNazanin"/>
          <w:color w:val="111111"/>
          <w:sz w:val="28"/>
          <w:sz w:val="28"/>
          <w:szCs w:val="28"/>
          <w:rtl w:val="true"/>
          <w:lang w:bidi="fa-IR"/>
        </w:rPr>
        <w:t>اهداف این پژوهش تمرکز بر حمایت از فکر همکاری از طریق فهرستگان و توسعه مجموعه اشتراکی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همکاری در سطح رسمی اکنون باید به عنوان یک انگیزه دیده شود تا یک محدودیت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گرایش، برقراری ارتباط بین تمام کتابخانه های دولتی جدا از وضعیت فعلی رشدشان از طریق پشتیبانی کامل سازمان مادرشان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شدت بر این باوریم که از طریق ثبت و عمومی سازی داده ها درباره تمام کتابخانه های دولتی یونان و بیان پیشنهادهایمان درباره شبکه مشترک جامعه را نسبت به بهره وری حاصل از همکاری واقعی کتابخانه ها حساس کنیم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گرایش، بر این باوریم که شرکت در ارتباطات رسمی تر از قبیل هم اندیشی ها، کارگاه های آموزشی یا همایش ها مفید خواهد بود با سازماندهی این نوع نشست ها کارکنان کتابخانه فرصت پیدا می کنند به کارکنان سایر کتابخانه ها نزدیکتر شوند، نگرانی ها و مشکلات خود را بیان کنند و امیدوارانه راه حلها را مشخص کنند تنها از طریق ارتباطات دائمی و اشتراک دانش مشکلات را می توان حل کرد از این طریق کتابخانه ها راه هایی را پیدا می کنند تا از عهده مشکلات جدی اقتصادی </w:t>
      </w:r>
      <w:bookmarkStart w:id="1463" w:name="pg9653_82371"/>
    </w:p>
    <w:p>
      <w:pPr>
        <w:pStyle w:val="BookText"/>
        <w:rPr/>
      </w:pPr>
      <w:bookmarkEnd w:id="1463"/>
      <w:r>
        <w:rPr>
          <w:rFonts w:ascii="IRNazanin" w:hAnsi="IRNazanin" w:eastAsia="IRNazanin"/>
          <w:color w:val="111111"/>
          <w:sz w:val="28"/>
          <w:sz w:val="28"/>
          <w:szCs w:val="28"/>
          <w:rtl w:val="true"/>
          <w:lang w:bidi="fa-IR"/>
        </w:rPr>
        <w:t>که روزانه با آن روبرویند، برآیند و با مراجعان خود هماهنگتر و پربارتر روبرو شوند</w:t>
      </w:r>
      <w:r>
        <w:rPr>
          <w:rFonts w:eastAsia="IRNazanin" w:cs="IRNazanin"/>
          <w:color w:val="111111"/>
          <w:sz w:val="28"/>
          <w:szCs w:val="28"/>
          <w:rtl w:val="true"/>
          <w:lang w:bidi="fa-IR"/>
        </w:rPr>
        <w:t>.</w:t>
      </w:r>
    </w:p>
    <w:p>
      <w:pPr>
        <w:pStyle w:val="Heading3"/>
        <w:numPr>
          <w:ilvl w:val="2"/>
          <w:numId w:val="1"/>
        </w:numPr>
        <w:rPr/>
      </w:pPr>
      <w:bookmarkStart w:id="1464" w:name="__RefHeading___Toc7767330_2870459653"/>
      <w:bookmarkStart w:id="1465" w:name="_Toc540"/>
      <w:bookmarkEnd w:id="1464"/>
      <w:r>
        <w:rPr>
          <w:rtl w:val="true"/>
        </w:rPr>
        <w:t>قدردانی</w:t>
      </w:r>
      <w:bookmarkEnd w:id="1465"/>
    </w:p>
    <w:p>
      <w:pPr>
        <w:pStyle w:val="BookText"/>
        <w:rPr/>
      </w:pPr>
      <w:r>
        <w:rPr>
          <w:rFonts w:ascii="IRNazanin" w:hAnsi="IRNazanin" w:eastAsia="IRNazanin"/>
          <w:color w:val="111111"/>
          <w:sz w:val="28"/>
          <w:sz w:val="28"/>
          <w:szCs w:val="28"/>
          <w:rtl w:val="true"/>
          <w:lang w:bidi="fa-IR"/>
        </w:rPr>
        <w:t>مایلیم از همکاری کارکنان کتابخانه های مذکور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باوریم که حضور آن ها در نهایت به تغییر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مایلیم از افراد زیر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استلیوس آگوریدیس </w:t>
      </w:r>
      <w:r>
        <w:rPr>
          <w:rStyle w:val="FootnoteAnchor"/>
          <w:rtl w:val="true"/>
        </w:rPr>
        <w:footnoteReference w:id="1870"/>
      </w:r>
      <w:r>
        <w:rPr>
          <w:rFonts w:ascii="IRNazanin" w:hAnsi="IRNazanin" w:eastAsia="IRNazanin"/>
          <w:color w:val="111111"/>
          <w:sz w:val="28"/>
          <w:sz w:val="28"/>
          <w:szCs w:val="28"/>
          <w:rtl w:val="true"/>
          <w:lang w:bidi="fa-IR"/>
        </w:rPr>
        <w:t xml:space="preserve">و دکتر یوآنیس پاپاگیانوپولس </w:t>
      </w:r>
      <w:r>
        <w:rPr>
          <w:rStyle w:val="FootnoteAnchor"/>
          <w:rtl w:val="true"/>
        </w:rPr>
        <w:footnoteReference w:id="1871"/>
      </w:r>
      <w:r>
        <w:rPr>
          <w:rFonts w:ascii="IRNazanin" w:hAnsi="IRNazanin" w:eastAsia="IRNazanin"/>
          <w:color w:val="111111"/>
          <w:sz w:val="28"/>
          <w:sz w:val="28"/>
          <w:szCs w:val="28"/>
          <w:rtl w:val="true"/>
          <w:lang w:bidi="fa-IR"/>
        </w:rPr>
        <w:t>، رؤسای کتابخانه های دفتر کل 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کلّ رسانه های جمعی و نیز دکتر والاسیوس دوبیوتیس </w:t>
      </w:r>
      <w:r>
        <w:rPr>
          <w:rStyle w:val="FootnoteAnchor"/>
          <w:rtl w:val="true"/>
        </w:rPr>
        <w:footnoteReference w:id="1872"/>
      </w:r>
      <w:r>
        <w:rPr>
          <w:rFonts w:ascii="IRNazanin" w:hAnsi="IRNazanin" w:eastAsia="IRNazanin"/>
          <w:color w:val="111111"/>
          <w:sz w:val="28"/>
          <w:sz w:val="28"/>
          <w:szCs w:val="28"/>
          <w:rtl w:val="true"/>
          <w:lang w:bidi="fa-IR"/>
        </w:rPr>
        <w:t xml:space="preserve">، مسئول واحد ورود اطلاعات </w:t>
      </w:r>
      <w:r>
        <w:rPr>
          <w:rStyle w:val="FootnoteAnchor"/>
          <w:rtl w:val="true"/>
        </w:rPr>
        <w:footnoteReference w:id="1873"/>
      </w:r>
      <w:r>
        <w:rPr>
          <w:rFonts w:ascii="IRNazanin" w:hAnsi="IRNazanin" w:eastAsia="IRNazanin"/>
          <w:color w:val="111111"/>
          <w:sz w:val="28"/>
          <w:sz w:val="28"/>
          <w:szCs w:val="28"/>
          <w:rtl w:val="true"/>
          <w:lang w:bidi="fa-IR"/>
        </w:rPr>
        <w:t>در همان سازمان برای وقت و اطلاعات با ارزشی که در اختیار ما گذاشتند</w:t>
      </w:r>
      <w:r>
        <w:rPr>
          <w:rFonts w:eastAsia="IRNazanin" w:cs="IRNazanin"/>
          <w:color w:val="111111"/>
          <w:sz w:val="28"/>
          <w:szCs w:val="28"/>
          <w:rtl w:val="true"/>
          <w:lang w:bidi="fa-IR"/>
        </w:rPr>
        <w:t>.</w:t>
      </w:r>
    </w:p>
    <w:p>
      <w:pPr>
        <w:pStyle w:val="Heading3"/>
        <w:numPr>
          <w:ilvl w:val="2"/>
          <w:numId w:val="1"/>
        </w:numPr>
        <w:rPr/>
      </w:pPr>
      <w:bookmarkStart w:id="1466" w:name="__RefHeading___Toc7767332_2870459653"/>
      <w:bookmarkStart w:id="1467" w:name="_Toc541"/>
      <w:bookmarkEnd w:id="1466"/>
      <w:r>
        <w:rPr>
          <w:rtl w:val="true"/>
        </w:rPr>
        <w:t>منابع</w:t>
      </w:r>
      <w:bookmarkEnd w:id="1467"/>
    </w:p>
    <w:p>
      <w:pPr>
        <w:pStyle w:val="BookText"/>
        <w:rPr/>
      </w:pPr>
      <w:r>
        <w:rPr>
          <w:rFonts w:eastAsia="Times New Roman" w:cs="Times New Roman" w:ascii="Times New Roman" w:hAnsi="Times New Roman"/>
          <w:color w:val="111111"/>
          <w:sz w:val="28"/>
          <w:szCs w:val="28"/>
          <w:lang w:val="en-US" w:bidi="en-US"/>
        </w:rPr>
        <w:t>Bolt, N. and Burge, S. (Eds). Guidelines for libraries of government departments. IFLA Professional Reports, No. 106 (2008). Available at: http://www.ifla.org/files/governmentlibraries/ Guidelines%28English%29.pdf (Last accessed April 2012)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Gorman, M. Libraries: Networking for National Development. Conference held at the National Library of Jamaica, November 22 - 23, 2007. Available at: http:// www.nlj.gov.jm/NLJ/files/ul/ing_for_National Development - MichaelGorman. pdf (Last accessed April 2012)</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Tsimpoglou, F. C. (2008). Libraries' cooperation: a systemic approach. Athens: Papasotiriou, 2008. (In Greek) A Guide to Coordinated and Cooperative Collection Development Among Libraries. Available at: http://www.caboces.org/sites/default/files/Cooperative%20 Collection%20Pla n%20of%20Service.pdf (Last accessed April 2012)</w:t>
      </w:r>
      <w:r>
        <w:rPr>
          <w:rFonts w:eastAsia="Times New Roman" w:cs="Times New Roman" w:ascii="Times New Roman" w:hAnsi="Times New Roman"/>
          <w:color w:val="111111"/>
          <w:sz w:val="28"/>
          <w:szCs w:val="28"/>
          <w:rtl w:val="true"/>
          <w:lang w:val="en-US" w:bidi="en-US"/>
        </w:rPr>
        <w:t xml:space="preserve"> </w:t>
      </w:r>
      <w:bookmarkStart w:id="1468" w:name="pg9653_82372"/>
    </w:p>
    <w:p>
      <w:pPr>
        <w:pStyle w:val="Heading3"/>
        <w:numPr>
          <w:ilvl w:val="2"/>
          <w:numId w:val="1"/>
        </w:numPr>
        <w:rPr/>
      </w:pPr>
      <w:bookmarkStart w:id="1469" w:name="__RefHeading___Toc7767334_2870459653"/>
      <w:bookmarkStart w:id="1470" w:name="_Toc542"/>
      <w:bookmarkEnd w:id="1468"/>
      <w:bookmarkEnd w:id="1469"/>
      <w:r>
        <w:rPr>
          <w:rtl w:val="true"/>
        </w:rPr>
        <w:t>یادداشت ها</w:t>
      </w:r>
      <w:bookmarkEnd w:id="1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DDC</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Universal Decimal Classification (UDC</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Anglo-American Cataloguing (AACR-2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UTF-8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 39.50</w:t>
      </w:r>
      <w:r>
        <w:rPr>
          <w:rFonts w:eastAsia="Times New Roman" w:cs="Times New Roman" w:ascii="Times New Roman" w:hAnsi="Times New Roman"/>
          <w:color w:val="111111"/>
          <w:sz w:val="28"/>
          <w:szCs w:val="28"/>
          <w:rtl w:val="true"/>
          <w:lang w:val="en-US" w:bidi="en-US"/>
        </w:rPr>
        <w:t xml:space="preserve">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1" w:name="pg9653_82374"/>
      <w:bookmarkStart w:id="1472" w:name="pg9653_82374"/>
      <w:bookmarkEnd w:id="1472"/>
    </w:p>
    <w:p>
      <w:pPr>
        <w:pStyle w:val="Heading2"/>
        <w:numPr>
          <w:ilvl w:val="1"/>
          <w:numId w:val="1"/>
        </w:numPr>
        <w:rPr/>
      </w:pPr>
      <w:bookmarkStart w:id="1473" w:name="pg9653_82374"/>
      <w:bookmarkStart w:id="1474" w:name="__RefHeading___Toc7767336_2870459653"/>
      <w:bookmarkStart w:id="1475" w:name="_Toc543"/>
      <w:bookmarkEnd w:id="1473"/>
      <w:bookmarkEnd w:id="1474"/>
      <w:r>
        <w:rPr>
          <w:rtl w:val="true"/>
        </w:rPr>
        <w:t>چکیده</w:t>
      </w:r>
      <w:bookmarkEnd w:id="1475"/>
    </w:p>
    <w:p>
      <w:pPr>
        <w:pStyle w:val="BookText"/>
        <w:rPr/>
      </w:pPr>
      <w:r>
        <w:rPr>
          <w:rFonts w:ascii="IRNazanin" w:hAnsi="IRNazanin" w:eastAsia="IRNazanin"/>
          <w:color w:val="111111"/>
          <w:sz w:val="28"/>
          <w:sz w:val="28"/>
          <w:szCs w:val="28"/>
          <w:rtl w:val="true"/>
          <w:lang w:bidi="fa-IR"/>
        </w:rPr>
        <w:t>این ارائه گزارشی از یافته های اولیه مطالعه سه کشور در آموزش فهرستنویسی و رده بندی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پرسشنامه ها به موازات برای روسای دانشکده های کتابداری و استادان فهرستنویسی در آفریقای جنوبی، برزیل و ایالات متحده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پرسشنامه از نظر محتوا ابتدا با اصطلاحات علمی و اصلی معمول پرسشنامه پژوهش تطبیق داده شد بیشتر پرسش ها نتایجی مشابه با سازگاری بسیار با داده ها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اولیه در درجه اول از پرسش های چندگزینه ای است این اطلاعات پایه و اساس تصمیم گیری برای مباحثی است که به احتمال زیاد شایسته پژوهش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پاسخ های داده شده این اطلاعات را نشان می دهد که محتوای فهرستنویسی و رده بندی در برنامه های درسی چیست، روش های آموزشی مورد استفاده در تدریس فهرست نویسی و رده بندی برنامه های آموزشی و سطح هایی که این دوره ها در آن ارائه می شوند کدامند و شامل چالش ها و راه حل های پیشنهاد شده در سه کشور است در حالی که شباهت های بسیاری وجود دارد و این شباهت ها بین آفریقای جنوبی و ایالات متحده قوی تر از شباهت ها بین برزیل و هر یک از دو کشور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بر این باورند که این تفاوت ها ممکن است به دلیل نفوذ سنت های مختلف اروپایی در توسعه آموزش کتابداری و اطلاع رسانی در هر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دیگر شامل استفاده و در دسترس بودن فناوری و مشاجره بین کلمه کتابداری و اطلاع رسانی است نتایج بیشتر از تجزیه و تحلیل همبستگی داده ها و تجزیه و تحلیل کیفی بسیاری از پرسش ها از پرسشنامه مشتق شده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رده بندی، آموزش کتابداری و اطلاع رسانی آفریقای جنوبی، ایالات متحده، آفریقای جنوبی </w:t>
      </w:r>
      <w:bookmarkStart w:id="1476" w:name="pg9653_82375"/>
    </w:p>
    <w:p>
      <w:pPr>
        <w:pStyle w:val="Heading2"/>
        <w:numPr>
          <w:ilvl w:val="1"/>
          <w:numId w:val="1"/>
        </w:numPr>
        <w:rPr/>
      </w:pPr>
      <w:bookmarkStart w:id="1477" w:name="__RefHeading___Toc7767338_2870459653"/>
      <w:bookmarkStart w:id="1478" w:name="_Toc544"/>
      <w:bookmarkEnd w:id="1476"/>
      <w:bookmarkEnd w:id="1477"/>
      <w:r>
        <w:rPr>
          <w:rtl w:val="true"/>
        </w:rPr>
        <w:t>آموزش و یادگیری فهرستنویسی و رده بندی علوم کتابداری و اطلاع رسانی</w:t>
      </w:r>
      <w:r>
        <w:rPr>
          <w:rtl w:val="true"/>
        </w:rPr>
        <w:t xml:space="preserve">/ </w:t>
      </w:r>
      <w:r>
        <w:rPr>
          <w:rtl w:val="true"/>
        </w:rPr>
        <w:t>مطالعاتی در آفریقای جنوبی، برزیل و ایالات متحده آمریکا</w:t>
      </w:r>
      <w:bookmarkEnd w:id="1478"/>
    </w:p>
    <w:p>
      <w:pPr>
        <w:pStyle w:val="Heading3"/>
        <w:numPr>
          <w:ilvl w:val="2"/>
          <w:numId w:val="1"/>
        </w:numPr>
        <w:rPr/>
      </w:pPr>
      <w:bookmarkStart w:id="1479" w:name="__RefHeading___Toc7767340_2870459653"/>
      <w:bookmarkStart w:id="1480" w:name="_Toc545"/>
      <w:bookmarkEnd w:id="1479"/>
      <w:r>
        <w:rPr>
          <w:rtl w:val="true"/>
        </w:rPr>
        <w:t>اشاره</w:t>
      </w:r>
      <w:bookmarkEnd w:id="1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یادگیری فهرستنویسی و رده بندی علوم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مطالعاتی در آفریقای جنوبی، برزیل و ایالات متحده آمریکا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نوشته دنیس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اوکالا و لیدمیلا اوکالا </w:t>
      </w:r>
      <w:r>
        <w:rPr>
          <w:rStyle w:val="FootnoteAnchor"/>
          <w:rtl w:val="true"/>
        </w:rPr>
        <w:footnoteReference w:id="1875"/>
      </w:r>
      <w:r>
        <w:rPr>
          <w:rFonts w:ascii="IRNazanin" w:hAnsi="IRNazanin" w:eastAsia="IRNazanin"/>
          <w:color w:val="111111"/>
          <w:sz w:val="28"/>
          <w:sz w:val="28"/>
          <w:szCs w:val="28"/>
          <w:rtl w:val="true"/>
          <w:lang w:bidi="fa-IR"/>
        </w:rPr>
        <w:t xml:space="preserve">هوپ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اولسون و جینت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گلاور، </w:t>
      </w:r>
      <w:r>
        <w:rPr>
          <w:rStyle w:val="FootnoteAnchor"/>
          <w:rtl w:val="true"/>
        </w:rPr>
        <w:footnoteReference w:id="1876"/>
      </w:r>
      <w:r>
        <w:rPr>
          <w:rFonts w:ascii="IRNazanin" w:hAnsi="IRNazanin" w:eastAsia="IRNazanin"/>
          <w:color w:val="111111"/>
          <w:sz w:val="28"/>
          <w:sz w:val="28"/>
          <w:szCs w:val="28"/>
          <w:rtl w:val="true"/>
          <w:lang w:bidi="fa-IR"/>
        </w:rPr>
        <w:t xml:space="preserve">خوزه اوگوستو گویماراس </w:t>
      </w:r>
      <w:r>
        <w:rPr>
          <w:rStyle w:val="FootnoteAnchor"/>
          <w:rtl w:val="true"/>
        </w:rPr>
        <w:footnoteReference w:id="1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طاهره یعقوب پور نرگسی </w:t>
      </w:r>
      <w:r>
        <w:rPr>
          <w:rStyle w:val="FootnoteAnchor"/>
          <w:rtl w:val="true"/>
        </w:rPr>
        <w:footnoteReference w:id="1878"/>
      </w:r>
    </w:p>
    <w:p>
      <w:pPr>
        <w:pStyle w:val="Heading3"/>
        <w:numPr>
          <w:ilvl w:val="2"/>
          <w:numId w:val="1"/>
        </w:numPr>
        <w:rPr/>
      </w:pPr>
      <w:bookmarkStart w:id="1481" w:name="__RefHeading___Toc7767342_2870459653"/>
      <w:bookmarkStart w:id="1482" w:name="_Toc546"/>
      <w:bookmarkEnd w:id="1481"/>
      <w:r>
        <w:rPr>
          <w:rtl w:val="true"/>
        </w:rPr>
        <w:t>مقدمه</w:t>
      </w:r>
      <w:bookmarkEnd w:id="1482"/>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فهرست نویسی و رده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سی ای</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با چالش های بسیاری مواجه است حتی اگر متخصصان و مربیان موافق باشند که فهرستنویسی و رده بندی هسته مطالعات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آی اس</w:t>
      </w:r>
      <w:r>
        <w:rPr>
          <w:rFonts w:eastAsia="IRNazanin" w:cs="IRNazanin"/>
          <w:color w:val="111111"/>
          <w:sz w:val="28"/>
          <w:szCs w:val="28"/>
          <w:rtl w:val="true"/>
          <w:lang w:bidi="fa-IR"/>
        </w:rPr>
        <w:t xml:space="preserve">) </w:t>
      </w:r>
      <w:r>
        <w:rPr>
          <w:rStyle w:val="FootnoteAnchor"/>
          <w:rtl w:val="true"/>
        </w:rPr>
        <w:footnoteReference w:id="18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شدت، از آموزش فهرستنویسی و رده بندی به عنوان یک جزء مهم آموزش کتابداری و اطلاع رسانی پشتیبانی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کلیت </w:t>
      </w:r>
      <w:r>
        <w:rPr>
          <w:rStyle w:val="FootnoteAnchor"/>
          <w:rtl w:val="true"/>
        </w:rPr>
        <w:footnoteReference w:id="1881"/>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بوون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 </w:t>
      </w:r>
      <w:r>
        <w:rPr>
          <w:rStyle w:val="FootnoteAnchor"/>
          <w:rtl w:val="true"/>
        </w:rPr>
        <w:footnoteReference w:id="1882"/>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حسین </w:t>
      </w:r>
      <w:r>
        <w:rPr>
          <w:rStyle w:val="FootnoteAnchor"/>
          <w:rtl w:val="true"/>
        </w:rPr>
        <w:footnoteReference w:id="188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شانگوا </w:t>
      </w:r>
      <w:r>
        <w:rPr>
          <w:rStyle w:val="FootnoteAnchor"/>
          <w:rtl w:val="true"/>
        </w:rPr>
        <w:footnoteReference w:id="1884"/>
      </w:r>
      <w:r>
        <w:rPr>
          <w:rFonts w:ascii="IRNazanin" w:hAnsi="IRNazanin" w:eastAsia="IRNazanin"/>
          <w:color w:val="111111"/>
          <w:sz w:val="28"/>
          <w:sz w:val="28"/>
          <w:szCs w:val="28"/>
          <w:rtl w:val="true"/>
          <w:lang w:bidi="fa-IR"/>
        </w:rPr>
        <w:t xml:space="preserve">و اوکالا،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885"/>
      </w:r>
      <w:r>
        <w:rPr>
          <w:rFonts w:ascii="IRNazanin" w:hAnsi="IRNazanin" w:eastAsia="IRNazanin"/>
          <w:color w:val="111111"/>
          <w:sz w:val="28"/>
          <w:sz w:val="28"/>
          <w:szCs w:val="28"/>
          <w:rtl w:val="true"/>
          <w:lang w:bidi="fa-IR"/>
        </w:rPr>
        <w:t xml:space="preserve">اوکالا و او کالا،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چالش ها باقی مانده است و آن ها در سراسر کشورها و فرهنگ ها تفاوت دارد از جمله در سه کشور نشان داده شده که در این مطالعه گزارش شده است این کشورها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 جنوبی، برزیل و ایالات متحده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آفریقای جنوبی دارای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اطلاع رسانی کتابداری با نام های مختلف و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فهرستنویسی و رده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های آفریقای جنوبی شامل کمبود فهرستنویسان و شرایطی است که مانع استفاده کامل از فناوری در آموزش فهرستنویسی و رده بندی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اوکالا و اوکالا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کتابداری و اطلاع رسانی در برزیل تلاش های موفقی برای همکاری در کشور و در منطقه میکسو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آرژانتین، برزیل، شیلی، پاراگوئه و اوروگوئه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تخصص های مستندسازی و اطلاع رسانی پیش بینی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دانشکده ها خطوط قوی ارتباطی با یکدیگر دارند و در نتیجه همکاری متقابل است سازماندهی اطلاعات یا دانش در مفهوم خدمات علوم اطلاع رسانی به عنوان دامنه نظری آن است که یک نظریه مشترک و اساس روش شناختی برای حوزه های کاربردی شامل آرشیو کتابخانه و علوم موزه فراهم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میسن،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Style w:val="FootnoteAnchor"/>
          <w:rtl w:val="true"/>
        </w:rPr>
        <w:footnoteReference w:id="1886"/>
      </w:r>
      <w:r>
        <w:rPr>
          <w:rFonts w:ascii="IRNazanin" w:hAnsi="IRNazanin" w:eastAsia="IRNazanin"/>
          <w:color w:val="111111"/>
          <w:sz w:val="28"/>
          <w:sz w:val="28"/>
          <w:szCs w:val="28"/>
          <w:rtl w:val="true"/>
          <w:lang w:bidi="fa-IR"/>
        </w:rPr>
        <w:t xml:space="preserve">هومیلایس،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Style w:val="FootnoteAnchor"/>
          <w:rtl w:val="true"/>
        </w:rPr>
        <w:footnoteReference w:id="1887"/>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 xml:space="preserve">در ایالات متحده آموزش فهرستنویسی و رده بندی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لایبرری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اینفورمیشن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های کتابداری به سرعت در حال پیوستن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اطلاع رسانی</w:t>
      </w:r>
      <w:r>
        <w:rPr>
          <w:rFonts w:eastAsia="IRNazanin" w:cs="IRNazanin"/>
          <w:color w:val="111111"/>
          <w:sz w:val="28"/>
          <w:szCs w:val="28"/>
          <w:rtl w:val="true"/>
          <w:lang w:bidi="fa-IR"/>
        </w:rPr>
        <w:t xml:space="preserve">) </w:t>
      </w:r>
      <w:r>
        <w:rPr>
          <w:rStyle w:val="FootnoteAnchor"/>
          <w:rtl w:val="true"/>
        </w:rPr>
        <w:footnoteReference w:id="1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مدرسه اطلاعات یک موسسه در سطح دانشگاه متعهد به درک نقش اطلاعات در طبیعت و تلاش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هستند که به نظر می رسد کاهش تأکید و ارزش فهرستنویسی و رده بندی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فهرست های رسمی از مباحث شایسته بحث و گفت و گو در فهرست های الکترونیکی تحلیل وسیعی از مطالعات موجود از برنامه های درسی و برنامه های درسی جاری قرار گرفته در وبگاه های دانشکده ها بررسی کردند آن ها به این نتیجه رسیدند تا زمانی که اصول فهرستنویسی و رده بندی در برنامه های درسی بسیاری از دانشکده ها باقی مانده است اغلب بر این باورند که مهارت در استفاده از آن اصول که تمرین حرفه ای است ضرورتی</w:t>
      </w:r>
      <w:bookmarkStart w:id="1483" w:name="pg9653_82377"/>
    </w:p>
    <w:p>
      <w:pPr>
        <w:pStyle w:val="BookText"/>
        <w:rPr/>
      </w:pPr>
      <w:bookmarkEnd w:id="1483"/>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مسائل مربوط به تجربه های مختلف و توانایی هر یک از آن ها برای آینده شان، این پژوهش چهار پرسش را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برنامه های درسی فهرست نویسی و رده بندی در فرهنگ های کشورهای مختلف تفاوت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تفاوت ها چه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تفاوت ها وجود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شباهت کافی در مفاهیم انگیزه ها و غیره وجود دارد؟ کسانی که فهرستنویسی و رده بندی در یک کشور فرهنگ تدریس می کنند می توانند از همتایان خود در جای دیگر یاد بگیرند؟ یا این که آن ها بیش از حد بافت خاص دارند؟</w:t>
      </w:r>
    </w:p>
    <w:p>
      <w:pPr>
        <w:pStyle w:val="BookText"/>
        <w:rPr/>
      </w:pPr>
      <w:r>
        <w:rPr>
          <w:rFonts w:ascii="IRNazanin" w:hAnsi="IRNazanin" w:eastAsia="IRNazanin"/>
          <w:color w:val="111111"/>
          <w:sz w:val="28"/>
          <w:sz w:val="28"/>
          <w:szCs w:val="28"/>
          <w:rtl w:val="true"/>
          <w:lang w:bidi="fa-IR"/>
        </w:rPr>
        <w:t>این پرسش ها بسیار گسترده اند اما برای اشراف بر تنوع جنبه های آموزش فهرستنویسی و رده بندی، مطالعه آن ها ضرورت دارد</w:t>
      </w:r>
      <w:r>
        <w:rPr>
          <w:rFonts w:eastAsia="IRNazanin" w:cs="IRNazanin"/>
          <w:color w:val="111111"/>
          <w:sz w:val="28"/>
          <w:szCs w:val="28"/>
          <w:rtl w:val="true"/>
          <w:lang w:bidi="fa-IR"/>
        </w:rPr>
        <w:t>.</w:t>
      </w:r>
    </w:p>
    <w:p>
      <w:pPr>
        <w:pStyle w:val="Heading3"/>
        <w:numPr>
          <w:ilvl w:val="2"/>
          <w:numId w:val="1"/>
        </w:numPr>
        <w:rPr/>
      </w:pPr>
      <w:bookmarkStart w:id="1484" w:name="__RefHeading___Toc7767344_2870459653"/>
      <w:bookmarkStart w:id="1485" w:name="_Toc547"/>
      <w:bookmarkEnd w:id="1484"/>
      <w:r>
        <w:rPr>
          <w:rtl w:val="true"/>
        </w:rPr>
        <w:t>روش شناسی</w:t>
      </w:r>
      <w:bookmarkEnd w:id="1485"/>
    </w:p>
    <w:p>
      <w:pPr>
        <w:pStyle w:val="BookText"/>
        <w:rPr/>
      </w:pPr>
      <w:r>
        <w:rPr>
          <w:rFonts w:ascii="IRNazanin" w:hAnsi="IRNazanin" w:eastAsia="IRNazanin"/>
          <w:color w:val="111111"/>
          <w:sz w:val="28"/>
          <w:sz w:val="28"/>
          <w:szCs w:val="28"/>
          <w:rtl w:val="true"/>
          <w:lang w:bidi="fa-IR"/>
        </w:rPr>
        <w:t xml:space="preserve">ما پرسشنامه ها را بین رؤسای دانشکده های کتابداری و استادان فهرستنویسی و رده بندی در آفریقای جنوبی، ایالات متحده و برزیل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کردیم پرسشنامه در آفریقای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اوکالا و اوکالا،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مطالعات قبلی دانشکده های کتابداری و اطلاع رسانی توسعه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مثال گلوب،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890"/>
      </w:r>
      <w:r>
        <w:rPr>
          <w:rFonts w:ascii="IRNazanin" w:hAnsi="IRNazanin" w:eastAsia="IRNazanin"/>
          <w:color w:val="111111"/>
          <w:sz w:val="28"/>
          <w:sz w:val="28"/>
          <w:szCs w:val="28"/>
          <w:rtl w:val="true"/>
          <w:lang w:bidi="fa-IR"/>
        </w:rPr>
        <w:t xml:space="preserve">اوکالا،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و اندوانوا </w:t>
      </w:r>
      <w:r>
        <w:rPr>
          <w:rStyle w:val="FootnoteAnchor"/>
          <w:rtl w:val="true"/>
        </w:rPr>
        <w:footnoteReference w:id="1891"/>
      </w:r>
      <w:r>
        <w:rPr>
          <w:rFonts w:ascii="IRNazanin" w:hAnsi="IRNazanin" w:eastAsia="IRNazanin"/>
          <w:color w:val="111111"/>
          <w:sz w:val="28"/>
          <w:sz w:val="28"/>
          <w:szCs w:val="28"/>
          <w:rtl w:val="true"/>
          <w:lang w:bidi="fa-IR"/>
        </w:rPr>
        <w:t xml:space="preserve">، اوکالا وجیب،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1892"/>
      </w:r>
      <w:r>
        <w:rPr>
          <w:rFonts w:ascii="IRNazanin" w:hAnsi="IRNazanin" w:eastAsia="IRNazanin"/>
          <w:color w:val="111111"/>
          <w:sz w:val="28"/>
          <w:sz w:val="28"/>
          <w:szCs w:val="28"/>
          <w:rtl w:val="true"/>
          <w:lang w:bidi="fa-IR"/>
        </w:rPr>
        <w:t xml:space="preserve">این اساس دو پرسشنامه در هر سه کشور بود اما تغییرات در درجه اول برای روشن شدن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اصطلاحات مختلف برای استادان از متخصصان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نامه های ملی برای بررسی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پرسشنامه ها بیشتر به همان صورت باقیماند تفاوت های پیدا شده هر یک از آن ها در مفهوم مؤثرتر ،بود، نه تفاوت در محتوا</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پرسشنامه ها شامل نتایج چند گزینه ای هر دو داده کمی و کیفی بود روش های جمع آوری داده ها نیز برای پرسش های باز آن ها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آفریقای جنوبی پرسشنامه ها از طریق پست الکترونیکی به رؤسا و استادان فهرست نویسی و رده بندی تمام هشت دانشکده آفریقای جنوبی که در آن ها آموزش </w:t>
      </w:r>
      <w:bookmarkStart w:id="1486" w:name="pg9653_82378"/>
    </w:p>
    <w:p>
      <w:pPr>
        <w:pStyle w:val="BookText"/>
        <w:rPr/>
      </w:pPr>
      <w:bookmarkEnd w:id="1486"/>
      <w:r>
        <w:rPr>
          <w:rFonts w:ascii="IRNazanin" w:hAnsi="IRNazanin" w:eastAsia="IRNazanin"/>
          <w:color w:val="111111"/>
          <w:sz w:val="28"/>
          <w:sz w:val="28"/>
          <w:szCs w:val="28"/>
          <w:rtl w:val="true"/>
          <w:lang w:bidi="fa-IR"/>
        </w:rPr>
        <w:t xml:space="preserve">فهرستنویسی و رده بندی تدریس می شود فرستاده شد و پیگیری و بازدید شد با نرخ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از طریق مصاحبه ها و برنامه های درسی دوره تائید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برزیل پرسشنامه ها از طریق پست الکترونیک برای رؤسا و استادان فهرست نویسی و رده بندی تمام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کتابداری برزیل در مقطع کارشناسی فرستاده 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اطلاع رسانی برزیل در مقطع کارشناسی ارشد هستند که به پرسشنامه پاسخ ندادند چون کتابداران متخصص در دانشکده های مقطع کارشناسی تحصیل کرده اند و دانشکده های تحصیلات تکمیلی به پرورش استادان و پژوهش های علوم اطلاع رسانی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پاسخ ها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از طریق جست و جوی صفحات خانگی وبگاه های دانشکده های کتابداری تأیید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ایالات متحده پیام های پست الکترونیکی به رؤسا و استادان فهرستنویسی و رده بندی همه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که مدارک تحصیلی کارشناسی ارشدشان مورد تائید انجمن کتابداران آمریکا </w:t>
      </w:r>
      <w:r>
        <w:rPr>
          <w:rStyle w:val="FootnoteAnchor"/>
          <w:rtl w:val="true"/>
        </w:rPr>
        <w:footnoteReference w:id="1893"/>
      </w:r>
      <w:r>
        <w:rPr>
          <w:rFonts w:ascii="IRNazanin" w:hAnsi="IRNazanin" w:eastAsia="IRNazanin"/>
          <w:color w:val="111111"/>
          <w:sz w:val="28"/>
          <w:sz w:val="28"/>
          <w:szCs w:val="28"/>
          <w:rtl w:val="true"/>
          <w:lang w:bidi="fa-IR"/>
        </w:rPr>
        <w:t xml:space="preserve">است فرستاده شد و آن ها را به شرکت در پژوهش دعوت کرد پیام ها شامل پیوند به پرسشنامه های برخط با استفاده از نرم افزار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کوالتریکس</w:t>
      </w:r>
      <w:r>
        <w:rPr>
          <w:rFonts w:eastAsia="IRNazanin" w:cs="IRNazanin"/>
          <w:color w:val="111111"/>
          <w:sz w:val="28"/>
          <w:szCs w:val="28"/>
          <w:rtl w:val="true"/>
          <w:lang w:bidi="fa-IR"/>
        </w:rPr>
        <w:t xml:space="preserve">) </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کاربران را قادر می سازد تا بتوانند انواع داده ها را به صورت آنلاین تجزیه و تحلیل نمایند و به صورت بازخوردی در این وبسایت نمایش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دانشگاهیان ایالات متحده به احتمال بیشتر به پرسشنامه پاسخ خواهند داد اگر اطلاعات ناشناس باشد این همان چیزی است که آن ها انتظار دیدن آن دارند این ناشناسی توسط نرم افزار کوالتریکس پشتیبانی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پاسخگویی پایین بود به طوری که میزان شرکت برای پرسشنامه های برخط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ارائه، نتایج معنی دار یافته ها از تجزیه و تحلیل اولیه را گزارش می کند</w:t>
      </w:r>
      <w:r>
        <w:rPr>
          <w:rFonts w:eastAsia="IRNazanin" w:cs="IRNazanin"/>
          <w:color w:val="111111"/>
          <w:sz w:val="28"/>
          <w:szCs w:val="28"/>
          <w:rtl w:val="true"/>
          <w:lang w:bidi="fa-IR"/>
        </w:rPr>
        <w:t>.</w:t>
      </w:r>
    </w:p>
    <w:p>
      <w:pPr>
        <w:pStyle w:val="Heading3"/>
        <w:numPr>
          <w:ilvl w:val="2"/>
          <w:numId w:val="1"/>
        </w:numPr>
        <w:rPr/>
      </w:pPr>
      <w:bookmarkStart w:id="1487" w:name="__RefHeading___Toc7767346_2870459653"/>
      <w:bookmarkStart w:id="1488" w:name="_Toc548"/>
      <w:bookmarkEnd w:id="1487"/>
      <w:r>
        <w:rPr>
          <w:rtl w:val="true"/>
        </w:rPr>
        <w:t>یافته ها</w:t>
      </w:r>
      <w:bookmarkEnd w:id="1488"/>
    </w:p>
    <w:p>
      <w:pPr>
        <w:pStyle w:val="BookText"/>
        <w:rPr/>
      </w:pPr>
      <w:r>
        <w:rPr>
          <w:rFonts w:ascii="IRNazanin" w:hAnsi="IRNazanin" w:eastAsia="IRNazanin"/>
          <w:color w:val="111111"/>
          <w:sz w:val="28"/>
          <w:sz w:val="28"/>
          <w:szCs w:val="28"/>
          <w:rtl w:val="true"/>
          <w:lang w:bidi="fa-IR"/>
        </w:rPr>
        <w:t>تمرکز این ارائه بر پایه تجزیه و تحلیل کمّی داده ها است که نتایج روشن تر این مطالعه می باشد نخستین سطح از تجزیه و تحلیل تا حدی به پرسش های پژوهش پاسخ می دهد و راه را برای تجزیه و تحلیل عمیق تر موضوع های منتخب ذکر شده در نتیجه، نشان می دهد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نگاه کردن به پرسش های پژوهش، مهم است که در آغاز پاسخ دهندگان به پرسشنامه ها احساس کردند که موضوع مطالعه ،خود مناسب است یا خیر آیا آن ها بر این باورند که هنوز تدریس فهرستنویسی و رده بندی در دانشکده های کتابداری و اطلاع رسانی ضروری است؟ </w:t>
      </w:r>
      <w:bookmarkStart w:id="1489" w:name="pg9653_82379"/>
    </w:p>
    <w:p>
      <w:pPr>
        <w:pStyle w:val="BookText"/>
        <w:rPr/>
      </w:pPr>
      <w:bookmarkEnd w:id="1489"/>
      <w:r>
        <w:rPr>
          <w:rFonts w:ascii="IRNazanin" w:hAnsi="IRNazanin" w:eastAsia="IRNazanin"/>
          <w:color w:val="111111"/>
          <w:sz w:val="28"/>
          <w:sz w:val="28"/>
          <w:szCs w:val="28"/>
          <w:rtl w:val="true"/>
          <w:lang w:bidi="fa-IR"/>
        </w:rPr>
        <w:t xml:space="preserve">از نظر پاسخ دهندگان آفریقای جنوبی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کتابداری و اطلاع رسانی فهرستنویسی و رده بندی هسته اصلی رشته های علوم کتابداری و اطلاع رسانی است و ستون اصلی از صلاحیت حرفه ای کتابداری و اطلاع رسانی است البته دوره ای است که از دانش اطلاع رسانی و کتابداری و خدمات مرجع پشتیبانی می کند برای تجزیه و تحلیل انتقادی و تجزیه مجموعه کتابخانه مبتنی بر حوزه های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ساختار، برای خدمات اطلاع رسانی مؤثر بسیار مفید است و برای سازماندهی دانش در کتابخانه ها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برزیل بر این باور بودند که پردازش اطلاعات شامل رده بندی، نمایه سازی، چکیده نویسی، فهرست نویسی و بازیابی اطلاعات، هسته مطالعات کتابداری و اطلاع رسانی ،است و به طور متوسط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کل دوره رشته کتابداری را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توافق نامه آموزشی میکسو اِل آی اس</w:t>
      </w:r>
      <w:r>
        <w:rPr>
          <w:rFonts w:eastAsia="IRNazanin" w:cs="IRNazanin"/>
          <w:color w:val="111111"/>
          <w:sz w:val="28"/>
          <w:szCs w:val="28"/>
          <w:rtl w:val="true"/>
          <w:lang w:bidi="fa-IR"/>
        </w:rPr>
        <w:t xml:space="preserve">) </w:t>
      </w:r>
      <w:r>
        <w:rPr>
          <w:rStyle w:val="FootnoteAnchor"/>
          <w:rtl w:val="true"/>
        </w:rPr>
        <w:footnoteReference w:id="1895"/>
      </w:r>
      <w:r>
        <w:rPr>
          <w:rFonts w:ascii="IRNazanin" w:hAnsi="IRNazanin" w:eastAsia="IRNazanin"/>
          <w:color w:val="111111"/>
          <w:sz w:val="28"/>
          <w:sz w:val="28"/>
          <w:szCs w:val="28"/>
          <w:rtl w:val="true"/>
          <w:lang w:bidi="fa-IR"/>
        </w:rPr>
        <w:t>توافق در این مفهوم اساسی مبتنی بر رابطه بین نقش علم اطلاع رسانی به عنوان یک حوزه نظری در پشتیبانی از حوزه اطلاعات عملی مانند علوم آرشیوی، علوم کتابداری و همچنین موزه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پاسخ دهندگان اعلام کردند که تدریس رده بندی و فهرست نویسی در مدارس کتابداری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نظر گرفتن نیاز به تغییرات و سازگاری به تناسب نیازهای کاربران جدید از جمله نیاز به تجهیز توانمندسازی فن آورانه برای کتابداران و کاربران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ها به جز یکی از پاسخ دهندگان ایالات متحده، البته نه از صمیم دل به توافق رسیدند که فهرستنویسی و رده بندی باید برای دانشجویان در دسترس باشد بسیاری از آن ها آموزش فهرستنویسی و رده بندی را به عنوان یک دوره انتخابی مورد نیاز پیشنهاد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هسیه یی،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896"/>
      </w:r>
      <w:r>
        <w:rPr>
          <w:rFonts w:ascii="IRNazanin" w:hAnsi="IRNazanin" w:eastAsia="IRNazanin"/>
          <w:color w:val="111111"/>
          <w:sz w:val="28"/>
          <w:sz w:val="28"/>
          <w:szCs w:val="28"/>
          <w:rtl w:val="true"/>
          <w:lang w:bidi="fa-IR"/>
        </w:rPr>
        <w:t>این ابهام را آشکار می سازد؛ وی اشاره می کند که فهرست های سنتی با این که مورد اعتماد کاربران است نخستین انتخاب در پیدا کردن اطلاعات نیست و دیگر مقرون به صرفه نیست او نتیجه می گیرد که با این حال، نظریه و اصول سازماندهی دانش هنوز هم ضروری است و نیاز دارد با دانش فناورانه پیوند زده شود</w:t>
      </w:r>
      <w:r>
        <w:rPr>
          <w:rFonts w:eastAsia="IRNazanin" w:cs="IRNazanin"/>
          <w:color w:val="111111"/>
          <w:sz w:val="28"/>
          <w:szCs w:val="28"/>
          <w:rtl w:val="true"/>
          <w:lang w:bidi="fa-IR"/>
        </w:rPr>
        <w:t>.</w:t>
      </w:r>
    </w:p>
    <w:p>
      <w:pPr>
        <w:pStyle w:val="Heading3"/>
        <w:numPr>
          <w:ilvl w:val="2"/>
          <w:numId w:val="1"/>
        </w:numPr>
        <w:rPr/>
      </w:pPr>
      <w:bookmarkStart w:id="1490" w:name="__RefHeading___Toc7767348_2870459653"/>
      <w:bookmarkStart w:id="1491" w:name="_Toc549"/>
      <w:bookmarkEnd w:id="1490"/>
      <w:r>
        <w:rPr>
          <w:rtl w:val="true"/>
        </w:rPr>
        <w:t>آیا برنامه های درسی فهرست نویسی و رده بندی در فرهنگ های کشورهای مختلف متفاوت است؟</w:t>
      </w:r>
      <w:bookmarkEnd w:id="1491"/>
    </w:p>
    <w:p>
      <w:pPr>
        <w:pStyle w:val="BookText"/>
        <w:rPr/>
      </w:pPr>
      <w:r>
        <w:rPr>
          <w:rFonts w:ascii="IRNazanin" w:hAnsi="IRNazanin" w:eastAsia="IRNazanin"/>
          <w:color w:val="111111"/>
          <w:sz w:val="28"/>
          <w:sz w:val="28"/>
          <w:szCs w:val="28"/>
          <w:rtl w:val="true"/>
          <w:lang w:bidi="fa-IR"/>
        </w:rPr>
        <w:t>محتوای برنامه های درسی بر حسب معیارها، دوره ها و محتوا یا واحدهای در حال تدریس چیست؟</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های کمی یک هسته مشترک قوی از مفاهیم تحت پوشش در آموزش فهرستنویسی و رده بندی </w:t>
      </w:r>
    </w:p>
    <w:p>
      <w:pPr>
        <w:pStyle w:val="BookText"/>
        <w:rPr/>
      </w:pPr>
      <w:r>
        <w:rPr>
          <w:rFonts w:ascii="IRNazanin" w:hAnsi="IRNazanin" w:eastAsia="IRNazanin"/>
          <w:color w:val="111111"/>
          <w:sz w:val="28"/>
          <w:sz w:val="28"/>
          <w:szCs w:val="28"/>
          <w:rtl w:val="true"/>
          <w:lang w:bidi="fa-IR"/>
        </w:rPr>
        <w:t xml:space="preserve">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لاسکی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897"/>
      </w:r>
      <w:r>
        <w:rPr>
          <w:rFonts w:ascii="IRNazanin" w:hAnsi="IRNazanin" w:eastAsia="IRNazanin"/>
          <w:color w:val="111111"/>
          <w:sz w:val="28"/>
          <w:sz w:val="28"/>
          <w:szCs w:val="28"/>
          <w:rtl w:val="true"/>
          <w:lang w:bidi="fa-IR"/>
        </w:rPr>
        <w:t xml:space="preserve">آگهی های برخط استخدام برای موقعیت های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فهرستنویسی</w:t>
      </w:r>
      <w:r>
        <w:rPr>
          <w:rFonts w:eastAsia="IRNazanin" w:cs="IRNazanin"/>
          <w:color w:val="111111"/>
          <w:sz w:val="28"/>
          <w:szCs w:val="28"/>
          <w:rtl w:val="true"/>
          <w:lang w:bidi="fa-IR"/>
        </w:rPr>
        <w:t xml:space="preserve">" </w:t>
      </w:r>
      <w:r>
        <w:rPr>
          <w:rStyle w:val="FootnoteAnchor"/>
          <w:rtl w:val="true"/>
        </w:rPr>
        <w:footnoteReference w:id="1898"/>
      </w:r>
      <w:r>
        <w:rPr>
          <w:rFonts w:ascii="IRNazanin" w:hAnsi="IRNazanin" w:eastAsia="IRNazanin"/>
          <w:color w:val="111111"/>
          <w:sz w:val="28"/>
          <w:sz w:val="28"/>
          <w:szCs w:val="28"/>
          <w:rtl w:val="true"/>
          <w:lang w:bidi="fa-IR"/>
        </w:rPr>
        <w:t>را تجزیه و تحلیل کرد و دریافت که درخواست ها برای دانش استانداردهای فهرست نویسی سنتی، دانش موضوع، و مهارت های ارتباطی مناسب برای کارکردن با مردم و داده ها بالا بود درخواست ها برای تجربه و مهارت های فناوری نسبتا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دوره</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آفریقای جنوبی، محتوای دوره های فهرستنویسی و رده بندی در مجموعه زیر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فهرستنویسی انگلو آمریکن، چکیده نویسی، کنترل مستندات، کنترل کتابشناختی، توصیف کتابشناختی،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فرایند، ابزار، دستنامه، رایانه ای کردن؛ برخط و غیره؛</w:t>
      </w:r>
    </w:p>
    <w:p>
      <w:pPr>
        <w:pStyle w:val="BookText"/>
        <w:rPr/>
      </w:pPr>
      <w:r>
        <w:rPr>
          <w:rFonts w:ascii="IRNazanin" w:hAnsi="IRNazanin" w:eastAsia="IRNazanin"/>
          <w:color w:val="111111"/>
          <w:sz w:val="28"/>
          <w:sz w:val="28"/>
          <w:szCs w:val="28"/>
          <w:rtl w:val="true"/>
          <w:lang w:bidi="fa-IR"/>
        </w:rPr>
        <w:t>رده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تاریخچه، طرح، فرایند، سیاست ها، کار عملی، غیره؛ دی دی سی، ال سی سی، فهرستنویسی توصیفی، هسته دوبلین، نمایه سازی، بازیابی اطلاعات، ال سی اس اچ، فهرست های کتابخانه، مارک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ابر داده، سازماندهی و دسترسی موضوع، و ساختار اصطلاحنامه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ها مجازی است، در واقع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لاسکی،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خود از آگهی های شغلی برای فهرستنویسی و موقعیت های وابسته به آن پیدا کرد اما لاسکی تأکید بیشتری بر فناوری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برزیل، محتوای آموزش فهرستنویسی و رده بندی بسیار شبیه به تدریس در آفریقای جنوبی است از نظر رده بندی دی دی سی و یو دی سی در همه دانشکده های کتابداری تدریس می شود و تنها تعداد بسیار کمی از دانشکده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یک رویکرد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پوشش رده بندی کتابخانه</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نظام در برزیل استفاده نمی شود همچنین تاکید در طرح رده بندی ویژه ای وجود دارد و ممکن است دیده شود، یک توجه عمیق در روند تجزیه و تحلیل موضوع که ناشی از تاثیر </w:t>
      </w:r>
      <w:bookmarkStart w:id="1492" w:name="pg9653_82382"/>
    </w:p>
    <w:p>
      <w:pPr>
        <w:pStyle w:val="BookText"/>
        <w:rPr/>
      </w:pPr>
      <w:bookmarkEnd w:id="1492"/>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گاردن</w:t>
      </w:r>
      <w:r>
        <w:rPr>
          <w:rFonts w:eastAsia="IRNazanin" w:cs="IRNazanin"/>
          <w:color w:val="111111"/>
          <w:sz w:val="28"/>
          <w:szCs w:val="28"/>
          <w:rtl w:val="true"/>
          <w:lang w:bidi="fa-IR"/>
        </w:rPr>
        <w:t xml:space="preserve">) </w:t>
      </w:r>
      <w:r>
        <w:rPr>
          <w:rStyle w:val="FootnoteAnchor"/>
          <w:rtl w:val="true"/>
        </w:rPr>
        <w:footnoteReference w:id="1900"/>
      </w:r>
      <w:r>
        <w:rPr>
          <w:rFonts w:ascii="IRNazanin" w:hAnsi="IRNazanin" w:eastAsia="IRNazanin"/>
          <w:color w:val="111111"/>
          <w:sz w:val="28"/>
          <w:sz w:val="28"/>
          <w:szCs w:val="28"/>
          <w:rtl w:val="true"/>
          <w:lang w:bidi="fa-IR"/>
        </w:rPr>
        <w:t>و نفوذ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آر جی</w:t>
      </w:r>
      <w:r>
        <w:rPr>
          <w:rFonts w:eastAsia="IRNazanin" w:cs="IRNazanin"/>
          <w:color w:val="111111"/>
          <w:sz w:val="28"/>
          <w:szCs w:val="28"/>
          <w:rtl w:val="true"/>
          <w:lang w:bidi="fa-IR"/>
        </w:rPr>
        <w:t xml:space="preserve">) </w:t>
      </w:r>
      <w:r>
        <w:rPr>
          <w:rStyle w:val="FootnoteAnchor"/>
          <w:rtl w:val="true"/>
        </w:rPr>
        <w:footnoteReference w:id="190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مشابه دوره در ایالات متحده با افزودن رده بندی کتابخانه کنگره پوشش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مباحث نظری نخست یک پیش نیاز برای فهرستنویسی و رده بندی است که در مرور سازماندهی اطلاعات جبران شده است به طور کلی تاکید فن آوری بیشتر به صورت مستتر توسط استادان ایالات متحده شرح داده شده است نیمی از استادان یک متن درسی واحد را که نتیجه یکدست کردن محتوای دوره را خواهد داشت به کار می برند البته سایر استادان، متن درسی را بین تنها دو متن دیگر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به کار رفته در تدریس دوره ها چگونه هستند؟</w:t>
      </w:r>
    </w:p>
    <w:p>
      <w:pPr>
        <w:pStyle w:val="BookText"/>
        <w:rPr/>
      </w:pPr>
      <w:r>
        <w:rPr>
          <w:rFonts w:ascii="IRNazanin" w:hAnsi="IRNazanin" w:eastAsia="IRNazanin"/>
          <w:color w:val="111111"/>
          <w:sz w:val="28"/>
          <w:sz w:val="28"/>
          <w:szCs w:val="28"/>
          <w:rtl w:val="true"/>
          <w:lang w:bidi="fa-IR"/>
        </w:rPr>
        <w:t xml:space="preserve">داده های پایه، مشترکات نزدیک آموزشی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ردیابی مشترکات و تفاوت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 تا حد زیادی به تفاوت ها در میزان دسترسی به فناوری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آفریقای جنوبی دوره های فهرست نویسی بیشتر از طریق سخنرانی ها و تمرین های دستنامه تدریس شده است روش های دیگر عبارتند از بحث های ،گروهی تمرین و تکالیف محدود برخط کارگاه های آموزشی همایش ها طرح ها مطالعات موردی و آزمون ها در برزیل سخنرانی ها تمرین ها و بحث ها بر اساس خوانش قبلی شایع ترین راهبردهای تدریس هستند دوره های ایالات متحده نیز بیشتر با سخنرانی ها و تمرین ها تدریس شده است اما تمرین ها به احتمال زیاد بیشتر به صورت برخط هستند، کار گروهی کوچک نیز رایج است نزدیک به نیمی از پاسخ دهندگان در محل چهره به چهره تدریس کرده اند اما به همان اندازه به صورت برخط و یا در برخی از قالب های دیگر از راه دور تدریس کرده اند که در آن استاد و دانشجویان از طریق فناوری با هم ارتباط دارند</w:t>
      </w:r>
      <w:r>
        <w:rPr>
          <w:rFonts w:eastAsia="IRNazanin" w:cs="IRNazanin"/>
          <w:color w:val="111111"/>
          <w:sz w:val="28"/>
          <w:szCs w:val="28"/>
          <w:rtl w:val="true"/>
          <w:lang w:bidi="fa-IR"/>
        </w:rPr>
        <w:t>.</w:t>
      </w:r>
    </w:p>
    <w:p>
      <w:pPr>
        <w:pStyle w:val="Heading3"/>
        <w:numPr>
          <w:ilvl w:val="2"/>
          <w:numId w:val="1"/>
        </w:numPr>
        <w:rPr/>
      </w:pPr>
      <w:bookmarkStart w:id="1493" w:name="__RefHeading___Toc7767350_2870459653"/>
      <w:bookmarkStart w:id="1494" w:name="_Toc550"/>
      <w:bookmarkEnd w:id="1493"/>
      <w:r>
        <w:rPr>
          <w:rtl w:val="true"/>
        </w:rPr>
        <w:t>اگر چنین است، تفاوت ها چیست؟</w:t>
      </w:r>
      <w:bookmarkEnd w:id="1494"/>
    </w:p>
    <w:p>
      <w:pPr>
        <w:pStyle w:val="BookText"/>
        <w:rPr/>
      </w:pPr>
      <w:r>
        <w:rPr>
          <w:rFonts w:ascii="IRNazanin" w:hAnsi="IRNazanin" w:eastAsia="IRNazanin"/>
          <w:color w:val="111111"/>
          <w:sz w:val="28"/>
          <w:sz w:val="28"/>
          <w:szCs w:val="28"/>
          <w:rtl w:val="true"/>
          <w:lang w:bidi="fa-IR"/>
        </w:rPr>
        <w:t>چه کسی باید فهرستنویسی و رده بندی مطالعه یا تدریس کند؟</w:t>
      </w:r>
    </w:p>
    <w:p>
      <w:pPr>
        <w:pStyle w:val="BookText"/>
        <w:rPr/>
      </w:pPr>
      <w:r>
        <w:rPr>
          <w:rFonts w:ascii="IRNazanin" w:hAnsi="IRNazanin" w:eastAsia="IRNazanin"/>
          <w:color w:val="111111"/>
          <w:sz w:val="28"/>
          <w:sz w:val="28"/>
          <w:szCs w:val="28"/>
          <w:rtl w:val="true"/>
          <w:lang w:bidi="fa-IR"/>
        </w:rPr>
        <w:t>دوره های در حال ارائه در چه سطحی هستند؟</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دانشجویان چه کسانی هستند؟ در آفریقای جنوبی برخی از دانشکده های اطلاع رسانی، آموزش </w:t>
      </w:r>
    </w:p>
    <w:p>
      <w:pPr>
        <w:pStyle w:val="BookText"/>
        <w:rPr/>
      </w:pPr>
      <w:r>
        <w:rPr>
          <w:rFonts w:ascii="IRNazanin" w:hAnsi="IRNazanin" w:eastAsia="IRNazanin"/>
          <w:color w:val="111111"/>
          <w:sz w:val="28"/>
          <w:sz w:val="28"/>
          <w:szCs w:val="28"/>
          <w:rtl w:val="true"/>
          <w:lang w:bidi="fa-IR"/>
        </w:rPr>
        <w:t>حرفه ای یا عمومی، فهرستنویسی و رده بندی تدریس نمی کنند؛ زیرا آن را به برنامه های خود بی ربط می دانند برنامه های غیر حرفه ای کتابداری نیز حذف فهرستنویسی و رده بندی است با این حال، گمان می رود آینده کتابداران حرفه ای به این دوره وابسته است به طور کلی دوره های فهرستنویسی و رده بندی در دانشکده های کتابداری حرفه ای برای دانشجویان سال سوم و چهارم و یا دانشجویان کارشناسی ارشد تدریس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برزیل، همه دانشکده های کتابداری و اطلاع رسانی در مقطع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سایر دانشکده های میکسو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و فهرست نویسی را به عنوان واحدهای اجباری در برنامه های درسی خود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دانشکده های تحصیلات تکمیلی علوم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برزیل دارای دانشکده های تحصیلات تکمیلی در حوزه اطلاع رسانی، در منطقه میکسو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خود بر رده بندی و فهرست نویسی تمرکز نمی کنند اما در نظر آن ها فهرستنویسی و رده بندی به عنوان بخشی از دامنه نظری گسترده تری به نام سازماندهی اطلاعات یا حتی سازماندهی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دانشکده های، کتابداری در مقطع کارشناسی بیشتر با مباحث رده بندی و فهرست نویسی به عنوان تمرین های کتابداری حرفه ای مربوط هستند؛ اما دانشکده های تحصیلات تکمیلی علوم اطلاع رسانی به صورت پایه ای با مبانی نظری رده بندی و فهرست نویسی به عنوان بخش هایی از شاخه علوم اطلاع رسانی که سازماندهی اطلاعات خوانده می شود، ربط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های ایالات متحده در عین حال، نگرش های مختلف دیگری را نشان می دهد بیشتر دانشکده های کتابداری فهرستنویسی و رده بندی فقط در سطح کارشناسی ارشد تدریس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مواردی هر دوی آن در هر دو مقطع کارشناسی و کارشناسی ارشد تدریس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ایالات متحده درجه حرفه ای پایه، کارشناسی ارشد است و تعدادی از دانشجویان کارشناسی ارشد درجه کارشناسی در علوم کتابداری و اطلاع رسانی دارند در آفریقای جنوبی سطح ها متفاوت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ممکن است بعضی از دانشکده های اطلاع رسانی فهرستنویسی و رده بندی تدریس نکنند و یا ممکن است آن را تنها به عنوان پیش نیاز یک دوره انتخابی تخصصی ارائه دهند زیرا از نظر آن ها فهرستنویسی به طور خاص به عنوانی فراتر از چارچوب کتابداری،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های اطلاع رسانی ایالات متحده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 به ارتباط بین اطلاعات، مردم و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دانشکده های اطلاع رسانی،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که در دانشکده های کتابداری هستند به طور کلی برایشان به عنوان نخبگان دانشکده های کتابداری، برنامه های دکترا و بودجه فراوان پژوهش های خارجی در نظر گرفته می شود و این مسئله محدود به کتابداری و کتابداران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شباهت کافی در مفاهیم، انگیزه ها و غیره وجود دارد که کسانی که آموزش فهرستنویسی و رده بندی تدریس می کنند در کشور فرهنگ می توانند از همتایان خود در جای دیگر یاد بگیرند؟ یا آن ها بیش از حد بافت خاص دارند؟</w:t>
      </w:r>
    </w:p>
    <w:p>
      <w:pPr>
        <w:pStyle w:val="BookText"/>
        <w:rPr/>
      </w:pPr>
      <w:r>
        <w:rPr>
          <w:rFonts w:ascii="IRNazanin" w:hAnsi="IRNazanin" w:eastAsia="IRNazanin"/>
          <w:color w:val="111111"/>
          <w:sz w:val="28"/>
          <w:sz w:val="28"/>
          <w:szCs w:val="28"/>
          <w:rtl w:val="true"/>
          <w:lang w:bidi="fa-IR"/>
        </w:rPr>
        <w:t xml:space="preserve">جدول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شباهت ها و تفاوت های دوره های فهرست نویسی و رده بندی میان دانشکده های کتابداری آفریقای جنوبی برزیل و ایالات متحده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دوره و تا حد زیادی روش های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 و تفاوت ها</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تفاوت ها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 جنوبی با مسائلی مواجه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زیادی از دانشجویان مشکلات نیروی انسانی یا فقدان استادان نیاز برای ابزارهای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بیشتر و دسترسی به فناوری برای تدریس آموزش فهرستنویسی و رده بندی در دانشکده های کتابداری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ابزارهای رقومی و دستنامه برای دانشجویان در این دوره، گران قیمت و کمیاب است دوگانگی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آفریقای جنوبی به صورت آشکار بر آموزش فهرستنویسی و رده بندی تاثیر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برنامه کارشناسی اطلاع رسانی علوم انسانی در دانشگاه زولولند </w:t>
      </w:r>
      <w:r>
        <w:rPr>
          <w:rStyle w:val="FootnoteAnchor"/>
          <w:rtl w:val="true"/>
        </w:rPr>
        <w:footnoteReference w:id="1902"/>
      </w:r>
      <w:r>
        <w:rPr>
          <w:rFonts w:ascii="IRNazanin" w:hAnsi="IRNazanin" w:eastAsia="IRNazanin"/>
          <w:color w:val="111111"/>
          <w:sz w:val="28"/>
          <w:sz w:val="28"/>
          <w:szCs w:val="28"/>
          <w:rtl w:val="true"/>
          <w:lang w:bidi="fa-IR"/>
        </w:rPr>
        <w:t>که بر گسترش بازار خدمات اطلاع رسانی مانند فهرست نویسی و رده بندی هدف گذاری شده است در ابتدا به خاطر ترس از دست دادن دانشجویان بر روی فناوری اطلاعات تمرکز کرد با وجود این، آن ها در کتابخانه ها شغل هایی پیدا کردند که این شکاف در آموزش آن ها مشکل به وجود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شانگوا و او کالا،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دانشکده های تحصیلات تکمیلی علوم اطلاع رسانی برزیل، بسیاری از مجامع علمی مانند انجمن پژوهشی علوم اطلاع رسانی برزیل </w:t>
      </w:r>
      <w:r>
        <w:rPr>
          <w:rStyle w:val="FootnoteAnchor"/>
          <w:rtl w:val="true"/>
        </w:rPr>
        <w:footnoteReference w:id="1903"/>
      </w:r>
      <w:r>
        <w:rPr>
          <w:rFonts w:ascii="IRNazanin" w:hAnsi="IRNazanin" w:eastAsia="IRNazanin"/>
          <w:color w:val="111111"/>
          <w:sz w:val="28"/>
          <w:sz w:val="28"/>
          <w:szCs w:val="28"/>
          <w:rtl w:val="true"/>
          <w:lang w:bidi="fa-IR"/>
        </w:rPr>
        <w:t xml:space="preserve">و شاخه برزیلی انجمن بین المللی سازماندهی دانش </w:t>
      </w:r>
      <w:r>
        <w:rPr>
          <w:rStyle w:val="FootnoteAnchor"/>
          <w:rtl w:val="true"/>
        </w:rPr>
        <w:footnoteReference w:id="1904"/>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در برزیل، جهان کتابداری دانشکده های کارشناسی و جهان اطلاع رسانی دانشکده های تحصیلات تکمیلی اطلاع رسانی یک گفتمان قوی و همکاری متقابل دارند چنین وضعیتی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مطالعات رده بندی و فهرست نویسی را ترویج کرده است به خصوص با چالش های آینده اطلاع رسانی رقومی، مدل های جدید از سازماندهی اطلاعات و قالب های تازه ای از بازیابی اطلاعات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ایالات متحده در آموزش های حرفه ای برای کتابداران، معمولا در سطح کارشناسی ارشد غیر مرتبط با کارشناسی، منحصر به فرد است بر حسب نوشته های اوکالا و اوکالا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سطح و عمق تدریس فهرست نویسی و رده بندی، یادگیری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 اختلاف در مفهوم آمریکایی اصطکاک کلمه کتابداری و کلمه اطلاع رسانی است متفاوت از تجربه آفریقای جنوبی، جنبش دانشکده اطلاع رسانی که در ایالات متحده آغاز شد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دارد،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در ایالات متحده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در کشورهای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تأثیر بیشتری بر ارتباط بین دانشکده کتابداری و کتابداران متخصص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میلر و همکاران،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الفاظ اطلاع رسانی کتابداری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و رده بندی تخصصی ویژه است که در آن برخی از متخصصان گمان می کنند دانشکده های کتابداری از خاصیت دانشکده های اطلاع رسانی بودن رها است</w:t>
      </w:r>
      <w:r>
        <w:rPr>
          <w:rFonts w:eastAsia="IRNazanin" w:cs="IRNazanin"/>
          <w:color w:val="111111"/>
          <w:sz w:val="28"/>
          <w:szCs w:val="28"/>
          <w:rtl w:val="true"/>
          <w:lang w:bidi="fa-IR"/>
        </w:rPr>
        <w:t xml:space="preserve">. </w:t>
      </w:r>
      <w:bookmarkStart w:id="1495" w:name="pg9653_82386"/>
    </w:p>
    <w:p>
      <w:pPr>
        <w:pStyle w:val="Heading3"/>
        <w:numPr>
          <w:ilvl w:val="2"/>
          <w:numId w:val="1"/>
        </w:numPr>
        <w:rPr/>
      </w:pPr>
      <w:bookmarkStart w:id="1496" w:name="__RefHeading___Toc7767352_2870459653"/>
      <w:bookmarkStart w:id="1497" w:name="_Toc551"/>
      <w:bookmarkEnd w:id="1495"/>
      <w:bookmarkEnd w:id="1496"/>
      <w:r>
        <w:rPr>
          <w:rtl w:val="true"/>
        </w:rPr>
        <w:t>چالش های ناشی از آموزش دوره ها چه هستند؟</w:t>
      </w:r>
      <w:bookmarkEnd w:id="1497"/>
    </w:p>
    <w:p>
      <w:pPr>
        <w:pStyle w:val="BookText"/>
        <w:rPr/>
      </w:pPr>
      <w:r>
        <w:rPr>
          <w:rFonts w:ascii="IRNazanin" w:hAnsi="IRNazanin" w:eastAsia="IRNazanin"/>
          <w:color w:val="111111"/>
          <w:sz w:val="28"/>
          <w:sz w:val="28"/>
          <w:szCs w:val="28"/>
          <w:rtl w:val="true"/>
          <w:lang w:bidi="fa-IR"/>
        </w:rPr>
        <w:t>به رغم برخی از تفاوت های مهم محتوایی، چالش های آموزش فهرست نویسی و رده بندی به صورت شگفت انگیزی مشابه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جدول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 در تدریس آموزش فهرستنویسی و رده بندی</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98" w:name="pg9653_82387"/>
    </w:p>
    <w:p>
      <w:pPr>
        <w:pStyle w:val="BookText"/>
        <w:rPr/>
      </w:pPr>
      <w:bookmarkEnd w:id="1498"/>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چالش هایی که استادان آفریقای جنوبی در تدریس فهرست نویسی و رده بندی با آن مواجه هستند، شامل مشکلاتی با بسیاری از دانشجویان است که فاقد آمادگی، دانش عمومی و مهارت های تفکر انتقادی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نیاز به توجه فردی دارند بسیاری از مسائل که در برزیل و ایالات متحده آمریکا وجود دارد یکسان است جز این که برزیل دارای چالش های کمتری مربوط به دانشجویان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وجوه مشترک بین آفریقای جنوبی و ایالات متحده، مشکل ارائه دوره آموزشی فهرستنویسی و رده بندی به مدت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علاوه بر این وقتی برخی استادان پی بردند که محتوای دوره ها خود به خود دشوار است برای دانشجویان شرایط دشوار یا کسل کننده می شود</w:t>
      </w:r>
      <w:r>
        <w:rPr>
          <w:rFonts w:eastAsia="IRNazanin" w:cs="IRNazanin"/>
          <w:color w:val="111111"/>
          <w:sz w:val="28"/>
          <w:szCs w:val="28"/>
          <w:rtl w:val="true"/>
          <w:lang w:bidi="fa-IR"/>
        </w:rPr>
        <w:t>.</w:t>
      </w:r>
    </w:p>
    <w:p>
      <w:pPr>
        <w:pStyle w:val="Heading3"/>
        <w:numPr>
          <w:ilvl w:val="2"/>
          <w:numId w:val="1"/>
        </w:numPr>
        <w:rPr/>
      </w:pPr>
      <w:bookmarkStart w:id="1499" w:name="__RefHeading___Toc7767354_2870459653"/>
      <w:bookmarkStart w:id="1500" w:name="_Toc552"/>
      <w:bookmarkEnd w:id="1499"/>
      <w:r>
        <w:rPr>
          <w:rtl w:val="true"/>
        </w:rPr>
        <w:t>چه پیشنهادهایی می تواند آینده را بسازد؟</w:t>
      </w:r>
      <w:bookmarkEnd w:id="1500"/>
    </w:p>
    <w:p>
      <w:pPr>
        <w:pStyle w:val="BookText"/>
        <w:rPr/>
      </w:pPr>
      <w:r>
        <w:rPr>
          <w:rFonts w:ascii="IRNazanin" w:hAnsi="IRNazanin" w:eastAsia="IRNazanin"/>
          <w:color w:val="111111"/>
          <w:sz w:val="28"/>
          <w:sz w:val="28"/>
          <w:szCs w:val="28"/>
          <w:rtl w:val="true"/>
          <w:lang w:bidi="fa-IR"/>
        </w:rPr>
        <w:t>مواجهه با چالش ها برای آموزش مؤثر فهرستنویسی و رده بندی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پیشنهادها دو لبه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زمان بیشتری صرف رساندن تک تک دانش آموزان به سطح دیگران در یک کلاس می تواند پیامدهای نیروی انسانی داشته باشند جایگزینی ای ای سی آرتو </w:t>
      </w:r>
      <w:r>
        <w:rPr>
          <w:rStyle w:val="FootnoteAnchor"/>
          <w:rtl w:val="true"/>
        </w:rPr>
        <w:footnoteReference w:id="1906"/>
      </w:r>
      <w:r>
        <w:rPr>
          <w:rFonts w:ascii="IRNazanin" w:hAnsi="IRNazanin" w:eastAsia="IRNazanin"/>
          <w:color w:val="111111"/>
          <w:sz w:val="28"/>
          <w:sz w:val="28"/>
          <w:szCs w:val="28"/>
          <w:rtl w:val="true"/>
          <w:lang w:bidi="fa-IR"/>
        </w:rPr>
        <w:t xml:space="preserve">و با توصیف و دسترسی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ای</w:t>
      </w:r>
      <w:r>
        <w:rPr>
          <w:rFonts w:eastAsia="IRNazanin" w:cs="IRNazanin"/>
          <w:color w:val="111111"/>
          <w:sz w:val="28"/>
          <w:szCs w:val="28"/>
          <w:rtl w:val="true"/>
          <w:lang w:bidi="fa-IR"/>
        </w:rPr>
        <w:t xml:space="preserve">) </w:t>
      </w:r>
      <w:r>
        <w:rPr>
          <w:rStyle w:val="FootnoteAnchor"/>
          <w:rtl w:val="true"/>
        </w:rPr>
        <w:footnoteReference w:id="1907"/>
      </w:r>
      <w:r>
        <w:rPr>
          <w:rFonts w:ascii="IRNazanin" w:hAnsi="IRNazanin" w:eastAsia="IRNazanin"/>
          <w:color w:val="111111"/>
          <w:sz w:val="28"/>
          <w:sz w:val="28"/>
          <w:szCs w:val="28"/>
          <w:rtl w:val="true"/>
          <w:lang w:bidi="fa-IR"/>
        </w:rPr>
        <w:t>موجب می شود دانشجویانی که اِی اِی سی آر تو ندانند برای مطابقت و ساختن سوابق پیشینه های فهرست موجود با دشواری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پاسخ های باز به ارائه یک نمونه از پیشنهادهاست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برای غلبه بر چالش ها</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هسیه یی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هدف برای آموزش فهرستنویسی و رده بندی پیشنهاد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آگاهی و درک ارزش سازماندهی اطلاعات، به ویژه فهرستنویسی؛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فهرستنویسان آینده و متخصصان فراداده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رهبران آینده در زمینه فهرست نویسی</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جستجوی این پرسش ها در کشورهای دیگر ممکن است مفید باشد به عنوان مثال،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هاروی </w:t>
      </w:r>
      <w:bookmarkStart w:id="1501" w:name="pg9653_82389"/>
    </w:p>
    <w:p>
      <w:pPr>
        <w:pStyle w:val="BookText"/>
        <w:rPr/>
      </w:pPr>
      <w:bookmarkEnd w:id="1501"/>
      <w:r>
        <w:rPr>
          <w:rFonts w:ascii="IRNazanin" w:hAnsi="IRNazanin" w:eastAsia="IRNazanin"/>
          <w:color w:val="111111"/>
          <w:sz w:val="28"/>
          <w:sz w:val="28"/>
          <w:szCs w:val="28"/>
          <w:rtl w:val="true"/>
          <w:lang w:bidi="fa-IR"/>
        </w:rPr>
        <w:t>و رینولدز</w:t>
      </w:r>
      <w:r>
        <w:rPr>
          <w:rFonts w:eastAsia="IRNazanin" w:cs="IRNazanin"/>
          <w:color w:val="111111"/>
          <w:sz w:val="28"/>
          <w:szCs w:val="28"/>
          <w:rtl w:val="true"/>
          <w:lang w:bidi="fa-IR"/>
        </w:rPr>
        <w:t>)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1908"/>
      </w:r>
      <w:r>
        <w:rPr>
          <w:rFonts w:ascii="IRNazanin" w:hAnsi="IRNazanin" w:eastAsia="IRNazanin"/>
          <w:color w:val="111111"/>
          <w:sz w:val="28"/>
          <w:sz w:val="28"/>
          <w:szCs w:val="28"/>
          <w:rtl w:val="true"/>
          <w:lang w:bidi="fa-IR"/>
        </w:rPr>
        <w:t>محتوای آموزش فهرستنویسی و رده بندی در استرالیا را در شرایط بسیار مشابه با مسائل کتابداری و اطلاع رسانی در ایالات متحده توصیف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هیل و اینتر</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1909"/>
      </w:r>
      <w:r>
        <w:rPr>
          <w:rFonts w:ascii="IRNazanin" w:hAnsi="IRNazanin" w:eastAsia="IRNazanin"/>
          <w:color w:val="111111"/>
          <w:sz w:val="28"/>
          <w:sz w:val="28"/>
          <w:szCs w:val="28"/>
          <w:rtl w:val="true"/>
          <w:lang w:bidi="fa-IR"/>
        </w:rPr>
        <w:t>در ایالات متحده هاروی و رینولدز همچنین به مسئولیت کارمندان در آموزش کارآموزان در استرالیا توجه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دهندگان در آفریقای جنوبی و ایالات متحده به سرعت در حال ترکیب توصیف و دسترسی به منابع آردی ای به دوره های خود به عنوان مجموعه ای جدید از قواعد فهرستنویسی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آهنگ صرف نظر از قواعد فهرست نویسی انگلوامریکن را دارند جای شگفتی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زمانی دوره های دانشگاهی و مشکل پوشش تمام استانداردهای اصلی و شیوه ها در فهرستنویسی و رده بندی موجب این مسئله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بیان داشتند که تمرکز بر ملزومات کارکردی برای توصیف کتابشناختی اف آر بی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10"/>
      </w:r>
      <w:r>
        <w:rPr>
          <w:rFonts w:ascii="IRNazanin" w:hAnsi="IRNazanin" w:eastAsia="IRNazanin"/>
          <w:color w:val="111111"/>
          <w:sz w:val="28"/>
          <w:sz w:val="28"/>
          <w:szCs w:val="28"/>
          <w:rtl w:val="true"/>
          <w:lang w:bidi="fa-IR"/>
        </w:rPr>
        <w:t xml:space="preserve">ملزومات کارکردی برای داده های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آر ای دی</w:t>
      </w:r>
      <w:r>
        <w:rPr>
          <w:rFonts w:eastAsia="IRNazanin" w:cs="IRNazanin"/>
          <w:color w:val="111111"/>
          <w:sz w:val="28"/>
          <w:szCs w:val="28"/>
          <w:rtl w:val="true"/>
          <w:lang w:bidi="fa-IR"/>
        </w:rPr>
        <w:t xml:space="preserve">) </w:t>
      </w:r>
      <w:r>
        <w:rPr>
          <w:rStyle w:val="FootnoteAnchor"/>
          <w:rtl w:val="true"/>
        </w:rPr>
        <w:footnoteReference w:id="1911"/>
      </w:r>
      <w:r>
        <w:rPr>
          <w:rFonts w:ascii="IRNazanin" w:hAnsi="IRNazanin" w:eastAsia="IRNazanin"/>
          <w:color w:val="111111"/>
          <w:sz w:val="28"/>
          <w:sz w:val="28"/>
          <w:szCs w:val="28"/>
          <w:rtl w:val="true"/>
          <w:lang w:bidi="fa-IR"/>
        </w:rPr>
        <w:t>چارچوب های مفهومی هستند نه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تمرکز می تواند آموزش فهرستنویسی و رده بندی را بیشتر از عمل به سوی نظریه پیش برد سر و سامان دادن به آردی ای به نظر می رسد به احتمال زیاد یک پرسش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پاسخ دهندگان ایالات متحده اقدامات زیربنایی را در نظر نگرفتند و پیشنهادشان صبر و شکیبایی دانشجویان است و 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پاسخ دهنده ایالات متحده برای مقابله با معرفی آر دی ای، بازنشستگی پیش از موعد را برنامه ریزی کردند، فرصتی که در اختیار همه نیست</w:t>
      </w:r>
      <w:r>
        <w:rPr>
          <w:rFonts w:eastAsia="IRNazanin" w:cs="IRNazanin"/>
          <w:color w:val="111111"/>
          <w:sz w:val="28"/>
          <w:szCs w:val="28"/>
          <w:rtl w:val="true"/>
          <w:lang w:bidi="fa-IR"/>
        </w:rPr>
        <w:t>.</w:t>
      </w:r>
    </w:p>
    <w:p>
      <w:pPr>
        <w:pStyle w:val="Heading3"/>
        <w:numPr>
          <w:ilvl w:val="2"/>
          <w:numId w:val="1"/>
        </w:numPr>
        <w:rPr/>
      </w:pPr>
      <w:bookmarkStart w:id="1502" w:name="__RefHeading___Toc7767356_2870459653"/>
      <w:bookmarkStart w:id="1503" w:name="_Toc553"/>
      <w:bookmarkEnd w:id="1502"/>
      <w:r>
        <w:rPr>
          <w:rtl w:val="true"/>
        </w:rPr>
        <w:t>نتیجه گیری</w:t>
      </w:r>
      <w:bookmarkEnd w:id="1503"/>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 های حاصل از تجزیه و تحلیل داده های اولیه نشان می دهد موارد متعددی هستند که شایسته بررسی دقیق 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در این اسناد ارائه شده از جمله علاقه و توانایی های دانشجویان؛ نیروی انسانی کافی و نیروی انسانی جاری؛ پیوند بین نظریه و عمل؛ اثرات مختلف فن آوری در کشورها و فرهنگ های مختلف و تظاهرات مختلف و درعین حال مشابه از مباحثه کلمه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مرور کوتاه، موضوع های دیگر بیش از حد پیچیده بود به ویژه مسائل حساس استادان این حوزه و دانشکده و زبان مورد استفاده در ارائه آموزش فهرستنویسی و رده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عنوان های دوره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پژوهشگران، این موضوع ها و همچنین مباحث گسترده تر تجربه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آموزش فهرستنویسی و رده بندی در آفریقای جنوبی برزیل، و ایالات متحده را با نگاهی عمیق تر رو به جلو بررسی می کنند و این که چگونه آن ها می توانند در شناخت اهمیت تدریس حرفه ای در آینده و پرورش رهبری برای فهرستنویسی و رده بندی یکدیگر را متقابلا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 های غیر منتظره پژوهش این است که آموزش فهرستنویسی و رده بندی در آفریقای جنوبی و آموزش فهرستنویسی و رده بندی در ایالات متحده به نظر می رسد از آموزش فهرستنویسی و رده بندی در برزیل، به یکدیگر شبیه تر هستند این امر می تواند ارزشمند باشد برای کشف این نکته که این تفاوت چقدر ناشی از تاثیرات خارجی مختلف در آموزش علوم کتابداری و اطلاع رسانی در هر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کتابداری و اطلاع رسانی آفریقای جنوبی در اصل تا حد زیادی بر روی یک مدل انگلیسی 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تاکنون پیشگامان خاص خود را دارد مانند دیویی </w:t>
      </w:r>
      <w:r>
        <w:rPr>
          <w:rStyle w:val="FootnoteAnchor"/>
          <w:rtl w:val="true"/>
        </w:rPr>
        <w:footnoteReference w:id="1912"/>
      </w:r>
      <w:r>
        <w:rPr>
          <w:rFonts w:ascii="IRNazanin" w:hAnsi="IRNazanin" w:eastAsia="IRNazanin"/>
          <w:color w:val="111111"/>
          <w:sz w:val="28"/>
          <w:sz w:val="28"/>
          <w:szCs w:val="28"/>
          <w:rtl w:val="true"/>
          <w:lang w:bidi="fa-IR"/>
        </w:rPr>
        <w:t xml:space="preserve">و کاتر، </w:t>
      </w:r>
      <w:r>
        <w:rPr>
          <w:rStyle w:val="FootnoteAnchor"/>
          <w:rtl w:val="true"/>
        </w:rPr>
        <w:footnoteReference w:id="1913"/>
      </w:r>
      <w:r>
        <w:rPr>
          <w:rFonts w:ascii="IRNazanin" w:hAnsi="IRNazanin" w:eastAsia="IRNazanin"/>
          <w:color w:val="111111"/>
          <w:sz w:val="28"/>
          <w:sz w:val="28"/>
          <w:szCs w:val="28"/>
          <w:rtl w:val="true"/>
          <w:lang w:bidi="fa-IR"/>
        </w:rPr>
        <w:t xml:space="preserve">اما پیشینیان خود مانند پانیتسی </w:t>
      </w:r>
      <w:r>
        <w:rPr>
          <w:rStyle w:val="FootnoteAnchor"/>
          <w:rtl w:val="true"/>
        </w:rPr>
        <w:footnoteReference w:id="1914"/>
      </w:r>
      <w:r>
        <w:rPr>
          <w:rFonts w:ascii="IRNazanin" w:hAnsi="IRNazanin" w:eastAsia="IRNazanin"/>
          <w:color w:val="111111"/>
          <w:sz w:val="28"/>
          <w:sz w:val="28"/>
          <w:szCs w:val="28"/>
          <w:rtl w:val="true"/>
          <w:lang w:bidi="fa-IR"/>
        </w:rPr>
        <w:t xml:space="preserve">نفوذ بیشتر بریتانیا را به ارمغان آورد پژوهش های بریتانیا مانند مطالعات کرانفیلد </w:t>
      </w:r>
      <w:r>
        <w:rPr>
          <w:rStyle w:val="FootnoteAnchor"/>
          <w:rtl w:val="true"/>
        </w:rPr>
        <w:footnoteReference w:id="1915"/>
      </w:r>
      <w:r>
        <w:rPr>
          <w:rFonts w:ascii="IRNazanin" w:hAnsi="IRNazanin" w:eastAsia="IRNazanin"/>
          <w:color w:val="111111"/>
          <w:sz w:val="28"/>
          <w:sz w:val="28"/>
          <w:szCs w:val="28"/>
          <w:rtl w:val="true"/>
          <w:lang w:bidi="fa-IR"/>
        </w:rPr>
        <w:t>همچنین به شدت تحت تاثیر عملکرد ایالات متحده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علوم کتابداری و اطلاع رسانی در برزیل تحت ادغام از عوامل مختلف است از جمله تأثیرات خارجی مختلف در طول دهه هفتاد و دهه هشتاد دولت برزیل سخاوتمندانه تامین مالی اعزام استادان به خارج از کشور برای گرفتن مدرک دکترای خود را به عهده گرفت آن ها به فرانسه،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سنت انگلیس و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اسپانیا انگلستان و ایالات متحده آمریکا رفتند استادانی که یک نسل از متخصصان و پژوهشگران علوم کتابداری و اطلاع رسانی برزیل را تشکیل داده اند که نمایی علمی با ترکیبی از تأثیرات مختلف خارجی با فرهنگ خود برزیل هستند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کاربرد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w:t>
      </w:r>
      <w:r>
        <w:rPr>
          <w:rFonts w:eastAsia="IRNazanin" w:cs="IRNazanin"/>
          <w:color w:val="111111"/>
          <w:sz w:val="28"/>
          <w:szCs w:val="28"/>
          <w:rtl w:val="true"/>
          <w:lang w:bidi="fa-IR"/>
        </w:rPr>
        <w:t xml:space="preserve">" </w:t>
      </w:r>
      <w:r>
        <w:rPr>
          <w:rStyle w:val="FootnoteAnchor"/>
          <w:rtl w:val="true"/>
        </w:rPr>
        <w:footnoteReference w:id="1916"/>
      </w:r>
      <w:r>
        <w:rPr>
          <w:rFonts w:ascii="IRNazanin" w:hAnsi="IRNazanin" w:eastAsia="IRNazanin"/>
          <w:color w:val="111111"/>
          <w:sz w:val="28"/>
          <w:sz w:val="28"/>
          <w:szCs w:val="28"/>
          <w:rtl w:val="true"/>
          <w:lang w:bidi="fa-IR"/>
        </w:rPr>
        <w:t xml:space="preserve">مستند برای تجزیه و تحلیل موضوع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اسنادی</w:t>
      </w:r>
      <w:r>
        <w:rPr>
          <w:rFonts w:eastAsia="IRNazanin" w:cs="IRNazanin"/>
          <w:color w:val="111111"/>
          <w:sz w:val="28"/>
          <w:szCs w:val="28"/>
          <w:rtl w:val="true"/>
          <w:lang w:bidi="fa-IR"/>
        </w:rPr>
        <w:t xml:space="preserve">" </w:t>
      </w:r>
      <w:r>
        <w:rPr>
          <w:rStyle w:val="FootnoteAnchor"/>
          <w:rtl w:val="true"/>
        </w:rPr>
        <w:footnoteReference w:id="1917"/>
      </w:r>
      <w:r>
        <w:rPr>
          <w:rFonts w:ascii="IRNazanin" w:hAnsi="IRNazanin" w:eastAsia="IRNazanin"/>
          <w:color w:val="111111"/>
          <w:sz w:val="28"/>
          <w:sz w:val="28"/>
          <w:szCs w:val="28"/>
          <w:rtl w:val="true"/>
          <w:lang w:bidi="fa-IR"/>
        </w:rPr>
        <w:t>برای زبان های نمایه سازی نفوذ فرانسوی و اسپانیایی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روی نمایه سازی در علوم آرشیوی همچنین از سیاست های خارجی در علوم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تاثیر کانادا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همیشه در حال رشد در نظریه رده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نفوذ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پژوهش بازیابی اطلاعات و همچنین استفاده گسترده و آموزش رده بندی دهدهی 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bookmarkStart w:id="1504" w:name="pg9653_82391"/>
    </w:p>
    <w:p>
      <w:pPr>
        <w:pStyle w:val="BookText"/>
        <w:rPr/>
      </w:pPr>
      <w:bookmarkEnd w:id="1504"/>
      <w:r>
        <w:rPr>
          <w:rFonts w:ascii="IRNazanin" w:hAnsi="IRNazanin" w:eastAsia="IRNazanin"/>
          <w:color w:val="111111"/>
          <w:sz w:val="28"/>
          <w:sz w:val="28"/>
          <w:szCs w:val="28"/>
          <w:rtl w:val="true"/>
          <w:lang w:bidi="fa-IR"/>
        </w:rPr>
        <w:t>دی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نفوذ قوی آمریکا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آینده ممکن است با ترکیب آثار تاریخی نفوذ با تفاوت های آشکار امروز برای ما یک تصویر بسیار واضح تر بسازد که چرا و چه چیزی در آموزش فهرستنویسی و رده بندی و فراتر از آن،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تاثیرات مختلف، نتیجه اولیه این مطالعه آن است که به اندازه کافی شباهت برای تشکیل یک بنیاد مشترک برای تبادل پربار ایده ها وجود دارد با این حال تجزیه و تحلیل عمیق تر مورد نیاز است تا تعیین کند که آیا مشترکات که راه حل های مشترک برای مشکلات مشترک پیش رو ارائه می دهند جایی برای یادگیری از یکدیگر می گذارند یا این که مشترکات ناشی از متون متفاوتی هستند که به راه حل های مختلف منجر می شود چنین شرایطی نشان می دهد توانایی برای تبادل سازنده ایده ها برای رسیدگی به مشکلات مشترک ما وجود دارد</w:t>
      </w:r>
      <w:r>
        <w:rPr>
          <w:rFonts w:eastAsia="IRNazanin" w:cs="IRNazanin"/>
          <w:color w:val="111111"/>
          <w:sz w:val="28"/>
          <w:szCs w:val="28"/>
          <w:rtl w:val="true"/>
          <w:lang w:bidi="fa-IR"/>
        </w:rPr>
        <w:t>.</w:t>
      </w:r>
    </w:p>
    <w:p>
      <w:pPr>
        <w:pStyle w:val="Heading3"/>
        <w:numPr>
          <w:ilvl w:val="2"/>
          <w:numId w:val="1"/>
        </w:numPr>
        <w:rPr/>
      </w:pPr>
      <w:bookmarkStart w:id="1505" w:name="__RefHeading___Toc7767358_2870459653"/>
      <w:bookmarkStart w:id="1506" w:name="_Toc554"/>
      <w:bookmarkEnd w:id="1505"/>
      <w:r>
        <w:rPr>
          <w:rtl w:val="true"/>
        </w:rPr>
        <w:t>منابع</w:t>
      </w:r>
      <w:bookmarkEnd w:id="1506"/>
    </w:p>
    <w:p>
      <w:pPr>
        <w:pStyle w:val="BookText"/>
        <w:rPr/>
      </w:pPr>
      <w:r>
        <w:rPr>
          <w:rFonts w:eastAsia="Times New Roman" w:cs="Times New Roman" w:ascii="Times New Roman" w:hAnsi="Times New Roman"/>
          <w:color w:val="111111"/>
          <w:sz w:val="28"/>
          <w:szCs w:val="28"/>
          <w:lang w:val="en-US" w:bidi="en-US"/>
        </w:rPr>
        <w:t>Bowen-Chang, Portia and Hosein, Yacoob. (2009). Cataloguing Training at the West Indies, St Augustine. Library Review, 58(2): 97-108</w:t>
      </w:r>
    </w:p>
    <w:p>
      <w:pPr>
        <w:pStyle w:val="BookText"/>
        <w:rPr/>
      </w:pPr>
      <w:r>
        <w:rPr>
          <w:rFonts w:eastAsia="Times New Roman" w:cs="Times New Roman" w:ascii="Times New Roman" w:hAnsi="Times New Roman"/>
          <w:color w:val="111111"/>
          <w:sz w:val="28"/>
          <w:szCs w:val="28"/>
          <w:lang w:val="en-US" w:bidi="en-US"/>
        </w:rPr>
        <w:t>Cloete, Linda M., Snyman, Retha, Cronje, J.C. (2003). Training cataloguing students using a mix of media and technologies. Aslib Proceedings, 55(4): 223-233</w:t>
      </w:r>
    </w:p>
    <w:p>
      <w:pPr>
        <w:pStyle w:val="BookText"/>
        <w:rPr/>
      </w:pPr>
      <w:r>
        <w:rPr>
          <w:rFonts w:eastAsia="Times New Roman" w:cs="Times New Roman" w:ascii="Times New Roman" w:hAnsi="Times New Roman"/>
          <w:color w:val="111111"/>
          <w:sz w:val="28"/>
          <w:szCs w:val="28"/>
          <w:lang w:val="en-US" w:bidi="en-US"/>
        </w:rPr>
        <w:t>Guimarães, J.A.C. (2008). Encontros de diretores e docentes de escolas de Biblioteconomia do Mercosul (1996-2007): reflexõessobreumatrajetória de diálogo e construçãoeducativaconjunta. In: Frías, J.A. Travieso, C. (org.). Formación, investigación y mercadolaboral en información y documentación en España y Portugal. Salamanca: Universidad de Salamanca, p. 785-800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Harvey, Ross, and Reynolds, Susan. (2006). MARCup to markup: education for cataloguing and classification in Australia. Cataloging &amp; Classification Quarterly 41:3/4, 173-192</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Hill, Janet Swan, and Intner, Sheila. (2002). Preparing for a cataloging career: from cataloging to knowledge management. http://web.archive.org/web/20011201223125/http://www.ala.org/congress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hill-intner.html Accessed 11 May 2012</w:t>
      </w:r>
    </w:p>
    <w:p>
      <w:pPr>
        <w:pStyle w:val="BookText"/>
        <w:rPr/>
      </w:pPr>
      <w:r>
        <w:rPr>
          <w:rFonts w:eastAsia="Times New Roman" w:cs="Times New Roman" w:ascii="Times New Roman" w:hAnsi="Times New Roman"/>
          <w:color w:val="111111"/>
          <w:sz w:val="28"/>
          <w:szCs w:val="28"/>
          <w:lang w:val="en-US" w:bidi="en-US"/>
        </w:rPr>
        <w:t>Hsieh-Yee, Ingrid. (2008). Educating cataloguing professionals in a changing information environment. Journal of Educaiton for Library and Informaiton Science 49:2, 93-106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Homulos, P. (1990). Museums to libraries: a family of collecting institutions. Art Libraries Journal, 15(1):11-13. (2012) http://www.ischools.org Accessed 13 May 2012</w:t>
      </w:r>
    </w:p>
    <w:p>
      <w:pPr>
        <w:pStyle w:val="BookText"/>
        <w:rPr/>
      </w:pPr>
      <w:r>
        <w:rPr>
          <w:rFonts w:eastAsia="Times New Roman" w:cs="Times New Roman" w:ascii="Times New Roman" w:hAnsi="Times New Roman"/>
          <w:color w:val="111111"/>
          <w:sz w:val="28"/>
          <w:szCs w:val="28"/>
          <w:lang w:val="en-US" w:bidi="en-US"/>
        </w:rPr>
        <w:t>Lussky, Joan P. (2008). Employere demands for cataloguer and cataloguer- like librarians and implications for LIS. Journal of Education for Library and Information Science 49:2, 116- 127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Mason, R., (1990). What's an information professional? Journal of Education for Library and Information Science, 31(2): 31, 2, 122-138</w:t>
      </w:r>
    </w:p>
    <w:p>
      <w:pPr>
        <w:pStyle w:val="BookText"/>
        <w:rPr/>
      </w:pPr>
      <w:r>
        <w:rPr>
          <w:rFonts w:eastAsia="Times New Roman" w:cs="Times New Roman" w:ascii="Times New Roman" w:hAnsi="Times New Roman"/>
          <w:color w:val="111111"/>
          <w:sz w:val="28"/>
          <w:szCs w:val="28"/>
          <w:lang w:val="en-US" w:bidi="en-US"/>
        </w:rPr>
        <w:t>Miller, Steven J., Fox, Melodie, Lee, Hur-Li, and Olson, Hope A. (2006). Great expectations: professionals' perceptions and knowledge organization curricula. In Gerhard Budin, Christian Swertz, and Konstantin Mitgutsch (eds.), Knowledge Organization for a Global Learning Society: Proceedings of the Ninth International ISKO Conference, 4-7 July 2006, Vienna.Würzburg: Ergon Verlag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Ndwandwe Sipho, Ocholla Dennis and DubeLuyanda (2009), Information ethics education in library and information science departments/schools in South Africa. Mousaion, Vol.27 (2), 75-88</w:t>
      </w:r>
    </w:p>
    <w:p>
      <w:pPr>
        <w:pStyle w:val="BookText"/>
        <w:rPr/>
      </w:pPr>
      <w:r>
        <w:rPr>
          <w:rFonts w:eastAsia="Times New Roman" w:cs="Times New Roman" w:ascii="Times New Roman" w:hAnsi="Times New Roman"/>
          <w:color w:val="111111"/>
          <w:sz w:val="28"/>
          <w:szCs w:val="28"/>
          <w:lang w:val="en-US" w:bidi="en-US"/>
        </w:rPr>
        <w:t>Ngulube, P. (2010). Mapping mixed methods research in library and information science journals in Sub-Saharan Africa 2004 - 2008. The International Information and Library Review, 42(4), 252-261</w:t>
      </w:r>
    </w:p>
    <w:p>
      <w:pPr>
        <w:pStyle w:val="BookText"/>
        <w:rPr/>
      </w:pPr>
      <w:r>
        <w:rPr>
          <w:rFonts w:eastAsia="Times New Roman" w:cs="Times New Roman" w:ascii="Times New Roman" w:hAnsi="Times New Roman"/>
          <w:color w:val="111111"/>
          <w:sz w:val="28"/>
          <w:szCs w:val="28"/>
          <w:lang w:val="en-US" w:bidi="en-US"/>
        </w:rPr>
        <w:t>Ocholla, Dennis N. (2009). Information ethics education in Africa. Where do we stand? International Information and Library Review, Vol.41, 2, 79-88</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Ocholla, Lyudmila, and Ocholla, Dennis. (2011). Cataloguing and classification education and training in library and information science/ studies departments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South Africa. Presented at the Crimea Conference, Sudak, Ukraine, 4 -12 June 2011. http://www.gpntb.ru/win/inter-events/crimea2011/disk/097.pdf Accessed 18 May 2012</w:t>
      </w:r>
    </w:p>
    <w:p>
      <w:pPr>
        <w:pStyle w:val="BookText"/>
        <w:rPr/>
      </w:pPr>
      <w:r>
        <w:rPr>
          <w:rFonts w:eastAsia="Times New Roman" w:cs="Times New Roman" w:ascii="Times New Roman" w:hAnsi="Times New Roman"/>
          <w:color w:val="111111"/>
          <w:sz w:val="28"/>
          <w:szCs w:val="28"/>
          <w:lang w:val="en-US" w:bidi="en-US"/>
        </w:rPr>
        <w:t>Shongwe, M. and Ocholla, Dennis N. (2011). A tracer study of LIS graduates. at the University of Zululand, 2000-2009, Mousaion, Vol 29(2), 227-238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 J. W. (1993). O documento audiovisual ou a proximidade entre s 3 Marias. Revista Brasileira de Biblioteconomia e Documentação, 26(1/2): 81-85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 J. W. (2003). Arquivologia/biblioteconomia: interfaces das ciências da informação.Informação &amp; Informação, 8(1): 29-41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Footnotes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Anglo-American CataloguingRules2nd ed (AACR2R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Dewey Decimal Classification(DDC</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Library of Congress Classification(LCC</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Universal Decimal Classification(UDC</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Library of Congress Subject Headings(LCSH</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Machine-Readable Cataloguing(MARC</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Cataloging and ClassificationEducation(CCE</w:t>
      </w:r>
      <w:r>
        <w:rPr>
          <w:rFonts w:eastAsia="Times New Roman" w:cs="Times New Roman" w:ascii="Times New Roman" w:hAnsi="Times New Roman"/>
          <w:color w:val="111111"/>
          <w:sz w:val="28"/>
          <w:szCs w:val="28"/>
          <w:rtl w:val="true"/>
          <w:lang w:val="en-US" w:bidi="en-US"/>
        </w:rPr>
        <w:t xml:space="preserve"> </w:t>
      </w:r>
      <w:bookmarkStart w:id="1507" w:name="pg9653_82394"/>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8" w:name="__RefHeading___Toc7767360_2870459653"/>
      <w:bookmarkStart w:id="1509" w:name="_Toc555"/>
      <w:bookmarkEnd w:id="1507"/>
      <w:bookmarkEnd w:id="1508"/>
      <w:r>
        <w:rPr>
          <w:rtl w:val="true"/>
        </w:rPr>
        <w:t>نمایه ها</w:t>
      </w:r>
      <w:bookmarkEnd w:id="1509"/>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0" w:name="pg9653_82397"/>
      <w:bookmarkStart w:id="1511" w:name="pg9653_82397"/>
      <w:bookmarkEnd w:id="1511"/>
    </w:p>
    <w:p>
      <w:pPr>
        <w:pStyle w:val="Heading2"/>
        <w:numPr>
          <w:ilvl w:val="1"/>
          <w:numId w:val="1"/>
        </w:numPr>
        <w:rPr/>
      </w:pPr>
      <w:bookmarkStart w:id="1512" w:name="pg9653_82397"/>
      <w:bookmarkStart w:id="1513" w:name="__RefHeading___Toc7767362_2870459653"/>
      <w:bookmarkStart w:id="1514" w:name="_Toc556"/>
      <w:bookmarkEnd w:id="1512"/>
      <w:bookmarkEnd w:id="1513"/>
      <w:r>
        <w:rPr>
          <w:rtl w:val="true"/>
        </w:rPr>
        <w:t>حمید سلیم گندمی</w:t>
      </w:r>
      <w:bookmarkEnd w:id="1514"/>
    </w:p>
    <w:p>
      <w:pPr>
        <w:pStyle w:val="Heading3"/>
        <w:numPr>
          <w:ilvl w:val="2"/>
          <w:numId w:val="1"/>
        </w:numPr>
        <w:rPr/>
      </w:pPr>
      <w:bookmarkStart w:id="1515" w:name="__RefHeading___Toc7767364_2870459653"/>
      <w:bookmarkStart w:id="1516" w:name="_Toc557"/>
      <w:bookmarkEnd w:id="1515"/>
      <w:r>
        <w:rPr>
          <w:rtl w:val="true"/>
        </w:rPr>
        <w:t>اشاره</w:t>
      </w:r>
      <w:bookmarkEnd w:id="15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سلیم گندمی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17" w:name="__RefHeading___Toc7767366_2870459653"/>
      <w:bookmarkStart w:id="1518" w:name="_Toc558"/>
      <w:bookmarkEnd w:id="1517"/>
      <w:r>
        <w:rPr/>
        <w:t>1</w:t>
      </w:r>
      <w:r>
        <w:rPr>
          <w:rtl w:val="true"/>
        </w:rPr>
        <w:t xml:space="preserve">. </w:t>
      </w:r>
      <w:r>
        <w:rPr>
          <w:rtl w:val="true"/>
        </w:rPr>
        <w:t>مقدمه</w:t>
      </w:r>
      <w:bookmarkEnd w:id="1518"/>
    </w:p>
    <w:p>
      <w:pPr>
        <w:pStyle w:val="Heading3"/>
        <w:numPr>
          <w:ilvl w:val="2"/>
          <w:numId w:val="1"/>
        </w:numPr>
        <w:rPr/>
      </w:pPr>
      <w:bookmarkStart w:id="1519" w:name="__RefHeading___Toc7767368_2870459653"/>
      <w:bookmarkStart w:id="1520" w:name="_Toc559"/>
      <w:bookmarkEnd w:id="1519"/>
      <w:r>
        <w:rPr/>
        <w:t>1-1</w:t>
      </w:r>
      <w:r>
        <w:rPr>
          <w:rtl w:val="true"/>
        </w:rPr>
        <w:t xml:space="preserve">) </w:t>
      </w:r>
      <w:r>
        <w:rPr>
          <w:rtl w:val="true"/>
        </w:rPr>
        <w:t>بازیابی اطلاعات مورد نیاز از میان انبوه اطلاعات روزافزون و پراکندگی فراوان آن ها بر اساس سرعت و دقت از اهمیت خاصی برخوردار است نقش ساماندهی و سازماندهی استاندارد اطلاعات برای سرعت بخشیدن و تسهیل در امر بازیابی دقیق اطلاعات مورد نیاز بسیار ویژه و قابل توجه است</w:t>
      </w:r>
      <w:r>
        <w:rPr>
          <w:rtl w:val="true"/>
        </w:rPr>
        <w:t xml:space="preserve">. </w:t>
      </w:r>
      <w:r>
        <w:rPr>
          <w:rtl w:val="true"/>
        </w:rPr>
        <w:t>نمایه سازی اطلاعات تولید شده گامی اساسی در راستای ساماندهی اطلاعات و دستیابی سریع و دقیق به اطلاعات مورد نیاز است</w:t>
      </w:r>
      <w:r>
        <w:rPr>
          <w:rtl w:val="true"/>
        </w:rPr>
        <w:t>.</w:t>
      </w:r>
      <w:bookmarkEnd w:id="1520"/>
    </w:p>
    <w:p>
      <w:pPr>
        <w:pStyle w:val="BookText"/>
        <w:rPr/>
      </w:pPr>
      <w:r>
        <w:rPr>
          <w:rFonts w:ascii="IRNazanin" w:hAnsi="IRNazanin" w:eastAsia="IRNazanin"/>
          <w:color w:val="111111"/>
          <w:sz w:val="28"/>
          <w:sz w:val="28"/>
          <w:szCs w:val="28"/>
          <w:rtl w:val="true"/>
          <w:lang w:bidi="fa-IR"/>
        </w:rPr>
        <w:t>نمایه سازی در حقیقت تعیین و اختصاص دادن واژه ها و یا اصطلاحات، به متن مدارک به منظور بازیابی دقیق تر و سریع تر اطلاعات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واژه های انتخاب شده برای نمایه متون مدارک به سان پل ارتباطی در چرخه تولید و مصرف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تناسب و هماهنگی در میان واژه های منتخب بیشتر باشد استحکام و استمرار پل بیشتر بوده ارتباط مطلوب تری میان اندیشه های تولید کننده و مصرف کننده اطلاعات برقرار می شود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Index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اصطلاح کتابداری، راهنمایی برای مواد یا مطالبی است که به ترتیبی غیر از ترتیب اصلی مواد یا مطالب تنظیم شده باشد نمایه موضوعی عبارت از کلیدواژه های موضوعی است که برحسب حروف الفبا تنظیم می شود و شماره صفحه یا صفحات حاوی آن موضوع در مقابل آن قرار می گیرد</w:t>
      </w:r>
      <w:r>
        <w:rPr>
          <w:rFonts w:eastAsia="IRNazanin" w:cs="IRNazanin"/>
          <w:color w:val="111111"/>
          <w:sz w:val="28"/>
          <w:szCs w:val="28"/>
          <w:rtl w:val="true"/>
          <w:lang w:bidi="fa-IR"/>
        </w:rPr>
        <w:t xml:space="preserve">. </w:t>
      </w:r>
      <w:bookmarkStart w:id="1521" w:name="pg9653_82398"/>
    </w:p>
    <w:p>
      <w:pPr>
        <w:pStyle w:val="BookText"/>
        <w:rPr/>
      </w:pPr>
      <w:bookmarkEnd w:id="1521"/>
      <w:r>
        <w:rPr>
          <w:rFonts w:ascii="IRNazanin" w:hAnsi="IRNazanin" w:eastAsia="IRNazanin"/>
          <w:color w:val="111111"/>
          <w:sz w:val="28"/>
          <w:sz w:val="28"/>
          <w:szCs w:val="28"/>
          <w:rtl w:val="true"/>
          <w:lang w:bidi="fa-IR"/>
        </w:rPr>
        <w:t xml:space="preserve">نوروزی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نمایه سازی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استاندارد ایزو </w:t>
      </w:r>
      <w:r>
        <w:rPr>
          <w:rFonts w:eastAsia="IRNazanin" w:cs="IRNazanin"/>
          <w:color w:val="111111"/>
          <w:sz w:val="28"/>
          <w:szCs w:val="28"/>
          <w:lang w:bidi="fa-IR"/>
        </w:rPr>
        <w:t>5963</w:t>
      </w:r>
      <w:r>
        <w:rPr>
          <w:rFonts w:ascii="IRNazanin" w:hAnsi="IRNazanin" w:eastAsia="IRNazanin"/>
          <w:color w:val="111111"/>
          <w:sz w:val="28"/>
          <w:sz w:val="28"/>
          <w:szCs w:val="28"/>
          <w:rtl w:val="true"/>
          <w:lang w:bidi="fa-IR"/>
        </w:rPr>
        <w:t>، عمل توصیف یا شناسایی محتوای موضوعی یک مدرک را نمایه سازی گویند در واقع ثبت و ضبط محتوای اطلاعاتی مدارک با استفاده از روش های گوناگون به منظور سازماندهی اطلاعات به قصد سهولت بازیابی را نمایه سازی گویند</w:t>
      </w:r>
      <w:r>
        <w:rPr>
          <w:rFonts w:eastAsia="IRNazanin" w:cs="IRNazanin"/>
          <w:color w:val="111111"/>
          <w:sz w:val="28"/>
          <w:szCs w:val="28"/>
          <w:rtl w:val="true"/>
          <w:lang w:bidi="fa-IR"/>
        </w:rPr>
        <w:t xml:space="preserve">". </w:t>
      </w:r>
      <w:r>
        <w:rPr>
          <w:rStyle w:val="FootnoteAnchor"/>
          <w:rtl w:val="true"/>
        </w:rPr>
        <w:footnoteReference w:id="1918"/>
      </w:r>
    </w:p>
    <w:p>
      <w:pPr>
        <w:pStyle w:val="Heading3"/>
        <w:numPr>
          <w:ilvl w:val="2"/>
          <w:numId w:val="1"/>
        </w:numPr>
        <w:rPr/>
      </w:pPr>
      <w:bookmarkStart w:id="1522" w:name="__RefHeading___Toc7767370_2870459653"/>
      <w:bookmarkStart w:id="1523" w:name="_Toc560"/>
      <w:bookmarkEnd w:id="1522"/>
      <w:r>
        <w:rPr/>
        <w:t>2-1</w:t>
      </w:r>
      <w:r>
        <w:rPr>
          <w:rtl w:val="true"/>
        </w:rPr>
        <w:t xml:space="preserve">) </w:t>
      </w:r>
      <w:r>
        <w:rPr>
          <w:rtl w:val="true"/>
        </w:rPr>
        <w:t>هدف از نمایه سازی، فراهم کردن ابزارهای کارآمد برای کمک به محقق و پژوهشگر در پیدا کردن اطلاعات درون مدارک با سرعت و دقت بیشتر است</w:t>
      </w:r>
      <w:r>
        <w:rPr>
          <w:rtl w:val="true"/>
        </w:rPr>
        <w:t xml:space="preserve">. </w:t>
      </w:r>
      <w:r>
        <w:rPr>
          <w:rtl w:val="true"/>
        </w:rPr>
        <w:t>نمایه ساز با صرف وقت و دقت در متون، کلیدواژه هایی را که دارای بار اطلاعات مناسبی هستند انتخاب و بر اساس ترتیب الفبا تنظيم می کند تا مسیر دستیابی به اطلاعات مورد نیاز پژوهشگر و محقق را هموارتر ساخته دسترسی به اطلاعات درون متنی مدارک را با دقت و سرعت بیشتر تسهیل نماید</w:t>
      </w:r>
      <w:r>
        <w:rPr>
          <w:rtl w:val="true"/>
        </w:rPr>
        <w:t>.</w:t>
      </w:r>
      <w:bookmarkEnd w:id="1523"/>
    </w:p>
    <w:p>
      <w:pPr>
        <w:pStyle w:val="Heading3"/>
        <w:numPr>
          <w:ilvl w:val="2"/>
          <w:numId w:val="1"/>
        </w:numPr>
        <w:rPr/>
      </w:pPr>
      <w:bookmarkStart w:id="1524" w:name="__RefHeading___Toc7767372_2870459653"/>
      <w:bookmarkStart w:id="1525" w:name="_Toc561"/>
      <w:bookmarkEnd w:id="1524"/>
      <w:r>
        <w:rPr/>
        <w:t>3-1</w:t>
      </w:r>
      <w:r>
        <w:rPr>
          <w:rtl w:val="true"/>
        </w:rPr>
        <w:t xml:space="preserve">) </w:t>
      </w:r>
      <w:r>
        <w:rPr>
          <w:rtl w:val="true"/>
        </w:rPr>
        <w:t>ساختار و ویژگی</w:t>
      </w:r>
      <w:r>
        <w:rPr>
          <w:rtl w:val="true"/>
        </w:rPr>
        <w:t xml:space="preserve">: </w:t>
      </w:r>
      <w:r>
        <w:rPr>
          <w:rtl w:val="true"/>
        </w:rPr>
        <w:t>نمایه ها در دو قسمت</w:t>
      </w:r>
      <w:r>
        <w:rPr>
          <w:rtl w:val="true"/>
        </w:rPr>
        <w:t xml:space="preserve">: </w:t>
      </w:r>
      <w:r>
        <w:rPr>
          <w:rtl w:val="true"/>
        </w:rPr>
        <w:t xml:space="preserve">فهرست ها، </w:t>
      </w:r>
      <w:r>
        <w:rPr>
          <w:rtl w:val="true"/>
        </w:rPr>
        <w:t>(</w:t>
      </w:r>
      <w:r>
        <w:rPr>
          <w:rtl w:val="true"/>
        </w:rPr>
        <w:t>عناوین، مؤلفین و مترجمین</w:t>
      </w:r>
      <w:r>
        <w:rPr>
          <w:rtl w:val="true"/>
        </w:rPr>
        <w:t xml:space="preserve">) </w:t>
      </w:r>
      <w:r>
        <w:rPr>
          <w:rtl w:val="true"/>
        </w:rPr>
        <w:t>و نمایه موضوعی تهیه شده است</w:t>
      </w:r>
      <w:r>
        <w:rPr>
          <w:rtl w:val="true"/>
        </w:rPr>
        <w:t xml:space="preserve">. </w:t>
      </w:r>
      <w:r>
        <w:rPr>
          <w:rtl w:val="true"/>
        </w:rPr>
        <w:t>بدیهی است نمایه موضوعی بیشترین کاربرد و استفاده را برای مخاطبان دارد</w:t>
      </w:r>
      <w:r>
        <w:rPr>
          <w:rtl w:val="true"/>
        </w:rPr>
        <w:t xml:space="preserve">. </w:t>
      </w:r>
      <w:r>
        <w:rPr>
          <w:rtl w:val="true"/>
        </w:rPr>
        <w:t xml:space="preserve">برای تهیه نمایه موضوعی مقالات منتشر شده در کتاب گزیده مقالات ایفلا </w:t>
      </w:r>
      <w:r>
        <w:rPr>
          <w:rtl w:val="true"/>
        </w:rPr>
        <w:t>(</w:t>
      </w:r>
      <w:r>
        <w:rPr/>
        <w:t>2013</w:t>
      </w:r>
      <w:r>
        <w:rPr>
          <w:rtl w:val="true"/>
        </w:rPr>
        <w:t xml:space="preserve"> </w:t>
      </w:r>
      <w:r>
        <w:rPr>
          <w:rtl w:val="true"/>
        </w:rPr>
        <w:t xml:space="preserve">و </w:t>
      </w:r>
      <w:r>
        <w:rPr/>
        <w:t>2012</w:t>
      </w:r>
      <w:r>
        <w:rPr>
          <w:rtl w:val="true"/>
        </w:rPr>
        <w:t>)</w:t>
      </w:r>
      <w:r>
        <w:rPr>
          <w:rtl w:val="true"/>
        </w:rPr>
        <w:t>، متن مقاله ها مطالعه و کلیدواژه هایی از متن استخراج و یا متناسب با متن انتخاب شده است</w:t>
      </w:r>
      <w:r>
        <w:rPr>
          <w:rtl w:val="true"/>
        </w:rPr>
        <w:t xml:space="preserve">. </w:t>
      </w:r>
      <w:r>
        <w:rPr>
          <w:rtl w:val="true"/>
        </w:rPr>
        <w:t xml:space="preserve">با توجه به فشردگی موضوعات، در اغلب موارد حتی المقدور از مطالبی که به طور متوسط در حد نیم صفحه یا </w:t>
      </w:r>
      <w:r>
        <w:rPr/>
        <w:t>2</w:t>
      </w:r>
      <w:r>
        <w:rPr>
          <w:rtl w:val="true"/>
        </w:rPr>
        <w:t xml:space="preserve"> </w:t>
      </w:r>
      <w:r>
        <w:rPr>
          <w:rtl w:val="true"/>
        </w:rPr>
        <w:t>پاراگراف بلند ارائه شده باشند، کلیدواژه های موضوعی انتخاب شده و در نمایه موضوع به عنوان مدخل وارد شده اند</w:t>
      </w:r>
      <w:r>
        <w:rPr>
          <w:rtl w:val="true"/>
        </w:rPr>
        <w:t>.</w:t>
      </w:r>
      <w:bookmarkEnd w:id="15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نمایه سازی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جلوگیری از تکرار واژه ها در مدخل ها، از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استفاده از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هر مدخل اصلی بیانگر عمق نمایه سازی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المقدور صورت مفرد واژه ها به کار رفته و به هنگام ضرورت استفاده از واژه های جمع معمولا شكل جمع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 کار برده شده است که لااقل از ردیف الفبایی شکل مفرد فاصله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شکل جمع مکسر کلمه ای رایج بوده ناگزیر از جمع مکسر استفاده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اصل در نمایه بازیابی اطلاعات با سرعت و دقّت مطلوب در یک مجموعه هماهنگ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رعایت هماهنگی زبان مصنوعی و واژگان مهار شده بیش از زبان طبیعی کاربرد دارد؛ ولی در بازیابی متنهای آزاد با توجه به نوع مخاطبان به نظر می رسد تلفیقی از زبان طبیعی و زبان مصنوعی لازم است در این میان ارجاعات نقش ویژه ای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تسهیل و تسریع در بازیابی اطلاعات از ارجاعات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نگاه کنید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تعريف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الفبا محسوب نشده است؛ جز در موارد خاص و اسم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موضوع مورد نظر در چند صفحه متوالی باشد، میان شماره صفحات از خط فاصله و در صفحات غیر متوالی از علامت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 در کنار شماره صفحه بیانگر پاورقی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معرفی، نقد و بررسی موضوعی خاص درباره کتابی مطرح بوده، عنوان اثر مدخل واقع شده و کلمه کتاب، در داخل 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منظور پرهیز از عبارت سازی، از برخی تک واژه ها به عنوان واژه توضیحی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آن چه داخل قلاب قرار گرفته است در ردیف ترتیب الفبایی قرار نمی گیرد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بزرگواران و صاحب نظران علم اطلاعات و دانش شناسی تمنا دارد با تذکرها و راهنمایی های خود نمایه ساز را از طریق </w:t>
      </w:r>
      <w:r>
        <w:rPr>
          <w:rFonts w:eastAsia="Times New Roman" w:cs="Times New Roman" w:ascii="Times New Roman" w:hAnsi="Times New Roman"/>
          <w:color w:val="111111"/>
          <w:sz w:val="28"/>
          <w:szCs w:val="28"/>
          <w:lang w:val="en-US" w:bidi="en-US"/>
        </w:rPr>
        <w:t>hsalim gandomi@yahoo.com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باری فرمایند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6" w:name="pg9653_82401"/>
      <w:bookmarkStart w:id="1527" w:name="pg9653_82401"/>
      <w:bookmarkEnd w:id="1527"/>
    </w:p>
    <w:p>
      <w:pPr>
        <w:pStyle w:val="Heading3"/>
        <w:numPr>
          <w:ilvl w:val="2"/>
          <w:numId w:val="1"/>
        </w:numPr>
        <w:rPr/>
      </w:pPr>
      <w:bookmarkStart w:id="1528" w:name="pg9653_82401"/>
      <w:bookmarkStart w:id="1529" w:name="__RefHeading___Toc7767374_2870459653"/>
      <w:bookmarkStart w:id="1530" w:name="_Toc562"/>
      <w:bookmarkEnd w:id="1528"/>
      <w:bookmarkEnd w:id="1529"/>
      <w:r>
        <w:rPr/>
        <w:t>2</w:t>
      </w:r>
      <w:r>
        <w:rPr>
          <w:rtl w:val="true"/>
        </w:rPr>
        <w:t xml:space="preserve">. </w:t>
      </w:r>
      <w:r>
        <w:rPr>
          <w:rtl w:val="true"/>
        </w:rPr>
        <w:t>فهرست عناوین</w:t>
      </w:r>
      <w:bookmarkEnd w:id="1530"/>
    </w:p>
    <w:p>
      <w:pPr>
        <w:pStyle w:val="BookText"/>
        <w:rPr/>
      </w:pPr>
      <w:r>
        <w:rPr>
          <w:rFonts w:ascii="IRNazanin" w:hAnsi="IRNazanin" w:eastAsia="IRNazanin"/>
          <w:color w:val="111111"/>
          <w:sz w:val="28"/>
          <w:sz w:val="28"/>
          <w:szCs w:val="28"/>
          <w:rtl w:val="true"/>
          <w:lang w:bidi="fa-IR"/>
        </w:rPr>
        <w:t>آرشیوسازی انقلاب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مدیران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آن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آماده سازی کتابشناسی ها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پژوهش محور برای کتابشناسی ها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آموزش و یادگیری فهرستنویسی و رده بندی علوم کتابداری و اطلاع رسانی مطالعاتی در آفریقای جنوبی برزیل و ایالات متحده آمریکا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ارزیابی قابلیت و دسترس پذیری کتاب خوان های الکترونیکی برای افرادی که توانایی مطالعه آثار مکتوب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مرحله نخست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استانداردهای توصیفی ایالات برای اسناد نسخ خطی تاریخی و کتاب های نادر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ایمنی در چندینگی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حفاظت رقومی توزیع شده </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برنامه حفظ و نگهداری رویداد نامه ها حفظ و نگهداری اخبار و روزنامه های رقومی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بهبود عملکردها استانداردهای آماری در کتابخانه های جهان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به سوی کمال در پژوهش های تطبیقی و بین المللی کتابداری و اطلاع رسانی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پیاده سازی نظام مدیریتی هوشمند از طریق پردازش شبکه های اجتماعی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پیایندهای جدید نقش های ،جدید موضوعات جدید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پیوند جنبه های نظری و عملی در آموزش علوم کتابداری و اطلاع رسانی در آمریکای لاتین و کارائیب </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تنوع فرهنگی در کتابخانه های دانشگاه تورنتو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تحولی زنده و پویا چگونه کتابخانه ها می توانند آرشیوهای پویا را به منظور پشتیبانی به کارگیری و مستندسازی جنبش های اجتماعی به کار گیرند </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توسعه خدمات جدید در محیط حومه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مطالعه مایلی پیورو به یک کتابخانه رسانه تبدیل شد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حمایت از جوامع دانش بنیان توسعه خط مشی ملی برای کتابخانه ها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خدمات کتابخانه ملی اس بیان و مدیریت مجموعه های خاص در نمایه چند رسانه ای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خدمات مرجع بر فراز آسمان ها خروج کتابداران از حصار کتابخانه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داده های پیوندی برای کتابخانه ها مزایای انتقال مفهومی از ساختارهای رکوردی کتابخانه ای به مدل های دادهای بر پایه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دعوت به ضیافت خدمات دسترسی به کتاب های الکترونیکی در کتابخانه های عمومی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دوره برخط گسترده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پرداختن به روند تکامل تعلیم و تربیت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دیدن همه فیل رویکرد جامع به مدیریت حفاظت منابع کتابخانه ای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روابط بین دارندگان حقوق انحصاری کتابخانه ها و کاربران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روابط درونی سواد اطلاعاتی با استفاده از محیط های آموزش مجازی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رهبری در مواقع تغییر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ساخت پل ها از کتابخانه های یوروپیانا تا روزنامه های یوروپیانا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صدور مجوز رسانه های دیداری و شنیداری علمی در آلمان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عوامل تغییر کتابداری بین المللی توسعه، و نظریه جهانی شدن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کتابخانه مجهز به نقشه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مطلوب تر درآمدی بر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لهستان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302</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های آفریقا به عنوان مراکز الکترونیکی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کتابخانه های دولتی یونان وضعیت فعلی و ملاحظات آینده </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کتابخانه های مجازی در مؤسسات سرمایه گذار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متن باز به اشاعه اطلاعات برای دانشگاهیان گروه های پژوهشی و جامعه </w:t>
      </w:r>
      <w:r>
        <w:rPr>
          <w:rFonts w:eastAsia="IRNazanin" w:cs="IRNazanin"/>
          <w:color w:val="111111"/>
          <w:sz w:val="28"/>
          <w:szCs w:val="28"/>
          <w:lang w:bidi="fa-IR"/>
        </w:rPr>
        <w:t>430442</w:t>
      </w:r>
    </w:p>
    <w:p>
      <w:pPr>
        <w:pStyle w:val="BookText"/>
        <w:rPr/>
      </w:pPr>
      <w:r>
        <w:rPr>
          <w:rFonts w:ascii="IRNazanin" w:hAnsi="IRNazanin" w:eastAsia="IRNazanin"/>
          <w:color w:val="111111"/>
          <w:sz w:val="28"/>
          <w:sz w:val="28"/>
          <w:szCs w:val="28"/>
          <w:rtl w:val="true"/>
          <w:lang w:bidi="fa-IR"/>
        </w:rPr>
        <w:t xml:space="preserve">کتابشناسی ملی از اینترنت می پرسد آیا تلاش می کنی مرا از میان برداری؟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گسترش کتابداری حرفه ای نفوذ جوامع محلی نمونه </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مدیریت چالاکی راهبردهایی برای موفقیت در مدت زمان تغییرات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کتابخانه دانشگاهی استرالیایی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مشارکت و آموزش یک دستورالعمل برای آموزش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نقش کتابخانه ها در نگهداری و مراقبت از داده های پژوهشی در آلمان یافته های یک مطالعه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نوآوری در داده های پژوهشی ملی در کانادا </w:t>
      </w:r>
      <w:r>
        <w:rPr>
          <w:rFonts w:eastAsia="IRNazanin" w:cs="IRNazanin"/>
          <w:color w:val="111111"/>
          <w:sz w:val="28"/>
          <w:szCs w:val="28"/>
          <w:lang w:bidi="fa-IR"/>
        </w:rPr>
        <w:t>1633</w:t>
      </w:r>
    </w:p>
    <w:p>
      <w:pPr>
        <w:pStyle w:val="BookText"/>
        <w:rPr/>
      </w:pPr>
      <w:r>
        <w:rPr>
          <w:rFonts w:ascii="IRNazanin" w:hAnsi="IRNazanin" w:eastAsia="IRNazanin"/>
          <w:color w:val="111111"/>
          <w:sz w:val="28"/>
          <w:sz w:val="28"/>
          <w:szCs w:val="28"/>
          <w:rtl w:val="true"/>
          <w:lang w:bidi="fa-IR"/>
        </w:rPr>
        <w:t xml:space="preserve">هدایت از کتابخانه اقدامات مدیریت داده ها در دانشگاه نورث آمپتون </w:t>
      </w:r>
      <w:r>
        <w:rPr>
          <w:rFonts w:eastAsia="IRNazanin" w:cs="IRNazanin"/>
          <w:color w:val="111111"/>
          <w:sz w:val="28"/>
          <w:szCs w:val="28"/>
          <w:lang w:bidi="fa-IR"/>
        </w:rPr>
        <w:t>4256</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یکپارچه سازی حفاظت فیزیکی و رقومی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فرایندی مؤثر در کتابخانه ملی فرانسه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1" w:name="pg9653_82405"/>
      <w:bookmarkStart w:id="1532" w:name="pg9653_82405"/>
      <w:bookmarkEnd w:id="1532"/>
    </w:p>
    <w:p>
      <w:pPr>
        <w:pStyle w:val="Heading3"/>
        <w:numPr>
          <w:ilvl w:val="2"/>
          <w:numId w:val="1"/>
        </w:numPr>
        <w:rPr/>
      </w:pPr>
      <w:bookmarkStart w:id="1533" w:name="pg9653_82405"/>
      <w:bookmarkStart w:id="1534" w:name="__RefHeading___Toc7767376_2870459653"/>
      <w:bookmarkStart w:id="1535" w:name="_Toc563"/>
      <w:bookmarkEnd w:id="1533"/>
      <w:bookmarkEnd w:id="1534"/>
      <w:r>
        <w:rPr/>
        <w:t>3</w:t>
      </w:r>
      <w:r>
        <w:rPr>
          <w:rtl w:val="true"/>
        </w:rPr>
        <w:t xml:space="preserve">. </w:t>
      </w:r>
      <w:r>
        <w:rPr>
          <w:rtl w:val="true"/>
        </w:rPr>
        <w:t>فهرست مؤلفین</w:t>
      </w:r>
      <w:bookmarkEnd w:id="1535"/>
    </w:p>
    <w:p>
      <w:pPr>
        <w:pStyle w:val="BookText"/>
        <w:rPr/>
      </w:pPr>
      <w:r>
        <w:rPr>
          <w:rFonts w:ascii="IRNazanin" w:hAnsi="IRNazanin" w:eastAsia="IRNazanin"/>
          <w:color w:val="111111"/>
          <w:sz w:val="28"/>
          <w:sz w:val="28"/>
          <w:szCs w:val="28"/>
          <w:rtl w:val="true"/>
          <w:lang w:bidi="fa-IR"/>
        </w:rPr>
        <w:t xml:space="preserve">آلبرت، گیتا </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المیو، گتنه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استراثمن، استفان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استیونز، برت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اسکینر، کاترین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اسوالد، اشیم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اورتگا، جیمی رایوز </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اورگولا، استیون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اوکا، دیه گو فریرا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اوکالا، دنیس آن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او کالا، لیدمیا </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اولسون، هوپ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برازیر هلن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براون هیتر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برم، الکه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بونیچی، لوری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پریستلی، کارول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پیکتون، میگی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پاسک، یروسلاو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تات لئونگ، جک هانگ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تان، مارگارت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تراب، ارون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جونز سارا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جوهان لورپیتر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چندلر، جین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حج یون، شوکرا یا بنتی </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حسین، هگ استنسرود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حنیف، آبیدا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دارن پترا </w:t>
      </w:r>
      <w:r>
        <w:rPr>
          <w:rFonts w:eastAsia="IRNazanin" w:cs="IRNazanin"/>
          <w:color w:val="111111"/>
          <w:sz w:val="28"/>
          <w:szCs w:val="28"/>
          <w:lang w:bidi="fa-IR"/>
        </w:rPr>
        <w:t>536548</w:t>
      </w:r>
    </w:p>
    <w:p>
      <w:pPr>
        <w:pStyle w:val="BookText"/>
        <w:rPr/>
      </w:pPr>
      <w:r>
        <w:rPr>
          <w:rFonts w:ascii="IRNazanin" w:hAnsi="IRNazanin" w:eastAsia="IRNazanin"/>
          <w:color w:val="111111"/>
          <w:sz w:val="28"/>
          <w:sz w:val="28"/>
          <w:szCs w:val="28"/>
          <w:rtl w:val="true"/>
          <w:lang w:bidi="fa-IR"/>
        </w:rPr>
        <w:t xml:space="preserve">دموریس ایمپراتریز، اینس ماریا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دنیز، جی گوردون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راس پنی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رو برنت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روحلا، تیمو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رودز، تامارا </w:t>
      </w:r>
      <w:r>
        <w:rPr>
          <w:rFonts w:eastAsia="IRNazanin" w:cs="IRNazanin"/>
          <w:color w:val="111111"/>
          <w:sz w:val="28"/>
          <w:szCs w:val="28"/>
          <w:lang w:bidi="fa-IR"/>
        </w:rPr>
        <w:t>568</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ریلی، سوزان کی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زانت فردریک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شفیق، محمد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شولتس، مت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کالتر ماریان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کر ابنهوفت، نیک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کرزیز انووسکی، رزالی فاورو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کرینیسکا، مگدانلا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کوپلند لین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کوریا شارون دایاس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گای مارکی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گریريال سارا وینگیت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گلاور، جینت آر</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گونتاردی گابریلا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گویماراس خوزه اوگوستو </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لورتشا، دیویدوی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مارتینز آرلاندو، فیلیبر توفیلیپه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مارتینی، پاتریسیا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ماستورا، آنا </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موریرا، گیلرمه گیاکتو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مولاری آنکی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مونوپولی، ماریا </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ماتا، استفانی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نیمر، کوری ال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واليس فیلیپ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ولز، اندرو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ولودار ،چیک بارتلومی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وولز، بلانچ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ویت، استیو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هار جونپا ماریتا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هاروی راس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هالبرت، مارتین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هول، ایرن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هویویک، تورد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هیرن، کورت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386</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هیوک، تورد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1536" w:name="pg9653_82407"/>
    </w:p>
    <w:p>
      <w:pPr>
        <w:pStyle w:val="Heading3"/>
        <w:numPr>
          <w:ilvl w:val="2"/>
          <w:numId w:val="1"/>
        </w:numPr>
        <w:rPr/>
      </w:pPr>
      <w:bookmarkStart w:id="1537" w:name="__RefHeading___Toc7767378_2870459653"/>
      <w:bookmarkStart w:id="1538" w:name="_Toc564"/>
      <w:bookmarkEnd w:id="1536"/>
      <w:bookmarkEnd w:id="1537"/>
      <w:r>
        <w:rPr/>
        <w:t>4</w:t>
      </w:r>
      <w:r>
        <w:rPr>
          <w:rtl w:val="true"/>
        </w:rPr>
        <w:t xml:space="preserve">. </w:t>
      </w:r>
      <w:r>
        <w:rPr>
          <w:rtl w:val="true"/>
        </w:rPr>
        <w:t>فهرست مترجمی</w:t>
      </w:r>
      <w:bookmarkEnd w:id="1538"/>
    </w:p>
    <w:p>
      <w:pPr>
        <w:pStyle w:val="BookText"/>
        <w:rPr/>
      </w:pPr>
      <w:r>
        <w:rPr>
          <w:rFonts w:ascii="IRNazanin" w:hAnsi="IRNazanin" w:eastAsia="IRNazanin"/>
          <w:color w:val="111111"/>
          <w:sz w:val="28"/>
          <w:sz w:val="28"/>
          <w:szCs w:val="28"/>
          <w:rtl w:val="true"/>
          <w:lang w:bidi="fa-IR"/>
        </w:rPr>
        <w:t xml:space="preserve">اباذری، زهرا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احمدی، اطهره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اسدی مریم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اصنافی، امیررضا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اکبری داریان، سعیده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پاپی، زینب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پور حقانی، مهسا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تهوری، زهرا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تیموری خانی، افسانه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جعفر زاده کرمانی زهرا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جولاهی، لاله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حریری نجلا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خادمیان، مهدی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خانی پور رضا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درودی، فریبرز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ربیعی محبوبه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ریاحی، عارف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زهادی، فیروزان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سلیم گندمی، حمید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سیفی، لیلی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شادانپور، فرزانه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شاکری، صدیقه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طاهری، سید مهدی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عزیزیان، نرگس خاتون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عمرانی، سید ابراهیم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غفاری، سعید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فعال، سهیلا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قربانی، محبوبه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کربلا آقایی کامران، معصومه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کیانمهر، احترام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گمرکی، گیسو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گیلوری، عباس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محمد علی پور نرگس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488</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فرناز </w:t>
      </w:r>
      <w:r>
        <w:rPr>
          <w:rFonts w:eastAsia="IRNazanin" w:cs="IRNazanin"/>
          <w:color w:val="111111"/>
          <w:sz w:val="28"/>
          <w:szCs w:val="28"/>
          <w:lang w:bidi="fa-IR"/>
        </w:rPr>
        <w:t>498</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مقدمی، امیر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موسوی، سید محمد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مؤمنی، عصمت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میرحسینی، زهره </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نجفقلی نژاد، اعظم </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نعمتی، لیلا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هدایت، مرضیه </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598</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پور نرگسی، طاهره </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bookmarkStart w:id="1539" w:name="pg9653_82409"/>
    </w:p>
    <w:p>
      <w:pPr>
        <w:pStyle w:val="Heading3"/>
        <w:numPr>
          <w:ilvl w:val="2"/>
          <w:numId w:val="1"/>
        </w:numPr>
        <w:rPr/>
      </w:pPr>
      <w:bookmarkStart w:id="1540" w:name="__RefHeading___Toc7767380_2870459653"/>
      <w:bookmarkStart w:id="1541" w:name="_Toc565"/>
      <w:bookmarkEnd w:id="1539"/>
      <w:bookmarkEnd w:id="1540"/>
      <w:r>
        <w:rPr/>
        <w:t>5</w:t>
      </w:r>
      <w:r>
        <w:rPr>
          <w:rtl w:val="true"/>
        </w:rPr>
        <w:t xml:space="preserve">. </w:t>
      </w:r>
      <w:r>
        <w:rPr>
          <w:rtl w:val="true"/>
        </w:rPr>
        <w:t>نمایه موضوع</w:t>
      </w:r>
      <w:bookmarkEnd w:id="1541"/>
    </w:p>
    <w:p>
      <w:pPr>
        <w:pStyle w:val="BookText"/>
        <w:rPr/>
      </w:pPr>
      <w:r>
        <w:rPr>
          <w:rFonts w:ascii="IRNazanin" w:hAnsi="IRNazanin" w:eastAsia="IRNazanin"/>
          <w:color w:val="111111"/>
          <w:sz w:val="28"/>
          <w:sz w:val="28"/>
          <w:szCs w:val="28"/>
          <w:rtl w:val="true"/>
          <w:lang w:bidi="fa-IR"/>
        </w:rPr>
        <w:t xml:space="preserve">آپادورای، آرجون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جهانی شدن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آراکاکی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عملی آموزش کتابداری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آرشیو پویا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مجازی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سرچ آندر آکیوپای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شیلاسی، جانسن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دوک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اینترنت در خدمت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 </w:t>
      </w:r>
      <w:r>
        <w:rPr>
          <w:rFonts w:eastAsia="IRNazanin" w:cs="IRNazanin"/>
          <w:color w:val="111111"/>
          <w:sz w:val="28"/>
          <w:szCs w:val="28"/>
          <w:lang w:bidi="fa-IR"/>
        </w:rPr>
        <w:t>572</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و تفسیر </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آکوپای پایس </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آکوپای وال استریت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سوبرا مانیام، رادیکا </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تأسیسات گیسبن، لی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رسانه های اجتماعی </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توییتر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هنر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پازل جدول معمایی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دموکراسی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آزاد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هنری بری کلاب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ویدئویی </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ادبیات عربی در انگلیسی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تاریخ شفاهی بروبک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کتابخانه دانشگاه استنفورد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مک دانو، ویلیام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مجموعه منازعه آزادیخواه آفریقای جنوبی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فیلم موسایرسین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آرشیوسازی انقلاب مصر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دانشگاه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با میدان تحریر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منابع گردآوری شده </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ساختمان دانشگاه به میدان تحریر </w:t>
      </w:r>
      <w:r>
        <w:rPr>
          <w:rFonts w:eastAsia="IRNazanin" w:cs="IRNazanin"/>
          <w:color w:val="111111"/>
          <w:sz w:val="28"/>
          <w:szCs w:val="28"/>
          <w:lang w:bidi="fa-IR"/>
        </w:rPr>
        <w:t>490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دانش نامه اینترنتی </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دانشجویان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حسنی مبارک </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 مشارکت </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پذیری از خروج حسنی مبارک </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گذاری بر محتوای تاریخ شفاهی </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برخط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گیری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مستندسازی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آرشیو فیلم موسایرسین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کیو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w:t>
      </w:r>
    </w:p>
    <w:p>
      <w:pPr>
        <w:pStyle w:val="BookText"/>
        <w:rPr/>
      </w:pPr>
      <w:r>
        <w:rPr>
          <w:rFonts w:eastAsia="Times New Roman" w:cs="Times New Roman" w:ascii="Times New Roman" w:hAnsi="Times New Roman"/>
          <w:color w:val="111111"/>
          <w:sz w:val="28"/>
          <w:szCs w:val="28"/>
          <w:lang w:val="en-US" w:bidi="en-US"/>
        </w:rPr>
        <w:t>Qomra.org) 496- 495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مشارکتی مستند </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اقلام مرتبط با انقلاب در میدان تحریر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در میدان تحریر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دامنه حضور مشارکت کنندگان </w:t>
      </w:r>
      <w:r>
        <w:rPr>
          <w:rFonts w:eastAsia="IRNazanin" w:cs="IRNazanin"/>
          <w:color w:val="111111"/>
          <w:sz w:val="28"/>
          <w:szCs w:val="28"/>
          <w:lang w:bidi="fa-IR"/>
        </w:rPr>
        <w:t>492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بارگذاری فایل تصویری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آرشیوسازی انقلاب مصر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آرشیو ملی مصر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گرداوری تاریخ شفاهی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مستند های نوشتاری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مواد دیداری شنیداری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آرشيو فدرال آلمان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مراکز رسانه ای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بنیاد سینما آلمانی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مؤسسه فیلم آلمانی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آرشیو فیلم موسایرسین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آرشیو مجازی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آرشیو پویا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 پذیری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آرشیو ملی مصر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آستانه خدمات مرجع ← خدمت مرجع← خدمات آستانه ای</w:t>
      </w:r>
    </w:p>
    <w:p>
      <w:pPr>
        <w:pStyle w:val="BookText"/>
        <w:rPr/>
      </w:pP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در خدمت مرجع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آزمایشگاه لاتینا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و مرکز آموزش لاتينا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شنیداری واسپاری ← قانون واسپاری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واسپاری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 قانون واسپاری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و نگهداری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 حفاظت رقومی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در کتابخانه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چیوار آلایشا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ای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جهانی استاندارد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rtl w:val="true"/>
          <w:lang w:bidi="fa-IR"/>
        </w:rPr>
        <w:t>[</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rtl w:val="true"/>
          <w:lang w:bidi="fa-IR"/>
        </w:rPr>
        <w:t>[</w:t>
      </w:r>
      <w:r>
        <w:rPr>
          <w:rFonts w:eastAsia="IRNazanin" w:cs="IRNazanin"/>
          <w:color w:val="111111"/>
          <w:sz w:val="28"/>
          <w:szCs w:val="28"/>
          <w:lang w:bidi="fa-IR"/>
        </w:rPr>
        <w:t>11620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سنجش آمار بازدید از کتابخانه </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صندلی های کتابخانه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سنجش آماری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گذاری در وب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افقی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عمودی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همسطح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اجرایی حرفه ای کتابداران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بیل و ملیندا گیتس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نمایه کتابدار بیکس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مجله کتابدار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در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جهانی کتابخانه ها </w:t>
      </w:r>
    </w:p>
    <w:p>
      <w:pPr>
        <w:pStyle w:val="BookText"/>
        <w:rPr/>
      </w:pPr>
      <w:r>
        <w:rPr>
          <w:rFonts w:eastAsia="Times New Roman" w:cs="Times New Roman" w:ascii="Times New Roman" w:hAnsi="Times New Roman"/>
          <w:color w:val="111111"/>
          <w:sz w:val="28"/>
          <w:szCs w:val="28"/>
          <w:lang w:val="en-US" w:bidi="en-US"/>
        </w:rPr>
        <w:t>397-398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به در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در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مدیریتی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ملی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پیشگام پیشبرد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تدوین شاخص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تغییرات اساسی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آمار در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تعداد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تعداد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تحلیل آماری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ایفلا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ایسلند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سوئد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نروژ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آمریکا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نروژ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شعبه های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آماری یونسکو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آمار در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فعلی جهانی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آمار ملی بدون هماهنگ کننده ملی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آمار ملی و هماهنگ کننده ملی بدون انتشار گستره وب محور </w:t>
      </w:r>
      <w:r>
        <w:rPr>
          <w:rFonts w:eastAsia="IRNazanin" w:cs="IRNazanin"/>
          <w:color w:val="111111"/>
          <w:sz w:val="28"/>
          <w:szCs w:val="28"/>
          <w:lang w:bidi="fa-IR"/>
        </w:rPr>
        <w:t>396</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اراده سیاسی و انتشار وب محور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آمار ملی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فهرست نویسی توصیفی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انتقالی هسته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محتوای اصلی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تاریخی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مدارک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اليزابت بتس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اکتشافی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الکترونیکی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آموزش برخط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آزمایشگاه لاتینا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و مرکز آموزش لاتينا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ارتباطات افقی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امکانات و تجهیزات ضروری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تغییر در نوع آموزش افراد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دسترسی به وب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منطقه ای در آفریقا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مبتنی بر فناوری رقومی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اول جایگزینی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دوم جداسازی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سوم ادغام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و دانش آموز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با دوره چاپ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کتابخانه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آموزش الکترونیکی در آفریقا ← کتابخانه و مرکز آموزش لاتنیا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برخط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آموزش الکترونیکی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فناوری بر محتوای آموزشی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و سابقه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محیط وب </w:t>
      </w:r>
      <w:r>
        <w:rPr>
          <w:rFonts w:eastAsia="IRNazanin" w:cs="IRNazanin"/>
          <w:color w:val="111111"/>
          <w:sz w:val="28"/>
          <w:szCs w:val="28"/>
          <w:lang w:bidi="fa-IR"/>
        </w:rPr>
        <w:t>2702</w:t>
      </w:r>
      <w:r>
        <w:rPr>
          <w:rFonts w:eastAsia="IRNazanin" w:cs="IRNazanin"/>
          <w:color w:val="111111"/>
          <w:sz w:val="28"/>
          <w:szCs w:val="28"/>
          <w:rtl w:val="true"/>
          <w:lang w:bidi="fa-IR"/>
        </w:rPr>
        <w:t>-</w:t>
      </w:r>
      <w:r>
        <w:rPr>
          <w:rFonts w:eastAsia="IRNazanin" w:cs="IRNazanin"/>
          <w:color w:val="111111"/>
          <w:sz w:val="28"/>
          <w:szCs w:val="28"/>
          <w:lang w:bidi="fa-IR"/>
        </w:rPr>
        <w:t>782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آموزشی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275</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تولید دانش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آزاد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نگری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استنفورد ← دانشگاه استنفورد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برخط گسترده آزاد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اسمیت، کوین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معایب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آموزشی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بشریت به کتابداران در جهت بهبود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رودریگز کالاردو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آموزش سازمانی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نمونه </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دستورالعمل اشتراک گذاری دانش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سنج، پیتر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یادگیرنده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اشتراک گذاری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توسعه ملی فنلاند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آموزش سواد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محیط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فناوری بر محتوای آموزشی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آموزش طراحی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کتابدار دانشگاهی مارشا هادلی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ترکیبی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آموزشی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آموزش همتراز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اشتراک گذاری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آموزش علوم کتابداری و اطلاع رسانی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آمریکای لاتین </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590</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آموزشی دانشگاه کاتولیک پرو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کالاردو، رودریگز </w:t>
      </w:r>
      <w:r>
        <w:rPr>
          <w:rFonts w:eastAsia="IRNazanin" w:cs="IRNazanin"/>
          <w:color w:val="111111"/>
          <w:sz w:val="28"/>
          <w:szCs w:val="28"/>
          <w:lang w:bidi="fa-IR"/>
        </w:rPr>
        <w:t>590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ریناگیمز روجاس و هینوجوسا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راهبردی روش شناختی </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سازماندهی اطلاعات </w:t>
      </w:r>
      <w:r>
        <w:rPr>
          <w:rFonts w:eastAsia="IRNazanin" w:cs="IRNazanin"/>
          <w:color w:val="111111"/>
          <w:sz w:val="28"/>
          <w:szCs w:val="28"/>
          <w:lang w:bidi="fa-IR"/>
        </w:rPr>
        <w:t>594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سواد اطلاعاتی </w:t>
      </w:r>
      <w:r>
        <w:rPr>
          <w:rFonts w:eastAsia="IRNazanin" w:cs="IRNazanin"/>
          <w:color w:val="111111"/>
          <w:sz w:val="28"/>
          <w:szCs w:val="28"/>
          <w:lang w:bidi="fa-IR"/>
        </w:rPr>
        <w:t>594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کوئیند میل توریجو </w:t>
      </w:r>
      <w:r>
        <w:rPr>
          <w:rFonts w:eastAsia="IRNazanin" w:cs="IRNazanin"/>
          <w:color w:val="111111"/>
          <w:sz w:val="28"/>
          <w:szCs w:val="28"/>
          <w:lang w:bidi="fa-IR"/>
        </w:rPr>
        <w:t>594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حرفه تجربی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آموزش علوم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عملی </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و پیشینه </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آموزش یا کارآموزی </w:t>
      </w:r>
      <w:r>
        <w:rPr>
          <w:rFonts w:eastAsia="IRNazanin" w:cs="IRNazanin"/>
          <w:color w:val="111111"/>
          <w:sz w:val="28"/>
          <w:szCs w:val="28"/>
          <w:lang w:bidi="fa-IR"/>
        </w:rPr>
        <w:t>589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ورال </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تیست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دلاوگا و آراکاکی </w:t>
      </w:r>
      <w:r>
        <w:rPr>
          <w:rFonts w:eastAsia="IRNazanin" w:cs="IRNazanin"/>
          <w:color w:val="111111"/>
          <w:sz w:val="28"/>
          <w:szCs w:val="28"/>
          <w:lang w:bidi="fa-IR"/>
        </w:rPr>
        <w:t>591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گاسکن و همکاران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لافونته و مورالز </w:t>
      </w:r>
      <w:r>
        <w:rPr>
          <w:rFonts w:eastAsia="IRNazanin" w:cs="IRNazanin"/>
          <w:color w:val="111111"/>
          <w:sz w:val="28"/>
          <w:szCs w:val="28"/>
          <w:lang w:bidi="fa-IR"/>
        </w:rPr>
        <w:t>592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موران </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ورال </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توانایی تجزیه و تحلیل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توانایی شناخت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اصالت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اصالت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آموزش فهرست نویسی و رده بندی </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آموزش فهرست نویسی و رده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آفریقای جنوبی، امریکا، برزیل</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lang w:bidi="fa-IR"/>
        </w:rPr>
        <w:t>621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 برای غلبه بر چالش ها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 و تحلیل برنامه آموزشی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و تفاوت در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پژوهش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پژوهش </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شناسی پژوهش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برنامه آموزشی </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مقطع تدریس در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پژوهش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پژوهش </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هسیه یی </w:t>
      </w:r>
      <w:r>
        <w:rPr>
          <w:rFonts w:eastAsia="IRNazanin" w:cs="IRNazanin"/>
          <w:color w:val="111111"/>
          <w:sz w:val="28"/>
          <w:szCs w:val="28"/>
          <w:lang w:bidi="fa-IR"/>
        </w:rPr>
        <w:t>632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منتظره، پژوهش </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ابلیدا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اروپایی کتابخانه، اطلاعات آرشیوهای سندپردازی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آموزشی دوره دبیرستان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اسمیت، 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آموزش برخط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آزاد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اصول فهرست نویسی بین المللی </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کتابداران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لنکس، دیوید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انجمن اسناد آمریکا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انجمن کتابخانه های امریکا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انجمن کتابداری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تحول کتابخانه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انجمن کتابخانه های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انجمن لایب نیتس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اندروید </w:t>
      </w:r>
      <w:r>
        <w:rPr>
          <w:rFonts w:eastAsia="Times New Roman" w:cs="Times New Roman" w:ascii="Times New Roman" w:hAnsi="Times New Roman"/>
          <w:color w:val="111111"/>
          <w:sz w:val="28"/>
          <w:szCs w:val="28"/>
          <w:lang w:val="en-US" w:bidi="en-US"/>
        </w:rPr>
        <w:t>Android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انقلاب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آرشیوسازی ← آرشیوسازی انقلاب مصر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الکترونیکی←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کتاب الکترونیک</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رقومی ← کتابخانه رقومی انگلستان</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انگلستان</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نورث آمپتون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نورث آمپتون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پردازش رقومی ← مرکز پردازش رقومی انگلستان</w:t>
      </w:r>
    </w:p>
    <w:p>
      <w:pPr>
        <w:pStyle w:val="BookText"/>
        <w:rPr/>
      </w:pPr>
      <w:r>
        <w:rPr>
          <w:rFonts w:ascii="IRNazanin" w:hAnsi="IRNazanin" w:eastAsia="IRNazanin"/>
          <w:color w:val="111111"/>
          <w:sz w:val="28"/>
          <w:sz w:val="28"/>
          <w:szCs w:val="28"/>
          <w:rtl w:val="true"/>
          <w:lang w:bidi="fa-IR"/>
        </w:rPr>
        <w:t xml:space="preserve">ای پاد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ای پد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114</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کتابخانه ملی </w:t>
      </w:r>
      <w:r>
        <w:rPr>
          <w:rFonts w:eastAsia="Times New Roman" w:cs="Times New Roman" w:ascii="Times New Roman" w:hAnsi="Times New Roman"/>
          <w:color w:val="111111"/>
          <w:sz w:val="28"/>
          <w:szCs w:val="28"/>
          <w:lang w:val="en-US" w:bidi="en-US"/>
        </w:rPr>
        <w:t>SBN] 35- 40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نمایه </w:t>
      </w:r>
      <w:r>
        <w:rPr>
          <w:rFonts w:eastAsia="Times New Roman" w:cs="Times New Roman" w:ascii="Times New Roman" w:hAnsi="Times New Roman"/>
          <w:color w:val="111111"/>
          <w:sz w:val="28"/>
          <w:szCs w:val="28"/>
          <w:lang w:val="en-US" w:bidi="en-US"/>
        </w:rPr>
        <w:t>SBN] 37-40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پذیری نرم افزار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کتابخانه ای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برخط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فرهنگ اینترنتی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و شیوه نمایه سازی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مرکزی توسعه فهرست مشترک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اطلاعات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بر خط کتابخانه های ایتالیایی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مجموعه سازی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مرکزی فهرست نویسی واحد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درگاه فرهنگ اینترنتی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رقومی سازی در اروپا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ایفلا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ها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بودجه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موضوعی به کتابشناسی ملی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گذاری برای استاندارد مارک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راهنمای کتابخانه های بخش های دولتی </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درباره آمارهای کتابخانه ای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درباره خط مشی کتابخانه ملی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آماده سازی کتابشناسی ها برای آینده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وبگاه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بامبی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بروبک، ائولا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 خاطرات به دانشگاه پسیفیک کالیفرنیا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بنیاد پژوهشی سائوپائولو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مجازی← کتابخانه مجازی بنیاد پژوهشی سائوپائولو</w:t>
      </w:r>
    </w:p>
    <w:p>
      <w:pPr>
        <w:pStyle w:val="BookText"/>
        <w:rPr/>
      </w:pPr>
      <w:r>
        <w:rPr>
          <w:rFonts w:ascii="IRNazanin" w:hAnsi="IRNazanin" w:eastAsia="IRNazanin"/>
          <w:color w:val="111111"/>
          <w:sz w:val="28"/>
          <w:sz w:val="28"/>
          <w:szCs w:val="28"/>
          <w:rtl w:val="true"/>
          <w:lang w:bidi="fa-IR"/>
        </w:rPr>
        <w:t xml:space="preserve">بنیاد دیل کارنگی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بنیاد نوآوری کانادا </w:t>
      </w:r>
      <w:r>
        <w:rPr>
          <w:rFonts w:eastAsia="Times New Roman" w:cs="Times New Roman" w:ascii="Times New Roman" w:hAnsi="Times New Roman"/>
          <w:color w:val="111111"/>
          <w:sz w:val="28"/>
          <w:szCs w:val="28"/>
          <w:lang w:val="en-US" w:bidi="en-US"/>
        </w:rPr>
        <w:t>CFI] 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سرزمین موعود آوای مهاجران زن چینی به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 ویوین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بیب 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فهرست مشارکتی نروژ</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رقومی سازی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بیورنسون، ادوارد 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نامه نویس نروژی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بیورنسون، پام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تطبیقی و بین المللی کتابداری و اطلاع رسانی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شناختی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آزمون و فرضیه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تجربی گرایی ضعیف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ین، آنی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ترکیبی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تطبیقی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کمی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کیفی </w:t>
      </w:r>
      <w:r>
        <w:rPr>
          <w:rFonts w:eastAsia="IRNazanin" w:cs="IRNazanin"/>
          <w:color w:val="111111"/>
          <w:sz w:val="28"/>
          <w:szCs w:val="28"/>
          <w:lang w:bidi="fa-IR"/>
        </w:rPr>
        <w:t>226229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فنون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مفاهیم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تمرکز و بسط مفاهیم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زبانی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پژوهش تطبیقی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فرضیه های بعد هستی شناختی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تک کشوری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کشورها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 و بین المللی کتابداری و اطلاع رسانی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پردازی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فراتحلیل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فرانظریه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فرانظریه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اخلاقی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جامعه شناسی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غایت شناسی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معرفت شناختی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هستی شناختی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استعاره کوه یخ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پژوهش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تنوع فرهنگی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تنوع فرهنگی در کانادا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تنوع خدمات عمومی انتاریو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راهبردی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 سیاست چند فرهنگی توردو، پیر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تورنتو← دانشگاه تورنتو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قومی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آدامز، مایکل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مصوبه قانونی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یکپارچگی اقلیت های نمایان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تنوع قومی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تنوع قومی در کانادا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تورنتو ← دانشگاه تورنتو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قومی</w:t>
      </w:r>
    </w:p>
    <w:p>
      <w:pPr>
        <w:pStyle w:val="BookText"/>
        <w:rPr/>
      </w:pPr>
      <w:r>
        <w:rPr>
          <w:rFonts w:ascii="IRNazanin" w:hAnsi="IRNazanin" w:eastAsia="IRNazanin"/>
          <w:color w:val="111111"/>
          <w:sz w:val="28"/>
          <w:sz w:val="28"/>
          <w:szCs w:val="28"/>
          <w:rtl w:val="true"/>
          <w:lang w:bidi="fa-IR"/>
        </w:rPr>
        <w:t xml:space="preserve">توردو،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دهنده سیاست چند فرهنگی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توریجو، کوئیند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عملی آموزش کتابداری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تیتی، آمایا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اشتراک گذاری دانش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عملی آموزش کتابداری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جامعه نمونه در کتابداری حرفه ای ←کتابداری حرفه ای جامعه محلی نمونه</w:t>
      </w:r>
    </w:p>
    <w:p>
      <w:pPr>
        <w:pStyle w:val="BookText"/>
        <w:rPr/>
      </w:pPr>
      <w:r>
        <w:rPr>
          <w:rFonts w:ascii="IRNazanin" w:hAnsi="IRNazanin" w:eastAsia="IRNazanin"/>
          <w:color w:val="111111"/>
          <w:sz w:val="28"/>
          <w:sz w:val="28"/>
          <w:szCs w:val="28"/>
          <w:rtl w:val="true"/>
          <w:lang w:bidi="fa-IR"/>
        </w:rPr>
        <w:t xml:space="preserve">جستجوی تغالی اطلاعات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جنبش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دائره المعارف بریتانیکا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آرشیوسازی </w:t>
      </w:r>
      <w:r>
        <w:rPr>
          <w:rFonts w:eastAsia="IRNazanin" w:cs="IRNazanin"/>
          <w:color w:val="111111"/>
          <w:sz w:val="28"/>
          <w:szCs w:val="28"/>
          <w:lang w:bidi="fa-IR"/>
        </w:rPr>
        <w:t>570581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آزادیخواه آفریقای جنوبی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آکوپای پایس </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آکوپای وال استریت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شبکه ای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کاستلز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گیدنز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شناسی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جهانی نگری فرهنگی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ایریه اکیرا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انتفاعی بین المللی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حفاظت رقومی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نیز ← حفاظت منابع کتابخانه</w:t>
      </w:r>
    </w:p>
    <w:p>
      <w:pPr>
        <w:pStyle w:val="BookText"/>
        <w:rPr/>
      </w:pPr>
      <w:r>
        <w:rPr>
          <w:rFonts w:ascii="IRNazanin" w:hAnsi="IRNazanin" w:eastAsia="IRNazanin"/>
          <w:color w:val="111111"/>
          <w:sz w:val="28"/>
          <w:sz w:val="28"/>
          <w:szCs w:val="28"/>
          <w:rtl w:val="true"/>
          <w:lang w:bidi="fa-IR"/>
        </w:rPr>
        <w:t xml:space="preserve">نیز ←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رقومی توزیع شده</w:t>
      </w:r>
    </w:p>
    <w:p>
      <w:pPr>
        <w:pStyle w:val="BookText"/>
        <w:rPr/>
      </w:pPr>
      <w:r>
        <w:rPr>
          <w:rFonts w:ascii="IRNazanin" w:hAnsi="IRNazanin" w:eastAsia="IRNazanin"/>
          <w:color w:val="111111"/>
          <w:sz w:val="28"/>
          <w:sz w:val="28"/>
          <w:szCs w:val="28"/>
          <w:rtl w:val="true"/>
          <w:lang w:bidi="fa-IR"/>
        </w:rPr>
        <w:t xml:space="preserve">حفاظت رقومی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توزیعی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توزیعی کرونوپلس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توزیعی کودا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توزیعی متاآرکایو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حفاظت رقومی توزیع شده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و بین المللی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کتابخانه کنگره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نامه نظارت رقومی ملی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چندینگی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پایدار اقتصادی </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رقومی توزیع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سازماندهی رقومی اتحادیه بریتانیا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حفاظت رقومی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تبادل دانش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حافظان رقومی آموزش حرفه ای در اروپا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بودجه برنامه لئوناردو داوینچی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رامپل و همکاران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سوآن و براون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گولد </w:t>
      </w:r>
      <w:r>
        <w:rPr>
          <w:rFonts w:eastAsia="IRNazanin" w:cs="IRNazanin"/>
          <w:color w:val="111111"/>
          <w:sz w:val="28"/>
          <w:szCs w:val="28"/>
          <w:lang w:bidi="fa-IR"/>
        </w:rPr>
        <w:t>374</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حفاظت رقومی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گروه پژوهشی نستور </w:t>
      </w:r>
      <w:r>
        <w:rPr>
          <w:rFonts w:eastAsia="IRNazanin" w:cs="IRNazanin"/>
          <w:color w:val="111111"/>
          <w:sz w:val="28"/>
          <w:szCs w:val="28"/>
          <w:lang w:bidi="fa-IR"/>
        </w:rPr>
        <w:t>372381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مشارکتی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داده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با سایر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پژوهش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کتابخانه و کتابدار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ضروری کتابداران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دانللی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سوآن و براون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کورال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حفاظت رقومی در کتابخانه ملی فرانسه ← کتابخانه ملی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رقومی</w:t>
      </w:r>
    </w:p>
    <w:p>
      <w:pPr>
        <w:pStyle w:val="BookText"/>
        <w:rPr/>
      </w:pPr>
      <w:r>
        <w:rPr>
          <w:rFonts w:ascii="IRNazanin" w:hAnsi="IRNazanin" w:eastAsia="IRNazanin"/>
          <w:color w:val="111111"/>
          <w:sz w:val="28"/>
          <w:sz w:val="28"/>
          <w:szCs w:val="28"/>
          <w:rtl w:val="true"/>
          <w:lang w:bidi="fa-IR"/>
        </w:rPr>
        <w:t xml:space="preserve">حفاظت رقومی روزنامه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استاندارد تیف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J.P.E.G] 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ملی روزنامه های رقومی دانشگاه های تگزاس شمالی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فراداده دابلین کور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فراداده مت سالتو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حفاظت رقومی رویدادنامه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ملی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رقومی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تگزاس شمالی </w:t>
      </w:r>
      <w:r>
        <w:rPr>
          <w:rFonts w:eastAsia="IRNazanin" w:cs="IRNazanin"/>
          <w:color w:val="111111"/>
          <w:sz w:val="28"/>
          <w:szCs w:val="28"/>
          <w:lang w:bidi="fa-IR"/>
        </w:rPr>
        <w:t>240249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کنش پذیری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باگت پی وای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باگر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پریمس رویدا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توصیفی دینس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تطبیقی سامانه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نگهداری منابع رقومی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سیاهه برداری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محتوا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آزمایشی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حفاظت منابع کتابخانه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نیز ← حفاظت رقومی</w:t>
      </w:r>
    </w:p>
    <w:p>
      <w:pPr>
        <w:pStyle w:val="BookText"/>
        <w:rPr/>
      </w:pPr>
      <w:r>
        <w:rPr>
          <w:rFonts w:ascii="IRNazanin" w:hAnsi="IRNazanin" w:eastAsia="IRNazanin"/>
          <w:color w:val="111111"/>
          <w:sz w:val="28"/>
          <w:sz w:val="28"/>
          <w:szCs w:val="28"/>
          <w:rtl w:val="true"/>
          <w:lang w:bidi="fa-IR"/>
        </w:rPr>
        <w:t xml:space="preserve">نیز ←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رقومی توزیع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حفاظت منابع</w:t>
      </w:r>
    </w:p>
    <w:p>
      <w:pPr>
        <w:pStyle w:val="BookText"/>
        <w:rPr/>
      </w:pPr>
      <w:r>
        <w:rPr>
          <w:rFonts w:ascii="IRNazanin" w:hAnsi="IRNazanin" w:eastAsia="IRNazanin"/>
          <w:color w:val="111111"/>
          <w:sz w:val="28"/>
          <w:sz w:val="28"/>
          <w:szCs w:val="28"/>
          <w:rtl w:val="true"/>
          <w:lang w:bidi="fa-IR"/>
        </w:rPr>
        <w:t xml:space="preserve">حق مؤلف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نامه برن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نامه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تجاری قانون مالکیت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تریپس</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نامه جهانی حق مؤلف یونسکو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آلمان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علوم و فناوری آلمان ← کتابخانه ملی علوم و فناوری آلمان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اتحادیه اروپا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رقومی سازی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نامه تجارت ضد جعل و تقلب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برخط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حق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نیز ← حق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حقوق انحصاری آثار صوتی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های ضروری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نداشتن دولت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دولت </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نشریات ادواری رقومی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ذی نفعان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حق انحصاری اثر </w:t>
      </w:r>
      <w:r>
        <w:rPr>
          <w:rFonts w:eastAsia="IRNazanin" w:cs="IRNazanin"/>
          <w:color w:val="111111"/>
          <w:sz w:val="28"/>
          <w:szCs w:val="28"/>
          <w:lang w:bidi="fa-IR"/>
        </w:rPr>
        <w:t>410</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جهانی مالکیت معنوی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ملی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حقوق انحصاری آثار صوتی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نیز ← حق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و مشکلات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نداشتن درباره حق مؤلف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قضایی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آثار صوتی و تصویری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تولید کننده غیر مجاز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استنفورد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المللی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خدمت مرجع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تحرک فیزیکی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تمرکز بر تعامل و روابط انسانی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جنبش آکوپای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جذب کاربران نسل گوگل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فراکتابخانه ای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آستانه ای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کاربران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سیار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میدانی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کتابخانه چمدان سیار </w:t>
      </w:r>
      <w:r>
        <w:rPr>
          <w:rFonts w:eastAsia="IRNazanin" w:cs="IRNazanin"/>
          <w:color w:val="111111"/>
          <w:sz w:val="28"/>
          <w:szCs w:val="28"/>
          <w:lang w:bidi="fa-IR"/>
        </w:rPr>
        <w:t>508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مسافران هواپیما </w:t>
      </w:r>
      <w:r>
        <w:rPr>
          <w:rFonts w:eastAsia="Times New Roman" w:cs="Times New Roman" w:ascii="Times New Roman" w:hAnsi="Times New Roman"/>
          <w:color w:val="111111"/>
          <w:sz w:val="28"/>
          <w:szCs w:val="28"/>
          <w:lang w:val="en-US" w:bidi="en-US"/>
        </w:rPr>
        <w:t>M.H.R.D] 508 .509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w:t>
      </w:r>
      <w:r>
        <w:rPr>
          <w:rFonts w:eastAsia="IRNazanin" w:cs="IRNazanin"/>
          <w:color w:val="111111"/>
          <w:sz w:val="28"/>
          <w:szCs w:val="28"/>
          <w:lang w:bidi="fa-IR"/>
        </w:rPr>
        <w:t>509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ولمن، روت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خدمات مرجع نوجوانان موفق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کالینز، جنیفر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شعر دوره گرد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کتابخانه عمومی سانفرانسیسکو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دوره گرد </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رادیکال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رفتار اطلاع یابی کاربران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خط مشی کتابخانه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مشی ملی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نیز ← خط مشی ملی کتابخانه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رابرتس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مک کالوین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برنامه ریزی توسعه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اروپایی کتابخانه اطلاعات و آرشیوهای سندپردازی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دوم جهانی تا سال </w:t>
      </w:r>
      <w:r>
        <w:rPr>
          <w:rFonts w:eastAsia="IRNazanin" w:cs="IRNazanin"/>
          <w:color w:val="111111"/>
          <w:sz w:val="28"/>
          <w:szCs w:val="28"/>
          <w:lang w:bidi="fa-IR"/>
        </w:rPr>
        <w:t>2000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اطلاعاتی آسیا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آفریقایی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اروپایی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متولیان ملی در کتابخانه های عمومی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خطی مشی کتابخانه ملی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با قوانین و مقررات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چارچوب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العمل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برنامه ریزی توسعه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در تدوین </w:t>
      </w:r>
      <w:r>
        <w:rPr>
          <w:rFonts w:eastAsia="IRNazanin" w:cs="IRNazanin"/>
          <w:color w:val="111111"/>
          <w:sz w:val="28"/>
          <w:szCs w:val="28"/>
          <w:lang w:bidi="fa-IR"/>
        </w:rPr>
        <w:t>6764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کلمبیا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لتونی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لیتوانی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نیوزیلند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کتابخانه ملی </w:t>
      </w:r>
      <w:r>
        <w:rPr>
          <w:rFonts w:eastAsia="IRNazanin" w:cs="IRNazanin"/>
          <w:color w:val="111111"/>
          <w:sz w:val="28"/>
          <w:szCs w:val="28"/>
          <w:lang w:bidi="fa-IR"/>
        </w:rPr>
        <w:t>61</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مشی ملی کتابخانه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ایجل ،اینینن باربرو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کلمبیا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ملی کتابخانه های عمومی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راهبردی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نامیبیا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راهبردی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دابلین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فراداده توصیفی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فراداده دابلین کور</w:t>
      </w:r>
    </w:p>
    <w:p>
      <w:pPr>
        <w:pStyle w:val="BookText"/>
        <w:rPr/>
      </w:pP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داده های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رقومی ← حفاظت رقومی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نورث آمپتون انگلستان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نورث آمپتون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داده های پژوهشی</w:t>
      </w:r>
    </w:p>
    <w:p>
      <w:pPr>
        <w:pStyle w:val="BookText"/>
        <w:rPr/>
      </w:pP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نیز ← 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زیرساخت پژوهشی ملی</w:t>
      </w:r>
    </w:p>
    <w:p>
      <w:pPr>
        <w:pStyle w:val="BookText"/>
        <w:rPr/>
      </w:pP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ابداع لى برنرز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مدل داده ای توزیع شده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کتابخانه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ها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و دسترس پذیری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بسیار فراداده ها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جستجوی چهریزه ای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جستجوی تفالی منابع اطلاعاتی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فراداده نوآورانه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کُند کتابخانه ها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مفهومی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هستی شناسی ها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حداقلی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پذیرش رویکرد فراداده ترکیبی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گیری برای حفظ موارد ضروری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چالش</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اختلاف استانداردهای کتابخانه و وب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گسترش استفاده از استاندارد مارک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مواجهه کاربران با پیچیدگی فناوری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هزینه های بسیار برای استاندارد مارک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والیس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کنسرسیوم وب جهانی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ترکیبی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فناوری پیاده سازی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 سازی فراداده کتابخانه ای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تعاملی باز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موجود کتابخانه ها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موجود کتابخانه ها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بریتانیا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یوروپیونا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کتابخانه کنگره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المناگ و هندلر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دارایی داده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دانشگاه آکسفورد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بودلیان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دانشگاه آلابابا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سرور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دانشگاه ادینبورگ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دانشگاه استنفورد برنامه نرم افزاری لاکس </w:t>
      </w:r>
      <w:r>
        <w:rPr>
          <w:rFonts w:eastAsia="IRNazanin" w:cs="IRNazanin"/>
          <w:color w:val="111111"/>
          <w:sz w:val="28"/>
          <w:szCs w:val="28"/>
          <w:lang w:bidi="fa-IR"/>
        </w:rPr>
        <w:t>518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برخط گسترده آزاد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توسعه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چاپ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299</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مؤلف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 مدیریت یادگیری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ویدئو و رسانه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مجموعه آرشیو مک دانو ویلیام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دانشگاه اُسلو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آزمایشگاه لاتینا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نیز ← کتابخانه و مرکز آموزش لاتينا</w:t>
      </w:r>
    </w:p>
    <w:p>
      <w:pPr>
        <w:pStyle w:val="BookText"/>
        <w:rPr/>
      </w:pPr>
      <w:r>
        <w:rPr>
          <w:rFonts w:ascii="IRNazanin" w:hAnsi="IRNazanin" w:eastAsia="IRNazanin"/>
          <w:color w:val="111111"/>
          <w:sz w:val="28"/>
          <w:sz w:val="28"/>
          <w:szCs w:val="28"/>
          <w:rtl w:val="true"/>
          <w:lang w:bidi="fa-IR"/>
        </w:rPr>
        <w:t xml:space="preserve">دانشگاه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 و دراف نیز ← کتابخانه و ودراف دانشگاه اِموری</w:t>
      </w:r>
    </w:p>
    <w:p>
      <w:pPr>
        <w:pStyle w:val="BookText"/>
        <w:rPr/>
      </w:pPr>
      <w:r>
        <w:rPr>
          <w:rFonts w:ascii="IRNazanin" w:hAnsi="IRNazanin" w:eastAsia="IRNazanin"/>
          <w:color w:val="111111"/>
          <w:sz w:val="28"/>
          <w:sz w:val="28"/>
          <w:szCs w:val="28"/>
          <w:rtl w:val="true"/>
          <w:lang w:bidi="fa-IR"/>
        </w:rPr>
        <w:t xml:space="preserve">دانشگاه پسیفیک کالیفرنیا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تاریخ شفاهی بروبک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تگزاس شمالی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رقومی رویداد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توزیعی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توزیعی کرونوپلس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توزیعی کودا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توزیعی متاآرکایو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دانشگاه تمپر فنلاند، مدرسه علوم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اشتراک گذاری دانش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دانشگاه تورنتو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تنوع قومی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برابری شغلی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نرخ بازنمایی کارکنان اقلیت نمایان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نرخ بازنمایی کتابداران اقلیت نمایان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تورنتو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علوم کاربردی هامبورگ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و تحول در کتابخانه ← مدیریت تحول در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کاربردی هامبورگ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در کتابخانه ← رهبری در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کاربردی هامبورگ</w:t>
      </w:r>
    </w:p>
    <w:p>
      <w:pPr>
        <w:pStyle w:val="BookText"/>
        <w:rPr/>
      </w:pPr>
      <w:r>
        <w:rPr>
          <w:rFonts w:ascii="IRNazanin" w:hAnsi="IRNazanin" w:eastAsia="IRNazanin"/>
          <w:color w:val="111111"/>
          <w:sz w:val="28"/>
          <w:sz w:val="28"/>
          <w:szCs w:val="28"/>
          <w:rtl w:val="true"/>
          <w:lang w:bidi="fa-IR"/>
        </w:rPr>
        <w:t xml:space="preserve">دانشگاه فناوری نانیان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دانشگاه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نظاره گر انقلاب مصر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مستندسازی انقلاب مصر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 آرشیوسازی انقلاب مصر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کاتولیک پرو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آموزش کتابداری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دانشگاه ماکررا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آموزشی با آزمایشگاه لاتینا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دانشگاه نورث آمپتون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و موقعیت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آموزشی کیپ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تی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سازمانی کتابخانه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مشترک خط مشی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پیاده سازی خط مشی داده ها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خط مشی مدیریت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ذخیره سازی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 فایل منابع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زیرساخت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گذاری شوراهای پژوهشی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چارچوب مدیریتی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داده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داف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گردآوری اطلاعات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مدیران پژوهشی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آزمایشی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کتابداران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کتابدار موضوعی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کتابخانه بودلیان دانشگاه آکسفورد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کتابخانه دانشگاه ادینبورگ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دانشگاه نیوسات 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چالاکی ← مدیریت چالاکی</w:t>
      </w:r>
    </w:p>
    <w:p>
      <w:pPr>
        <w:pStyle w:val="BookText"/>
        <w:rPr/>
      </w:pPr>
      <w:r>
        <w:rPr>
          <w:rFonts w:ascii="IRNazanin" w:hAnsi="IRNazanin" w:eastAsia="IRNazanin"/>
          <w:color w:val="111111"/>
          <w:sz w:val="28"/>
          <w:sz w:val="28"/>
          <w:szCs w:val="28"/>
          <w:rtl w:val="true"/>
          <w:lang w:bidi="fa-IR"/>
        </w:rPr>
        <w:t xml:space="preserve">دانشگاه یانگ بریگهام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استاندارد فهرست نویسی توصیفی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تاریخی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هارولد بیلی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اسناد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تخصصی ال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عکس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دلاوگا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عملی آموزش کتابداری </w:t>
      </w:r>
      <w:r>
        <w:rPr>
          <w:rFonts w:eastAsia="IRNazanin" w:cs="IRNazanin"/>
          <w:color w:val="111111"/>
          <w:sz w:val="28"/>
          <w:szCs w:val="28"/>
          <w:lang w:bidi="fa-IR"/>
        </w:rPr>
        <w:t>591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حفاظت رقومی توزیع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اجو کوپیا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تأثیرگذاری در آرشیو پویا </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رسانه های دیداری شنیداری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واسپاری← قانون واسپاری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اطلاع یابی کاربر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فاستر و فورد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رودن، کارل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روزنامه رقومی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نیز ← کتابخانه های رقومی یوروپیانا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روزنامه رقومی</w:t>
      </w:r>
    </w:p>
    <w:p>
      <w:pPr>
        <w:pStyle w:val="BookText"/>
        <w:rPr/>
      </w:pPr>
      <w:r>
        <w:rPr>
          <w:rFonts w:ascii="IRNazanin" w:hAnsi="IRNazanin" w:eastAsia="IRNazanin"/>
          <w:color w:val="111111"/>
          <w:sz w:val="28"/>
          <w:sz w:val="28"/>
          <w:szCs w:val="28"/>
          <w:rtl w:val="true"/>
          <w:lang w:bidi="fa-IR"/>
        </w:rPr>
        <w:t xml:space="preserve">رهبری در کتابخانه دانشگاهی </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نیز ← مدیریت تحول در کتابخانه دانشگاهی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علوم کاربردی هامبورگ </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چشم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رهبری تبادل گرا </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رهبری تحول گرا </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رهبری مشارکتی </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گزارش پایان نامه کارشناسی </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تغییر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گروه تحقیق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عالی </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سازمانی اعتمادگرا </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رساله دکتری </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اعتمادسازی </w:t>
      </w:r>
      <w:r>
        <w:rPr>
          <w:rFonts w:eastAsia="IRNazanin" w:cs="IRNazanin"/>
          <w:color w:val="111111"/>
          <w:sz w:val="28"/>
          <w:szCs w:val="28"/>
          <w:lang w:bidi="fa-IR"/>
        </w:rPr>
        <w:t>546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توانایی مشارکت دادن کارکنان </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در نقش مدیریت تحول </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رهنمودهایی در رابطه با خط مشی اطلاعات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تدوین و پیاده سازی یونسکو</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مجازی ←کتابخانه مجازی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 xml:space="preserve">سرعنوان های موضوعی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کتابخانه ملی لهستان ← کتابخانه ملی 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سرعنوان های موضوعی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مصورسازی روابط سلسله مراتبی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 موضوعی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استرادا، ملگار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انسانیت های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شرایبمن و همکاران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سواد اطلاعاتی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 آموزش سواد اطلاعاتی</w:t>
      </w:r>
    </w:p>
    <w:p>
      <w:pPr>
        <w:pStyle w:val="BookText"/>
        <w:rPr/>
      </w:pPr>
      <w:r>
        <w:rPr>
          <w:rFonts w:ascii="IRNazanin" w:hAnsi="IRNazanin" w:eastAsia="IRNazanin"/>
          <w:color w:val="111111"/>
          <w:sz w:val="28"/>
          <w:sz w:val="28"/>
          <w:szCs w:val="28"/>
          <w:rtl w:val="true"/>
          <w:lang w:bidi="fa-IR"/>
        </w:rPr>
        <w:t xml:space="preserve">سوبرامانیام، رادیکا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مرکز طراحی شیلاسی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سولستد، داگ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نروژی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سیاست چندفرهنگی ← تنوع فرهنگی</w:t>
      </w:r>
    </w:p>
    <w:p>
      <w:pPr>
        <w:pStyle w:val="BookText"/>
        <w:rPr/>
      </w:pPr>
      <w:r>
        <w:rPr>
          <w:rFonts w:ascii="IRNazanin" w:hAnsi="IRNazanin" w:eastAsia="IRNazanin"/>
          <w:color w:val="111111"/>
          <w:sz w:val="28"/>
          <w:sz w:val="28"/>
          <w:szCs w:val="28"/>
          <w:rtl w:val="true"/>
          <w:lang w:bidi="fa-IR"/>
        </w:rPr>
        <w:t xml:space="preserve">شاو، برکین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مدیریت چالاکی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جامعه و اطلاعات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با کاربر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کاپلان و هاتلن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ساختار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گذاری در وب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برقراری تعامل و ارتباط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موریس و بوسکه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ونکلی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حضور کتابخانه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کتابداران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بنیان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شرکت ارتباط های دانش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رقومی توزیع شده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امکانات و نیازهای تأسیس شبکه </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بودجه </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داشتن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انسانی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فرصت مشارکت بین المللی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مدیریتی چابک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آلاباما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قدرت جبران در دانشگاه آلاباما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 شبکه های ← حفاظت رقومی توزیع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آلاباما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بین المللی تعاونی فرا آرشیو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قدرت جبران فاجعه در کتابخانه و ودراف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تعمیراتی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مؤثر در استمرار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راه حل منبع آزاد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الگوی کسب و کار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حق مالکیت شبکه بین اعضا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مدیریتی چابک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زیرساخت مدیریتی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قدرت تصمیم گیری به اعضا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سازمانی </w:t>
      </w:r>
      <w:r>
        <w:rPr>
          <w:rFonts w:eastAsia="IRNazanin" w:cs="IRNazanin"/>
          <w:color w:val="111111"/>
          <w:sz w:val="28"/>
          <w:szCs w:val="28"/>
          <w:lang w:bidi="fa-IR"/>
        </w:rPr>
        <w:t>527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520521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و پرهزینه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شبکه حفاظت رقومی توزیع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خصوصی لاکس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قدرت جبران فاجعه در کتابخانه و ودراف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در منطقه جغرافیایی با بلایای طبیعی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عملی </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امریکای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حداقل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عضویت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نظارتی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سیستم عضویت </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داشتن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و 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تجهیزات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هزینه عضویت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کلیدی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عملی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شبکه ملی کتابخانه های عمومی کلمبیا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علوم کتابداری و اطلاع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آموزش علوم کتابداری و اطلاع رسانی</w:t>
      </w:r>
    </w:p>
    <w:p>
      <w:pPr>
        <w:pStyle w:val="BookText"/>
        <w:rPr/>
      </w:pPr>
      <w:r>
        <w:rPr>
          <w:rFonts w:ascii="IRNazanin" w:hAnsi="IRNazanin" w:eastAsia="IRNazanin"/>
          <w:color w:val="111111"/>
          <w:sz w:val="28"/>
          <w:sz w:val="28"/>
          <w:szCs w:val="28"/>
          <w:rtl w:val="true"/>
          <w:lang w:bidi="fa-IR"/>
        </w:rPr>
        <w:t xml:space="preserve">فارکوار، آدام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برنامه حفاظت رقومی کتابخانه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فاگینن بتس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کتابخانه وال استریت آکوپای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فدراسیون بین المللی انجمن های کتابداری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اینبرگ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فراداده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استانداردسازی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اصول و استانداردها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معنوی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دیدگاه گروبر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مورویل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فراداده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توصیف منبع</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فراداده اجتماع گرا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فراداده استانداردگرا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فراداده دابلین کور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فراداده مت سالتو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فراداده عمل پذیر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فراسوادی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فرانظریه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دروین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گوبا و لینکلن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فرهنگ سازمانی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فرهنگ سازمانی در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اعتمادسازی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فرهنگ کتاب شناختی انقلاب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اینترنتی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فکس، رابرت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رقومی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فنلاند خط مشی ملی کتابخانه ← خط مشی ملی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فنلاند</w:t>
      </w:r>
    </w:p>
    <w:p>
      <w:pPr>
        <w:pStyle w:val="BookText"/>
        <w:rPr/>
      </w:pPr>
      <w:r>
        <w:rPr>
          <w:rFonts w:ascii="IRNazanin" w:hAnsi="IRNazanin" w:eastAsia="IRNazanin"/>
          <w:color w:val="111111"/>
          <w:sz w:val="28"/>
          <w:sz w:val="28"/>
          <w:szCs w:val="28"/>
          <w:rtl w:val="true"/>
          <w:lang w:bidi="fa-IR"/>
        </w:rPr>
        <w:t>طرح اشتراک گذاری دانش ← آموزش سازمانی آموزش همتراز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رسانه مایلی پیورو← کتابخانه رسانه مایلی پیورو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عمومی هلسینکی هلسینکی ← کتابخانه عمومی هلسینکی فنلاند</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با کتابشناسی ملی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فهرستگان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601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سیمپوگلو </w:t>
      </w:r>
      <w:r>
        <w:rPr>
          <w:rFonts w:eastAsia="IRNazanin" w:cs="IRNazanin"/>
          <w:color w:val="111111"/>
          <w:sz w:val="28"/>
          <w:szCs w:val="28"/>
          <w:lang w:bidi="fa-IR"/>
        </w:rPr>
        <w:t>601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گورمن </w:t>
      </w:r>
      <w:r>
        <w:rPr>
          <w:rFonts w:eastAsia="IRNazanin" w:cs="IRNazanin"/>
          <w:color w:val="111111"/>
          <w:sz w:val="28"/>
          <w:szCs w:val="28"/>
          <w:lang w:bidi="fa-IR"/>
        </w:rPr>
        <w:t>601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اساس اشتراک منبع </w:t>
      </w:r>
      <w:r>
        <w:rPr>
          <w:rFonts w:eastAsia="IRNazanin" w:cs="IRNazanin"/>
          <w:color w:val="111111"/>
          <w:sz w:val="28"/>
          <w:szCs w:val="28"/>
          <w:lang w:bidi="fa-IR"/>
        </w:rPr>
        <w:t>601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مهم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قواعد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پیشگامان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مارک </w:t>
      </w:r>
      <w:r>
        <w:rPr>
          <w:rFonts w:eastAsia="IRNazanin" w:cs="IRNazanin"/>
          <w:color w:val="111111"/>
          <w:sz w:val="28"/>
          <w:szCs w:val="28"/>
          <w:lang w:bidi="fa-IR"/>
        </w:rPr>
        <w:t>7677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نوین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انگلو امریکن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فهرست نویسی توصیفی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تاریخی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اف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و گسترش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اسمیر اگلیا، ریچارد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قانون واسپاری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نامه اروپایی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قضایی ایالات فدرال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سینمایی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کتابخانه ملی علوم و فناوری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منطقه ای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قحطی کتاب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قواعد فهرست نویسی انگلو آمریکن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ساده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کاستلز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جامعه شبکه ای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کالاردو، رودریگز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عملی آموزش کتابداری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کالینز، جنیفر </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كانادا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زیر ساخت پژوهش ملی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نیز ←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سران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کتابخانه های پژوهشی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نوآوری کانادا </w:t>
      </w:r>
      <w:r>
        <w:rPr>
          <w:rFonts w:eastAsia="Times New Roman" w:cs="Times New Roman" w:ascii="Times New Roman" w:hAnsi="Times New Roman"/>
          <w:color w:val="111111"/>
          <w:sz w:val="28"/>
          <w:szCs w:val="28"/>
          <w:lang w:val="en-US" w:bidi="en-US"/>
        </w:rPr>
        <w:t>CFI] 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سازی داده ها سرمایه گذاری کانادا کامپیوت </w:t>
      </w:r>
      <w:r>
        <w:rPr>
          <w:rFonts w:eastAsia="IRNazanin" w:cs="IRNazanin"/>
          <w:color w:val="111111"/>
          <w:sz w:val="28"/>
          <w:szCs w:val="28"/>
          <w:lang w:bidi="fa-IR"/>
        </w:rPr>
        <w:t>25</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یکپارچه ملی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ساخت رقومی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ساخت فوق پردازش و پردازش گر سرمایه گذاری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گذاری دولت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پرتال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علوم شورای پژوهشی ملی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طرح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مسئولیت طرح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مرکز 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IBM] 23-24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اطلاع رسانی فنی و علمی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مدیریت داده های پژوهشی کتابخانه های علمی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همکاران طرح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كتاب الکترونیک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فروش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 پذیری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کتاب خوان← کتاب خوان الکترونیکی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فرمت تهیه و ارائه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کتابخانه عمومی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 نابینا و کم بینا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ماکری، ایان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 آمار در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 ← خط مشی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تحول </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پاسخگویی به نیاز اجتماعی </w:t>
      </w:r>
      <w:r>
        <w:rPr>
          <w:rFonts w:eastAsia="IRNazanin" w:cs="IRNazanin"/>
          <w:color w:val="111111"/>
          <w:sz w:val="28"/>
          <w:szCs w:val="28"/>
          <w:lang w:bidi="fa-IR"/>
        </w:rPr>
        <w:t>570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حضور در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کتابخانه</w:t>
      </w:r>
    </w:p>
    <w:p>
      <w:pPr>
        <w:pStyle w:val="BookText"/>
        <w:rPr/>
      </w:pPr>
      <w:r>
        <w:rPr>
          <w:rFonts w:ascii="IRNazanin" w:hAnsi="IRNazanin" w:eastAsia="IRNazanin"/>
          <w:color w:val="111111"/>
          <w:sz w:val="28"/>
          <w:sz w:val="28"/>
          <w:szCs w:val="28"/>
          <w:rtl w:val="true"/>
          <w:lang w:bidi="fa-IR"/>
        </w:rPr>
        <w:t xml:space="preserve">کتابخانه آی تیک اسکوس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 شهر هلسینکی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مطالعه مایلی پیورو </w:t>
      </w:r>
      <w:r>
        <w:rPr>
          <w:rFonts w:eastAsia="IRNazanin" w:cs="IRNazanin"/>
          <w:color w:val="111111"/>
          <w:sz w:val="28"/>
          <w:szCs w:val="28"/>
          <w:lang w:bidi="fa-IR"/>
        </w:rPr>
        <w:t>387</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اسکندریه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پژوهشی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نیز ← دانشگاه نورث آمپتون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داده های پژوهشی</w:t>
      </w:r>
    </w:p>
    <w:p>
      <w:pPr>
        <w:pStyle w:val="BookText"/>
        <w:rPr/>
      </w:pPr>
      <w:r>
        <w:rPr>
          <w:rFonts w:ascii="IRNazanin" w:hAnsi="IRNazanin" w:eastAsia="IRNazanin"/>
          <w:color w:val="111111"/>
          <w:sz w:val="28"/>
          <w:sz w:val="28"/>
          <w:szCs w:val="28"/>
          <w:rtl w:val="true"/>
          <w:lang w:bidi="fa-IR"/>
        </w:rPr>
        <w:t xml:space="preserve">کتابخانه جنسیت و 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سازی فهرست نویسی اشتراکی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سازی </w:t>
      </w:r>
      <w:r>
        <w:rPr>
          <w:rFonts w:eastAsia="IRNazanin" w:cs="IRNazanin"/>
          <w:color w:val="111111"/>
          <w:sz w:val="28"/>
          <w:szCs w:val="28"/>
          <w:lang w:bidi="fa-IR"/>
        </w:rPr>
        <w:t>608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سایر کتابخانه ها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کتابخانه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 مدیریت تحول در کتابخانه دانشگاهی</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استنفورد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الکترونیکی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نیز ← کتابخانه و مرکز آموزش لاتینا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نیوسات ولز </w:t>
      </w:r>
      <w:r>
        <w:rPr>
          <w:rFonts w:eastAsia="Times New Roman" w:cs="Times New Roman" w:ascii="Times New Roman" w:hAnsi="Times New Roman"/>
          <w:color w:val="111111"/>
          <w:sz w:val="28"/>
          <w:szCs w:val="28"/>
          <w:lang w:val="en-US" w:bidi="en-US"/>
        </w:rPr>
        <w:t>UNSW] 287-290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چالاکی ← مدیریت چالاکی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دسترسی به انتشارات پژوهشی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تگزاس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ملی روزنامه های رقومی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تورنتو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تنوع قومی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کتابدار اقلیت نژادی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کتابدار به جهت نیاز زبان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کتابخانه دفتر کل اطلاعات و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سازی فهرست نویسی اشتراکی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سازی </w:t>
      </w:r>
      <w:r>
        <w:rPr>
          <w:rFonts w:eastAsia="IRNazanin" w:cs="IRNazanin"/>
          <w:color w:val="111111"/>
          <w:sz w:val="28"/>
          <w:szCs w:val="28"/>
          <w:lang w:bidi="fa-IR"/>
        </w:rPr>
        <w:t>608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با سایر کتابخانه ها </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کتابخانه دولتی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ایفلا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رقومی سازی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کتابخانه دولتی خاص </w:t>
      </w:r>
      <w:r>
        <w:rPr>
          <w:rFonts w:eastAsia="IRNazanin" w:cs="IRNazanin"/>
          <w:color w:val="111111"/>
          <w:sz w:val="28"/>
          <w:szCs w:val="28"/>
          <w:lang w:bidi="fa-IR"/>
        </w:rPr>
        <w:t>606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 پژوهش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فهرستگان </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مجموعه مشترک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شناسی پژوهش </w:t>
      </w:r>
      <w:r>
        <w:rPr>
          <w:rFonts w:eastAsia="IRNazanin" w:cs="IRNazanin"/>
          <w:color w:val="111111"/>
          <w:sz w:val="28"/>
          <w:szCs w:val="28"/>
          <w:lang w:bidi="fa-IR"/>
        </w:rPr>
        <w:t>605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سازی فهرست نویسی اشتراکی </w:t>
      </w:r>
      <w:r>
        <w:rPr>
          <w:rFonts w:eastAsia="IRNazanin" w:cs="IRNazanin"/>
          <w:color w:val="111111"/>
          <w:sz w:val="28"/>
          <w:szCs w:val="28"/>
          <w:lang w:bidi="fa-IR"/>
        </w:rPr>
        <w:t>611</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پژوهش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جنسیت و برابری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دفتر کل اطلاعات و ارتباطات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وزارت توسعه روستایی و خواربار </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ی پژوهش </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اعضا </w:t>
      </w:r>
      <w:r>
        <w:rPr>
          <w:rFonts w:eastAsia="IRNazanin" w:cs="IRNazanin"/>
          <w:color w:val="111111"/>
          <w:sz w:val="28"/>
          <w:szCs w:val="28"/>
          <w:lang w:bidi="fa-IR"/>
        </w:rPr>
        <w:t>604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کارکنان </w:t>
      </w:r>
      <w:r>
        <w:rPr>
          <w:rFonts w:eastAsia="IRNazanin" w:cs="IRNazanin"/>
          <w:color w:val="111111"/>
          <w:sz w:val="28"/>
          <w:szCs w:val="28"/>
          <w:lang w:bidi="fa-IR"/>
        </w:rPr>
        <w:t>603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منابع </w:t>
      </w:r>
      <w:r>
        <w:rPr>
          <w:rFonts w:eastAsia="IRNazanin" w:cs="IRNazanin"/>
          <w:color w:val="111111"/>
          <w:sz w:val="28"/>
          <w:szCs w:val="28"/>
          <w:lang w:bidi="fa-IR"/>
        </w:rPr>
        <w:t>603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w:t>
      </w:r>
      <w:r>
        <w:rPr>
          <w:rFonts w:eastAsia="IRNazanin" w:cs="IRNazanin"/>
          <w:color w:val="111111"/>
          <w:sz w:val="28"/>
          <w:szCs w:val="28"/>
          <w:lang w:bidi="fa-IR"/>
        </w:rPr>
        <w:t>609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w:t>
      </w:r>
      <w:r>
        <w:rPr>
          <w:rFonts w:eastAsia="IRNazanin" w:cs="IRNazanin"/>
          <w:color w:val="111111"/>
          <w:sz w:val="28"/>
          <w:szCs w:val="28"/>
          <w:lang w:bidi="fa-IR"/>
        </w:rPr>
        <w:t>603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کارکنان </w:t>
      </w:r>
      <w:r>
        <w:rPr>
          <w:rFonts w:eastAsia="IRNazanin" w:cs="IRNazanin"/>
          <w:color w:val="111111"/>
          <w:sz w:val="28"/>
          <w:szCs w:val="28"/>
          <w:lang w:bidi="fa-IR"/>
        </w:rPr>
        <w:t>603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lang w:bidi="fa-IR"/>
        </w:rPr>
        <w:t>608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اینترنتی </w:t>
      </w:r>
      <w:r>
        <w:rPr>
          <w:rFonts w:eastAsia="IRNazanin" w:cs="IRNazanin"/>
          <w:color w:val="111111"/>
          <w:sz w:val="28"/>
          <w:szCs w:val="28"/>
          <w:lang w:bidi="fa-IR"/>
        </w:rPr>
        <w:t>608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منابع </w:t>
      </w:r>
      <w:r>
        <w:rPr>
          <w:rFonts w:eastAsia="IRNazanin" w:cs="IRNazanin"/>
          <w:color w:val="111111"/>
          <w:sz w:val="28"/>
          <w:szCs w:val="28"/>
          <w:lang w:bidi="fa-IR"/>
        </w:rPr>
        <w:t>608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w:t>
      </w:r>
      <w:r>
        <w:rPr>
          <w:rFonts w:eastAsia="IRNazanin" w:cs="IRNazanin"/>
          <w:color w:val="111111"/>
          <w:sz w:val="28"/>
          <w:szCs w:val="28"/>
          <w:lang w:bidi="fa-IR"/>
        </w:rPr>
        <w:t>609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سازی </w:t>
      </w:r>
      <w:r>
        <w:rPr>
          <w:rFonts w:eastAsia="IRNazanin" w:cs="IRNazanin"/>
          <w:color w:val="111111"/>
          <w:sz w:val="28"/>
          <w:szCs w:val="28"/>
          <w:lang w:bidi="fa-IR"/>
        </w:rPr>
        <w:t>608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کتابخانه </w:t>
      </w:r>
      <w:r>
        <w:rPr>
          <w:rFonts w:eastAsia="IRNazanin" w:cs="IRNazanin"/>
          <w:color w:val="111111"/>
          <w:sz w:val="28"/>
          <w:szCs w:val="28"/>
          <w:lang w:bidi="fa-IR"/>
        </w:rPr>
        <w:t>607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سایر کتابخانه ها </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رئیس کتابخانه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برای انتخاب کتابخانه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پژوهش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فعلی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پژوهش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همکاری بین کتابخانه ای </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کتابخانه رسانه مایلی پیورو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 شهر هلسینکی 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اتاق مطالعه مایلی پیورو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خدمات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جدید پیشنهادی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باشگاه لب تاپ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کارگاه بازی اسکیت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رقومی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بین کتابخانه ای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کتابخانه رقومی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کتابخانه مجازی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فراداده پیوندی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کتابخانه رقومی انگلستان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کتابخانه رقومی فرانسه گالیکا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کتابخانه رقومی کالیفرنیا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رقومی یوروپیانا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گذاری محتوای پژوهشی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اشتراک و تعاون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درگاه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رقومی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استانداردسازی فراداده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 پذیری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نمایشی بهینه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کارگزاری فراهم آوری محتوا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362</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سیار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کتابخانه علوم شورای پژوهشی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کتاب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عمومی منچستر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پژوهشی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انگلستان دسترسی به کتاب الکترونیک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فریزر، آنتونیا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ماکری، ایان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به نابینا و کم بینا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رقومی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كتاب خوان کیندل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آران آی بی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R.NI.B] 352-354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عمومی پنانگ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گذاری دانش در جامعه محلی نمونه کی مایا </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داده ها </w:t>
      </w:r>
      <w:r>
        <w:rPr>
          <w:rFonts w:eastAsia="IRNazanin" w:cs="IRNazanin"/>
          <w:color w:val="111111"/>
          <w:sz w:val="28"/>
          <w:szCs w:val="28"/>
          <w:lang w:bidi="fa-IR"/>
        </w:rPr>
        <w:t>558</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پژوهشی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پرسش نامه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مشاهدات پیوسته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کنندگان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مشارکتی برخط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پیام های ثبت شده در کی مایا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هویت برای مشارکت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حضور کتابداران در کی مایا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مشترک </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مشارکتی برای فهم یادگیری غیر رسمی </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کتابخانه عمومی سانفرانسیسکو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جایزه بنیاد مک آرتور </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خدمات مرجع نوجوانان موفق </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507</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عمومی فیلادلفیا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p>
    <w:p>
      <w:pPr>
        <w:pStyle w:val="BookText"/>
        <w:rPr/>
      </w:pPr>
      <w:r>
        <w:rPr>
          <w:rFonts w:ascii="IRNazanin" w:hAnsi="IRNazanin" w:eastAsia="IRNazanin"/>
          <w:color w:val="111111"/>
          <w:sz w:val="28"/>
          <w:sz w:val="28"/>
          <w:szCs w:val="28"/>
          <w:rtl w:val="true"/>
          <w:lang w:bidi="fa-IR"/>
        </w:rPr>
        <w:t xml:space="preserve">کتاب خوان الکترونیکی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کلمبیا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ملی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کتابخانه عمومی کووالا 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اشتراک گذاری دانش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رسانه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کتابخانه عمومی نیویورک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مطالعه هوای آزاد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کتابخانه عمومی هلسینکی فنلاند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اشتراک گذاری دانش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دفتر شهری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کتابخانه فلوریدا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خودکارسازی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کتابخانه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حفاظت رقومی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کتابخانه مجازی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کتابخانه رقومی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برخط منابع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مبتنی بر وب دی جانگو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كتابخانه مجازی بنیاد پژوهشی سائوپائولو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گذاری رایگان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عمومی به فراداده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باز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مبتنی بر وبدی جانگو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کتابخانه مجازی بنیاد پژوهشی سائوپائولو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دسترس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نامه های هشداردهنده به مشترکین </w:t>
      </w:r>
      <w:r>
        <w:rPr>
          <w:rFonts w:eastAsia="IRNazanin" w:cs="IRNazanin"/>
          <w:color w:val="111111"/>
          <w:sz w:val="28"/>
          <w:szCs w:val="28"/>
          <w:lang w:bidi="fa-IR"/>
        </w:rPr>
        <w:t>440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شفافیت موتورهای جستجو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تحصیلی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اطلاعات در سطح بین المللی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برای فیلدهای خاص فراداده </w:t>
      </w:r>
      <w:r>
        <w:rPr>
          <w:rFonts w:eastAsia="IRNazanin" w:cs="IRNazanin"/>
          <w:color w:val="111111"/>
          <w:sz w:val="28"/>
          <w:szCs w:val="28"/>
          <w:lang w:bidi="fa-IR"/>
        </w:rPr>
        <w:t>438</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ایجاد ویرایش و حذف محتوا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دسترسی به آمار بورسیه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انتشارات علمی </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برنامه درسی پژوهش گران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کتابخانه مجازی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باز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دسترس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کتابخانه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کتابخانه ملی</w:t>
      </w:r>
    </w:p>
    <w:p>
      <w:pPr>
        <w:pStyle w:val="BookText"/>
        <w:rPr/>
      </w:pPr>
      <w:r>
        <w:rPr>
          <w:rFonts w:ascii="IRNazanin" w:hAnsi="IRNazanin" w:eastAsia="IRNazanin"/>
          <w:color w:val="111111"/>
          <w:sz w:val="28"/>
          <w:sz w:val="28"/>
          <w:szCs w:val="28"/>
          <w:rtl w:val="true"/>
          <w:lang w:bidi="fa-IR"/>
        </w:rPr>
        <w:t xml:space="preserve">کتابخانه ملی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ملی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نیز ←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کتابخانه ملی</w:t>
      </w:r>
    </w:p>
    <w:p>
      <w:pPr>
        <w:pStyle w:val="BookText"/>
        <w:rPr/>
      </w:pPr>
      <w:r>
        <w:rPr>
          <w:rFonts w:ascii="IRNazanin" w:hAnsi="IRNazanin" w:eastAsia="IRNazanin"/>
          <w:color w:val="111111"/>
          <w:sz w:val="28"/>
          <w:sz w:val="28"/>
          <w:szCs w:val="28"/>
          <w:rtl w:val="true"/>
          <w:lang w:bidi="fa-IR"/>
        </w:rPr>
        <w:t xml:space="preserve">کتابخانه ملی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رقومی سازی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 منابع آسیب پذیر برای اسکن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آگاهانه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حفاظت منابع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کاهش میزان آسیب ها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اولویت حفاظتی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اسناد آسیب پذیر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نیروی انسانی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مرمت کاران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برای آسیب دیدن منابع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کتابخانه ملی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رقومی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روزنامه ها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حفاظت فیزیکی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اصل مدرک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تعمیرات سریع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مرمت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و مزیت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برنامه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عملکرد شرکت های خصوصی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بخش حفاظت با سایر بخش ها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کتابخانه ملی فرانسه حفاظت رقومی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رقومی مطلوب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بحرانی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حفاظت فیزیکی و حفاظت رقومی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کتابخانه ملی 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مستند برای آثار </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بیورنسون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داگ سولسترد </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هامسون </w:t>
      </w:r>
      <w:r>
        <w:rPr>
          <w:rFonts w:eastAsia="IRNazanin" w:cs="IRNazanin"/>
          <w:color w:val="111111"/>
          <w:sz w:val="28"/>
          <w:szCs w:val="28"/>
          <w:lang w:bidi="fa-IR"/>
        </w:rPr>
        <w:t>482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کامل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نروژی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پژوهش، فهرست نویسی و فناوری اطلاعات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کتابخانه ملی علوم و فناوری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پیوسته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به منابع در وب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صدرو مجوز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شنیداری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دسترسی برخط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قانون حق مؤلف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معیارهای بین المللی حق تولید مؤلف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برخط آثار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شریکان خارجی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کتابخانه ملی 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سرعنوان های موضوعی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الگوی اولیه طرح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نهایی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314</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سازان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نقشه موضوعی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پلتفرم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وایر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نمایش اطلاعات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برنامه کاربردی وب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بازیابی موضوعی اطلاعات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 سرعت نمایه سازی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مصورسازی اطلاعات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مصورسازی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سه بعدی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مصورسازی نقشه موضوعی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مصورسازی 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کتابخانه و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آرشیو پویا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مصر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آکوپای پایس </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آکوپای وال استریت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سوبر اما نیام، رادیکا </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حقوق مدنی برنامه انجمن کتابداری آمریکا </w:t>
      </w:r>
      <w:r>
        <w:rPr>
          <w:rFonts w:eastAsia="IRNazanin" w:cs="IRNazanin"/>
          <w:color w:val="111111"/>
          <w:sz w:val="28"/>
          <w:szCs w:val="28"/>
          <w:lang w:bidi="fa-IR"/>
        </w:rPr>
        <w:t>570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منازعه آزادیخواه آفریقای جنوبی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کتابخانه وزارت توسعه روستایی و خواربار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سازی فهرست نویسی اشتراکی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سازی </w:t>
      </w:r>
      <w:r>
        <w:rPr>
          <w:rFonts w:eastAsia="IRNazanin" w:cs="IRNazanin"/>
          <w:color w:val="111111"/>
          <w:sz w:val="28"/>
          <w:szCs w:val="28"/>
          <w:lang w:bidi="fa-IR"/>
        </w:rPr>
        <w:t>608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سایر کتابخانه ها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کتابخانه و مرکز آموزش لاتينا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رقومی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امکانات و تجهیزات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بیانیه آموزشی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تأثیرپذیری از وب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امکانات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کتابخانه و مرکز آموزش لاتینا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آموزش دیدگان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اوگاندا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سودان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متون درسی روزآمد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آفریقا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درمانی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ویکی پدیا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ماشینی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جغرافیایی، اجتماعی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زبان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های آموزشی تابستانی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کامپالا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تحول آفرین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هر کودک یک لب تاپ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ظرفیت توسعه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کتابخانه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پدیای عربی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کتابخانه و و دراف دانشگاه اموری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کتاب خوان الکترونیکی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و مفهوم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دفتر حقوقی وزارت آموزش و پرورش آمریکا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اسکات، رالف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شلبرن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گیبسن و گیب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نلسون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جایگزین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خوان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عادلانه به منابع رقومی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برتون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پتری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میسن ایمی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کاربران با اختلال بینایی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آی پد اپل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تبلت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کیندل فایر آمازون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نوک بارنز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نوک تیبل نوبل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کتاب خوان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روبین و کیسفل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آسان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پذیری جهانی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دستگاه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قابلیت و دسترس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پژوهش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عمومی فیلادلفیا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دسترسی به منابع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کتابدار سیاح ← کتابدار میدانی</w:t>
      </w:r>
    </w:p>
    <w:p>
      <w:pPr>
        <w:pStyle w:val="BookText"/>
        <w:rPr/>
      </w:pPr>
      <w:r>
        <w:rPr>
          <w:rFonts w:ascii="IRNazanin" w:hAnsi="IRNazanin" w:eastAsia="IRNazanin"/>
          <w:color w:val="111111"/>
          <w:sz w:val="28"/>
          <w:sz w:val="28"/>
          <w:szCs w:val="28"/>
          <w:rtl w:val="true"/>
          <w:lang w:bidi="fa-IR"/>
        </w:rPr>
        <w:t xml:space="preserve">کتابدار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کتابداری بین المللی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تأثیرگذار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آپادورای، آرجون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اوتله، پل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 سوزان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پریه، یل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رودن، کارون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جسی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کارنووسکی، لئون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کاستلز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کوایک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میلام، چارلز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ویشر، موریس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هانریو، گابریل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کتابداری بین المللی ظهور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المللی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کتابداری پاریس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نیز ← مدرسه کتابداری پاریس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کارنووسکی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جهانی شدن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انجمن کتابداری آمریکا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کتابداری تطبیقی و بین المللی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پژوهش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برنستاین، بار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کتابداری در کشورها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مفهومی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 و هانگ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و پژوهش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نظریه پردازی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فعلی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کتابداری حرفه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محلی نمونه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غیر رسمی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گذاری دانش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تیتی، آمایا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هارا و هیو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دانش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علاقه به جامعه نمونه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ساتن </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پنانگ و شرکت ارتباط های دانش ← کتابخانه عمومی پنانگ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 و ونگر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هارا و هیو </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گذاری در بهبود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ونگر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قانونی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و آموزش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و آموزش اجتماعی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کتابداری همراه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مفهوم جامعه شناسی متون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مکنزی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ضرورت تغییر در فرمت ارائه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مفهوم اصطلاحی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lang w:bidi="fa-IR"/>
        </w:rPr>
        <w:t>478480</w:t>
      </w:r>
    </w:p>
    <w:p>
      <w:pPr>
        <w:pStyle w:val="BookText"/>
        <w:rPr/>
      </w:pPr>
      <w:r>
        <w:rPr>
          <w:rFonts w:ascii="IRNazanin" w:hAnsi="IRNazanin" w:eastAsia="IRNazanin"/>
          <w:color w:val="111111"/>
          <w:sz w:val="28"/>
          <w:sz w:val="28"/>
          <w:szCs w:val="28"/>
          <w:rtl w:val="true"/>
          <w:lang w:bidi="fa-IR"/>
        </w:rPr>
        <w:t xml:space="preserve">کتابشناسی بیورنسون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کتابشناسی توصیفی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کتابشناسی داگ سولستد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کتابشناسی دانشگاهی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کتابشناسی ملی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رقومی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کالون کارن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نوع منبع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کتابشناسی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با فهرست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منابع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و دسترسی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محتوا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انداز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فراداده ترو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ایفلا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برخط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استاندارد فراداده </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توصیف منابع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فرمت چاپی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اینترنت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سودمندی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کتابشناختی ملی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ویکی پدیا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مزیت حمایت مالی دولت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تحویل اطلاعات موضوعی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کتابشناسی ملی بریتانیا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کتابشناسی ملی لهستان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کتابشناسی ملی موضوعی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و جامعه شناسی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مکنزی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کتابشناسی هامسون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تولید کتابشناسی مشارکتی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کلمبیا خط مشی ملی کتابخانه ← خط مشی ملی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کلمبیا</w:t>
      </w:r>
    </w:p>
    <w:p>
      <w:pPr>
        <w:pStyle w:val="BookText"/>
        <w:rPr/>
      </w:pPr>
      <w:r>
        <w:rPr>
          <w:rFonts w:ascii="IRNazanin" w:hAnsi="IRNazanin" w:eastAsia="IRNazanin"/>
          <w:color w:val="111111"/>
          <w:sz w:val="28"/>
          <w:sz w:val="28"/>
          <w:szCs w:val="28"/>
          <w:rtl w:val="true"/>
          <w:lang w:bidi="fa-IR"/>
        </w:rPr>
        <w:t xml:space="preserve">کلمنت، تونی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کنسرسیوم وب جهانی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کنسرسیوم تری تی 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کوایک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کیتلر، فردریک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مقالات ایفلا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لافونته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عملی آموزش کتابداری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لیمینال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مارلند، مایکل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مالکیت فکری ← حق مؤلف </w:t>
      </w:r>
    </w:p>
    <w:p>
      <w:pPr>
        <w:pStyle w:val="BookText"/>
        <w:rPr/>
      </w:pPr>
      <w:r>
        <w:rPr>
          <w:rFonts w:ascii="IRNazanin" w:hAnsi="IRNazanin" w:eastAsia="IRNazanin"/>
          <w:color w:val="111111"/>
          <w:sz w:val="28"/>
          <w:sz w:val="28"/>
          <w:szCs w:val="28"/>
          <w:rtl w:val="true"/>
          <w:lang w:bidi="fa-IR"/>
        </w:rPr>
        <w:t xml:space="preserve">مت سالتو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توصیفی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فراداده مت سالتو</w:t>
      </w:r>
    </w:p>
    <w:p>
      <w:pPr>
        <w:pStyle w:val="BookText"/>
        <w:rPr/>
      </w:pPr>
      <w:r>
        <w:rPr>
          <w:rFonts w:ascii="IRNazanin" w:hAnsi="IRNazanin" w:eastAsia="IRNazanin"/>
          <w:color w:val="111111"/>
          <w:sz w:val="28"/>
          <w:sz w:val="28"/>
          <w:szCs w:val="28"/>
          <w:rtl w:val="true"/>
          <w:lang w:bidi="fa-IR"/>
        </w:rPr>
        <w:t xml:space="preserve">مدرسه کتابداری پاریس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کتابداری نوین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بین المللی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مدیریت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آموزشی</w:t>
      </w:r>
    </w:p>
    <w:p>
      <w:pPr>
        <w:pStyle w:val="BookText"/>
        <w:rPr/>
      </w:pPr>
      <w:r>
        <w:rPr>
          <w:rFonts w:ascii="IRNazanin" w:hAnsi="IRNazanin" w:eastAsia="IRNazanin"/>
          <w:color w:val="111111"/>
          <w:sz w:val="28"/>
          <w:sz w:val="28"/>
          <w:szCs w:val="28"/>
          <w:rtl w:val="true"/>
          <w:lang w:bidi="fa-IR"/>
        </w:rPr>
        <w:t xml:space="preserve">مدیریت تحول در کتابخانه دانشگاهی </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نیز ← رهبری در کتابخانه دانشگاهی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علوم کاربردی هامبورگ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 دانشجویان با تغییرات عمدی بزرگ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برنامه درسی دوره کارشناسی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برنامه درسی دوره کارشناسی ارشد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و ایجاد ارتباط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w:t>
      </w:r>
      <w:r>
        <w:rPr>
          <w:rFonts w:eastAsia="IRNazanin" w:cs="IRNazanin"/>
          <w:color w:val="111111"/>
          <w:sz w:val="28"/>
          <w:szCs w:val="28"/>
          <w:lang w:bidi="fa-IR"/>
        </w:rPr>
        <w:t>539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انجماد مجدد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تغییر و حرکت </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خروج از انجماد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مدیریت چالاکی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برکین شاو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مخازن رقومی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رقومی سازی پایان نامه ها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دانشگاه نیوسات ولز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UNSW</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تغییر سریع محیط اطلاعاتی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دیدگاه بیرونی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پذیری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سریع محیط اطلاعاتی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بیرونی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سادگی و یکنواختی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عملکرد سریع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مدیریت حفاظت منابع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نیز ← حفاظت رقومی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الزامات حفاظت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رایج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چارچوب هماهنگ و پیوسته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رقومی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سنتی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سنتی و رقومی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آماده سازی برای بلایای طبیعی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پیشگیری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تضمین کیفیت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تضمین کیفیت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حفاظت در برابر تهدید و آسیب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کنترل و پایش محیطی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نسخه برداری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جامع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جامع آفات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ریسک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هماهنگی بین نسخه اصل و بدل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مشترک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مدیریت دانش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 خدمت مرجع</w:t>
      </w:r>
    </w:p>
    <w:p>
      <w:pPr>
        <w:pStyle w:val="BookText"/>
        <w:rPr/>
      </w:pPr>
      <w:r>
        <w:rPr>
          <w:rFonts w:ascii="IRNazanin" w:hAnsi="IRNazanin" w:eastAsia="IRNazanin"/>
          <w:color w:val="111111"/>
          <w:sz w:val="28"/>
          <w:sz w:val="28"/>
          <w:szCs w:val="28"/>
          <w:rtl w:val="true"/>
          <w:lang w:bidi="fa-IR"/>
        </w:rPr>
        <w:t xml:space="preserve">مرجع دوره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مرکز پردازش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ساماندهی رقومی اتحادیه بریتانیا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مستندسازی وقایع میدان تحریر ← آرشیوسازی انقلاب مصر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مشارکت دانش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اشتراک دانش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فنلاند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دستورالعمل اشتراک گذاری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دیدگاه تیتی، آمایا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مشارکت دانش در جامعه محلی نمونه ← کتابداری حرفه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محلی نمونه</w:t>
      </w:r>
    </w:p>
    <w:p>
      <w:pPr>
        <w:pStyle w:val="BookText"/>
        <w:rPr/>
      </w:pPr>
      <w:r>
        <w:rPr>
          <w:rFonts w:ascii="IRNazanin" w:hAnsi="IRNazanin" w:eastAsia="IRNazanin"/>
          <w:color w:val="111111"/>
          <w:sz w:val="28"/>
          <w:sz w:val="28"/>
          <w:szCs w:val="28"/>
          <w:rtl w:val="true"/>
          <w:lang w:bidi="fa-IR"/>
        </w:rPr>
        <w:t xml:space="preserve">مشارکت دانش سازمانی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مصور سازی اطلاعات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پلتفرم وایر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پلیفر، ویلیام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شناسه ورلدکت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مک دانو، ویلیام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مکنزی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کتابشناسی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مورالز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عملی آموزش کتابداری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موران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درباره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عملی آموزش کتابداری </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مؤسسه اطلاع رسانی فنی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مؤسسه بین المللی کتابشناختی پل اوتله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میکاها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ناپل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متولیان ملی در کتابخانه های عمومی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ناتیس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اطلاعات ملی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نامیبیا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ملی کتابخانه ← خط مشی ملی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نامیبیا</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توصیفی ← فهرستنویسی توصیفی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w:t>
      </w:r>
    </w:p>
    <w:p>
      <w:pPr>
        <w:pStyle w:val="BookText"/>
        <w:rPr/>
      </w:pPr>
      <w:r>
        <w:rPr>
          <w:rFonts w:ascii="IRNazanin" w:hAnsi="IRNazanin" w:eastAsia="IRNazanin"/>
          <w:color w:val="111111"/>
          <w:sz w:val="28"/>
          <w:sz w:val="28"/>
          <w:szCs w:val="28"/>
          <w:rtl w:val="true"/>
          <w:lang w:bidi="fa-IR"/>
        </w:rPr>
        <w:t xml:space="preserve">نشریات ادواری رقومی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خدمات براساس فناوری جدید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و جابجایی داده ها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با کاربر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چندرسانه ای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مؤلف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نشر کتابخانه ای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باز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و حفاظت داده ها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محیط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محور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توسعه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زمینه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گسترده و غنی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مخازن دسترسی باز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میزبانی و نگهداری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جدید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نشریات پژوهشی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کتابخانه پژوهشی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کتابخانه و کتابدار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معنایی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آموزشی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LMS) 2267-271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سواد اطلاعاتی ← آموزش سواد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تخته سیاه همکار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معایب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ین، آنی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واسپاری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تأثیرگذاری بر آموزش الکترونیکی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های و امکانات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کالینز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کتابخانه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شرایبمن و همکاران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سنجش میزان اعتبار اطلاعات جستجو شده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استفاده مؤثر از اطلاعات جستجو شده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آموزش سواد اطلاعاتی ← آموزش سواد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وب پنهان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وب عمیق ← وب پنهان</w:t>
      </w:r>
    </w:p>
    <w:p>
      <w:pPr>
        <w:pStyle w:val="BookText"/>
        <w:rPr/>
      </w:pPr>
      <w:r>
        <w:rPr>
          <w:rFonts w:ascii="IRNazanin" w:hAnsi="IRNazanin" w:eastAsia="IRNazanin"/>
          <w:color w:val="111111"/>
          <w:sz w:val="28"/>
          <w:sz w:val="28"/>
          <w:szCs w:val="28"/>
          <w:rtl w:val="true"/>
          <w:lang w:bidi="fa-IR"/>
        </w:rPr>
        <w:t xml:space="preserve">وب گاه طراحی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وب معنایی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شاد بولت و هال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مورویل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و اینبرگر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و عملی آموزش کتابداری </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تفکر می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دیامواندز، پیتراچ و کاتلر، اسیتون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ولمن، 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خدمت مرجع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ونگر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کتابداری حرفه ای جامعه محلی نمونه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ویکی پدیا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مدخل مالاریا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هانریو، گابریل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یادگیری برخط ← آموزش برخط</w:t>
      </w:r>
    </w:p>
    <w:p>
      <w:pPr>
        <w:pStyle w:val="BookText"/>
        <w:rPr/>
      </w:pPr>
      <w:r>
        <w:rPr>
          <w:rFonts w:ascii="IRNazanin" w:hAnsi="IRNazanin" w:eastAsia="IRNazanin"/>
          <w:color w:val="111111"/>
          <w:sz w:val="28"/>
          <w:sz w:val="28"/>
          <w:szCs w:val="28"/>
          <w:rtl w:val="true"/>
          <w:lang w:bidi="fa-IR"/>
        </w:rPr>
        <w:t xml:space="preserve">یلیفر، ویلیام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 مصورسازی اطلاعات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دولتی یونان</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اطلاعات ملی ناتیس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2" w:name="pg9653_82455"/>
      <w:bookmarkStart w:id="1543" w:name="pg9653_82455"/>
      <w:bookmarkEnd w:id="1543"/>
    </w:p>
    <w:p>
      <w:pPr>
        <w:pStyle w:val="Heading2"/>
        <w:numPr>
          <w:ilvl w:val="1"/>
          <w:numId w:val="1"/>
        </w:numPr>
        <w:rPr/>
      </w:pPr>
      <w:bookmarkStart w:id="1544" w:name="pg9653_82455"/>
      <w:bookmarkStart w:id="1545" w:name="__RefHeading___Toc7767382_2870459653"/>
      <w:bookmarkStart w:id="1546" w:name="_Toc566"/>
      <w:bookmarkEnd w:id="1544"/>
      <w:bookmarkEnd w:id="1545"/>
      <w:r>
        <w:rPr>
          <w:rtl w:val="true"/>
        </w:rPr>
        <w:t>فهرست موضوعی</w:t>
      </w:r>
      <w:bookmarkEnd w:id="1546"/>
    </w:p>
    <w:p>
      <w:pPr>
        <w:pStyle w:val="Heading3"/>
        <w:numPr>
          <w:ilvl w:val="2"/>
          <w:numId w:val="1"/>
        </w:numPr>
        <w:rPr/>
      </w:pPr>
      <w:bookmarkStart w:id="1547" w:name="__RefHeading___Toc7767384_2870459653"/>
      <w:bookmarkStart w:id="1548" w:name="_Toc567"/>
      <w:bookmarkEnd w:id="1547"/>
      <w:r>
        <w:rPr>
          <w:rtl w:val="true"/>
        </w:rPr>
        <w:t>آرشیو</w:t>
      </w:r>
      <w:bookmarkEnd w:id="1548"/>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آرشیوسازی انقلاب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همگام با میدان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نوشته استیون اور 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نرگس محمد علی پور</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زنده و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کتابخانه ها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آرشیوهای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پشتیبانی، بکارگیری و مستندسازی جنبش های اجتماعی بکار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تا ما را رودز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اعظم نجفقلی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Heading3"/>
        <w:numPr>
          <w:ilvl w:val="2"/>
          <w:numId w:val="1"/>
        </w:numPr>
        <w:rPr/>
      </w:pPr>
      <w:bookmarkStart w:id="1549" w:name="__RefHeading___Toc7767386_2870459653"/>
      <w:bookmarkStart w:id="1550" w:name="_Toc568"/>
      <w:bookmarkEnd w:id="1549"/>
      <w:r>
        <w:rPr>
          <w:rtl w:val="true"/>
        </w:rPr>
        <w:t>آموزش الکترونیکی</w:t>
      </w:r>
      <w:bookmarkEnd w:id="1550"/>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آفریقا به عنوان مراکز آموزش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تورد هُیوک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لاله جولاهی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برخط گسترده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روند تکامل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ماریلن کالتر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عارف 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Heading3"/>
        <w:numPr>
          <w:ilvl w:val="2"/>
          <w:numId w:val="1"/>
        </w:numPr>
        <w:rPr/>
      </w:pPr>
      <w:bookmarkStart w:id="1551" w:name="__RefHeading___Toc7767388_2870459653"/>
      <w:bookmarkStart w:id="1552" w:name="_Toc569"/>
      <w:bookmarkEnd w:id="1551"/>
      <w:r>
        <w:rPr>
          <w:rtl w:val="true"/>
        </w:rPr>
        <w:t>آموزش کتابداری و اطلاع رسانی</w:t>
      </w:r>
      <w:bookmarkEnd w:id="1552"/>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جنبه های نظری و عملی در آموزش علوم کتابداری و اطلاع رسانی در آمریکای لاتین و جنبه های کارائیب نوشته فیلیبِرتو فیلیپه مارتینِز ،آرلاندو، جیمی رایوز اورتگا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لیلا نعمتی انارکی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bookmarkStart w:id="1553" w:name="pg9653_82456"/>
    </w:p>
    <w:p>
      <w:pPr>
        <w:pStyle w:val="BookText"/>
        <w:rPr/>
      </w:pPr>
      <w:bookmarkEnd w:id="1553"/>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یادگیری فهرستنویسی و رده بندی علوم کتابداری و اطلاع رسانی مطالعاتی در آفریقای جنوبی، برزیل و 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دنیس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اوکالا و لیدمیلا او کالا، هوپ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اولسون و جینت ،آر گلاور، خوزه اوگوستو گویماراس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طاهره یعقوب پور نرگسی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54" w:name="__RefHeading___Toc7767390_2870459653"/>
      <w:bookmarkStart w:id="1555" w:name="_Toc570"/>
      <w:bookmarkEnd w:id="1554"/>
      <w:r>
        <w:rPr>
          <w:rtl w:val="true"/>
        </w:rPr>
        <w:t>چندفرهنگی</w:t>
      </w:r>
      <w:bookmarkEnd w:id="1555"/>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فرهنگی در کتابخانه های دانشگاه تورنتو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جک هانگ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 لئونگ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رضا خانی پور</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Heading3"/>
        <w:numPr>
          <w:ilvl w:val="2"/>
          <w:numId w:val="1"/>
        </w:numPr>
        <w:rPr/>
      </w:pPr>
      <w:bookmarkStart w:id="1556" w:name="__RefHeading___Toc7767392_2870459653"/>
      <w:bookmarkStart w:id="1557" w:name="_Toc571"/>
      <w:bookmarkEnd w:id="1556"/>
      <w:r>
        <w:rPr>
          <w:rtl w:val="true"/>
        </w:rPr>
        <w:t>حفاظت رقمی</w:t>
      </w:r>
      <w:bookmarkEnd w:id="1557"/>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سازی حفاظت فیزیکی و رقومی سازی فرایندی مؤثر در کتابخانه ملی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فیلیپ والس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جعفرزاده کرمانی، گیسو گمرکی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حفظ و نگهداری رویدادنامه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اخبار و روزنامه های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نیک کرابنهوفت، اترین اسکینر، مت شولتس و فردریک 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مهدی خادمیان</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در چندینگی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حفاظت رقومی توزیع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اِرون تِراب، مارتین هالبرت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 مقدمی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58" w:name="__RefHeading___Toc7767394_2870459653"/>
      <w:bookmarkStart w:id="1559" w:name="_Toc572"/>
      <w:bookmarkEnd w:id="1558"/>
      <w:r>
        <w:rPr>
          <w:rtl w:val="true"/>
        </w:rPr>
        <w:t>خدمات مرجع الکترونیکی</w:t>
      </w:r>
      <w:bookmarkEnd w:id="1559"/>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بر فراز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کتابداران از حصار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سارا وینگیت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فرناز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60" w:name="__RefHeading___Toc7767396_2870459653"/>
      <w:bookmarkStart w:id="1561" w:name="_Toc573"/>
      <w:bookmarkEnd w:id="1560"/>
      <w:r>
        <w:rPr>
          <w:rtl w:val="true"/>
        </w:rPr>
        <w:t>سواد اطلاعاتی</w:t>
      </w:r>
      <w:bookmarkEnd w:id="1561"/>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درونی سواد اطلاعاتی با استفاده از محیط های آموزش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دیوید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لورتشا، بلانچ وولز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فریبرز درودی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62" w:name="__RefHeading___Toc7767398_2870459653"/>
      <w:bookmarkStart w:id="1563" w:name="_Toc574"/>
      <w:bookmarkEnd w:id="1562"/>
      <w:r>
        <w:rPr>
          <w:rtl w:val="true"/>
        </w:rPr>
        <w:t>فهرستنویسی</w:t>
      </w:r>
      <w:bookmarkEnd w:id="1563"/>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مجموعه های خاص در نمایه چندرسانه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پاتریتسیا مارتینی، گابریلا گونتاردی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اظهره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bookmarkStart w:id="1564" w:name="pg9653_82457"/>
    </w:p>
    <w:p>
      <w:pPr>
        <w:pStyle w:val="BookText"/>
        <w:rPr/>
      </w:pPr>
      <w:bookmarkEnd w:id="1564"/>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پیوندی برای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انتقال مفهومی از ساختارهای رکوردی کتابخانه ای به مدل های داده ای بر پایه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گِتِنه آلمیو، برت استیونز، پنی راس، جین چندلر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سعیده اکبری داریان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توصیفی ایالات متحده برای اسناد، نسخ خطی تاریخی و کتاب های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گوردون دینز،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نیمر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لیلی سیفی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65" w:name="__RefHeading___Toc7767400_2870459653"/>
      <w:bookmarkStart w:id="1566" w:name="_Toc575"/>
      <w:bookmarkEnd w:id="1565"/>
      <w:r>
        <w:rPr>
          <w:rtl w:val="true"/>
        </w:rPr>
        <w:t>کتابخانه ها</w:t>
      </w:r>
      <w:r>
        <w:rPr>
          <w:rtl w:val="true"/>
        </w:rPr>
        <w:t xml:space="preserve">- </w:t>
      </w:r>
      <w:r>
        <w:rPr>
          <w:rtl w:val="true"/>
        </w:rPr>
        <w:t>خدمات چندرسانه ای</w:t>
      </w:r>
      <w:bookmarkEnd w:id="1566"/>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خدمات جدید در محیط حومه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مطالعه مایلی پیورو به یک کتابخانه رسانه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کورت هیرن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نرگس خاتون عزیزیان</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ضیافت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دسترسی به کتاب های الکترونیکی در کتابخانه های عمومی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هلن برازیر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فرزانه شادانپور</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پیایندهای جدید، نقش های جدید، موضوعات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شارون دایاس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زینب پاپی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67" w:name="__RefHeading___Toc7767402_2870459653"/>
      <w:bookmarkStart w:id="1568" w:name="_Toc576"/>
      <w:bookmarkEnd w:id="1567"/>
      <w:r>
        <w:rPr>
          <w:rtl w:val="true"/>
        </w:rPr>
        <w:t xml:space="preserve">کتابخانه ها </w:t>
      </w:r>
      <w:r>
        <w:rPr>
          <w:rtl w:val="true"/>
        </w:rPr>
        <w:t xml:space="preserve">- </w:t>
      </w:r>
      <w:r>
        <w:rPr>
          <w:rtl w:val="true"/>
        </w:rPr>
        <w:t>سیاست حق مولف</w:t>
      </w:r>
      <w:bookmarkEnd w:id="1568"/>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دارندگان حقوق انحصاری کتابخانه ها و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شفیق، آبیدا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مجوز رسانه های دیداری شنیداری علمی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الکه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سهیلا فعال</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69" w:name="__RefHeading___Toc7767404_2870459653"/>
      <w:bookmarkStart w:id="1570" w:name="_Toc577"/>
      <w:bookmarkEnd w:id="1569"/>
      <w:r>
        <w:rPr>
          <w:rtl w:val="true"/>
        </w:rPr>
        <w:t>کتابخانه های الکترونیکی</w:t>
      </w:r>
      <w:bookmarkEnd w:id="1570"/>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پل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کتابخانه های یوروپیانا تا روزنامه های یوروپیانا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سوزان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صدیقه شاکری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71" w:name="__RefHeading___Toc7767406_2870459653"/>
      <w:bookmarkStart w:id="1572" w:name="_Toc578"/>
      <w:bookmarkEnd w:id="1571"/>
      <w:r>
        <w:rPr>
          <w:rtl w:val="true"/>
        </w:rPr>
        <w:t>کتابخانه های دولتی</w:t>
      </w:r>
      <w:bookmarkEnd w:id="1572"/>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دولتی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و ملاحظات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ماریا مونوپولی، آنا ماستورا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مرضیه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bookmarkStart w:id="1573" w:name="pg9653_82458"/>
    </w:p>
    <w:p>
      <w:pPr>
        <w:pStyle w:val="Heading3"/>
        <w:numPr>
          <w:ilvl w:val="2"/>
          <w:numId w:val="1"/>
        </w:numPr>
        <w:rPr/>
      </w:pPr>
      <w:bookmarkStart w:id="1574" w:name="__RefHeading___Toc7767408_2870459653"/>
      <w:bookmarkStart w:id="1575" w:name="_Toc579"/>
      <w:bookmarkEnd w:id="1573"/>
      <w:bookmarkEnd w:id="1574"/>
      <w:r>
        <w:rPr>
          <w:rtl w:val="true"/>
        </w:rPr>
        <w:t>کتابداری بین المللی</w:t>
      </w:r>
      <w:bookmarkEnd w:id="1575"/>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کتابداری بین المللی، توسعه، و نظریه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استیو 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تهوری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کمال در پژوهش های تطبیقی و بین المللی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لور پیتر جوهان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نجلا حریری </w:t>
      </w:r>
      <w:r>
        <w:rPr>
          <w:rFonts w:eastAsia="IRNazanin" w:cs="IRNazanin"/>
          <w:color w:val="111111"/>
          <w:sz w:val="28"/>
          <w:szCs w:val="28"/>
          <w:rtl w:val="true"/>
          <w:lang w:bidi="fa-IR"/>
        </w:rPr>
        <w:t>/</w:t>
      </w:r>
      <w:r>
        <w:rPr>
          <w:rFonts w:eastAsia="IRNazanin" w:cs="IRNazanin"/>
          <w:color w:val="111111"/>
          <w:sz w:val="28"/>
          <w:szCs w:val="28"/>
          <w:lang w:bidi="fa-IR"/>
        </w:rPr>
        <w:t>2012</w:t>
      </w:r>
    </w:p>
    <w:p>
      <w:pPr>
        <w:pStyle w:val="Heading3"/>
        <w:numPr>
          <w:ilvl w:val="2"/>
          <w:numId w:val="1"/>
        </w:numPr>
        <w:rPr/>
      </w:pPr>
      <w:bookmarkStart w:id="1576" w:name="__RefHeading___Toc7767410_2870459653"/>
      <w:bookmarkStart w:id="1577" w:name="_Toc580"/>
      <w:bookmarkEnd w:id="1576"/>
      <w:r>
        <w:rPr>
          <w:rtl w:val="true"/>
        </w:rPr>
        <w:t>کتابشناسی</w:t>
      </w:r>
      <w:bookmarkEnd w:id="1577"/>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ملی از اینترنت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تلاش می کنی مرا از میان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یِروسلاو پاسِک، مَگدانلا کرینیسکا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معصومه کربلا آقایی کامران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کتابشناسی ها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پژوهش محور برای کتابشناسی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هِگ اِستنسرود حسین، ایرن 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گیلوری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Heading3"/>
        <w:numPr>
          <w:ilvl w:val="2"/>
          <w:numId w:val="1"/>
        </w:numPr>
        <w:rPr/>
      </w:pPr>
      <w:bookmarkStart w:id="1578" w:name="__RefHeading___Toc7767412_2870459653"/>
      <w:bookmarkStart w:id="1579" w:name="_Toc581"/>
      <w:bookmarkEnd w:id="1578"/>
      <w:r>
        <w:rPr>
          <w:rtl w:val="true"/>
        </w:rPr>
        <w:t>مدیریت دانش</w:t>
      </w:r>
      <w:bookmarkEnd w:id="1579"/>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کتابداری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جوامع محلی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شوکرایا بنتی حج یون، گیتا آلبرت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زهره میرحسینی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Heading3"/>
        <w:numPr>
          <w:ilvl w:val="2"/>
          <w:numId w:val="1"/>
        </w:numPr>
        <w:rPr/>
      </w:pPr>
      <w:bookmarkStart w:id="1580" w:name="__RefHeading___Toc7767414_2870459653"/>
      <w:bookmarkStart w:id="1581" w:name="_Toc582"/>
      <w:bookmarkEnd w:id="1580"/>
      <w:r>
        <w:rPr>
          <w:rtl w:val="true"/>
        </w:rPr>
        <w:t xml:space="preserve">مدیریت طرح های تحقیقاتی </w:t>
      </w:r>
      <w:r>
        <w:rPr>
          <w:rtl w:val="true"/>
        </w:rPr>
        <w:t xml:space="preserve">/ </w:t>
      </w:r>
      <w:r>
        <w:rPr>
          <w:rtl w:val="true"/>
        </w:rPr>
        <w:t>مدیریت داده ها</w:t>
      </w:r>
      <w:bookmarkEnd w:id="158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داده های پژوهشی ملی در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لین کوپلند، برنت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اباذری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مدیریت داده ها در دانشگاه نورث آمپتون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میگی پیکتون، سارا جونز، مارکی 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مریم اسدی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کتابخانه ها در نگهداری و مراقبت از داده های پژوهشی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یک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اَشیم اُسوالد، استفان استراثمن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مهدی طاهری، سید محمد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مجازی در مؤسسات سرمایه گذار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متن باز به اشاعه اطلاعات برای دانشگاهیان، گروه های پژوهشی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دیه گو فریرا اوکا، گیلِرمه گیاکتو موریرا، رُزالی فاوِرو کِرزیز انووسکی، اینِس ماریا دِموریس ایمپراتریز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محبوبه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bookmarkStart w:id="1582" w:name="pg9653_82459"/>
    </w:p>
    <w:p>
      <w:pPr>
        <w:pStyle w:val="Heading3"/>
        <w:numPr>
          <w:ilvl w:val="2"/>
          <w:numId w:val="1"/>
        </w:numPr>
        <w:rPr/>
      </w:pPr>
      <w:bookmarkStart w:id="1583" w:name="__RefHeading___Toc7767416_2870459653"/>
      <w:bookmarkStart w:id="1584" w:name="_Toc583"/>
      <w:bookmarkEnd w:id="1582"/>
      <w:bookmarkEnd w:id="1583"/>
      <w:r>
        <w:rPr>
          <w:rtl w:val="true"/>
        </w:rPr>
        <w:t>مدیریت کتابخانه ها و مراکز اطلاع رسانی</w:t>
      </w:r>
      <w:bookmarkEnd w:id="1584"/>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جوامع دانش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خط مشی ملی برای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کارول پریستلی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امیررضا اصنافی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چالاکی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راهبردهایی برای موفقیت در مدت زمان تغییرات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کتابخانه دانشگاهی استرالیایی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اندرو 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محبوبه ربیعی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عملکردها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 آماری در کتابخانه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تورد هیوک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ابراهیم عمرانی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سیستم مدیریتی هوشمند از طریق پردازش شبکه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مارگارت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احترام کیانمهر</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در مواقع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پترا دارن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عصمت مومنی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85" w:name="__RefHeading___Toc7767418_2870459653"/>
      <w:bookmarkStart w:id="1586" w:name="_Toc584"/>
      <w:bookmarkEnd w:id="1585"/>
      <w:r>
        <w:rPr>
          <w:rtl w:val="true"/>
        </w:rPr>
        <w:t>مصورسازی اطلاعات</w:t>
      </w:r>
      <w:bookmarkEnd w:id="1586"/>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مجهز به نقشه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مطلوب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بارتلومی ولودار 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فیروزان زهادی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87" w:name="__RefHeading___Toc7767420_2870459653"/>
      <w:bookmarkStart w:id="1588" w:name="_Toc585"/>
      <w:bookmarkEnd w:id="1587"/>
      <w:r>
        <w:rPr>
          <w:rtl w:val="true"/>
        </w:rPr>
        <w:t xml:space="preserve">مطالعه </w:t>
      </w:r>
      <w:r>
        <w:rPr>
          <w:rtl w:val="true"/>
        </w:rPr>
        <w:t xml:space="preserve">/ </w:t>
      </w:r>
      <w:r>
        <w:rPr>
          <w:rtl w:val="true"/>
        </w:rPr>
        <w:t>خواندن</w:t>
      </w:r>
      <w:bookmarkEnd w:id="1588"/>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قابلیت و دسترس پذیری کتاب خوان های الکترونیکی برای افرادی که توانایی مطالعه آثار مکتوب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اِستفانی ماتا، لوری بونیچی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افسانه تیموری خانی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1589" w:name="__RefHeading___Toc7767422_2870459653"/>
      <w:bookmarkStart w:id="1590" w:name="_Toc586"/>
      <w:bookmarkEnd w:id="1589"/>
      <w:r>
        <w:rPr>
          <w:rtl w:val="true"/>
        </w:rPr>
        <w:t>مواد کتابخانه ای</w:t>
      </w:r>
      <w:r>
        <w:rPr>
          <w:rtl w:val="true"/>
        </w:rPr>
        <w:t xml:space="preserve">- </w:t>
      </w:r>
      <w:r>
        <w:rPr>
          <w:rtl w:val="true"/>
        </w:rPr>
        <w:t>نگهداری و مرمت</w:t>
      </w:r>
      <w:bookmarkEnd w:id="1590"/>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همۀ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جامع به مدیریت حفاظت منابع کتابخانه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هیثر براون، راس هاروی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مهسا پورحقانی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Heading3"/>
        <w:numPr>
          <w:ilvl w:val="2"/>
          <w:numId w:val="1"/>
        </w:numPr>
        <w:rPr/>
      </w:pPr>
      <w:bookmarkStart w:id="1591" w:name="__RefHeading___Toc7767424_2870459653"/>
      <w:bookmarkStart w:id="1592" w:name="_Toc587"/>
      <w:bookmarkEnd w:id="1591"/>
      <w:r>
        <w:rPr>
          <w:rtl w:val="true"/>
        </w:rPr>
        <w:t>یادگیری سازمانی</w:t>
      </w:r>
      <w:bookmarkEnd w:id="1592"/>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العمل برای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تیمو روحلا، ماریتا هارجونپا، آنکی مولاری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سلیم گندمی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مقدمه بیشتر از این منبع اخذ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http://www.ifla.org</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Universal Bibliographic Control and International MARC Core Program (UBCIM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Universal Availability of Publication (UAP</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MARC Program (IMP)2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Preservation And Conservation Core Program (PAC</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Universal Dataflow Telecommunications (UDT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Advancement of Librarianship in the Third World (ALP</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 A Journal</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Annual Report 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Publication Series</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Professional Reports</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Cataloguing and Bibliographic Control (ICBC</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Directory</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Policies and Procedures</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access to knowledge - promoting sustainable progress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Libraries beyond libraries: Integration, Innovation and Information for all</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Canadian Association of Research Libraries(CARL</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Canadian Institute for Scientific and Technical Information(CISTI</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Research Data Strategy Working Group (RDSWG</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Research Data Initiativas in Canada</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Lynn Copeland: Former Dean of Library Services, Simon Fraser Univers ity and Project Co- coordinator CNCDI Vancouver, BC, Canada copeland@sfu.ca</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Brent Roe: Executive Director, Canadian Association of Research libraries, Ottawa ON, Canada, brent .roe@carl-abrc.ca</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و مدیر گروه علم اطلاعات و دانش شناسی دانشگاه آزاد اسلامی واحد تهران شمال</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Home. Canadian Association of Research Libraries, 2011. Web site. April 23, 2012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Available at http://carl-abrc.ca/en/scholarly-communications/data-manage- ment-sub-committee.htmlpapers and http://carl-abrc.ca/fr/communication-savante/gestion-des-donnees-sous-com- ite.htmldocuments</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Canada Institute for Scientific and Technical Information. NRC National Sci- ence Library. National Research Council Canada, March 26, 2010. Web site. April 23, 2012. &lt;http://cisti-icist. nrccnrc. gc.ca/eng/ibp/cisti/index.html</w:t>
      </w:r>
      <w:r>
        <w:rPr>
          <w:rFonts w:eastAsia="IRNazanin" w:cs="IRNazanin"/>
          <w:b w:val="false"/>
          <w:bCs w:val="false"/>
          <w:i w:val="false"/>
          <w:iCs w:val="false"/>
          <w:color w:val="333333"/>
          <w:sz w:val="20"/>
          <w:szCs w:val="20"/>
          <w:rtl w:val="true"/>
        </w:rPr>
        <w:t>&gt;.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Pam Bjormson</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National Consultation on Access to Scientific Research Data (NCASRD</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Data Strategy Working Group. National Consultation on Access to Scientific Research Data (NCASRD). Canada Institute for Scientific and Technical Information, March 8, 2012. Web site. April 23, 2012</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Data Strategy Working Group. Stewardship of Research Data in Can- ada: A Gap Analysis. Canada Institute for Scientific and Technical Information, October 2008. PDF Web docu- ment. April 23, 2012. &lt;http://publications.gc.ca/collections/collection_2009/cnrc-nrc/NR16-123- 2008 E.pdf</w:t>
      </w:r>
      <w:r>
        <w:rPr>
          <w:rFonts w:eastAsia="IRNazanin" w:cs="IRNazanin"/>
          <w:b w:val="false"/>
          <w:bCs w:val="false"/>
          <w:i w:val="false"/>
          <w:iCs w:val="false"/>
          <w:color w:val="333333"/>
          <w:sz w:val="20"/>
          <w:szCs w:val="20"/>
          <w:rtl w:val="true"/>
        </w:rPr>
        <w:t>&gt;.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Canada Foundation for Innovation (CFI)</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INNOVATION.CA. Canada Foundation for Innovation, 2012. Web site. April 23, 2012</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Canadian Research Knowlegd Network (CRKN</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Polar year</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Scholars Portal</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Simon Fraster University (SFU</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Canadian National Collaborative Data Infrastructure(CNCDI</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CANARI</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Canada's Advanced Research and Innovation Network. CANARIE, 2009. Web site. April 23, 2012</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CUCCIO-CDPIUC. Canadian University Council of Chief Information Offi- cers, October 20, 2011. Web site.April 23, 2012. &lt;http://www.cuccio-cdpiuc.ca/ en/index.php</w:t>
      </w:r>
      <w:r>
        <w:rPr>
          <w:rFonts w:eastAsia="IRNazanin" w:cs="IRNazanin"/>
          <w:b w:val="false"/>
          <w:bCs w:val="false"/>
          <w:i w:val="false"/>
          <w:iCs w:val="false"/>
          <w:color w:val="333333"/>
          <w:sz w:val="20"/>
          <w:szCs w:val="20"/>
          <w:rtl w:val="true"/>
        </w:rPr>
        <w:t>&gt;.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Canada Compute</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Home. Compute/Calcul Canada, 2011. Web site. April 23. 2012. &lt;https://com- putecanada.ca/index.php/en</w:t>
      </w:r>
      <w:r>
        <w:rPr>
          <w:rFonts w:eastAsia="IRNazanin" w:cs="IRNazanin"/>
          <w:b w:val="false"/>
          <w:bCs w:val="false"/>
          <w:i w:val="false"/>
          <w:iCs w:val="false"/>
          <w:color w:val="333333"/>
          <w:sz w:val="20"/>
          <w:szCs w:val="20"/>
          <w:rtl w:val="true"/>
        </w:rPr>
        <w:t>/&gt;.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Canadian National Collaborative Data Infrastructure Project Preliminary Business Plan - Draft 3. Canadian Association of Research Libraries, September 16, 2011. PDF Web document. April 23, 2012. &lt;http://carlabrc. ca/uploads/pdfs/CNCDI_preliminary_BusinessPlan-draft_3.pdf</w:t>
      </w:r>
      <w:r>
        <w:rPr>
          <w:rFonts w:eastAsia="IRNazanin" w:cs="IRNazanin"/>
          <w:b w:val="false"/>
          <w:bCs w:val="false"/>
          <w:i w:val="false"/>
          <w:iCs w:val="false"/>
          <w:color w:val="333333"/>
          <w:sz w:val="20"/>
          <w:szCs w:val="20"/>
          <w:rtl w:val="true"/>
        </w:rPr>
        <w:t>&gt;.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Shearer, Kathleen. Canadian National Collaborative Data Infrastructure Proj- ect: Report of Research Data Symposium: March 10 &amp; 11, 2011. Canadian Association of Research Libraries, April 15, 2011. PDF Web document. April 23, 2012. &lt;http://carl-abrc.ca/uploads/pdfs/researcher_data_con- sultation march 11- final.pdf</w:t>
      </w:r>
      <w:r>
        <w:rPr>
          <w:rFonts w:eastAsia="IRNazanin" w:cs="IRNazanin"/>
          <w:b w:val="false"/>
          <w:bCs w:val="false"/>
          <w:i w:val="false"/>
          <w:iCs w:val="false"/>
          <w:color w:val="333333"/>
          <w:sz w:val="20"/>
          <w:szCs w:val="20"/>
          <w:rtl w:val="true"/>
        </w:rPr>
        <w:t>&gt;.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Copeland, Lynn and Martha Whitehead. Canadian National Collaborative Data Infrastructure Project: Final Report (see above)</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Board of Directors. CARL Research Data Management Initiatives: Next Steps. Canadian Association of Research Libraries, January 2012. PDF Web document. April 23, 2012. &lt;http:// carlabrc. ca/uploads/pdfs/cncdi_next_steps.pdf</w:t>
      </w:r>
      <w:r>
        <w:rPr>
          <w:rFonts w:eastAsia="IRNazanin" w:cs="IRNazanin"/>
          <w:b w:val="false"/>
          <w:bCs w:val="false"/>
          <w:i w:val="false"/>
          <w:iCs w:val="false"/>
          <w:color w:val="333333"/>
          <w:sz w:val="20"/>
          <w:szCs w:val="20"/>
          <w:rtl w:val="true"/>
        </w:rPr>
        <w:t>&gt;.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Canadian Research Data Summit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Data Strategy Working Group. The 2011 Canadian Research Sum- mit. Canada Institute for Scientific and Technical Information, January 30, 2012. Web site. April 23. 2012. &lt;http://rds-sdr.cisti-icist.nrccnrc. gc.ca/eng/events/data_summit_2011/index.html</w:t>
      </w:r>
      <w:r>
        <w:rPr>
          <w:rFonts w:eastAsia="IRNazanin" w:cs="IRNazanin"/>
          <w:b w:val="false"/>
          <w:bCs w:val="false"/>
          <w:i w:val="false"/>
          <w:iCs w:val="false"/>
          <w:color w:val="333333"/>
          <w:sz w:val="20"/>
          <w:szCs w:val="20"/>
          <w:rtl w:val="true"/>
        </w:rPr>
        <w:t>&gt;.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issue</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Data Strategy Working Group. Successful Canadian Research Data Summit held September 14-15. Canada Institute for Scientific and Technical Information, September 20, 2011. Web site. April 23, 2012</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Data Canada</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Industry Canada. Government of Canada Launches National Consultations on a Digital Economy Strategy. Government of Canada, September 1, 2010. Web site. April 23, 2012</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Data Strategy Working Group. 2011 Canadian Research Data Sum- mit Final Report Released. Canada Institute for Scientific and Technical Information, January 30, 2012. Web site. April 23, 2012</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CUCCIO</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Research education and innovation(REI</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Unpublished correspondence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Bendzsa, Carrie. "BACKGROUNDER IBM Canada Research and Develop- ment Centre." Ideas from IBM, n. d. Microsoft Word document on Web. April 23, 2012. &lt;http://www.ibm.com/ibm/ideasfromibm/ca/en/files/en_ca_research_net- work_backgrounder.doc</w:t>
      </w:r>
      <w:r>
        <w:rPr>
          <w:rFonts w:eastAsia="IRNazanin" w:cs="IRNazanin"/>
          <w:b w:val="false"/>
          <w:bCs w:val="false"/>
          <w:i w:val="false"/>
          <w:iCs w:val="false"/>
          <w:color w:val="333333"/>
          <w:sz w:val="20"/>
          <w:szCs w:val="20"/>
          <w:rtl w:val="true"/>
        </w:rPr>
        <w:t>&gt;.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Unpublished CARL Data Management Subcommittee minutes</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Stockwell Day</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Data Porta</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 economy strategy</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Treasury Board of Canada Secretariat. "Minister Day Launches Open Data Portal," March 17, 2011. Media. Government of Canada, March 17, 2011. Web site. April 23, 2012. &lt;http://www. tbs-sct.gc.ca/media/nrcp/ 2011/0317a-eng.asp&gt;.11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Canadas Open Government Acition Plan</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Treasury Board of Canada Secretariat. "Minister Clement Releases Open Gov- ernment Action Plan," April 12, 2012. Media. Government of Canada, April 12, 2012. Web site. April 23, 2012. &lt;http://www.tbssct.gc.ca/media/nr-cp/2012/0412- eng.asp</w:t>
      </w:r>
      <w:r>
        <w:rPr>
          <w:rFonts w:eastAsia="IRNazanin" w:cs="IRNazanin"/>
          <w:b w:val="false"/>
          <w:bCs w:val="false"/>
          <w:i w:val="false"/>
          <w:iCs w:val="false"/>
          <w:color w:val="333333"/>
          <w:sz w:val="20"/>
          <w:szCs w:val="20"/>
          <w:rtl w:val="true"/>
        </w:rPr>
        <w:t>&gt;.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Clement won't back down on census," July 22, 2010. CBC, 2012. Web site. April 23, 2012. &lt;http://www.cbc.ca/news/politics/story/2010/07/22/statscan-cen- sus-tories-.html</w:t>
      </w:r>
      <w:r>
        <w:rPr>
          <w:rFonts w:eastAsia="IRNazanin" w:cs="IRNazanin"/>
          <w:b w:val="false"/>
          <w:bCs w:val="false"/>
          <w:i w:val="false"/>
          <w:iCs w:val="false"/>
          <w:color w:val="333333"/>
          <w:sz w:val="20"/>
          <w:szCs w:val="20"/>
          <w:rtl w:val="true"/>
        </w:rPr>
        <w:t>&gt;.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Leading Edge Fund</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Unpublished correspondence</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CANARIE</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Chapter 3.1: Supporting Entrepreneurs, Innovators and World-Class Re- search." Budget 2012. Government of Canada, March 29, 2012. Web site. April 23, 2012. &lt;http://www.budget.gc. ca/2012/plan/chap3-1-eng.html</w:t>
      </w:r>
      <w:r>
        <w:rPr>
          <w:rFonts w:eastAsia="IRNazanin" w:cs="IRNazanin"/>
          <w:b w:val="false"/>
          <w:bCs w:val="false"/>
          <w:i w:val="false"/>
          <w:iCs w:val="false"/>
          <w:color w:val="333333"/>
          <w:sz w:val="20"/>
          <w:szCs w:val="20"/>
          <w:rtl w:val="true"/>
        </w:rPr>
        <w:t>&gt;.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CANARIE's Response: Kathryn Anthonisen," April 9, 2012. Home. Canadi- an Science Policy Centre, n. d</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Cartographic</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cloud based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محاسبات مدلی برای فعال کردن دسترسی به شبکه در همه جا به یک منبع مشترک از منابع محاسباتی که قابل تنظیم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National Library Services(SBN) andthe management of special</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Patrizia Martini</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Gabriella</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سازمان اسناد و کتابخانه ملی</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Istituto Centrale per il Catalogo Unico (ICCU</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Portal Internet Culturale</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MINERVA</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ATHENA</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DC-NET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Linked Heritage</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INDICATE</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World Digital Library (WDL</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Modern Materials</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Antique Materials</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 Musical Materials</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Graphic Materials</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Cartographic Materials</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UNIMARC</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core</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Markup Extensible Language (XML</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LMS</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Standard Bibliographic Description (ISBD</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SKOF/RDF (Resource Description Framework</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Linked Data Incubator Group</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Miggie Pickton</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Sarah Jones</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Marieke Guy</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علم اطلاعات و دانش شناسی </w:t>
      </w:r>
      <w:r>
        <w:rPr>
          <w:rFonts w:eastAsia="IRNazanin" w:cs="IRNazanin"/>
          <w:b w:val="false"/>
          <w:bCs w:val="false"/>
          <w:i w:val="false"/>
          <w:iCs w:val="false"/>
          <w:color w:val="333333"/>
          <w:sz w:val="20"/>
          <w:szCs w:val="20"/>
        </w:rPr>
        <w:t>Maryasadi2008@gmail.com</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Higher Education Institutions (HEIs</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Engineering and Physical Sciences Research Council (EPSRC)</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Digital Curation Center (DCC</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Universities of Edinburg, Bath and Glasgow</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Universities Modernization Fund</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Northampton Collection of Theses and Research (NECTAR</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Joint Information Systems Committee (JISC)see: http://jisc.ac.ir</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KeepIt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Hitchcock</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EDINA: national academic data centre</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and Haywood</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Databank: https://databank.ora.ox.ac.uk 4. JISC</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School=iSchool</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Hswe and Holt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RLUK</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Auckland</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Prosser</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Borgman</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Data Asset Framework (DAF</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DCC</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Alexogiannopoulos</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spreadsheet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XLS</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jpeg</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Research Councils UK (RCUK</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RCUK</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RCUK</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DMPTool: https://dmp.cdlib.org</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DMPonline:https://dmpoline.dcc.ac.uk</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http://ands.org.au/guides/data-management-planning-awareness html</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JISC MRD</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DCC's DC 101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Intelligence 4 Librarian</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3TU</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3TU.DataCentrum</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Dataflow: http://www.dataflow.ox.ac.uk</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MaDAM</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John Rylands University Library</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Edinburgh</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research-intensive Russell Group university</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Lombardi</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www.nida-net.org/activities</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Carol Priestley</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علم اطلاعات و دانش شناسی دانشگاه شهید بهشتی</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McColvin</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National Information System (NATIS</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General Information Programme (GIP</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United Nations International Scientific Information System (UNISIST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Universal Bibliographic Control (UBC</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Universal Access to Publications (UAP</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Guidelines on National Information Policy: scope, formulation and implementation</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Niegaard</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سرویس هدایت یا جابجایی پیام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سرویس کاربران را قادر می سازد تا پیام ها را با یکدیگر مبادله کنند مترجم</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National Information Policies (NIPs</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indaba</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World Summit on the Information Society(WSIS</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divide</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United Nations Economic Commission for Africa (UNECA</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African Information Society Initiative (AISI</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Millennium Development Goals (MDGs</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Asia-Pacific Information Network (APIN</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 Joan Yee</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EBLIDA (European Bureau of Library, Information, Documentation Archives</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Naple (National Authorities on Public Libraries in Europe</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Mauritzen</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BarbroWigell-Ryynänen</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NLIP SIG</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Network for Information &amp; Digital Access (NIDA</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www.nida-net.org/activities/policy/finland</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National Libraries and Archives Service (NLAS</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Education and Training Sector Improvement Programme (ETSIP</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London-based consortium of MDR Partners</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www.mdrpartners.com/projects/namibia-library-strategy</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www.nidanet.org/activities/policy/new</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Colombian Law of Public Libraries</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 of Public Libraries</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Network of Public Libraries</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www.nida-net.org/activities</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Linked Data</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Linked Data cloud</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Linked Data for Libraries: Benefits of a Conceptual Shift from Library-Specific Record Structures to RDF-based Data Models</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Getaneh Alemu</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Brett Steven s</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Penny Ross</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 Chandler</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علم اطلاعات و دانش شناسی و مشاور معاونت پژوهش فناوری و برنامه ریزی سازمان اسناد و کتابخانه ملی</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Denton</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Dunsire</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Lubetzky</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Wright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Callimachus</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Day</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Morville</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Assurbanipal</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Coyle</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Hillmann</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Weinberger</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Anthony Pannizzi</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Cutter</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Melville Dewey</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Otlet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S.R. Rangabatgab</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Anglo-American Cataloguing (AACR</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Machine-Readable Cataloguing (MARC</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Standard Bibliographic Description (ISBD</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Functional Requirement for Bibliographic Records (FRBR</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Resource Description and Access (RDA</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Stevens</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Coyle</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Lagoze</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Maths</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Shirky</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Weltman</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W3C</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granularity</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McCalum</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Guenther</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Tennant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Extensible Markup Language (XML</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actionable</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process-able</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Wallis</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Bermers - lee</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Hyper-text Mark up Language (HTML</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Resource Description Framework (RDF</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RDFS</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SPARQL</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OWL</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Allemnag</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Decker</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URIS</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Item</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Marcum</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Styles</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Ayers</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Shabir</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Re-conceptualisation</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Evans</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Gruber</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Shadbolt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Hypertext Tranfer Protocol (HTTP</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Query</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Helen</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Nilsson</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Rothenberg</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Haslhofer</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Isaac</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Europeana</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Europeana Semantic Elements</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Europeana Data Model (EDM</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Deorr</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Virtual International Aultority File (VIAF</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Library of Congress subject Heading (LCSH</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Lexvo</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Lexvo) URI referenced controlled list of characters, words, terms</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Geonames (geographical database</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Dewey-info</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RDF mash-up</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w3c library Linked Data Incubator Group</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z.239.50</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uptake</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Library of Congress</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CLC</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CENL</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user-driven</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Horridge</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Knublauch</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Rector</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Stevens</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Wroe</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Noy</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 Guinness</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Joint Steering Committee for Development (JSC</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Library of Congress Subject Headings (LCSH</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Medical Subject Headings (MeSH</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Serialisation formats</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Namespaces</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VIAF</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friend of a friend (FOAF</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Schema.org</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BLT (British Library Terms</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Mashup</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taxonomies</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Campbell</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Fast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O'Reilly</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Tapscott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Wiliams</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Udell</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Wikinomics</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Openness</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Cobden</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Gibbins</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Thing</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Citeulike</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campa</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Stoskopf</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Zuckerman</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Horace Walpole</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Merton</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Barber</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Foster</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Ford</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Ingwersen</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Walsh</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Kuhlthau</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Spink</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Passive attention</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Passive search</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Massis</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Macintosh</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Barbosa</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libraryThing.com</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Zeitgist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intertwingularity</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Ted Nelson</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too big to know</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Maeda</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laws of simplicity</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Contextualise</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last.fm</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Amazon.com</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Stakeholders</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Serials, New Roles, New Issues</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Sharon Dyas-Correia</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علم اطلاعات و دانش شناسی و کارشناس مسئول سازمان اسناد و کتابخانه ملی ایران</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presentation will include demonstrations of several of the new features using examples from several publishers</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Street Press; JoVE</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mouseover, mouse hover or hover box is a graphical control element that is activated when the user moves or "hovers" the pointer over its trigger area, usually with a mouse, but also possible using a digital pen</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Elsevier 2012; Springer 2010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Elsevier 2012; Springer 2010; De Schutter 2010</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Cassella</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Calvi</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Library of Science</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O.Shotton</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Open Archives Initiative Protocol for Metadata Harvesting (OAI-PM</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Westfall</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Nature Linked Data</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World Wide Web Consortium (W3C</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Resource Description Framework (RDF</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Ontology Language (OWL2)</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Portable Document Format( PDF</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Hypertext Markup Language (HTML</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Split Screens</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Dialog Boxes</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 Ups</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Scrolling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حرکت اطلاعات صفحه نمایش به جهات مختلف</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Magnifiers</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پد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iPad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لوح رایانه ساخت شرکت اپل است این رایانه که از سیستم عامل </w:t>
      </w:r>
      <w:r>
        <w:rPr>
          <w:rFonts w:eastAsia="IRNazanin" w:cs="IRNazanin"/>
          <w:b w:val="false"/>
          <w:bCs w:val="false"/>
          <w:i w:val="false"/>
          <w:iCs w:val="false"/>
          <w:color w:val="333333"/>
          <w:sz w:val="20"/>
          <w:szCs w:val="20"/>
        </w:rPr>
        <w:t>IOS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می برد تنها دارای یک صفحه نمایشگر چند لمسی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اینچی با دقت بالا است و کاربری آن با انگشتان دست امکان 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پد برای نخستین بار در روز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ژانویه</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استیو جابز معرفی شد این دستگاه از اواخر ماه مارس سال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فروش به بازار عرضه 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پاد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iPod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دستگاه پخش صوتی رقومی شرکت اپل است که برای نخستین بار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بازار عرضه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پاد محبوبترین دستگاه پخش موسیقی رقومی همراه است بطوری که در فوریه سال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سهم بازار را به خود اختصاص داده بود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Androids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سیستم عاملی است که گوگل برای تلفن همراه و لوح رایانه و هم اکنون برای تلویزیون نیز عرضه می نماید و با همکاری ده ها شرکت بر روی دستگاه های مبتنی بر اندروید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اندروید بر پایه هسته لینوکس ساخته شده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Capturing</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Patron Driven Acquisition (PDA</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Directory of Open Access Journals (DOAJ</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Crawford</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Hahn</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Jottkandt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Maughan Perry</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CanadianSynergies</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Devakos</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Turko</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Public Knowledge Projects Open Journal System (OJS</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DPubs</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Knowledge Project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Cornell University Library</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Calhoun</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Summon is a discovery tool for searching the most of the library collection - books, articles, theses and more</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EBSCO Discovery ServiceTM brings together the most comprehensive collection of content- including superior indexing from top subject indexes, high-end full text and the entire library collection—all within an unparalleled full-featured, customizable discovery layer experience. Ebsco Discovery Service</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Primo Central is a vast cross-disciplinary index containing millions of journal articles, e-books and more from a wide range of information providers, available in a single search</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Worldcat local</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 and Dresselhaus</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Seeing the whole elephant: an integrated approach to managing preservation</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Heather Brown: Artlab Australia, and State Library of South Australia, Adelaide, Australia. Email: Brown.Heather@dpc.sa.gov.au</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 Harvey RMIT University, Melbourne, Australia. Email: rharvey@gmx.com</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کتابخانه و آرشیو شرکت انتشارات فنی ایران ای میل </w:t>
      </w:r>
      <w:r>
        <w:rPr>
          <w:rFonts w:eastAsia="IRNazanin" w:cs="IRNazanin"/>
          <w:b w:val="false"/>
          <w:bCs w:val="false"/>
          <w:i w:val="false"/>
          <w:iCs w:val="false"/>
          <w:color w:val="333333"/>
          <w:sz w:val="20"/>
          <w:szCs w:val="20"/>
        </w:rPr>
        <w:t>mahsa_poorhaghani@yahoo.com</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Adcock</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Preservation Coalition 2008 Definitions</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Conway</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Integrity</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Godfrey Saxe's</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Michèle Cloonan</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way of seeing</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Strategies</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principles</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Actions</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Bastian</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Mahard</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Ashley</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ICCROM (international centre for the study of the preservation and restoration of cultural propert</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CCI</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Kenney</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Open Archival Information System Reference Model (OAIS</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Consultative Committee for space data systems(CCSDS</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Curation Centre Curation Lifecycle Model=DCC</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Organization for Standardization (ISO</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prevention</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preparation</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response</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recovery</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physical environment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Online Computer Library Center, Inc. (OCLC</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Communications is a Ghanaian ICTcompany based in Accra RLG</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BSI</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Standards Taskforce</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 International Press Institute</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Australian Institute for the Conservation of Cultural Materials (AICCM</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 Heating Refrigerating and Air-Conditioning Engineers(ASHRAE) American Society</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Peach</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Foster</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taking the pulse</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 planning</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Consultative Committee for Space Data Systems (CCSDS</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integrated pest management (IPM</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Brown</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FADGI</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Still Image Working Group</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refreshment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replication</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 Witt :University of Illinois at Urbana-Champaign, Champaign, USA</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سازمان اسناد و کتابخانه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ztahavori@yahoo.com</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Perrier</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paleographer</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Bibliotheque Nationale</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L'Unite Humaine</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Suzanne Briet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Documentationalist movement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 es la documentacion? = What is documentation</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Unification of humanity</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humanity</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 society</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Library</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Otlet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Federation for Information and Documentation (FID</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Union of International Associations</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Universal Decimal Classification (UDC</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 Carnovsky</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Maurice Visscher</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practical world</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Internationalism</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globalization project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Giddens</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Non-Governmental Organizations (INGOs</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Akira Iriye</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Handbook ofInternational Organizations</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Confederation of Students</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Federation of University Women</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Association for Adult Education</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Research Council</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of Scientific Unions</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of Women</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Save the Children International Union</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Service Civil International</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conscience of the world</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Castells</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HIV</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Appadurai</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Modernity at Large</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Americanization</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Palais Mondale</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Federation of Library Associations (IFLA</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League of Nation's Committee on Intellectual Cooperation</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library and information science (LIS</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Paris Library School</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Jesse Carson</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American Committee for a Devastated France's (ACDF</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modern librarianship</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Milam</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League of Nations Library in Geneva</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Plan</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raise the technique of librarianship in Europe</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Iriye</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Chartist School of the Far West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Eugene Morel</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Bibliotheque Nationale de Francaise (BNF</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Association of French Librarians = Association des Bibliothecaires de France (ABF</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Ernest Coyecque</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Prefecture de la Seine</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Morel</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Parsons</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Gabriel Henriot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Forney Library</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Otlet's International Institute of Bibliography in Brussels</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Parsons</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Poulain</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Bogle</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 Varran</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Oslo</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Dean at Columbia University's Teacher's College</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 President Carl Roden</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e-readers</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Apple iPad 2G</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fire Amazon's Kindle fire</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Noble's Nook Table</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 Evaluation of the Functionality and Accessibility of E-Readers for Individuals with Print Disabilities: Phase One</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Stephanie L. Maatta, Ph.D., Assistant Professor, Wayne State University, School of Library &amp; Information Science</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Laurie J. Bonnici, Ph.D., Assistant Professor, University of Alabama, School of Library &amp; Information Science</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کتابداری و اطلاع رسانی و رئیس گروه پردازش اطلاعات رقومی سازمان اسناد و کتابخانه ملی</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Andi Spokkin.2011."Popularity of books in Digital Platforms Continues to Grow, According to AAP Publishers February 2011 Sales Report" Association of American Publishers. Retrieved from http://www.publishers.org/press/30/on Janiary 27, 2012</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Pew Research Center</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Rainie. 2012. “Tablet and E-reader Ownership Nearly Doubled over the Holiday Gift-Giv- ing Period. Pew Internet &amp; American Life Project. Retrieved from http://libraries.pewinternet. org/2012/01/23/tablet-and-e-book-reader-ownership-nearly-double-over-the-holiday-giftgiving- peri- od/ on April 14, 2012</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East Carolina University (NC</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Pasco-Hernando School District (FL</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Case Western Reserve University (OH</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National Federation of the Blind (NFB</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American Council of the Blind (ACB</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for example, Don Reisinger. 2009. “Universities Reject Kindle over Inaccessibility for the Blind. CNET. Retrieved from http://news.cnet.com/8301-17938_105-10396177-1.html on January 27, 2012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U.S. Department of Justice (DOJ</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Kindle DX</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Grant Gross. 2010. "Kindle in Classroom Hurts Blind Students, DOJ Warns." Computer World. Retrieved from http://www.computerworld.com/s/article/9144418/Kindle_in_classroom_hurts_blind_students_DOJ warns?taxonomyId=13&amp;pageNumber= 1 on April 14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Meredith Schwartz. (2012) "Blind Patrons Sue Philly Library for Loaning Inaccessible Nooks." Library Journal. Retrieved from http://lj.libraryjournal.com/2012/05/industry-news/blind-patrons- sue-philly-library-for-loaning-inaccessible-nooks/ on May 14, 2012</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Ralph Scott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Barnes &amp; Noble</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Wi-Fi</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USB</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Ralph Scott. (2010). “An iPad, a Nook and a Kindle." North Carolina Libraries 68 (Summer 2010), 29-30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Gibson and Gibb</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 Gibson and Forbes Gibb. 2011. “An Evaluation of Second-generation Ebook Readers." The Electronic Library 29(3), 303-319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Shelburne</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Nelson</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for example, Wendy Allen Shelburne. 2009. "E-book Usage in an Academic Library: User Attitudes and Behaviors." Library Collections, Acquisitions, &amp; Technical Services 33, 59-72; or, Mark R. Nelson, 2008. "E-books in Higher Education: Nearing the End of the Era of Hype?" Educause Review (March/April 2008), 40-56</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Amy Mason</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org/images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اف 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Still Unclear. Braille Monitor 55(1) (January 2012). Retrieved from http 2012 ,11 publications/bm/bm12/bm1201/bm120tc.htm on April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w:t>
      </w:r>
      <w:r>
        <w:rPr>
          <w:rFonts w:eastAsia="IRNazanin" w:cs="IRNazanin"/>
          <w:b w:val="false"/>
          <w:bCs w:val="false"/>
          <w:i w:val="false"/>
          <w:iCs w:val="false"/>
          <w:color w:val="333333"/>
          <w:sz w:val="20"/>
          <w:szCs w:val="20"/>
        </w:rPr>
        <w:t>Amy Mason. 2012. "Mainstream Access to E-books - What Works, What Doesn't, and What Is</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vein Petri</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Burton</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for example, Ken Petri. 2012. "Supplemental: Accessibility Issues in E-books and E-book Readers." In No Shelf Required 2: Use and Management of Electronic Books. Sue Polanka, ed. Chicago, IL: AL A Publications. Retrieved from http://wac.osu.edu/ebooks-accessoverview on April 11, 2012; or, Darren Burton. 2011. Product Evalutions: Kindle for PC with Accessibility Plugin.” AccessWorld 12(5) (May 2011). Retrieved from http://www.afb.org/afbpress/pub.asp?Do- cID=aw120506 on April 11, 2012</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States Department of Education."Frequently Asked Questions about the June 29, 2010, Dear Colleague Letter."Retrieved from http://www2.ed.gov/about/offices/list/ocr/docs/dcl-ebook- faq-201105.html on May 14, 2012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Rocket eBook Reader(Nuvo Media</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PD AS</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eBookMan</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Ruth Wilson. (2001). "Evolution of Portable Electronic Books.” Ariadne (29) (October 2, 2001). Retrieved from http://ariadne.ac.uk/issue29/wilson on May 14, 2012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Amazon's Kindle</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States Department of Education."Frequently Asked Questions about the June 29, 2010, Dear Colleague Letter," pg. 2. Retrieved from http://www2.ed.gov/about/offices/list/ocr/docs/dcl- ebook-faq-201105.html on May 14, 2012</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American Library Association (ALA</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Institute for Museum and Library Services (IMLS</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JAWS</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and Chisnell</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Jeffrey Rubin and Dana Chisnell. 2008. Handbook of Usability Testing: How to Plan, Design, and Conduct Effective Tests. 2nd ed. Indianapolis, IN: Wiley Publishing</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Project ALFA is funded through an IMLS Laura Bush 21st Century Librarian grant. The purpose of the grant is to educate a new generation of information professionals to promote a philosophy of inclusivity through universal access. As part of their studies, the students learn how to work information and communication technologies to meet the needs of individuals with mild to moderate disabilities, who may have physiological challenges due to aging, or who may have disabilities as defined by the Americans with Disabilities Act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USB</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BNF</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DSC</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 digitization</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Integrating physical preservation and digitization: a currently effective process in the French National Library</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Philippe Vallas: Deputy Director of the Conservation Department Bibliothèque nationale de FrancePhilippe.vallas@bnf.fr</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گروه علم اطلاعات و دانش شناسی دانشگاه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علم اطلاعات و دانش شناسی دانشگاه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dpi</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library of reference</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 National Center</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Culture Ministry</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Collections Direction (DCO</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Deposit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curators</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restorers</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 cradles</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Rare Books Department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penalties</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training</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scanners</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workshop</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Golden Age</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filmoplast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LATINA</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Oslo</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Akershus</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Makerera</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African libraries as centers of e-learning</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Tord Høivik: Associate professor in LIS (ret.), Oslo and Akershus University College, Oslo, Norway</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علم اطلاعات و دانش شناسی</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Benin</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eLearning Africa</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Learning And Teaching</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Upper Nile</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Malakal in South Sudan</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Kampala</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MULIB</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replacement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overhead</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 Point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separation</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Information and communication technologies (ICT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integration</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Disruptive technologies</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Maria Musoke</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Namaganda</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OPAC</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YouTube</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Helge Høivik</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Lars Egeland</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Creative Commons (CC</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LATINA in a box</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 Press</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hotspot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سایتی است که دسترسی به اینترنت را از طریق یک شبکه محلی بی سیم با استفاده از اتصال روتر برای ارتباط با سرویس دهنده های اینترنتی امکان پذیر می ساز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ابزاری است که بسته های داده ای را بین شبکه های رایانه ای انتقال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portable PCs</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smartphones</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download</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Upload</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Kasumuni</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Gutenberg Galaxy</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Cloud Computing</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horizontal teaching</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vertical teaching</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Hollow</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academic articles</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AnswersCom</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calculations</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Wolfram Alpha</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Wikipedia</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Maps</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fliker,Picasa, Google images</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SlideShare</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Translate</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YouTube, Vimeo</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Haggard</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Jinja</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Wireless 3G</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Skype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کاربردی است که به کاربر اجازه می دهد به وسیله صدا روی پروتکل اینترنت تماس تلفنی برقرار کنند</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EdLib</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East African School of Library and Information Science (EASLIS</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Kigongo</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Bukenya and Musoke</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Dinka</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Nuer</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Clara Escobar</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Bibliotecarios EN apuros</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Librarians in Troubles</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Bambi</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Soga</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Ganda</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A. M.BI</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Mukama</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Bemba</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Lithuanian</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Luganda</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Lugbara</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Mandarin</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Newari</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Rwanda</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Swahili</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Plasmodium</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Wikibooks</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Wikiversity</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USDL</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ePub</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Docs</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3G and 4G</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library information science(LIS</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Towards exceiience in international and comparative research in library and information science</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 Peter Johan</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و دانشیار علم اطلاعات و دانش شناسی دانشگاه آزاد اسلامی واحد علوم و تحقیقات تهران</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Connaway and Powel</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Anyon</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empiricism</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Bernstein</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assumptions</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McKechnie and Pettigrew</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and comparative librarianship (ICL</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Library Theory and Research (LTR</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Education and Training (SET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Interest Group for LIS Education in Developing Countries</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 and Britz</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Simsova and MacKee</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Collings</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Danton</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Parker</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Harvey</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Keresztesi</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Krzys and Litton</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Bliss</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Foskett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Hantrais</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Landman</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Pennings</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Cowen</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Crossley</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Schriewer</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Aarek</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Yu</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Maack</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Knuth</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Dalbello</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Streatfield and Markless</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Hjørland</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Hamilton</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divide and rule</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metatheory</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methodology</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methods</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Dervin</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presuppositions</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ontology</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epistemology</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teleology</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axiology</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ideology</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Guba and Lincoln</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positivism</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postpositivism</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interpretivism</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constructivism</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critical theory</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participatory</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emancipatory</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Cresswell</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Mertens</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Pickard</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Mouton &amp; Marais</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dimensions of social science research</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Iceberg Model</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sociological dimension</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symmetrical</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asymmetrical</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Realism</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Methodological nationalism</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Kelly</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Raivola</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Twining</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Ragin</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Sweeting</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Hantrais</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mixed methods</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variable-oriented</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multiple conjunctural causation</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case-oriented</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Sartori</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cross-sectional studies</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cross-case research</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large-N studies</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Most Similar Systems Design</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 of Difference</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Most Different Systems Design</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Stuart Mill</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 of Agreement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toolkit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ladder of abstraction</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Merton</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National Endowment for the Humanities (NEH</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Educopia Institute (www.educopia.org</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Distributed digital preservation (DDP) systems</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MetaArchive, Chronopolis, and University of North Texas's Coda repository</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Guidelines for Digital Newspaper Preservation Readiness</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Comparative Analysis of Distributed Digital Preservation Frameworks</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curation</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Chronicles in Preservation: Preserving Digital News and Newspapers, IFLA WLIC 2013 Singapore</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 Krabbenhoeft, Educopia Institute, Atlanta, Georgia, USA, E-mail address: nick@ metaarchive.org</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Katherine Skinner, Educopia Institute, Atlanta, Georgia, USA, E-mail address: katherine@ metaarchive.org</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 Schultz, Educopia Institute, Atlanta, Georgia, USA, E-mail address: matt.schultz@ metaarchive.org</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Frederick Zarndt, IFLA Newspapers Section, E-mail address: frederick @frederickzarmdt.com</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علم اطلاعات و دانش شناسی دانشگاه شهید چمران اهواز و رئیس گروه مستند سازی سازمان اسناد و کتابخانه ملی</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Born-digital newspapers</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TIFF</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JPEG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استاندارد ذخیره سازی عکس</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METSALTO: METS and ALTO are XML standards maintained by the Library of Congress</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Lots of Copies Keeps Stuff Safe(LOCKSS</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Integrated Rule-Order Data System (iRODS</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North Texas (UNT), Penn State, Virginia Tech, University of Utah, Georgia Tech, Boston College, and Clemson University</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National Digital Newspaper Program (NDNP</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PDF</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Open Archival Information System (OAIS</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Metadata Encoding and Transmission Standard (METS</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http://publishing.educopia.org/chronicles</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Inventorying Digital Newspapers for Preservation</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Format Management for Digital Newspapers</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 Packaging for Digital Newspapers</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Checksum management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Organizing Digital Newspapers</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Packaging Digital Newspapers</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Human-readable</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California Digital Library</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Rich Text Format (RTF</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http://www.cdlib.org/services/dsc/contribute/docs/submission.inventory.rtf</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Nautilus for Linux</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Finder for Mac</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Windows Explorer</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ls, find, locate, and file</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BagIt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PRONOM</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JHOVE</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Lots of Copies Keeps Stuff Safe (LOCKSS</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Conspectus</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Audit Control Environment(ACE</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Archival Units (AUS</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Interoperability tools</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DAITSS Description Service</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Florida Center for Library Automation (FCLA</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Record Object Identification) DROID</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 Metadata: Implementation Strategies) PREMIS</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Bagger</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Java</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graphical user interface (GUI</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bagit.py</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 Summers</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UNT PREMIS Event Service</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Visible Minority</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Ethnic Diversity at the University of Toronto Libraries</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 Hang-tat Leong</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علم اطلاعات و دانش شناسی استادیار و مدیرکل پژوهش و آموزش سازمان اسناد و کتابخانه ملی</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Toronto, Quick Facts</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Statistics Canada</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Visible Minority</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Trudeau</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Vivienne Poy</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Passage to Promise Land: Voices of Chinese Immigrant Women to Canada</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Ontario Public Service = OPS</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Adams</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Reitz</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Murray Chercover</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Maclean</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enrollment controversy: Worries that efforts in the U.S. to limit enrollment of Asian students in top universities may migrate to Canada</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Kandiuk</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Literacy Interconnections Using a Virtual Learning Environments</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V. Loertscher</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Blanche woolls</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پژوهشگاه علوم و فناوری اطلاعات ایران</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Systems</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 tech</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invisible</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Zurkowski</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National Commission on Libraries and Information Science(NCLIS</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Zurkowski, Paul G. The Information Service Environment Relationships and Priorities. National Commission onLibraries and Information Science, 1974, p. 6</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transliteracy</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learning management systems(LMS</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 Jose State University</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Luther King</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embedded</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مدل سواد اطلاعاتی در سال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مایکل مارلند برای موزه بریتانیا تهیه گردید بدنبال آن در سال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پیتس و ستریپلینگ مدلی را تهیه کردند و در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اشنبرگ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برکوویتز مدلی را ارائه نمود برای اطلاع از تاریخچه این مدل ها، به نگاه کنید</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Blackboard Collaborate</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 to Meeting</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Adobe Connect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 to learn skills</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BlackboardCommunicate</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Apps for Education</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Engrade</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just in time</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نمونه های تجارب یادگیری را می توان در نشانی اینترنتی زیر یافت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Marsha Hadley</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تولید دانش وب سایت هایی هستند که برای محیطی مشارکتی ایجاد شده اند و اعضای هیات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کتابداران و دانشجویان برای سازندگی ایجاد حل و خلق با استفاده از طرح های پیشرفته آموزشی تشریک مساعی می کنند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tip sheets</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bank</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document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Loertscher, David V., Carol Koechlin, Sandi Zwaan, and Esther Rosenfeld. The New Learning Commons WhereLeamers Win. 2nd ed., Learning Commons Press, 2011. Available from http:// lmcsource.com</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آموزش سازنده ای است که می توان در آدرس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http://sites.google.com/site/book2cloud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کرد که تعدادی مثال از آن نیز وجود دارد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Book2Cloud</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محیط های آموزش شخصی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https://sites.google.com/site/pleconstructionzone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portfolio</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Flat Classroom:http://www.flatclassroomproject.org</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Flattening Classrooms, Engaging Minds: Move to Global Collaboration One Step at a Time (Pearson Resources for 21st Century Learning) by Julie Lindsay and Vicki A. Davis. Allyn&amp; Bacon, 2012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Mindmeister</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Wallwisher</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brainstorming</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Gloster</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infographics</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critical thinking</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H. Diamandis and Steven Kotler</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Abundance: The Future is Better Than You Think</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YouTube</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Flip classroom</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DavidLankes</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David Lankes - Atlas of New Librarianship, MIT Press, 2011</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role of the newlibrarian is the creation of knowledge</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 Harada</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 is a journey worth leading</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South Wales</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Agile Management: Strategies for Success in Rapidly Changing Times Library Perspective an Australian University</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Wells: UNSWLibrary, University of New South Wales, Sydney, Australia a. wells@unsw. edu. au</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سازمان اسناد و کتابخانه ملی جمهوری اسلامی ایران</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adaptive</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flexible</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responsive</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users driving access and services</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Birkinshaw</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anticipating the new</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Encourage dissent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Experiment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Simplify and flatten</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 quickly</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Industry</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Innovation</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Climate Change</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Tertiary Education</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Council of Australian University Librarians (CAUL</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JSTOR: (Journal Storage) is a digital library founded in 1995. Originally containing digitized back issues of academic journals, it now also includes books and primary sources, and current issues of journals</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Virginia Polytechnic</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Networked Digital Library of Theses and Dissertations (NDLDT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Australian Research Council</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Australian Digital Theses (ADT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Genoni</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Australian Research Repositories Online to the World(ARROW</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Monash University Library</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Groenewegen</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Quality Framework, Excellence in Research Australia</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Australian National Data Service</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University of New South Wales(UNSW</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client and academic support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physical library and corporate services</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Self-help</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RightNow</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Stop doing things or do them differently</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Stop doing things to release resources for new activities</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Massively Open Online Course, or MOOC</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flipped classroom</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MOOCs and the Library: Engaging with Evolving Pedagogy</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Mariellen Calter: Assistant University Librarian &amp; Chief of Staff, Stanford University Libraries, Stanford University, Stanford, California, USA. mcalter@stanford.edu</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علم اطلاعات و دانش شناسی دانشگاه آزاد اسلامی واحد علوم و تحقیقات تهران</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Gartner Hype: http://www.huffingtonpost.com/dennis-yang/post_4496_b_287779.html http://navigatehighed.com/moocs-near-the-peak-of-inflated-expectations/ ; and http://www.vwer.org/2013/pondering -moocs-and-the-hype-cycle</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Sunrise Semester is an American television series which aired on CBS from 1957 through 1982. It was produced in conjunction with New York University (NYU). During the months of June, July and August, the program was known as Summer Semester</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Massachusetts Institute of Technology) MIT</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iTunes is a media player, media library, online radio broadcaster, and mobile device management application developed by Apple Inc</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Reddit is an entertainment, social networking, and news website where registered community members can submit content, such as text posts or direct links, making it essentially an online bulletin board system</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Course Work</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Keith Devlin</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Ng</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Daphne Koller</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Sebastian Thrun</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Kohler</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ClassX</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Vice Provost for Online Learning (VPOL</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platform</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http://edf.stanford.edu</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sul ross state university</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Online Computer Library Center, Inc. (OCLC</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www.sipx.com</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Kevin Smith</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Duke</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https://library.stanford.edu/using/copyright-reminder/stanford-online-course-guidelines</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Venture</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Sakai</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JHP BN</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Bartlomiej Wlodarczyk</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سازمان اسناد و کتابخانه ملی ایران</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Klenczon &amp; Stolarczyk</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Franz, Powell, Jude &amp; Drabenstott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Drabenstott, Simcox &amp; Fenton</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Antell &amp; Huang</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Congress Subject Headings Pre- vs. Post-Coordination</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Condit Fagan</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Ware</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Playfair</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Palsky</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WorldCat Identity Project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WorldCat Identities</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WorldCat Identities Network</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HighWire</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Aqua-Browser</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Windows Developer Preview: Windows 8 guide</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Wielkopolska</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Werla</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scope</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Organization of Standardization</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نظامنامه اخلاقی کتابداران و متخصصان حرفه اطلاع رسانی لهستان گزارهای وجود دارد که می گوید آن دسته از ارزش های اخلاقی اساسی که رسالت حرفه ای کتابداران و متخصصان حرفه اطلاع رسانی را تعیین می کند عبارت اند از حمایت از آزادی ،اندیشه آزادی بیان آزادی دسترسی به دانش اطلاعات فرهنگ و پیروی از اصل بی طرفی ایدئولوژیکی سیاسی و مذهبی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انجمن کتابداران لهستان،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Naito</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M. Melgar Estrada</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Melgar Estrada</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Exchange of Documents Poland</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Momotko, Nowicki &amp; Strychowski</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Kopszak</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Motomu Naito</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Naito</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Nihar Sheth</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Qin Cai</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MeSH</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Nihar &amp; Cai</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Loannis Papadakis</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Michalis Stefanidakis</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Aikaterini Tzali</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AJAX</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OWL</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Hak-Keun Kim</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Teuk-Seob Song</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Yoon-Chul Choy</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Soon-Bum Lim</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Myongho Yi</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Jadwiga Wozniak-Kasperek</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Wandora</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WandoraWiki</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Benedict Le Grand</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Grand</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focus + context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Tag Galaxy</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http://taggalaxy.de</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Flash</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HTML</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CSS3</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Javascript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Wlodarczyk</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Share and learn - a recipe for learning</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Teemu Rauhala - teemu.rauhala@uta.fi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 علوم ،اطلاعات دانشگاه تمپر فنلاند</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Maritta Harjunpaa - maritta.harjunpaa@uta.fi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علوم اطلاعات، دانشگاه تمپر، فنلاند</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Anki Mollari - ankimollari@helsinki fi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کتابدار، هلسینکی، فنلاند</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سازمان اسناد و کتابخانه ملی ایران و دانشجوی دکتری دانشگاه آزاد اسلامی</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Helsinki</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Kouvola</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Tampere</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ESF-funded (European Social Fund</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Osaavat verkostot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Skillful networks</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Networks with talent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Urban Office and Media Lounge</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Senge</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Fifth Discipline</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Dixon</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Friedman</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Lipschitz</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Popper</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Titi Amayah</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Felin</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Hesterly</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 Lee &amp;Wang</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Ardichvili</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Zboralski</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Salomo &amp; Gemuenden</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snow sculpture event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Tom Perry</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Brigham Young University</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 S. Descriptive Standards for archives, historical manuscripts, and rare books</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Gordon Daines</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Cory L. Nimer</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بیرجند و بورسیه فوق دکتری اراسموس موندوس اتحادیه اروپا</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Functional Requirements of Bibliographic Records (FRBR</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Functional Requirements of Authority Data (FRAD</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Functional Requirements of Subject Authority Data (FRSAD</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FRBR, http://www.ifla.org/files/cataloguing/frbr/frbr_2008.pdf (accessed May 12, 2012); FRAD, http://www.ifla.org/publications/ifla-series-on-bibliographic-control-34 (accessed May 12, 2012); FRSAD, http://www.ifla.org/files/classification-and-indexing/functional-requirements-for-subject- authoritydata/ frsad-final-report.pdf(accessed May 12, 2012</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Standard Bibliographic Description (ISBD</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Standard Archival Description--General (ISAD (G</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Standard Archival Authority Record for Corporate Bodies, Persons, and Families (ISAAR (CPF</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Standard fo Describing Functions (ISDF</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ISAD(G), http://www.ica.org/10207/standards/isadg-general-international-standard-archival- descriptionsecond- edition.html (accessed May 15, 2012); ISAAR(CPF), http://www.ica.org/10203/standards/isaar- cpfinternational- standard-archival-authority-record-for-corporate-bodies-persons-and-families-2nd-edition.html (accessed May 15, 2012); ISDF, http://www.ica.org/10208/standards/isdf-international-standard- fordescribing-functions.html (accessed May 15, 2012)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FRBR, 21-22, 29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LinaBountouri and ManolisGergatsoulis, "The Semantic Mapping of Archival Metadata to the CIDOC CRM Ontology, Journal of Archival Organization 9, no. % (2011): 174-207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Council of Museums' Conceptual Reference Model (CIDOCCRM</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LeBoeuf, "Modeling Unique and Rare Documents - Using FRBRoo/CIDOC CRM" (paper presented at Old Book in the New Environment, an International Seminar, L'InstitutFinlandais en France, Paris, France, March 18-19, 2011</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FRBRoo</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Working Group on Aggregates, Final Report of the Working Group on Aggregates, International Federation of Library Associations, http://www.ifla.org/files/cataloguing/frbrrg/AggregatesFinalReport.pdf (accessed May 15, 2012): 3</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Pandora</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Descriptive Cataloging of Rare Materials (Books) DCRM (B</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Descriptive Cataloging of Rare Materials (Serials) DCRM (S</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Resource Description andAccess(RDA</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Association of College and Research Libraries. Rare Books and Manuscripts Section. Bibliographic Standards Committee.Descriptive Cataloging of Rare Materials (Books) (Washington, D.C.: Cataloging DistributionService, 2007), 11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Association of College and Research Libraries.Rare Books and Manuscripts Section. Bibliographic Standards Committee.Descriptive Cataloging of Rare Materials (Serials) (Washington, D.C. : Cataloging Distribution Service, 2008), 11</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Library Association; Canadian Library Association; Chartered Institute of Library and Information Professionals (Great Britain); Joint Steering Committee for Development of RDA. "Introduction" Resource Description and Access website (accessed April 23, 2012)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Rare Books and Manuscripts Section. “Bibliographic Standards Committee DCRM-RDA Task Force," http://www.rbms.info/committees/bibliographic_standards/dcrm/rda/derm-rda.html. (accessed April 23, 2012</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ISAD (G</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Society of American Archives, "Describing Archives: A Content Standard,” http://www.archivists.org/governance/standards/dacs.asp (accessed April 23, 2012</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Congress. "MARC21 Format for Bibliographic Data: Introduction,” http://www.loc.gov/marc/bibliographic/bdintro.html (accessed April 23, 2012</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Congress. "MARC21 Format for Authority Data: Introduction," http://www.loc.gov/marc/authority/adintro.html (accessed April 23, 2012</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EAD</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XML</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Pearce-Moses. A Glossary of Archival and Records Terminology (Chicago, IL: Society of American Archivists, 2005) http://www.archivists.org/glossary/term-details.asp?DefinitionKey=1636 (accessed April 23, 2012</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EAC-CPF&gt;.“EAC-CPF homepage" http://eac.staatsbibliothek-berlin.de/ (accessed April 3, 2012</w:t>
      </w:r>
      <w:r>
        <w:rPr>
          <w:rFonts w:eastAsia="IRNazanin" w:cs="IRNazanin"/>
          <w:b w:val="false"/>
          <w:bCs w:val="false"/>
          <w:i w:val="false"/>
          <w:iCs w:val="false"/>
          <w:color w:val="333333"/>
          <w:sz w:val="20"/>
          <w:szCs w:val="20"/>
          <w:rtl w:val="true"/>
        </w:rPr>
        <w:t>&gt;.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Elisabeth Betz Parker, Graphic Materials: Rules for Describing Original Items and Historical Collections (Washington, D.C.: Library of Congress, 1997), http://www.loc.gov/rr/print/gm/ GraMatWP8.pdf (accessed May 15, 2012</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Bibliographic Standards Committee, “DCRM(G): Descriptive Cataloging of Rare Materials (Graphics)," Rare Books and Manuscripts Section, Association of College and Research Libraries, http://www.rbms.info/committees/bibliographic_standards/derm/dermg/dermg.html (accessed May 15, 2012</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Smiraglia, Describing Music Materials: A Manual for Descriptive Cataloging of Printed and Recorded Music, Music Videos, and Archival Music Collections for Use with AACR2 and APPM, 3rd ed. (Lake Crystal, Minn.: Soldier Creek Press, 1997), https://pantherfile.uwm.edu/smiragli/www/dmm3. pdf (accessed May 15, 2012</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Bibliographic Standards Committee, “DCRM(M): Descriptive Cataloging of Rare Materials (Music), Rare Books and Manuscripts Section, Association of College and Research Libraries, http://www.rbms.info/committees/bibliographic_standards/derm/dermm/dcrmm.shtml (accessed May 15, 2012</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Anglo-American Cataloguing Committee, Cartographic Materials: A Manual for Interpretation of AACR2 (Chicago: American Library Association, 1982</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Bibliographic Standards Committee, "DCRM(C): Descriptive Cataloging of Rare Materials (Cartographic)," Rare Books and Manuscripts Section, Association of College and Research Libraries, http://www.rbms.info/committees/bibliographic_standards/derm/dermc/dermc.html (accessed May 15, 2012</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Wendy White-Hensen, Archival Moving Image Materials: A Cataloging Manual (Washington, D.C.: Library of Congress, 1984</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Gregory A. Pass, Descriptive Cataloging of Ancient, Medieval, Renaissance, and Early Modern Manuscripts (Chicago: American Library Association, 2003</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Bibliographic Standards Committee, "DCRM(MSS): Descriptive Cataloging of Rare Materials (Manuscripts)," (Rare Books and Manuscripts Section, Association of College and Research Libraries, http://www.rbms.info/committees/bibliographic_standards/derm/dermmss/dermmss.html (accessed May 15, 2012</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SirsiDynix's Symphony</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Biblionix's Apollo</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Corporation's</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OCLC</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Sierra platform</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ExLibris' Alma</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Marshall Breeding, "Automation Marketplace 2012: Agents of Change," Library Journal, The Digital Shift, http://www.thedigitalshift.com/2012/03/ils/automation-marketplace-2012-agents-of- change/ (accessed May 15, 2012</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Archon</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Eloquent Archives</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CuadraS TAR/Archives</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XTF</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Pleade</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Lisa Spiro, “Archival Management Software: A Report for the Council on Library and Information Resources, Council on Library and Information Resources, http://www.clir.org/pubs/ reports/spiro (accessed May 15, 2012</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Gordon Daines III and Cory L. Nimer, "Re-Imagining Archival Display: Creating User- Friendly Finding Aids,” Journal of Archival Organization 9, no. 1 (2011) : 4-31</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OCLC, “WorldCat, OCLC, http://www.oclc.org/worldcat/ (accessed May 15, 2012</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 Archive of California, “Online Archive of Califormia, Califormia Digital Library, http://www.oac.cdlib.org/ (accessed May 15, 2012); and Northwest Digital Archives, “Northwest Digital Archives," Orbis Cascade Alliance, http://nwda.orbiscascade.org/ (accessed May 15, 2012</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OCLC, “ArchiveGrid -- Open the Door to History, OCLC, http://www.archivegrid.org/ (accessed May 15, 2012</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Social Networks and Archival Context Project, "SNAC: Prototype," University of Virginia, http://socialarchive.iath.virginia.edu/prototype.html (accessed May 15, 2012</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OCLC, "Searching Tips for OCLC Z39.50 Authorities," OCLC, http://www.oclc.org/support/documentation/z3950/searchauthorities/default.htmentityattribute (accessed May 15, 2012); OCLC, “WorldCat Identities, OCLC, http://www.worldcat.org/identities/ (accessed May 15, 2012</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Jesus Christ of Latter-day Saints</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Provo, Utah</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B. Lee</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BYU</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BYU finding aids database can be accessed at http://findingaid.lib.byu.edu/ (accessed May 22 ,2012</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Mountain West Digital Library (MWDL</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Mountain West Digital Libraries finding aids portal can be accessed at http://mwdl.org/ead_ portal.php (accessed May 22, 2012</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Library and Information Sciences(ILS</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Helen Brazier</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عضو هیأت علمی سازمان اسناد و کتابخانه ملی</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Amazon Kindle</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Apple devices</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Sony Reader</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Kobo</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 Smith</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Apple iBook store</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Amazon</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Waterstones</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epub</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Resource Management=DRM</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interoperability</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dislexia</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Right to Read Compain</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DASY</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e-pub3</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Equality Act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Overdrive</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Bloomsbury</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Askews</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WF Howes</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Bolinda</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Bilbary</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Prime e-Book</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Culture Media &amp; Sport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EBLIDA</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factsheet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i2Media</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Ian Macrae</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Giant Print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Antonia Fraser</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Colin Cooper, St Leonard on Sea East Sussex</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Europeana Library</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http://www.theeuropeanlibrary.org</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http://www.europeana.eu</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http://www.europeana-newspapers.eu</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Europeana: EDL (European Digital Library</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Building Bridges: from Europeana Libraries to Europeana Newspapers</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Susan K. Reilly, LIBER, The Hague, Netherlands, E-mail: susan.reilly@kb.nl</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سازمان اسناد و کتابخانه ملی جمهوری اسلامی ایران</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http://www.europeana-libraries.eu</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Eropeana Newspapers Project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Europeana Libraries project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http://www.europeanatravel.eu</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Consortium of European Research Libraries (CERL</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of European Research Libraries (LIBER</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Conference of European National Libraries (CENL</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De Rosa, Cathy et al. 2005. Perceptions of Libraries and Information Resources: A Report to the OCLC Membership. Dublin, Ohio: OCLC. &lt;http://www.oclc.org/reports/2005perceptions.htm</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Commission, Maurice Lévy, Elisabeth Niggemann, and Jacques de Decker. The New Renaissance. Brussels: European Commission, 2011.http://ec.europa.eu/information_society/ activities/digital_libraries/doc/reflection_group/final_report_%20cds. pdf</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Bulger, Monica, et al., Reinventing Research? Information Practices in the Humanities. London: Research Information Network, 2011</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Christine L. Borgman. "The Digital Future is Now: A Call to Action for the Humanities" Digital Humanities Quarterly 4.1 (2010). Available at: http://works.bepress.com/borgman/233</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CERIF</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www.theeuropeanlibrary.org/exhibition</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Mendeley and Zotero</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OCR</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IMPACT: http://www.impact-project.eu</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OLR</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named entity recognition (NER</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Newspapers Online</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Nestor</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D-Grid GmbH</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Role of Libraries in Curation and Preservation of Research Data in Germany: Findings of a survey</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Achim Osswald</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Strathmann</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علم اطلاعات و دانش شناسی و استادیار دانشگاه علامه طباطبایی</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پژوهشگاه علوم و فرهنگ اسلامی</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Association of Research Libraries = ARL</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Donnelly</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Jones</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Ruempel</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Swan &amp; Brown</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Pampel</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Bertelmann</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Hobohm</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Piorun</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ویراستاران مقاله عبارتند </w:t>
      </w:r>
      <w:r>
        <w:rPr>
          <w:rFonts w:eastAsia="IRNazanin" w:cs="IRNazanin"/>
          <w:b w:val="false"/>
          <w:bCs w:val="false"/>
          <w:i w:val="false"/>
          <w:iCs w:val="false"/>
          <w:color w:val="333333"/>
          <w:sz w:val="20"/>
          <w:szCs w:val="20"/>
        </w:rPr>
        <w:t xml:space="preserve">Hike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Stefan Strathmann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Achim Osswald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Regine Scheffel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Jens . Jens Ludwig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Klump</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Neuroth et al</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ها آرشیوها موزه ها و کارشناسان برجسته آلمان در نستور با یکدیگر همکاری می کنند تا نگهداری بلند مدت و دسترسی به منابع رقومی را تضمین نمایند نستور انجمن تعاونی شامل همکارانی از حوزه های متفاوت است اما همه آن ها از بعضی جهات به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نگهداری رقومی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سایت </w:t>
      </w:r>
      <w:r>
        <w:rPr>
          <w:rFonts w:eastAsia="IRNazanin" w:cs="IRNazanin"/>
          <w:b w:val="false"/>
          <w:bCs w:val="false"/>
          <w:i w:val="false"/>
          <w:iCs w:val="false"/>
          <w:color w:val="333333"/>
          <w:sz w:val="20"/>
          <w:szCs w:val="20"/>
        </w:rPr>
        <w:t>http://www.langzeitarchivierung.de/eng/index.htm</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گراید هدف خاصی را به منظور تضمین همکاری و تعاون مؤثر بین طرح های مختلف در حوزه زیرساخت های شبکه ای پایدار در آلمان دنبال 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كند نگاه کنید به سایت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http://www.d-grid-gmbh.de/index.php?id=1&amp;L</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Neuroth</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Swan</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Brown</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Skills, role and career structure of data scientists and curators: An assessment of current practice and future needs</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JISC</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Büttner</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Curation Exchange; see http://digitalcurationexchange.org</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Digital curator Vocational Education Europe (DigCurV</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Surfboard for Riding the Wave</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der Graaf &amp; Waaijers</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الگو را </w:t>
      </w:r>
      <w:r>
        <w:rPr>
          <w:rFonts w:eastAsia="IRNazanin" w:cs="IRNazanin"/>
          <w:b w:val="false"/>
          <w:bCs w:val="false"/>
          <w:i w:val="false"/>
          <w:iCs w:val="false"/>
          <w:color w:val="333333"/>
          <w:sz w:val="20"/>
          <w:szCs w:val="20"/>
        </w:rPr>
        <w:t xml:space="preserve">bertelmann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Pampel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Hobohm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Rumpel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 xml:space="preserve">Buttner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Rumpel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Hobohm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صنعت نشر در آلمان به کار گرفته اند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DAF</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DRAMBORA</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DMP</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PLATO</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PLATTER</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Myllypuro Reading Room</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Library</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 Design Capital Helsinki</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 پاد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iPod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دستگاه پخش صوتی رقومی شرکت اپل است که برای نخستین بار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بازار عرضه شده است آی پاد محبوبترین دستگاه پخش موسیقی رقومی همراه است بطوریکه در فوریه سال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سهم بازار را به خود اختصاص داده بود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ریدرز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e-readers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الکترونیکی خوان، نیز نامیده می شود خواننده کتاب های الکترونیکی و یا دستگاه کتاب الکترونیکی دستگاه های الکترونیکی تلفن همراه است که در ابتدا به منظور خواندن کتاب های رقومی و الکترونیک و ادارات طراحی شده است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Developing new Services in a Suburban Context - Myllypuro Reading Room becomes a Media Library</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Kurt Hirn</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سازمان اسناد و کتابخانه ملی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Neighbourhood project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Itakeskus</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Meetingpoint@lasipalatsi</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Online Computer Library Center, Inc. (OCLC</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ISO</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Improving practices. Statistical standards in global libraries</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TordHøivik.LATINA Lab, Oslo and Akershus University College, Oslo, Norway</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نایب رییس شورای تامین منابع علمی وزارت علوم، تحقیقات و فناوری</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Diversity and innovation</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encouraged</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realized</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Elisha Chiware</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Levels of development</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library-wise</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user-oriented</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Professional discussions</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peer based</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crowdsourcing</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BIX</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Libraries Program</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and Melinda Gates Foundation</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Sawaya</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Journal</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Edge Initiative</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LibQuaL is a suite of services that libraries use to solicit, track, understand, and act upon users opinions of service quality</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statistics</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Ellis</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World Report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Evidence based</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learning-oriented</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Fact Sheet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scribe</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Statistical Yearbook</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JRO</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LibEcon:the library of Economics and liberty</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Encyclopedia of Library and Information Services</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monitoring</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International Organization for Standardization (ISO</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seating</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indicator community</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Meaning and measurement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استاندارد در سال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 Information and Communication Technology</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Relations between copyright holders, libraries and users</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Shafiq</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AbidaHanif</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هیات علمی دانشگاه پیام نور قم </w:t>
      </w:r>
      <w:r>
        <w:rPr>
          <w:rFonts w:eastAsia="IRNazanin" w:cs="IRNazanin"/>
          <w:b w:val="false"/>
          <w:bCs w:val="false"/>
          <w:i w:val="false"/>
          <w:iCs w:val="false"/>
          <w:color w:val="333333"/>
          <w:sz w:val="20"/>
          <w:szCs w:val="20"/>
        </w:rPr>
        <w:t>Ghaffari130@yahoo.com</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IPO = Intellectual Property Organization</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 = Influence and Information Communication</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IPR= Intellectual Property Rights</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German National Library of Science and Technology (TIB</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Licensing of scientific audiovisual media in Germany</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Elke Brehm. German National Library of Science and Technology (TIB). University Library Hannover Germany</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علم اطلاعات و دانش شناسی و رئیس گروه سازماندهی منابع غیر کتابی سازمان اسناد و کتابخانه ملی ایران</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Länder</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Leibniz-Association</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Berlin Declaration on Open Access to Knowledge in the Sciences and Humanities, 2003, http://oa.mpg.de/lang/en-uk/berlin-prozess/berliner-erklarung, last accessed on May 4th 2012 12 par. 1 of the Filmförderungsgesetz, Bundesgesetzblatt 1967, part 1, pp.1352, 1356</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download</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deposit law</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Federal German Archive (Bundesarchiv</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UNESCO Recommendation of 1980</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Council of Europe</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Convention</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Länder</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Baden-Württemberg</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Foundation "Deutsche Kinemathek. Website of the Foundation,,Deutsche Kinemathek", http:// www.deutsche-kinemathek.de/, last accessedon May 4th 2012</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German Film Institute: Deutsches Filminstitut: Website of the German Film Institute, http:// deutsches-film institut.de/, last accessed on May 4th 2012</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Bundesarchivgesetz, 1988, BGBI. I pp. 62, last amended on September 5th 2005, http://www. gesetzeim- internet.de/bundesrecht/barchg/gesamt.pdf, last accessed on May 4th 2012</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Netzwerk für Mediatheken</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Website of the Network of mediacenters,, Netzwerk für Mediatheken, http://www.netzwerkmedia- theken. de/html/zielsetzung/ziel.html, last accessed on May 4th 2012</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Reply of the Federal Government to a parliamentary request, p. 2, BT-Drucksache 17/6723 of August 3rd 2011, http://dipbt.bundestag.de/dip21/btd/17/067/1706723.pdf, last accessed on May 4th 2012</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literature</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reciprocity</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Berne Convention</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Copyright Convention</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Agreement on Trade Related Aspects of Intellectual Property Law</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Intellectual Property Organization</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Copyright Convention of the UNESCO</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Trade Related Aspects of Intellectual Property Law (TRIPS</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Trade Organization</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WIPO Copyright Treaty</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EU-Directives</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 Paper on the online distribution of audiovisual works in the European Union: opportunities and challenges towards a digital single market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libraries in Research Funding Agencies: an Open Source Approach to disseminate information to Faculty, Research teams and Civil Society</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Diego Ferreira Ucha</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Guilherme Giacchetto Moriera</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Rosaly Favero Krzyzanowski</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Ines Maria de Morais Imperatriz</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اداره کل پژوهش و آموزش سازمان اسناد و کتابخانه 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mahghorbani1353@gmail.com</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Ines Maria de Morais Imperatriz</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Barton, Bass, Branschofsky, McClellan,Stuve, Tansley, Walker</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 Stone</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Witten, Boddie, Bainbridge, McNab</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Fedora</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Staples, Wayland, Payette</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django web framework</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software foundation</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MySQL4</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oracle corporation</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Apache solr</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Stemming</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Haystack</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memcached</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cache backend</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wsgi</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Apache HTTP Server</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mod-wsgi</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Server</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Gunicorn (WSGI Server</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Nginx (HTTP Server</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PostgreSQL</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SQLite</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Python Database Binding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پایگاه داده به هم پیوسته پایگاه داده ای عمومی و قابل دسترسی از طریق 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postgresql-psycopg2</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File system caching</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PySolr</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Tomcat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ElasticSearch</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Whoosh</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Xapian</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of Science=WOS</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bibtex</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Platform Lattes</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Thomson Reuters's researcher</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my citations</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Map</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Chart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seo</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Grappone &amp; Couzin</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Cataloguing Principles (ICP .1</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Are you trying to kill me? - the National Bibliography asks Internet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Jaroslaw Pacek</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Magdalena Krynicka</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یار دانشگاه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mkamran@alzahra.ac.ir</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line Dictionary For Library and Information Science. [ online ]http\ww.abc-cli.com\ODLIS\ odlisA.aspx</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رهنمودهایی برای کتابشناسی های ملی در عصر الکترونیک قابل دسترسی در </w:t>
      </w:r>
      <w:r>
        <w:rPr>
          <w:rFonts w:eastAsia="IRNazanin" w:cs="IRNazanin"/>
          <w:b w:val="false"/>
          <w:bCs w:val="false"/>
          <w:i w:val="false"/>
          <w:iCs w:val="false"/>
          <w:color w:val="333333"/>
          <w:sz w:val="20"/>
          <w:szCs w:val="20"/>
        </w:rPr>
        <w:t>http://www.ifla.org\en\nod\5226</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رهنمودهایی برای کتابشناسی های ملی در عصر الکترونیک و قابل دسترسی در </w:t>
      </w:r>
      <w:r>
        <w:rPr>
          <w:rFonts w:eastAsia="IRNazanin" w:cs="IRNazanin"/>
          <w:b w:val="false"/>
          <w:bCs w:val="false"/>
          <w:i w:val="false"/>
          <w:iCs w:val="false"/>
          <w:color w:val="333333"/>
          <w:sz w:val="20"/>
          <w:szCs w:val="20"/>
        </w:rPr>
        <w:t>http://www.ifla.org\fils\bibliography\glossary terms.pdf</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Ian McGowan</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مک کوان کتابخانه های ملی در دایره المعارف علم کتابداری واطلاع رسانی ویرایش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رهنمودها برای دسترسی موضوعی به کتابشناسی های ملی</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Przewodnik Bibliograficzn</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Australian Trove(http://trove.nla.gov.au</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Australian National Bibliographic Database (AND</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Pandora Archive</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British National Bibliography (BNB). http://bnb.bl.uk</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Aleph's Primo</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Online Public Access Catalog(OPAC</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WorldCat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Amazon</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Copac</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Jarosław Pacek: Bibliografia 2.0. "Zagadnienia Informacji Naukowej" 2008, nr 1, s. 35-44</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RefWorks</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EndNote</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Reference Manager</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Zotero</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Connotea</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CiteULike</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EasyBib</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ISBN</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Karen Calhoun: The Changing Nature of the Catalog and its Integration with Other Discovery Tools. Prepared for the Library of Congress. Final Report, March 17, 2006 [online]. http://www.loc.gov/catdir/calhoun-report-final.pdf</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 A Acquisition &amp; Collection Development Section is preparing: Key Issues for e-Resource Col- lectionDevelopment: A Guide for Libraries [online]. http://www.ifla.org/files/acquisition- collectiodevelopment/publications/IFLA-ELECTRONIC-RESOURCE-GUIDE-FINAL- May2nd[1].pdf</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Fridrich Kittler</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Unni Knutsen</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 Knutsen, Changes in the NationalBibliographies, 1996-2001. [online</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Resource Description and Access</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21,UNIMARC, MARCXML, ONIX, Dublin Core</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Karen Coyle</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ISBD International Standard Bibliographic Description recommended by the ISBD Review Group; approved by the Standing Committee of the IFLA Cataloguing Section. Consolidated ed. Berlin; Munich De Gruyter Saur 2011. (IFLA Series on Bibliographic Control; vol. 44). ISBN 978-3-11- 026379-4</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http://www.rdatoolkit.org</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FRAD</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ONIX</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Term and code list for RDA content types. [online]. http://www.loc.gov/standards/valuelist/rdacontent.html</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Statement of International Cataloguing Principles. [online]. http://www.ifla.org/files/cataloguing/icp/icp_2009-en.pdf</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Implementing Agile Management through Collaborative Social Computing</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Margaret Tan: Division of Information Studies, Wee Kim Wee School of Communication and Information, Nanyang Technological University, Singapore, Singapore.E-mail address: mtan@ntu. edu.sg; mjytan@gmail.com</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سازمان اسناد و کتابخانه ملی</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Facebook, Twitter, LinkedIn or Google</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storage</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applications</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Mell &amp; Grance</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Kaplan and haenlin</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Qureshi &amp; Keen</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Kietzmann &amp; Hermkens</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Sifry</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CEO</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Kline &amp; Burstein</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Nanyang Technological University (NTU</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Aziz</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aharony</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Really Simple Syndication (RSS</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Hendricks</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Stephens</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Webster &amp; Ksiazek</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Lindahl &amp; Blount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Gwynn</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Mitchell</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Gilbertson</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trackback pings: Trackbacks and pingbacks are methods for alerting blogs that you have linked to them</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Vanclay</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Morris &amp; Bosque</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http://ntu.edu.sg/library/collections/pages/virtual.aspx</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http://youtube.com</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http://blogs.ntu.edu.sg</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User-interface</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Meta-catalogues</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Digitization</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Functional Requirements for Bibliographic Records (FRBR</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linkeddata</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technologies</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HegeStensrudHøsøien and Irene Hole (2013). Opening up the bibliographies for the future – A collaborative research driven model for bibliographies</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Hege Stensrud Høsøien: Scholarship and Collections, National Library of Norway, Oslo, Norway Hege.Hosoien@nb.no</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Irene Hole: Acquisition and Cataloguing, National Library of Norway, Oslo, Norway Irene.Hole@ nb.no</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سازمان ،تحقیقات آموزش و ترویج کشاورزی</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bibliographies</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Hamsun</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Bjørnson</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Solstad</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bibliographia</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 writing</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Description of books</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Enumerative bibliography</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Machine-Readable Cataloging (MARC</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Metadata Object Description Schema (MODS</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Dublin core Metadata Identifier (DCMI</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Resource Description Format (RDF</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 bibliography</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McKenzie</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Enumerative bibliography</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irresistible</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Gaskell</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Darnton</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Roger Chartier</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Hyper Text Markup Language (HTML</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Website</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BIBSYS</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Mapping</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Bookshelf</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Kopinor</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Tromso</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technologies</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Filmography</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MAVIS</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Schreibman</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companion to digital humanities</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Pseudo-publication</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Moretti</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American University in Cairo(AUC</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Archiving Egypt's Revolution: The "University on the Square" Project,Documenting January 25, 2011 and Beyond</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Archiving Egypt's Revolution: The "University on the Square" Project,Documenting January 25, 2011 and Beyond</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Hosni Mubarak</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فیس بوک یک سرویس اجتماعی بر خط است</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Halliburton</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Mellon Foundation</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oral history interviews</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Rare Books and Special Collections</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http://digitalcollections.aucegypt.edu/cdm/landingpage/collection/p15795coll7</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Archive and Research Repository</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Biographical Dictionary of the Egyptian Revolution</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capitalize</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martyrs</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IAmJan25.com and iwasintahrir.com</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R-Shief.org</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Tahrirdocuments.org</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Bibliotheca Alexandrina</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Khaled Fahmy</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Shenker</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Barsalou</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Ford Foundation</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 dance Institute</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Tribeca Film Institute</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collaborative documentary projec</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Elayat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Mosireen</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Qomra.org</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Aboulfotoh</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Embedded" or Itinerant Librarian</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Reference Librarianship On The Fly: Taking the Librarian Out of the Library</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 Wingate Gray:University College, University of London San Francisco, Califormia, USA</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سازمان اسناد و کتابخانه ملی</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Dewey, “Field and Future of Traveling Libraries", Bulletin 40 (Traveling Libraries and Collections</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Ruth Wellman</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New York Public Library (NYPL</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Bryant Park Open-air Reading Room</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R. Wellman, "Open-Air Reading Rooms", Library Journal, No. 61 (January, 1936 p.668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p.670</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p.668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field librarian</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American Libraries Association (ALA</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Library Chronicle</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travelling librarian</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Papers and Proceedings of the Twenty-Sixth General Meeting of the American Library Association, (American Libraries Association, 1904): p.214</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embedded</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L. Johnson, "In the Field", Library Journal (1st February 2007): http://www.libraryjournal.com/article/CA6727991</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on-site</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Carlson and R. Kneale, "Embedded Librarianship in the research context", College &amp; Research Libraries News, Vol. 72 No. 3 (March 2011): p.167</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embedded journalism</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for instance, the Oxford English Dictionary's December 2006 draft additions: "embed | imbed, v.". OED Online. March 2012. Oxford University Press. 5 March 2012: http://www.oed.com/view/Entry/60835?redirectedFrom=embed</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Job description, University of Michigan, USA, website: http://www.lib.umich.edu/users/ahaines</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Johnson, L. A. Alexander, "Reaching Beyond the Walls of the Library," in The Desk a nd Beyond: Next Generation Reference Services, ed. S. K. Steiner and M. L. Madden (Chicago: Association of College and Research Libraries, 2008): p31</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Haines, “Out in Left Field: The Benefits of Field Librarianship for Studio Arts Programs”, Art Documentation: Journal of the Art Libraries Society of North America, Vol. 23, No. 1 (Spring 2004): p.19</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L. Johnson, “Transforming Roles for Academic Librarians: Leading and Participating in New Partnerships." Research Library Issues: A Bimonthly Report from ARL, CNI, and SPARC, No. 272 (October 2010): p.10. http://publications.arl.org/rli272</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Variously noted in the literature as those "who work outside of the library proper, outreach librarian, outpost librarian, field librarian, and satellite librarian" as well as the terms “embedded, field, liaison, blended, outreach, outpost, diffuse, satellite, and disembodied librarians... librarians without walls and librarians on location". J. Clyde and J. Lee, "Embedded Reference to Embedded Librarian ship - Six Years at the University of Calgary", Journal of Library Administration, Vol. 51, Iss. 4 (April 2011): p.392; and P. Rudin, “No Fixed Address: The Evolution of Outreach Library Services on University Campuses", The Reference Librarian, Vol. 49, Iss. 1 (2008): p.71; and demonstrating "the growth of embedded reference and its transformation to embedded librarianship that has taken place</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roving reference</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liminal</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liminal, adj.". OED Online. March 2012. Oxford University Press. 7 March 2012: http://www.oed.com/view/Entry/108471</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liminal</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līmin-, līmen</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Roughley, “Liminal Paperspaces: Writing between Derrida and Joyce and Being and Writing", in L. Kay, Z. Kinsley, T. Phillips and A. Roughley, ed.s., Mapping Liminalities: Thresholds in Cultural and Literary Texts (Bern, Switzerland: Peter Lang, 2007): p.209</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Genepp</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van Genepp, The Rites of Passage (London: Routledge and Kegan Paul, 1960</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 W. Turner, The Ritual Process: Structure and Anti-Structure, 2nd ed. (New Brunswick, NJ: Aldine Transaction, 2009): p.95</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 Cresswell, “Ergin Çavuşoğlu and the Art of Betweenness" in J. Rugg and C. Martin, ed.s., Spatialities: The Geographies of Art and Architecture (Bristol, UK: Intellect, 2012): p.71</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 Turner, E. Turner, "Religious Celebrations," in V. Turner, ed. Celebration: Studies in Festivity and Ritual (Washington, D.C.: Smithsonian Institution Press, 1982): .p.202. 3. Radical Reference (RR</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Morrone, L. G. Friedman, “Radical Reference: Socially Responsible Librarianship Collaborating With Community", The Reference Librarian, Vol. 50, Iss. 4 (2009): p.372</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G. Friedman, M. Morrone, "The Sidewalk Is Our Reference Desk: When Librarians Take to the Streets", World Library and Information Congress: 74th IFL A General Conference and Council, Québec, Canada (August 2008): p.5</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Morrone, L. G. Friedman, "Radical Reference: Socially Responsible Librarianship Collaborating With Community", The Reference Librarian, Vol. 50, Iss. 4 (2009) : p.372</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Myerhoff, "Life Not Death in Venice: Its Second Life" in V. W. Turner, E. M. Bruner, ed.s., The Anthropology of Experience (Urbana, University of Illinois Press, 1986): p.282</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Itinerant Poetry Library (TIPL</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Itinerant Poetry Library motto, website: http://www.tipl.info</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Twitter, launched in 2006, "is a real-time information network... used by people in nearly every country in the world. The service is available in more than 20 languages" http://twitter.com/about. The Itinerant Poetry Library began using Twitter in 2006 also, broadcasting text and map-based realtime geo-locations of its service in early 2007</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Where Are We?", The Itinerant Poetry Library, website: http://www.tipl.info</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Generation Google</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Meeker</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Meeker and M. Murphy, “Top Mobile Internet Trends", Kleiner Perkins Caufield &amp; Byers, website (February 2011): http://www.slideshare.net/kleinerperkins/kpcb-top-10-mobile-trends-feb-2011</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Morrone, L. G. Friedman, "Radical Reference: Socially Responsible Librarianship Collaborating With Community", The Reference Librarian, Vol. 50, Iss. 4 (2009) : p.372</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Smartphone shipments have already surpassed feature phone shipment figures for Western Europe (2010) and North America (2011) while in India, mobile overtook desktop internet use for the first time in 2012. See M. Meeker, "Internet Trends", Kleiner Perkins Caufield &amp; Byers, website (October 2011): http://www.slideshare.net/kleinerperkins/kpcb-intermet-trends-2011-9778902 and G. Leonhard, "Mobile Internet already dominates in India", website (May 2012): http://www.mediafuturist.com/2012/05/mobile-internet-already-dominates-in-india.html</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Statistics compiled by Libraries, Archives, Museums and Publishing Online Statistics Tables (LAMPOST), LISU, Department of Information Science, Loughborough University, website: http://www.lboro.ac.uk/departments/ls/lisu/lampost10/services10.htmllibenq</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http://www.lboro.ac.uk/departments/ls/lisu/lampost10/services10.htmllibweb2</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San Francisco Public Library (SFPL</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learning lab</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Case Study in Digital Media and Learning Partnerships: A Youth-Centered Design Framework in San Francisco", Digital Media and Learning Conference, San Francisco, website (March 2012): http://dml2012.dmlcentral.net/content/dml</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Successful Teen Services</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Jennifer Collins</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MacArthur</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San Francisco Public Library Wins Grant Competition to Design Digital Learning Labs for Young Americans That Will Serve as National Prototypes", San Francisco Public Library press release, website (17th November 2011): http://sfpl.org/pdf/news/learning_lab.pdf</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Personal correspondence and conversations between Collins and the author (between the period April 2011 and April 2012, some in person, some in writing</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Leipzig</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Mile High Reference Desk (MHRD</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Transportation Security Administration (TSA</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milehighrefdesk</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Twitter 'handle' for the service. See http://www.twitter.com/milehighrefdesk</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 quotes from personal correspondence from, to and between Mile High Reference and the author, 28th April 2012</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Morrone, L. G. Friedman, “Radical Reference: Socially Responsible Librarianship Collaborating With Community", The Reference Librarian, Vol. 50, Iss. 4 (2009): p.393-4</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p.373</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Occupy Movement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Occupy movement", Wikipedia, The Free Encyclopedia, website (May 2012): http://en.wikipedia.org/wiki/Occupy_movement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Occupy Wall Street Library (OWSL</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Tucson Unified School District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Operation Book Bomb Tucson", Occupy Wall Street Library, website (24th February 2012) : http://peopleslibrary.wordpress.com/2012/02/24/operation-book-bomb-tucson</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Operation Book Bomb Tucson</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Occupy Wall Street Library, Facebook update (1st May 2012) : https://www.facebook.com/photo.php?fbid=349450468451944&amp;set=a.216556918407967.56769.2 15569408506718&amp;type=1&amp;theater</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List of some "occupy" libraries worldwide: https://bibliosol.wordpress.com/occupy- librariesworldwide</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Audre Lorde to Howard Zinn</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A-Z Library</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Audrey Lorde to Howard Zinn Library at Occupy Boston", Boston Radical Reference Collective, Radical Reference, website (14th October 2011): http://radicalreference.info/localcollectives/boston</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Demonstrated by its "Lending FAQ": "Q: Can I trade you for another book? A: Totally! Take the book you want and leave the new book with the unprocessed donations so that the library can enter it in the catalog". "Lending FAQ", Occupy Wall Street Library, website (undated): http://peopleslibrary.wordpress.com/about/lending-faq</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Betsy Fagin</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 Fagin, "A Library occupies Occupy Wall Street", ALA Master Series presentation, ALA Midwinter 2012 conference, website (21st January 2012): http://peopleslibrary.wordpress.com/2012/01/24/ peopleslibrary- presentation-at-ala-midwinter/ The OWS Library first came into being in September 2011 in Zucotti Park, located in New York's Wall Street financial district, before contentious dispersal occurred, it contents being forcefully downsized and thus a period of re-organisation now taking place (see footnote below</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Packed Press Conference Documents Ruins of Over 3,000 Books", Occupy Wall Street Library, website (23rd November, 2011): http://peopleslibrary.wordpress.com/2011/11/23/packed-press- conferencedocuments- ruins-of-over-3000-books</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3k</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2k</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Friedman and Morrone (2009) helpfully also provide somewhat of a synoptic US history of earlier contemporary alternative and extra muros reference and information services. The more recent examples, found in the work of Radical Reference, The Itinerant Poetry Library, Occupy Libraries and MileHighRef, interestingly are all also situated outside of the mainstream of the librarianship field, and operating as autonomous entities or collectives. This speaks to both their "liminal” nature as selfappointed agents of information and reference services and their "liminal" states of practice, and perhaps points, in fact, to the process of innovation and development as often emerging from peripheral and experimental forms</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Beckett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Try again.Fail again. Fail better</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Dewey, “Field and Future of Traveling Libraries", Bulletin 40 (Traveling Libraries and Collections 2),Home Education Department (University of the State of New York: 1901): p.8</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تعدّد، چندتایی، وجود چندین نمونه از چیزی</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Distributed Digital Preservation</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Source</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لاکس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Lots of Copies Keep Stuff Safe</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كلا </w:t>
      </w:r>
      <w:r>
        <w:rPr>
          <w:rFonts w:eastAsia="IRNazanin" w:cs="IRNazanin"/>
          <w:b w:val="false"/>
          <w:bCs w:val="false"/>
          <w:i w:val="false"/>
          <w:iCs w:val="false"/>
          <w:color w:val="333333"/>
          <w:sz w:val="20"/>
          <w:szCs w:val="20"/>
        </w:rPr>
        <w:t>Private</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MetaArchive Cooperative</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Safety in Numbers: Distributed Digital Preservation Networks</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Aaron Trehub &amp; Martin Halbert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مدیریت اجرایی</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Digital Information Infrastructure and Preservation Program=NDIIPP</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Digital Stewardship Alliance</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Curation Centre=DCC</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Blue Ribbon Task Force on Sustainable Digital Preservation and Access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نهایی </w:t>
      </w:r>
      <w:r>
        <w:rPr>
          <w:rFonts w:eastAsia="IRNazanin" w:cs="IRNazanin"/>
          <w:b w:val="false"/>
          <w:bCs w:val="false"/>
          <w:i w:val="false"/>
          <w:iCs w:val="false"/>
          <w:color w:val="333333"/>
          <w:sz w:val="20"/>
          <w:szCs w:val="20"/>
        </w:rPr>
        <w:t>BRTF-SDPA</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Site</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UK LOCKSS</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LuKII</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Institute of Museum and Library Services IMLS</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COPPUL</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http://metaarchive.org</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Chronopolis</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Supercomputer Center</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CODA</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NEH</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http://adpn.org</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Huntsville-Madison</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 of Alabama Academic Libraries</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Alabama Mosaic</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AX100</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Download</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Educopia</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COPPUL PLN</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VMWare</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BRTF-SDPA</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COPPUL</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Skype</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peer-to-peer</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Library andInformation Science(LIS</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Leadership in Times of Change</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Petra DürenE-mail: petra.dueren@haw-hamburg.de</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گروه علم اطلاعات و دانش شناسی دانشگاه علامه طباطبایی</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Lewin</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Unfreezing</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Radio Frequency Identification =RFID</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Changing / Moving</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Refreezing</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Applied Sciences Hamburg</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Management of Library and Information Services</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Controlling</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and User Research</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Statistics and Data Analysis for Business</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Communication Training</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 Resource Management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Libraries in Times of Change - Change Management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Science andServices</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Learning Organisation</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Project Management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Communities of Practice( COP</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KMaya, www.kmaya.com.my</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Developing library professionals: The influence of communities of practice</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Shukriah Binti Hj Yon, shukriah@penang.gov.my</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Geeta Albert, geeta@kconnections.com.my</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دانشگاه آزاد اسلامی واحد تهران شمال </w:t>
      </w:r>
      <w:r>
        <w:rPr>
          <w:rFonts w:eastAsia="IRNazanin" w:cs="IRNazanin"/>
          <w:b w:val="false"/>
          <w:bCs w:val="false"/>
          <w:i w:val="false"/>
          <w:iCs w:val="false"/>
          <w:color w:val="333333"/>
          <w:sz w:val="20"/>
          <w:szCs w:val="20"/>
        </w:rPr>
        <w:t>z_mirhoseini@iau-tnb.ac.ir</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knowledge management (KM</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Swan, J. A., Scarbrough, H. &amp; Robertson</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Malone</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practice</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Wenger</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Domain</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Community</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Johnson</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codified learning</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Robey,Khoo &amp; Powers</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Collis &amp; Margaryan</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Lave</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Snyder</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Berends</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Vanhaverbeke</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Kirschbaum</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Meeuwesen</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Hung</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Gausdal</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Laat and Boer</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Brown and Duguid</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practice-based</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Huzzard</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integral aspect of social practice</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Penang Public Library Corporation (PPLC</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Knowledge Connections Inc. (KC</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Methodology</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 observation</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practiced-way</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joint enterprise</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shared repertoire</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workarounds</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Hara &amp; Hew</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vicarious interactions</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Sutton</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Gray</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formal requests</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red-tape</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ubiquity</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shared stories</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Request for Assistance</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Appreciation</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Clarification</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sharing</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Community knowledge</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Practiced knowledge</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Produced knowledge</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learning tool</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searchunderoccupy (suo</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Sheila C. Johnson</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living archive</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School</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 Street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McDonough</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Stanford</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Living, Breathing Revolution: How Libraries Can Use "Living Archives" to Support, Engage, and Document Social Movements</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Tamara Rhodes</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علم اطلاعات و دانش شناسی سازمان اسناد و کتابخانه ملی ایران </w:t>
      </w:r>
      <w:r>
        <w:rPr>
          <w:rFonts w:eastAsia="IRNazanin" w:cs="IRNazanin"/>
          <w:b w:val="false"/>
          <w:bCs w:val="false"/>
          <w:i w:val="false"/>
          <w:iCs w:val="false"/>
          <w:color w:val="333333"/>
          <w:sz w:val="20"/>
          <w:szCs w:val="20"/>
        </w:rPr>
        <w:t>a-najafgholi@nlai.ir</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Imhoff</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Library and Social Movements: A List of Material Obtainable Free or at Small Expense</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elements</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supporting</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American Library Association (ALA</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Social Responsibilities Round Table (SRRT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Civil Rights Movement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experimentation</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Ono</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Third place</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Urban Sociologist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 Oldenburg</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Harris</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Bryson</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Usherwood</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Proctor</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Meeting place</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focal point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living</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liveliness of the medium</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Brubeck oral history project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the Pacific</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Dave and Iola Brubeck</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Pillsbury</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fluidity</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Journal</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Collins</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that can</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 fair memories</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NC LIVE</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Public Radio's (NPR) StoryCorps</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Folklife Center</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African liberation struggle</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 Peters, &amp; Petit- Perrot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interactive knowledge environments</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 Newswire</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sustainable development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Arabic Literature (in English</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Archive of the Revolution: A Living Archive</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Antoun</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Mosireen film collective</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cellular</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Khaled Fahey</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DOK</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DOK Agora</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Boekesteijn</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Britannica</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outlook on society</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Occupy Wall Street Movement (OWS</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Radhika Subramaniam</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live feed tag clouds</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activism</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Gibson</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design center's director</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static focal point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 Hyun Choi</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BriCollab Art Collective</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democracy box</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 speech with a camera</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Canadian anti-consumerist magazine: Adbusters</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Ladhani</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Reuters</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media tracking agency</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SocialFlow</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Arab Spring</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gatekeeping of commercial media</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self-produced</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Aguayo</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Occupy Research</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DataCenter</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R-Shief</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occupy datanyc.org</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 clouds</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OccupyPOPS</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Privately owned public space</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NYC Department of City Planning</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Foursquare</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Occupydatanyc.org</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mongoDB</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source mapping</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Aronson Gallery</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occupysandy</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Hurricane Sandy</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Rood</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Linking theory and practice in LIS education in Latin America and the Caribbean</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Filiberto Felipe Martínez Arellano</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Jaime Ríos Ortega</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علم اطلاعات و دانش شناسی</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Moran</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Worrall</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Rodriguez Gallardo</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Reyna Gamez Rojas &amp;Hinojosa</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la Vega &amp; Arakaki</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Taste</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Gascón, ComalatEspelt Dexterity, Rubio, Salse, &amp; Vall</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Lafuente and Morales</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Martinez Arellano</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Salinas</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Cebrowski, C</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Project Oriented Learning, POL</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Instituto Teconólogico de Monterrey (ITESM</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QuindemilTorrijo</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Universidad Nacional del Sur de Bahia Blanca, Argentina</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Herrera</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Universidad Nacional Mayor de San Marcos</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Hellenic Statistical Authority (HAS</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Government libraries in Greece: Current situation and future considerations</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2Maria Monopoli: Library Section, Human Resources and Organisation Department, Athens, Greece</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 Mastora: Library and Editions Department, Analysis and Documentation Directorate Secretariat General of Information and Communication, Secretariat General of Mass Mediam, Athens, Greece</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سازمان اسناد و کتابخانه ملی</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access providers</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Guidelines for Libraries of Government Departments (Bolt and Burge, 2008</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Bank of Greece.1</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Governor's Annual Report.2</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union catalogues</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consortium</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methodology</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Gorman</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Tsimpoglu</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OPAC</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Guide to Coordinated and Cooperative Collection Development Among Librarie</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co-operative collection development (CCD</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Data source: http://www.primeminister.gov.gr/english/government/ (Accessed April 2012</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Ministry of Infrastructure, Transport and Networks</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audiovisual material</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on Gender and Equality</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the Secretariat General of Information and Communication - Secretariat General of Mass Media</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Member Card</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Athenian Press</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Greek Press</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Foreign Press</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Offical Government Gazette</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Media Legislation</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Centre of International and European Economic Law</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Press and Communication Offices</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Food and Agriculture Organisation (FAO</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Institute of Agricultural Research (INIA</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European Union (EU</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Organisation for Economic Co-operation and Development (OECD</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Centre of Planning and Economic Research</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ABEKT 5.6</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National Documentation Centre in Greece</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Vubis Smart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DOS</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and Information Services of Panteion University</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Printing Office</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and Information Services of Panteion University of Social and Political Sciences</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the National and Kapodistrian University</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the National and Kapodistrian University</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the Agricultural University of Athens</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Dimokritio University of Thrace</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Organisation for Economic Cooperation and Growth</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Mrs Jytte Larsen</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Analyses and Documentation</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Technology Services.7</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Services Abroad</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Stelios Agouridis.1</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Ioannis Papagiannopoulos.2</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Vlassios Doubiotis.3</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Entry Unit 4</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Cataloguing and classification education and training in libraray and information science/studies in South Aferica,Brazil and the USA</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Dennis N. Ochalla and Lyudmila Ochalla</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Hope A. Olson and Jeannette R.Glover</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Jose Augusto Guimaraes</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کل پردازش و سازماندهی سازمان اسناد و کتابخانه ملی ایران </w:t>
      </w:r>
      <w:r>
        <w:rPr>
          <w:rFonts w:eastAsia="IRNazanin" w:cs="IRNazanin"/>
          <w:b w:val="false"/>
          <w:bCs w:val="false"/>
          <w:i w:val="false"/>
          <w:iCs w:val="false"/>
          <w:color w:val="333333"/>
          <w:sz w:val="20"/>
          <w:szCs w:val="20"/>
        </w:rPr>
        <w:t>taherehyaghoobpour@yahoo.com</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Cataloguing and classification education (CCE</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and Information studies/science (LIS)</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Cloete</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Bowen-Chang</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Hosein</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Shongwe</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Ocholla</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Mason</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Homulos</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iSchool</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Ngulube</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Ndwandwe</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Dube</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Library Association</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سرویس پژوهشی خصوصی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نرم افزار مستقر در پروودر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تاسیس 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Qualtrics</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Mercosul LIS educational agreements</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Hsieh-Yee</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Lussky</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cataloging orientation</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Coyaud</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Gardin</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CRG</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Zululand</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Brazilian of Information Science Research</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Brazilian Chapter of ISKO(International Society for Knowledge Organization)</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revival</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AACR2</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Resource Description and Access (RDA</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Harvey and Reynolds</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Hill and Inter</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Functional Requirement for Bibliographic Records(FRBR</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Functional Requirements for documented data (FRAD</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Dewey</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Cutter</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Panizzi</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Cranfield</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 ابوالفضل واژگان کتابداری و اطلاع 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دبیزش،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documentary analysis</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اسنادی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documentary languages</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علیرضا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نمایه سازی کتاب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چاپار </w:t>
      </w:r>
      <w:r>
        <w:rPr>
          <w:rFonts w:eastAsia="IRNazanin" w:cs="IRNazanin"/>
          <w:b w:val="false"/>
          <w:bCs w:val="false"/>
          <w:i w:val="false"/>
          <w:iCs w:val="false"/>
          <w:color w:val="333333"/>
          <w:sz w:val="20"/>
          <w:szCs w:val="20"/>
        </w:rPr>
        <w:t>1380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image" Target="media/image2.jpeg"/><Relationship Id="rId710" Type="http://schemas.openxmlformats.org/officeDocument/2006/relationships/image" Target="media/image2.jpeg"/><Relationship Id="rId711" Type="http://schemas.openxmlformats.org/officeDocument/2006/relationships/footer" Target="footer704.xml"/><Relationship Id="rId712" Type="http://schemas.openxmlformats.org/officeDocument/2006/relationships/footnotes" Target="footnotes.xml"/><Relationship Id="rId713" Type="http://schemas.openxmlformats.org/officeDocument/2006/relationships/numbering" Target="numbering.xml"/><Relationship Id="rId714" Type="http://schemas.openxmlformats.org/officeDocument/2006/relationships/fontTable" Target="fontTable.xml"/><Relationship Id="rId715" Type="http://schemas.openxmlformats.org/officeDocument/2006/relationships/settings" Target="settings.xml"/><Relationship Id="rId7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732</Pages>
  <Words>59518</Words>
  <Characters>252837</Characters>
  <CharactersWithSpaces>309233</CharactersWithSpaces>
  <Paragraphs>3324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2026-08-20T17:42:15Z</dcterms:created>
  <dc:creator>ghaemiyeh.com</dc:creator>
  <dc:description/>
  <dc:language>en-US</dc:language>
  <cp:lastModifiedBy/>
  <dcterms:modified xsi:type="dcterms:W3CDTF">2026-08-20T21:12:41Z</dcterms:modified>
  <cp:revision>1</cp:revision>
  <dc:subject/>
  <dc:title>گزیده مقالات ایفلا 2012 و 2013 هلسینکی فنلاند 17-11 آگوست 2012 سنگاپور 23-17 آگوست 2013</dc:title>
</cp:coreProperties>
</file>

<file path=docProps/custom.xml><?xml version="1.0" encoding="utf-8"?>
<Properties xmlns="http://schemas.openxmlformats.org/officeDocument/2006/custom-properties" xmlns:vt="http://schemas.openxmlformats.org/officeDocument/2006/docPropsVTypes"/>
</file>