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بحر مجلسی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933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319340_2870459653">
            <w:r>
              <w:rPr>
                <w:webHidden/>
                <w:rStyle w:val="IndexLink"/>
                <w:rtl w:val="true"/>
              </w:rPr>
              <w:t>در بحر مجلسی</w:t>
            </w:r>
            <w:r>
              <w:rPr>
                <w:rStyle w:val="IndexLink"/>
                <w:rtl w:val="true"/>
              </w:rPr>
              <w:tab/>
            </w:r>
            <w:r>
              <w:rPr>
                <w:rStyle w:val="IndexLink"/>
              </w:rPr>
              <w:t>5</w:t>
            </w:r>
          </w:hyperlink>
        </w:p>
        <w:p>
          <w:pPr>
            <w:pStyle w:val="Contents2"/>
            <w:tabs>
              <w:tab w:val="clear" w:pos="8743"/>
              <w:tab w:val="right" w:pos="9026" w:leader="dot"/>
            </w:tabs>
            <w:rPr/>
          </w:pPr>
          <w:hyperlink w:anchor="__RefHeading___Toc6319342_2870459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6319344_2870459653">
            <w:r>
              <w:rPr>
                <w:webHidden/>
                <w:rStyle w:val="IndexLink"/>
                <w:rtl w:val="true"/>
              </w:rPr>
              <w:t>یک</w:t>
            </w:r>
            <w:r>
              <w:rPr>
                <w:rStyle w:val="IndexLink"/>
                <w:rtl w:val="true"/>
              </w:rPr>
              <w:t xml:space="preserve">: </w:t>
            </w:r>
            <w:r>
              <w:rPr>
                <w:rStyle w:val="IndexLink"/>
                <w:rtl w:val="true"/>
              </w:rPr>
              <w:t>بی کرانه های مجلسی</w:t>
            </w:r>
            <w:r>
              <w:rPr>
                <w:rStyle w:val="IndexLink"/>
                <w:rtl w:val="true"/>
              </w:rPr>
              <w:tab/>
            </w:r>
            <w:r>
              <w:rPr>
                <w:rStyle w:val="IndexLink"/>
              </w:rPr>
              <w:t>8</w:t>
            </w:r>
          </w:hyperlink>
        </w:p>
        <w:p>
          <w:pPr>
            <w:pStyle w:val="Contents3"/>
            <w:tabs>
              <w:tab w:val="clear" w:pos="8459"/>
              <w:tab w:val="right" w:pos="9026" w:leader="dot"/>
            </w:tabs>
            <w:rPr/>
          </w:pPr>
          <w:hyperlink w:anchor="__RefHeading___Toc6319346_287045965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6319348_2870459653">
            <w:r>
              <w:rPr>
                <w:webHidden/>
                <w:rStyle w:val="IndexLink"/>
                <w:rtl w:val="true"/>
              </w:rPr>
              <w:t>توفیقات بی نهایت</w:t>
            </w:r>
            <w:r>
              <w:rPr>
                <w:rStyle w:val="IndexLink"/>
                <w:rtl w:val="true"/>
              </w:rPr>
              <w:tab/>
            </w:r>
            <w:r>
              <w:rPr>
                <w:rStyle w:val="IndexLink"/>
              </w:rPr>
              <w:t>25</w:t>
            </w:r>
          </w:hyperlink>
        </w:p>
        <w:p>
          <w:pPr>
            <w:pStyle w:val="Contents2"/>
            <w:tabs>
              <w:tab w:val="clear" w:pos="8743"/>
              <w:tab w:val="right" w:pos="9026" w:leader="dot"/>
            </w:tabs>
            <w:rPr/>
          </w:pPr>
          <w:hyperlink w:anchor="__RefHeading___Toc6319350_2870459653">
            <w:r>
              <w:rPr>
                <w:webHidden/>
                <w:rStyle w:val="IndexLink"/>
                <w:rtl w:val="true"/>
              </w:rPr>
              <w:t>دو</w:t>
            </w:r>
            <w:r>
              <w:rPr>
                <w:rStyle w:val="IndexLink"/>
                <w:rtl w:val="true"/>
              </w:rPr>
              <w:t xml:space="preserve">: </w:t>
            </w:r>
            <w:r>
              <w:rPr>
                <w:rStyle w:val="IndexLink"/>
                <w:rtl w:val="true"/>
              </w:rPr>
              <w:t>یک اربعین معرفت</w:t>
            </w:r>
            <w:r>
              <w:rPr>
                <w:rStyle w:val="IndexLink"/>
                <w:rtl w:val="true"/>
              </w:rPr>
              <w:tab/>
            </w:r>
            <w:r>
              <w:rPr>
                <w:rStyle w:val="IndexLink"/>
              </w:rPr>
              <w:t>26</w:t>
            </w:r>
          </w:hyperlink>
        </w:p>
        <w:p>
          <w:pPr>
            <w:pStyle w:val="Contents3"/>
            <w:tabs>
              <w:tab w:val="clear" w:pos="8459"/>
              <w:tab w:val="right" w:pos="9026" w:leader="dot"/>
            </w:tabs>
            <w:rPr/>
          </w:pPr>
          <w:hyperlink w:anchor="__RefHeading___Toc6319352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319354_2870459653">
            <w:r>
              <w:rPr>
                <w:webHidden/>
                <w:rStyle w:val="IndexLink"/>
                <w:rtl w:val="true"/>
              </w:rPr>
              <w:t>گزارشی از کتاب اربعین علامه مجلسی، احمد رضا کریمی</w:t>
            </w:r>
            <w:r>
              <w:rPr>
                <w:rStyle w:val="IndexLink"/>
                <w:rtl w:val="true"/>
              </w:rPr>
              <w:tab/>
            </w:r>
            <w:r>
              <w:rPr>
                <w:rStyle w:val="IndexLink"/>
              </w:rPr>
              <w:t>27</w:t>
            </w:r>
          </w:hyperlink>
        </w:p>
        <w:p>
          <w:pPr>
            <w:pStyle w:val="Contents3"/>
            <w:tabs>
              <w:tab w:val="clear" w:pos="8459"/>
              <w:tab w:val="right" w:pos="9026" w:leader="dot"/>
            </w:tabs>
            <w:rPr/>
          </w:pPr>
          <w:hyperlink w:anchor="__RefHeading___Toc6319356_2870459653">
            <w:r>
              <w:rPr>
                <w:webHidden/>
                <w:rStyle w:val="IndexLink"/>
                <w:rtl w:val="true"/>
              </w:rPr>
              <w:t>گزارش محتوای کتاب</w:t>
            </w:r>
            <w:r>
              <w:rPr>
                <w:rStyle w:val="IndexLink"/>
                <w:rtl w:val="true"/>
              </w:rPr>
              <w:tab/>
            </w:r>
            <w:r>
              <w:rPr>
                <w:rStyle w:val="IndexLink"/>
              </w:rPr>
              <w:t>28</w:t>
            </w:r>
          </w:hyperlink>
        </w:p>
        <w:p>
          <w:pPr>
            <w:pStyle w:val="Contents2"/>
            <w:tabs>
              <w:tab w:val="clear" w:pos="8743"/>
              <w:tab w:val="right" w:pos="9026" w:leader="dot"/>
            </w:tabs>
            <w:rPr/>
          </w:pPr>
          <w:hyperlink w:anchor="__RefHeading___Toc6319358_2870459653">
            <w:r>
              <w:rPr>
                <w:webHidden/>
                <w:rStyle w:val="IndexLink"/>
                <w:rtl w:val="true"/>
              </w:rPr>
              <w:t>سه</w:t>
            </w:r>
            <w:r>
              <w:rPr>
                <w:rStyle w:val="IndexLink"/>
                <w:rtl w:val="true"/>
              </w:rPr>
              <w:t xml:space="preserve">: </w:t>
            </w:r>
            <w:r>
              <w:rPr>
                <w:rStyle w:val="IndexLink"/>
                <w:rtl w:val="true"/>
              </w:rPr>
              <w:t>تاج فقه و تخت حدیث</w:t>
            </w:r>
            <w:r>
              <w:rPr>
                <w:rStyle w:val="IndexLink"/>
                <w:rtl w:val="true"/>
              </w:rPr>
              <w:tab/>
            </w:r>
            <w:r>
              <w:rPr>
                <w:rStyle w:val="IndexLink"/>
              </w:rPr>
              <w:t>34</w:t>
            </w:r>
          </w:hyperlink>
        </w:p>
        <w:p>
          <w:pPr>
            <w:pStyle w:val="Contents3"/>
            <w:tabs>
              <w:tab w:val="clear" w:pos="8459"/>
              <w:tab w:val="right" w:pos="9026" w:leader="dot"/>
            </w:tabs>
            <w:rPr/>
          </w:pPr>
          <w:hyperlink w:anchor="__RefHeading___Toc6319360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319362_2870459653">
            <w:r>
              <w:rPr>
                <w:webHidden/>
                <w:rStyle w:val="IndexLink"/>
                <w:rtl w:val="true"/>
              </w:rPr>
              <w:t>مهمان مردم</w:t>
            </w:r>
            <w:r>
              <w:rPr>
                <w:rStyle w:val="IndexLink"/>
                <w:rtl w:val="true"/>
              </w:rPr>
              <w:tab/>
            </w:r>
            <w:r>
              <w:rPr>
                <w:rStyle w:val="IndexLink"/>
              </w:rPr>
              <w:t>41</w:t>
            </w:r>
          </w:hyperlink>
        </w:p>
        <w:p>
          <w:pPr>
            <w:pStyle w:val="Contents2"/>
            <w:tabs>
              <w:tab w:val="clear" w:pos="8743"/>
              <w:tab w:val="right" w:pos="9026" w:leader="dot"/>
            </w:tabs>
            <w:rPr/>
          </w:pPr>
          <w:hyperlink w:anchor="__RefHeading___Toc6319364_2870459653">
            <w:r>
              <w:rPr>
                <w:webHidden/>
                <w:rStyle w:val="IndexLink"/>
                <w:rtl w:val="true"/>
              </w:rPr>
              <w:t>چهار</w:t>
            </w:r>
            <w:r>
              <w:rPr>
                <w:rStyle w:val="IndexLink"/>
                <w:rtl w:val="true"/>
              </w:rPr>
              <w:t xml:space="preserve">: </w:t>
            </w:r>
            <w:r>
              <w:rPr>
                <w:rStyle w:val="IndexLink"/>
                <w:rtl w:val="true"/>
              </w:rPr>
              <w:t>هفت شهر فقه</w:t>
            </w:r>
            <w:r>
              <w:rPr>
                <w:rStyle w:val="IndexLink"/>
                <w:rtl w:val="true"/>
              </w:rPr>
              <w:tab/>
            </w:r>
            <w:r>
              <w:rPr>
                <w:rStyle w:val="IndexLink"/>
              </w:rPr>
              <w:t>42</w:t>
            </w:r>
          </w:hyperlink>
        </w:p>
        <w:p>
          <w:pPr>
            <w:pStyle w:val="Contents3"/>
            <w:tabs>
              <w:tab w:val="clear" w:pos="8459"/>
              <w:tab w:val="right" w:pos="9026" w:leader="dot"/>
            </w:tabs>
            <w:rPr/>
          </w:pPr>
          <w:hyperlink w:anchor="__RefHeading___Toc6319366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319368_2870459653">
            <w:r>
              <w:rPr>
                <w:webHidden/>
                <w:rStyle w:val="IndexLink"/>
                <w:rtl w:val="true"/>
              </w:rPr>
              <w:t>اهمیت فقاهت علامه مجلسی</w:t>
            </w:r>
            <w:r>
              <w:rPr>
                <w:rStyle w:val="IndexLink"/>
                <w:rtl w:val="true"/>
              </w:rPr>
              <w:tab/>
            </w:r>
            <w:r>
              <w:rPr>
                <w:rStyle w:val="IndexLink"/>
              </w:rPr>
              <w:t>43</w:t>
            </w:r>
          </w:hyperlink>
        </w:p>
        <w:p>
          <w:pPr>
            <w:pStyle w:val="Contents3"/>
            <w:tabs>
              <w:tab w:val="clear" w:pos="8459"/>
              <w:tab w:val="right" w:pos="9026" w:leader="dot"/>
            </w:tabs>
            <w:rPr/>
          </w:pPr>
          <w:hyperlink w:anchor="__RefHeading___Toc6319370_2870459653">
            <w:r>
              <w:rPr>
                <w:webHidden/>
                <w:rStyle w:val="IndexLink"/>
                <w:rtl w:val="true"/>
              </w:rPr>
              <w:t>فقه علامه مجلسی</w:t>
            </w:r>
            <w:r>
              <w:rPr>
                <w:rStyle w:val="IndexLink"/>
                <w:rtl w:val="true"/>
              </w:rPr>
              <w:tab/>
            </w:r>
            <w:r>
              <w:rPr>
                <w:rStyle w:val="IndexLink"/>
              </w:rPr>
              <w:t>45</w:t>
            </w:r>
          </w:hyperlink>
        </w:p>
        <w:p>
          <w:pPr>
            <w:pStyle w:val="Contents3"/>
            <w:tabs>
              <w:tab w:val="clear" w:pos="8459"/>
              <w:tab w:val="right" w:pos="9026" w:leader="dot"/>
            </w:tabs>
            <w:rPr/>
          </w:pPr>
          <w:hyperlink w:anchor="__RefHeading___Toc6319372_2870459653">
            <w:r>
              <w:rPr>
                <w:webHidden/>
                <w:rStyle w:val="IndexLink"/>
                <w:rtl w:val="true"/>
              </w:rPr>
              <w:t>نص گروی</w:t>
            </w:r>
            <w:r>
              <w:rPr>
                <w:rStyle w:val="IndexLink"/>
                <w:rtl w:val="true"/>
              </w:rPr>
              <w:tab/>
            </w:r>
            <w:r>
              <w:rPr>
                <w:rStyle w:val="IndexLink"/>
              </w:rPr>
              <w:t>45</w:t>
            </w:r>
          </w:hyperlink>
        </w:p>
        <w:p>
          <w:pPr>
            <w:pStyle w:val="Contents3"/>
            <w:tabs>
              <w:tab w:val="clear" w:pos="8459"/>
              <w:tab w:val="right" w:pos="9026" w:leader="dot"/>
            </w:tabs>
            <w:rPr/>
          </w:pPr>
          <w:hyperlink w:anchor="__RefHeading___Toc6319374_2870459653">
            <w:r>
              <w:rPr>
                <w:webHidden/>
                <w:rStyle w:val="IndexLink"/>
                <w:rtl w:val="true"/>
              </w:rPr>
              <w:t>گریز از شذوذات</w:t>
            </w:r>
            <w:r>
              <w:rPr>
                <w:rStyle w:val="IndexLink"/>
                <w:rtl w:val="true"/>
              </w:rPr>
              <w:tab/>
            </w:r>
            <w:r>
              <w:rPr>
                <w:rStyle w:val="IndexLink"/>
              </w:rPr>
              <w:t>46</w:t>
            </w:r>
          </w:hyperlink>
        </w:p>
        <w:p>
          <w:pPr>
            <w:pStyle w:val="Contents3"/>
            <w:tabs>
              <w:tab w:val="clear" w:pos="8459"/>
              <w:tab w:val="right" w:pos="9026" w:leader="dot"/>
            </w:tabs>
            <w:rPr/>
          </w:pPr>
          <w:hyperlink w:anchor="__RefHeading___Toc6319376_2870459653">
            <w:r>
              <w:rPr>
                <w:webHidden/>
                <w:rStyle w:val="IndexLink"/>
                <w:rtl w:val="true"/>
              </w:rPr>
              <w:t>پرهیز از احتیاطات گسترده</w:t>
            </w:r>
            <w:r>
              <w:rPr>
                <w:rStyle w:val="IndexLink"/>
                <w:rtl w:val="true"/>
              </w:rPr>
              <w:tab/>
            </w:r>
            <w:r>
              <w:rPr>
                <w:rStyle w:val="IndexLink"/>
              </w:rPr>
              <w:t>46</w:t>
            </w:r>
          </w:hyperlink>
        </w:p>
        <w:p>
          <w:pPr>
            <w:pStyle w:val="Contents3"/>
            <w:tabs>
              <w:tab w:val="clear" w:pos="8459"/>
              <w:tab w:val="right" w:pos="9026" w:leader="dot"/>
            </w:tabs>
            <w:rPr/>
          </w:pPr>
          <w:hyperlink w:anchor="__RefHeading___Toc6319378_2870459653">
            <w:r>
              <w:rPr>
                <w:webHidden/>
                <w:rStyle w:val="IndexLink"/>
                <w:rtl w:val="true"/>
              </w:rPr>
              <w:t>یک پارچگی و دوری از طرح تفصیلات گسترده</w:t>
            </w:r>
            <w:r>
              <w:rPr>
                <w:rStyle w:val="IndexLink"/>
                <w:rtl w:val="true"/>
              </w:rPr>
              <w:tab/>
            </w:r>
            <w:r>
              <w:rPr>
                <w:rStyle w:val="IndexLink"/>
              </w:rPr>
              <w:t>47</w:t>
            </w:r>
          </w:hyperlink>
        </w:p>
        <w:p>
          <w:pPr>
            <w:pStyle w:val="Contents3"/>
            <w:tabs>
              <w:tab w:val="clear" w:pos="8459"/>
              <w:tab w:val="right" w:pos="9026" w:leader="dot"/>
            </w:tabs>
            <w:rPr/>
          </w:pPr>
          <w:hyperlink w:anchor="__RefHeading___Toc6319380_2870459653">
            <w:r>
              <w:rPr>
                <w:webHidden/>
                <w:rStyle w:val="IndexLink"/>
                <w:rtl w:val="true"/>
              </w:rPr>
              <w:t>فقه نگاری علامه مجلسی</w:t>
            </w:r>
            <w:r>
              <w:rPr>
                <w:rStyle w:val="IndexLink"/>
                <w:rtl w:val="true"/>
              </w:rPr>
              <w:tab/>
            </w:r>
            <w:r>
              <w:rPr>
                <w:rStyle w:val="IndexLink"/>
              </w:rPr>
              <w:t>48</w:t>
            </w:r>
          </w:hyperlink>
        </w:p>
        <w:p>
          <w:pPr>
            <w:pStyle w:val="Contents3"/>
            <w:tabs>
              <w:tab w:val="clear" w:pos="8459"/>
              <w:tab w:val="right" w:pos="9026" w:leader="dot"/>
            </w:tabs>
            <w:rPr/>
          </w:pPr>
          <w:hyperlink w:anchor="__RefHeading___Toc6319382_2870459653">
            <w:r>
              <w:rPr>
                <w:webHidden/>
                <w:rStyle w:val="IndexLink"/>
                <w:rtl w:val="true"/>
              </w:rPr>
              <w:t>تعیین مقدارها</w:t>
            </w:r>
            <w:r>
              <w:rPr>
                <w:rStyle w:val="IndexLink"/>
                <w:rtl w:val="true"/>
              </w:rPr>
              <w:tab/>
            </w:r>
            <w:r>
              <w:rPr>
                <w:rStyle w:val="IndexLink"/>
              </w:rPr>
              <w:t>48</w:t>
            </w:r>
          </w:hyperlink>
        </w:p>
        <w:p>
          <w:pPr>
            <w:pStyle w:val="Contents3"/>
            <w:tabs>
              <w:tab w:val="clear" w:pos="8459"/>
              <w:tab w:val="right" w:pos="9026" w:leader="dot"/>
            </w:tabs>
            <w:rPr/>
          </w:pPr>
          <w:hyperlink w:anchor="__RefHeading___Toc6319384_2870459653">
            <w:r>
              <w:rPr>
                <w:webHidden/>
                <w:rStyle w:val="IndexLink"/>
                <w:rtl w:val="true"/>
              </w:rPr>
              <w:t>اشاره به احتیاط در مسأله</w:t>
            </w:r>
            <w:r>
              <w:rPr>
                <w:rStyle w:val="IndexLink"/>
                <w:rtl w:val="true"/>
              </w:rPr>
              <w:tab/>
            </w:r>
            <w:r>
              <w:rPr>
                <w:rStyle w:val="IndexLink"/>
              </w:rPr>
              <w:t>49</w:t>
            </w:r>
          </w:hyperlink>
        </w:p>
        <w:p>
          <w:pPr>
            <w:pStyle w:val="Contents3"/>
            <w:tabs>
              <w:tab w:val="clear" w:pos="8459"/>
              <w:tab w:val="right" w:pos="9026" w:leader="dot"/>
            </w:tabs>
            <w:rPr/>
          </w:pPr>
          <w:hyperlink w:anchor="__RefHeading___Toc6319386_2870459653">
            <w:r>
              <w:rPr>
                <w:webHidden/>
                <w:rStyle w:val="IndexLink"/>
                <w:rtl w:val="true"/>
              </w:rPr>
              <w:t>توجه به شیوه امتثال</w:t>
            </w:r>
            <w:r>
              <w:rPr>
                <w:rStyle w:val="IndexLink"/>
                <w:rtl w:val="true"/>
              </w:rPr>
              <w:tab/>
            </w:r>
            <w:r>
              <w:rPr>
                <w:rStyle w:val="IndexLink"/>
              </w:rPr>
              <w:t>49</w:t>
            </w:r>
          </w:hyperlink>
        </w:p>
        <w:p>
          <w:pPr>
            <w:pStyle w:val="Contents3"/>
            <w:tabs>
              <w:tab w:val="clear" w:pos="8459"/>
              <w:tab w:val="right" w:pos="9026" w:leader="dot"/>
            </w:tabs>
            <w:rPr/>
          </w:pPr>
          <w:hyperlink w:anchor="__RefHeading___Toc6319388_2870459653">
            <w:r>
              <w:rPr>
                <w:webHidden/>
                <w:rStyle w:val="IndexLink"/>
                <w:rtl w:val="true"/>
              </w:rPr>
              <w:t>استفاده دیگر فقها از علامه مجلسی</w:t>
            </w:r>
            <w:r>
              <w:rPr>
                <w:rStyle w:val="IndexLink"/>
                <w:rtl w:val="true"/>
              </w:rPr>
              <w:tab/>
            </w:r>
            <w:r>
              <w:rPr>
                <w:rStyle w:val="IndexLink"/>
              </w:rPr>
              <w:t>50</w:t>
            </w:r>
          </w:hyperlink>
        </w:p>
        <w:p>
          <w:pPr>
            <w:pStyle w:val="Contents3"/>
            <w:tabs>
              <w:tab w:val="clear" w:pos="8459"/>
              <w:tab w:val="right" w:pos="9026" w:leader="dot"/>
            </w:tabs>
            <w:rPr/>
          </w:pPr>
          <w:hyperlink w:anchor="__RefHeading___Toc6319390_2870459653">
            <w:r>
              <w:rPr>
                <w:webHidden/>
                <w:rStyle w:val="IndexLink"/>
                <w:rtl w:val="true"/>
              </w:rPr>
              <w:t>تتبع گسترده و اشاره به دیدگاه فقیهان</w:t>
            </w:r>
            <w:r>
              <w:rPr>
                <w:rStyle w:val="IndexLink"/>
                <w:rtl w:val="true"/>
              </w:rPr>
              <w:tab/>
            </w:r>
            <w:r>
              <w:rPr>
                <w:rStyle w:val="IndexLink"/>
              </w:rPr>
              <w:t>50</w:t>
            </w:r>
          </w:hyperlink>
        </w:p>
        <w:p>
          <w:pPr>
            <w:pStyle w:val="Contents3"/>
            <w:tabs>
              <w:tab w:val="clear" w:pos="8459"/>
              <w:tab w:val="right" w:pos="9026" w:leader="dot"/>
            </w:tabs>
            <w:rPr/>
          </w:pPr>
          <w:hyperlink w:anchor="__RefHeading___Toc6319392_2870459653">
            <w:r>
              <w:rPr>
                <w:webHidden/>
                <w:rStyle w:val="IndexLink"/>
                <w:rtl w:val="true"/>
              </w:rPr>
              <w:t>تنقیح نسخ</w:t>
            </w:r>
            <w:r>
              <w:rPr>
                <w:rStyle w:val="IndexLink"/>
                <w:rtl w:val="true"/>
              </w:rPr>
              <w:tab/>
            </w:r>
            <w:r>
              <w:rPr>
                <w:rStyle w:val="IndexLink"/>
              </w:rPr>
              <w:t>51</w:t>
            </w:r>
          </w:hyperlink>
        </w:p>
        <w:p>
          <w:pPr>
            <w:pStyle w:val="Contents3"/>
            <w:tabs>
              <w:tab w:val="clear" w:pos="8459"/>
              <w:tab w:val="right" w:pos="9026" w:leader="dot"/>
            </w:tabs>
            <w:rPr/>
          </w:pPr>
          <w:hyperlink w:anchor="__RefHeading___Toc6319394_2870459653">
            <w:r>
              <w:rPr>
                <w:webHidden/>
                <w:rStyle w:val="IndexLink"/>
                <w:rtl w:val="true"/>
              </w:rPr>
              <w:t>تحقیق در سند و رجال حدیث</w:t>
            </w:r>
            <w:r>
              <w:rPr>
                <w:rStyle w:val="IndexLink"/>
                <w:rtl w:val="true"/>
              </w:rPr>
              <w:tab/>
            </w:r>
            <w:r>
              <w:rPr>
                <w:rStyle w:val="IndexLink"/>
              </w:rPr>
              <w:t>51</w:t>
            </w:r>
          </w:hyperlink>
        </w:p>
        <w:p>
          <w:pPr>
            <w:pStyle w:val="Contents3"/>
            <w:tabs>
              <w:tab w:val="clear" w:pos="8459"/>
              <w:tab w:val="right" w:pos="9026" w:leader="dot"/>
            </w:tabs>
            <w:rPr/>
          </w:pPr>
          <w:hyperlink w:anchor="__RefHeading___Toc6319396_2870459653">
            <w:r>
              <w:rPr>
                <w:webHidden/>
                <w:rStyle w:val="IndexLink"/>
                <w:rtl w:val="true"/>
              </w:rPr>
              <w:t>تحقیق معنای الفاظ</w:t>
            </w:r>
            <w:r>
              <w:rPr>
                <w:rStyle w:val="IndexLink"/>
                <w:rtl w:val="true"/>
              </w:rPr>
              <w:tab/>
            </w:r>
            <w:r>
              <w:rPr>
                <w:rStyle w:val="IndexLink"/>
              </w:rPr>
              <w:t>51</w:t>
            </w:r>
          </w:hyperlink>
        </w:p>
        <w:p>
          <w:pPr>
            <w:pStyle w:val="Contents3"/>
            <w:tabs>
              <w:tab w:val="clear" w:pos="8459"/>
              <w:tab w:val="right" w:pos="9026" w:leader="dot"/>
            </w:tabs>
            <w:rPr/>
          </w:pPr>
          <w:hyperlink w:anchor="__RefHeading___Toc6319398_2870459653">
            <w:r>
              <w:rPr>
                <w:webHidden/>
                <w:rStyle w:val="IndexLink"/>
                <w:rtl w:val="true"/>
              </w:rPr>
              <w:t>موضوع شناسی</w:t>
            </w:r>
            <w:r>
              <w:rPr>
                <w:rStyle w:val="IndexLink"/>
                <w:rtl w:val="true"/>
              </w:rPr>
              <w:tab/>
            </w:r>
            <w:r>
              <w:rPr>
                <w:rStyle w:val="IndexLink"/>
              </w:rPr>
              <w:t>52</w:t>
            </w:r>
          </w:hyperlink>
        </w:p>
        <w:p>
          <w:pPr>
            <w:pStyle w:val="Contents3"/>
            <w:tabs>
              <w:tab w:val="clear" w:pos="8459"/>
              <w:tab w:val="right" w:pos="9026" w:leader="dot"/>
            </w:tabs>
            <w:rPr/>
          </w:pPr>
          <w:hyperlink w:anchor="__RefHeading___Toc6319400_2870459653">
            <w:r>
              <w:rPr>
                <w:webHidden/>
                <w:rStyle w:val="IndexLink"/>
                <w:rtl w:val="true"/>
              </w:rPr>
              <w:t>منابع</w:t>
            </w:r>
            <w:r>
              <w:rPr>
                <w:rStyle w:val="IndexLink"/>
                <w:rtl w:val="true"/>
              </w:rPr>
              <w:tab/>
            </w:r>
            <w:r>
              <w:rPr>
                <w:rStyle w:val="IndexLink"/>
              </w:rPr>
              <w:t>52</w:t>
            </w:r>
          </w:hyperlink>
        </w:p>
        <w:p>
          <w:pPr>
            <w:pStyle w:val="Contents3"/>
            <w:tabs>
              <w:tab w:val="clear" w:pos="8459"/>
              <w:tab w:val="right" w:pos="9026" w:leader="dot"/>
            </w:tabs>
            <w:rPr/>
          </w:pPr>
          <w:hyperlink w:anchor="__RefHeading___Toc6319402_2870459653">
            <w:r>
              <w:rPr>
                <w:webHidden/>
                <w:rStyle w:val="IndexLink"/>
                <w:rtl w:val="true"/>
              </w:rPr>
              <w:t>میراث بان شیعه</w:t>
            </w:r>
            <w:r>
              <w:rPr>
                <w:rStyle w:val="IndexLink"/>
                <w:rtl w:val="true"/>
              </w:rPr>
              <w:tab/>
            </w:r>
            <w:r>
              <w:rPr>
                <w:rStyle w:val="IndexLink"/>
              </w:rPr>
              <w:t>53</w:t>
            </w:r>
          </w:hyperlink>
        </w:p>
        <w:p>
          <w:pPr>
            <w:pStyle w:val="Contents2"/>
            <w:tabs>
              <w:tab w:val="clear" w:pos="8743"/>
              <w:tab w:val="right" w:pos="9026" w:leader="dot"/>
            </w:tabs>
            <w:rPr/>
          </w:pPr>
          <w:hyperlink w:anchor="__RefHeading___Toc6319404_2870459653">
            <w:r>
              <w:rPr>
                <w:webHidden/>
                <w:rStyle w:val="IndexLink"/>
                <w:rtl w:val="true"/>
              </w:rPr>
              <w:t>پنج</w:t>
            </w:r>
            <w:r>
              <w:rPr>
                <w:rStyle w:val="IndexLink"/>
                <w:rtl w:val="true"/>
              </w:rPr>
              <w:t xml:space="preserve">: </w:t>
            </w:r>
            <w:r>
              <w:rPr>
                <w:rStyle w:val="IndexLink"/>
                <w:rtl w:val="true"/>
              </w:rPr>
              <w:t>تاریخ را برای تاریخ نمی خواهد</w:t>
            </w:r>
            <w:r>
              <w:rPr>
                <w:rStyle w:val="IndexLink"/>
                <w:rtl w:val="true"/>
              </w:rPr>
              <w:t>!</w:t>
              <w:tab/>
            </w:r>
            <w:r>
              <w:rPr>
                <w:rStyle w:val="IndexLink"/>
              </w:rPr>
              <w:t>54</w:t>
            </w:r>
          </w:hyperlink>
        </w:p>
        <w:p>
          <w:pPr>
            <w:pStyle w:val="Contents3"/>
            <w:tabs>
              <w:tab w:val="clear" w:pos="8459"/>
              <w:tab w:val="right" w:pos="9026" w:leader="dot"/>
            </w:tabs>
            <w:rPr/>
          </w:pPr>
          <w:hyperlink w:anchor="__RefHeading___Toc6319406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6319408_2870459653">
            <w:r>
              <w:rPr>
                <w:webHidden/>
                <w:rStyle w:val="IndexLink"/>
                <w:rtl w:val="true"/>
              </w:rPr>
              <w:t>همواره در طاعت</w:t>
            </w:r>
            <w:r>
              <w:rPr>
                <w:rStyle w:val="IndexLink"/>
                <w:rtl w:val="true"/>
              </w:rPr>
              <w:tab/>
            </w:r>
            <w:r>
              <w:rPr>
                <w:rStyle w:val="IndexLink"/>
              </w:rPr>
              <w:t>73</w:t>
            </w:r>
          </w:hyperlink>
        </w:p>
        <w:p>
          <w:pPr>
            <w:pStyle w:val="Contents2"/>
            <w:tabs>
              <w:tab w:val="clear" w:pos="8743"/>
              <w:tab w:val="right" w:pos="9026" w:leader="dot"/>
            </w:tabs>
            <w:rPr/>
          </w:pPr>
          <w:hyperlink w:anchor="__RefHeading___Toc6319410_2870459653">
            <w:r>
              <w:rPr>
                <w:webHidden/>
                <w:rStyle w:val="IndexLink"/>
                <w:rtl w:val="true"/>
              </w:rPr>
              <w:t>شش</w:t>
            </w:r>
            <w:r>
              <w:rPr>
                <w:rStyle w:val="IndexLink"/>
                <w:rtl w:val="true"/>
              </w:rPr>
              <w:t xml:space="preserve">: </w:t>
            </w:r>
            <w:r>
              <w:rPr>
                <w:rStyle w:val="IndexLink"/>
                <w:rtl w:val="true"/>
              </w:rPr>
              <w:t>در ادبستان دعا</w:t>
            </w:r>
            <w:r>
              <w:rPr>
                <w:rStyle w:val="IndexLink"/>
                <w:rtl w:val="true"/>
              </w:rPr>
              <w:tab/>
            </w:r>
            <w:r>
              <w:rPr>
                <w:rStyle w:val="IndexLink"/>
              </w:rPr>
              <w:t>74</w:t>
            </w:r>
          </w:hyperlink>
        </w:p>
        <w:p>
          <w:pPr>
            <w:pStyle w:val="Contents3"/>
            <w:tabs>
              <w:tab w:val="clear" w:pos="8459"/>
              <w:tab w:val="right" w:pos="9026" w:leader="dot"/>
            </w:tabs>
            <w:rPr/>
          </w:pPr>
          <w:hyperlink w:anchor="__RefHeading___Toc6319412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6319414_2870459653">
            <w:r>
              <w:rPr>
                <w:webHidden/>
                <w:rStyle w:val="IndexLink"/>
                <w:rtl w:val="true"/>
              </w:rPr>
              <w:t>اهمیت دعا</w:t>
            </w:r>
            <w:r>
              <w:rPr>
                <w:rStyle w:val="IndexLink"/>
                <w:rtl w:val="true"/>
              </w:rPr>
              <w:tab/>
            </w:r>
            <w:r>
              <w:rPr>
                <w:rStyle w:val="IndexLink"/>
              </w:rPr>
              <w:t>75</w:t>
            </w:r>
          </w:hyperlink>
        </w:p>
        <w:p>
          <w:pPr>
            <w:pStyle w:val="Contents3"/>
            <w:tabs>
              <w:tab w:val="clear" w:pos="8459"/>
              <w:tab w:val="right" w:pos="9026" w:leader="dot"/>
            </w:tabs>
            <w:rPr/>
          </w:pPr>
          <w:hyperlink w:anchor="__RefHeading___Toc6319416_2870459653">
            <w:r>
              <w:rPr>
                <w:webHidden/>
                <w:rStyle w:val="IndexLink"/>
                <w:rtl w:val="true"/>
              </w:rPr>
              <w:t>اهمیت دعا در تألیفات شیعه</w:t>
            </w:r>
            <w:r>
              <w:rPr>
                <w:rStyle w:val="IndexLink"/>
                <w:rtl w:val="true"/>
              </w:rPr>
              <w:tab/>
            </w:r>
            <w:r>
              <w:rPr>
                <w:rStyle w:val="IndexLink"/>
              </w:rPr>
              <w:t>75</w:t>
            </w:r>
          </w:hyperlink>
        </w:p>
        <w:p>
          <w:pPr>
            <w:pStyle w:val="Contents3"/>
            <w:tabs>
              <w:tab w:val="clear" w:pos="8459"/>
              <w:tab w:val="right" w:pos="9026" w:leader="dot"/>
            </w:tabs>
            <w:rPr/>
          </w:pPr>
          <w:hyperlink w:anchor="__RefHeading___Toc6319418_2870459653">
            <w:r>
              <w:rPr>
                <w:webHidden/>
                <w:rStyle w:val="IndexLink"/>
                <w:rtl w:val="true"/>
              </w:rPr>
              <w:t>نگارش کتب ادعیه</w:t>
            </w:r>
            <w:r>
              <w:rPr>
                <w:rStyle w:val="IndexLink"/>
                <w:rtl w:val="true"/>
              </w:rPr>
              <w:tab/>
            </w:r>
            <w:r>
              <w:rPr>
                <w:rStyle w:val="IndexLink"/>
              </w:rPr>
              <w:t>78</w:t>
            </w:r>
          </w:hyperlink>
        </w:p>
        <w:p>
          <w:pPr>
            <w:pStyle w:val="Contents3"/>
            <w:tabs>
              <w:tab w:val="clear" w:pos="8459"/>
              <w:tab w:val="right" w:pos="9026" w:leader="dot"/>
            </w:tabs>
            <w:rPr/>
          </w:pPr>
          <w:hyperlink w:anchor="__RefHeading___Toc6319420_2870459653">
            <w:r>
              <w:rPr>
                <w:webHidden/>
                <w:rStyle w:val="IndexLink"/>
                <w:rtl w:val="true"/>
              </w:rPr>
              <w:t>علامه مجلسی و دعا</w:t>
            </w:r>
            <w:r>
              <w:rPr>
                <w:rStyle w:val="IndexLink"/>
                <w:rtl w:val="true"/>
              </w:rPr>
              <w:tab/>
            </w:r>
            <w:r>
              <w:rPr>
                <w:rStyle w:val="IndexLink"/>
              </w:rPr>
              <w:t>80</w:t>
            </w:r>
          </w:hyperlink>
        </w:p>
        <w:p>
          <w:pPr>
            <w:pStyle w:val="Contents4"/>
            <w:tabs>
              <w:tab w:val="clear" w:pos="8176"/>
              <w:tab w:val="right" w:pos="9026" w:leader="dot"/>
            </w:tabs>
            <w:rPr/>
          </w:pPr>
          <w:hyperlink w:anchor="__RefHeading___Toc6319422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6319424_2870459653">
            <w:r>
              <w:rPr>
                <w:webHidden/>
                <w:rStyle w:val="IndexLink"/>
              </w:rPr>
              <w:t>1</w:t>
            </w:r>
            <w:r>
              <w:rPr>
                <w:rStyle w:val="IndexLink"/>
                <w:rtl w:val="true"/>
              </w:rPr>
              <w:t xml:space="preserve"> </w:t>
            </w:r>
            <w:r>
              <w:rPr>
                <w:rStyle w:val="IndexLink"/>
                <w:rtl w:val="true"/>
              </w:rPr>
              <w:t>بحار الانوار</w:t>
            </w:r>
            <w:r>
              <w:rPr>
                <w:rStyle w:val="IndexLink"/>
                <w:rtl w:val="true"/>
              </w:rPr>
              <w:tab/>
            </w:r>
            <w:r>
              <w:rPr>
                <w:rStyle w:val="IndexLink"/>
              </w:rPr>
              <w:t>80</w:t>
            </w:r>
          </w:hyperlink>
        </w:p>
        <w:p>
          <w:pPr>
            <w:pStyle w:val="Contents5"/>
            <w:tabs>
              <w:tab w:val="clear" w:pos="7892"/>
              <w:tab w:val="right" w:pos="9026" w:leader="dot"/>
            </w:tabs>
            <w:rPr/>
          </w:pPr>
          <w:hyperlink w:anchor="__RefHeading___Toc6319426_287045965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6319428_2870459653">
            <w:r>
              <w:rPr>
                <w:webHidden/>
                <w:rStyle w:val="IndexLink"/>
                <w:rtl w:val="true"/>
              </w:rPr>
              <w:t>تحفة الزائر</w:t>
            </w:r>
            <w:r>
              <w:rPr>
                <w:rStyle w:val="IndexLink"/>
                <w:rtl w:val="true"/>
              </w:rPr>
              <w:tab/>
            </w:r>
            <w:r>
              <w:rPr>
                <w:rStyle w:val="IndexLink"/>
              </w:rPr>
              <w:t>81</w:t>
            </w:r>
          </w:hyperlink>
        </w:p>
        <w:p>
          <w:pPr>
            <w:pStyle w:val="Contents5"/>
            <w:tabs>
              <w:tab w:val="clear" w:pos="7892"/>
              <w:tab w:val="right" w:pos="9026" w:leader="dot"/>
            </w:tabs>
            <w:rPr/>
          </w:pPr>
          <w:hyperlink w:anchor="__RefHeading___Toc6319430_2870459653">
            <w:r>
              <w:rPr>
                <w:webHidden/>
                <w:rStyle w:val="IndexLink"/>
                <w:rtl w:val="true"/>
              </w:rPr>
              <w:t>مقباس المصابيح</w:t>
            </w:r>
            <w:r>
              <w:rPr>
                <w:rStyle w:val="IndexLink"/>
                <w:rtl w:val="true"/>
              </w:rPr>
              <w:tab/>
            </w:r>
            <w:r>
              <w:rPr>
                <w:rStyle w:val="IndexLink"/>
              </w:rPr>
              <w:t>83</w:t>
            </w:r>
          </w:hyperlink>
        </w:p>
        <w:p>
          <w:pPr>
            <w:pStyle w:val="Contents5"/>
            <w:tabs>
              <w:tab w:val="clear" w:pos="7892"/>
              <w:tab w:val="right" w:pos="9026" w:leader="dot"/>
            </w:tabs>
            <w:rPr/>
          </w:pPr>
          <w:hyperlink w:anchor="__RefHeading___Toc6319432_2870459653">
            <w:r>
              <w:rPr>
                <w:webHidden/>
                <w:rStyle w:val="IndexLink"/>
                <w:rtl w:val="true"/>
              </w:rPr>
              <w:t>ربيع الاسابيع</w:t>
            </w:r>
            <w:r>
              <w:rPr>
                <w:rStyle w:val="IndexLink"/>
                <w:rtl w:val="true"/>
              </w:rPr>
              <w:tab/>
            </w:r>
            <w:r>
              <w:rPr>
                <w:rStyle w:val="IndexLink"/>
              </w:rPr>
              <w:t>84</w:t>
            </w:r>
          </w:hyperlink>
        </w:p>
        <w:p>
          <w:pPr>
            <w:pStyle w:val="Contents5"/>
            <w:tabs>
              <w:tab w:val="clear" w:pos="7892"/>
              <w:tab w:val="right" w:pos="9026" w:leader="dot"/>
            </w:tabs>
            <w:rPr/>
          </w:pPr>
          <w:hyperlink w:anchor="__RefHeading___Toc6319434_2870459653">
            <w:r>
              <w:rPr>
                <w:webHidden/>
                <w:rStyle w:val="IndexLink"/>
                <w:rtl w:val="true"/>
              </w:rPr>
              <w:t>زاد المعاد</w:t>
            </w:r>
            <w:r>
              <w:rPr>
                <w:rStyle w:val="IndexLink"/>
                <w:rtl w:val="true"/>
              </w:rPr>
              <w:tab/>
            </w:r>
            <w:r>
              <w:rPr>
                <w:rStyle w:val="IndexLink"/>
              </w:rPr>
              <w:t>85</w:t>
            </w:r>
          </w:hyperlink>
        </w:p>
        <w:p>
          <w:pPr>
            <w:pStyle w:val="Contents5"/>
            <w:tabs>
              <w:tab w:val="clear" w:pos="7892"/>
              <w:tab w:val="right" w:pos="9026" w:leader="dot"/>
            </w:tabs>
            <w:rPr/>
          </w:pPr>
          <w:hyperlink w:anchor="__RefHeading___Toc6319436_2870459653">
            <w:r>
              <w:rPr>
                <w:webHidden/>
                <w:rStyle w:val="IndexLink"/>
                <w:rtl w:val="true"/>
              </w:rPr>
              <w:t>نهضت ترجمه متون ادعیه</w:t>
            </w:r>
            <w:r>
              <w:rPr>
                <w:rStyle w:val="IndexLink"/>
                <w:rtl w:val="true"/>
              </w:rPr>
              <w:tab/>
            </w:r>
            <w:r>
              <w:rPr>
                <w:rStyle w:val="IndexLink"/>
              </w:rPr>
              <w:t>89</w:t>
            </w:r>
          </w:hyperlink>
        </w:p>
        <w:p>
          <w:pPr>
            <w:pStyle w:val="Contents3"/>
            <w:tabs>
              <w:tab w:val="clear" w:pos="8459"/>
              <w:tab w:val="right" w:pos="9026" w:leader="dot"/>
            </w:tabs>
            <w:rPr/>
          </w:pPr>
          <w:hyperlink w:anchor="__RefHeading___Toc6319438_2870459653">
            <w:r>
              <w:rPr>
                <w:webHidden/>
                <w:rStyle w:val="IndexLink"/>
                <w:rtl w:val="true"/>
              </w:rPr>
              <w:t>منابع</w:t>
            </w:r>
            <w:r>
              <w:rPr>
                <w:rStyle w:val="IndexLink"/>
                <w:rtl w:val="true"/>
              </w:rPr>
              <w:tab/>
            </w:r>
            <w:r>
              <w:rPr>
                <w:rStyle w:val="IndexLink"/>
              </w:rPr>
              <w:t>89</w:t>
            </w:r>
          </w:hyperlink>
        </w:p>
        <w:p>
          <w:pPr>
            <w:pStyle w:val="Contents3"/>
            <w:tabs>
              <w:tab w:val="clear" w:pos="8459"/>
              <w:tab w:val="right" w:pos="9026" w:leader="dot"/>
            </w:tabs>
            <w:rPr/>
          </w:pPr>
          <w:hyperlink w:anchor="__RefHeading___Toc6319440_2870459653">
            <w:r>
              <w:rPr>
                <w:webHidden/>
                <w:rStyle w:val="IndexLink"/>
                <w:rtl w:val="true"/>
              </w:rPr>
              <w:t>آستانه امامان</w:t>
            </w:r>
            <w:r>
              <w:rPr>
                <w:rStyle w:val="IndexLink"/>
                <w:rtl w:val="true"/>
              </w:rPr>
              <w:tab/>
            </w:r>
            <w:r>
              <w:rPr>
                <w:rStyle w:val="IndexLink"/>
              </w:rPr>
              <w:t>90</w:t>
            </w:r>
          </w:hyperlink>
        </w:p>
        <w:p>
          <w:pPr>
            <w:pStyle w:val="Contents2"/>
            <w:tabs>
              <w:tab w:val="clear" w:pos="8743"/>
              <w:tab w:val="right" w:pos="9026" w:leader="dot"/>
            </w:tabs>
            <w:rPr/>
          </w:pPr>
          <w:hyperlink w:anchor="__RefHeading___Toc6319442_2870459653">
            <w:r>
              <w:rPr>
                <w:webHidden/>
                <w:rStyle w:val="IndexLink"/>
                <w:rtl w:val="true"/>
              </w:rPr>
              <w:t>هفت</w:t>
            </w:r>
            <w:r>
              <w:rPr>
                <w:rStyle w:val="IndexLink"/>
                <w:rtl w:val="true"/>
              </w:rPr>
              <w:t xml:space="preserve">: </w:t>
            </w:r>
            <w:r>
              <w:rPr>
                <w:rStyle w:val="IndexLink"/>
                <w:rtl w:val="true"/>
              </w:rPr>
              <w:t>عمق معنا</w:t>
            </w:r>
            <w:r>
              <w:rPr>
                <w:rStyle w:val="IndexLink"/>
                <w:rtl w:val="true"/>
              </w:rPr>
              <w:tab/>
            </w:r>
            <w:r>
              <w:rPr>
                <w:rStyle w:val="IndexLink"/>
              </w:rPr>
              <w:t>91</w:t>
            </w:r>
          </w:hyperlink>
        </w:p>
        <w:p>
          <w:pPr>
            <w:pStyle w:val="Contents3"/>
            <w:tabs>
              <w:tab w:val="clear" w:pos="8459"/>
              <w:tab w:val="right" w:pos="9026" w:leader="dot"/>
            </w:tabs>
            <w:rPr/>
          </w:pPr>
          <w:hyperlink w:anchor="__RefHeading___Toc6319444_287045965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6319446_2870459653">
            <w:r>
              <w:rPr>
                <w:webHidden/>
                <w:rStyle w:val="IndexLink"/>
                <w:rtl w:val="true"/>
              </w:rPr>
              <w:t>سیره عملی</w:t>
            </w:r>
            <w:r>
              <w:rPr>
                <w:rStyle w:val="IndexLink"/>
                <w:rtl w:val="true"/>
              </w:rPr>
              <w:tab/>
            </w:r>
            <w:r>
              <w:rPr>
                <w:rStyle w:val="IndexLink"/>
              </w:rPr>
              <w:t>92</w:t>
            </w:r>
          </w:hyperlink>
        </w:p>
        <w:p>
          <w:pPr>
            <w:pStyle w:val="Contents3"/>
            <w:tabs>
              <w:tab w:val="clear" w:pos="8459"/>
              <w:tab w:val="right" w:pos="9026" w:leader="dot"/>
            </w:tabs>
            <w:rPr/>
          </w:pPr>
          <w:hyperlink w:anchor="__RefHeading___Toc6319448_2870459653">
            <w:r>
              <w:rPr>
                <w:webHidden/>
                <w:rStyle w:val="IndexLink"/>
                <w:rtl w:val="true"/>
              </w:rPr>
              <w:t>تأثیر پذیری از پدر</w:t>
            </w:r>
            <w:r>
              <w:rPr>
                <w:rStyle w:val="IndexLink"/>
                <w:rtl w:val="true"/>
              </w:rPr>
              <w:tab/>
            </w:r>
            <w:r>
              <w:rPr>
                <w:rStyle w:val="IndexLink"/>
              </w:rPr>
              <w:t>94</w:t>
            </w:r>
          </w:hyperlink>
        </w:p>
        <w:p>
          <w:pPr>
            <w:pStyle w:val="Contents3"/>
            <w:tabs>
              <w:tab w:val="clear" w:pos="8459"/>
              <w:tab w:val="right" w:pos="9026" w:leader="dot"/>
            </w:tabs>
            <w:rPr/>
          </w:pPr>
          <w:hyperlink w:anchor="__RefHeading___Toc6319450_2870459653">
            <w:r>
              <w:rPr>
                <w:webHidden/>
                <w:rStyle w:val="IndexLink"/>
                <w:rtl w:val="true"/>
              </w:rPr>
              <w:t>تجلیل از مشایخ اهل عرفان</w:t>
            </w:r>
            <w:r>
              <w:rPr>
                <w:rStyle w:val="IndexLink"/>
                <w:rtl w:val="true"/>
              </w:rPr>
              <w:tab/>
            </w:r>
            <w:r>
              <w:rPr>
                <w:rStyle w:val="IndexLink"/>
              </w:rPr>
              <w:t>96</w:t>
            </w:r>
          </w:hyperlink>
        </w:p>
        <w:p>
          <w:pPr>
            <w:pStyle w:val="Contents3"/>
            <w:tabs>
              <w:tab w:val="clear" w:pos="8459"/>
              <w:tab w:val="right" w:pos="9026" w:leader="dot"/>
            </w:tabs>
            <w:rPr/>
          </w:pPr>
          <w:hyperlink w:anchor="__RefHeading___Toc6319452_2870459653">
            <w:r>
              <w:rPr>
                <w:webHidden/>
                <w:rStyle w:val="IndexLink"/>
                <w:rtl w:val="true"/>
              </w:rPr>
              <w:t>منابع</w:t>
            </w:r>
            <w:r>
              <w:rPr>
                <w:rStyle w:val="IndexLink"/>
                <w:rtl w:val="true"/>
              </w:rPr>
              <w:tab/>
            </w:r>
            <w:r>
              <w:rPr>
                <w:rStyle w:val="IndexLink"/>
              </w:rPr>
              <w:t>98</w:t>
            </w:r>
          </w:hyperlink>
        </w:p>
        <w:p>
          <w:pPr>
            <w:pStyle w:val="Contents2"/>
            <w:tabs>
              <w:tab w:val="clear" w:pos="8743"/>
              <w:tab w:val="right" w:pos="9026" w:leader="dot"/>
            </w:tabs>
            <w:rPr/>
          </w:pPr>
          <w:hyperlink w:anchor="__RefHeading___Toc6319454_2870459653">
            <w:r>
              <w:rPr>
                <w:webHidden/>
                <w:rStyle w:val="IndexLink"/>
                <w:rtl w:val="true"/>
              </w:rPr>
              <w:t>هشت</w:t>
            </w:r>
            <w:r>
              <w:rPr>
                <w:rStyle w:val="IndexLink"/>
                <w:rtl w:val="true"/>
              </w:rPr>
              <w:t xml:space="preserve">: </w:t>
            </w:r>
            <w:r>
              <w:rPr>
                <w:rStyle w:val="IndexLink"/>
                <w:rtl w:val="true"/>
              </w:rPr>
              <w:t>علامه مجلسی خیلی با ظرافت وارد شده است</w:t>
            </w:r>
            <w:r>
              <w:rPr>
                <w:rStyle w:val="IndexLink"/>
                <w:rtl w:val="true"/>
              </w:rPr>
              <w:tab/>
            </w:r>
            <w:r>
              <w:rPr>
                <w:rStyle w:val="IndexLink"/>
              </w:rPr>
              <w:t>99</w:t>
            </w:r>
          </w:hyperlink>
        </w:p>
        <w:p>
          <w:pPr>
            <w:pStyle w:val="Contents3"/>
            <w:tabs>
              <w:tab w:val="clear" w:pos="8459"/>
              <w:tab w:val="right" w:pos="9026" w:leader="dot"/>
            </w:tabs>
            <w:rPr/>
          </w:pPr>
          <w:hyperlink w:anchor="__RefHeading___Toc6319456_2870459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6319458_2870459653">
            <w:r>
              <w:rPr>
                <w:webHidden/>
                <w:rStyle w:val="IndexLink"/>
                <w:rtl w:val="true"/>
              </w:rPr>
              <w:t>شفیع عالمان</w:t>
            </w:r>
            <w:r>
              <w:rPr>
                <w:rStyle w:val="IndexLink"/>
                <w:rtl w:val="true"/>
              </w:rPr>
              <w:tab/>
            </w:r>
            <w:r>
              <w:rPr>
                <w:rStyle w:val="IndexLink"/>
              </w:rPr>
              <w:t>114</w:t>
            </w:r>
          </w:hyperlink>
        </w:p>
        <w:p>
          <w:pPr>
            <w:pStyle w:val="Contents2"/>
            <w:tabs>
              <w:tab w:val="clear" w:pos="8743"/>
              <w:tab w:val="right" w:pos="9026" w:leader="dot"/>
            </w:tabs>
            <w:rPr/>
          </w:pPr>
          <w:hyperlink w:anchor="__RefHeading___Toc6319460_2870459653">
            <w:r>
              <w:rPr>
                <w:webHidden/>
                <w:rStyle w:val="IndexLink"/>
                <w:rtl w:val="true"/>
              </w:rPr>
              <w:t>نُه</w:t>
            </w:r>
            <w:r>
              <w:rPr>
                <w:rStyle w:val="IndexLink"/>
                <w:rtl w:val="true"/>
              </w:rPr>
              <w:t xml:space="preserve">: </w:t>
            </w:r>
            <w:r>
              <w:rPr>
                <w:rStyle w:val="IndexLink"/>
                <w:rtl w:val="true"/>
              </w:rPr>
              <w:t>ماجرای یک اسطوره</w:t>
            </w:r>
            <w:r>
              <w:rPr>
                <w:rStyle w:val="IndexLink"/>
                <w:rtl w:val="true"/>
              </w:rPr>
              <w:tab/>
            </w:r>
            <w:r>
              <w:rPr>
                <w:rStyle w:val="IndexLink"/>
              </w:rPr>
              <w:t>115</w:t>
            </w:r>
          </w:hyperlink>
        </w:p>
        <w:p>
          <w:pPr>
            <w:pStyle w:val="Contents3"/>
            <w:tabs>
              <w:tab w:val="clear" w:pos="8459"/>
              <w:tab w:val="right" w:pos="9026" w:leader="dot"/>
            </w:tabs>
            <w:rPr/>
          </w:pPr>
          <w:hyperlink w:anchor="__RefHeading___Toc6319462_287045965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6319464_2870459653">
            <w:r>
              <w:rPr>
                <w:webHidden/>
                <w:rStyle w:val="IndexLink"/>
                <w:rtl w:val="true"/>
              </w:rPr>
              <w:t>مصلح الدین مهدوی و کتاب زندگی نامه علامه مجلسی او</w:t>
            </w:r>
            <w:r>
              <w:rPr>
                <w:rStyle w:val="IndexLink"/>
                <w:rtl w:val="true"/>
              </w:rPr>
              <w:tab/>
            </w:r>
            <w:r>
              <w:rPr>
                <w:rStyle w:val="IndexLink"/>
              </w:rPr>
              <w:t>116</w:t>
            </w:r>
          </w:hyperlink>
        </w:p>
        <w:p>
          <w:pPr>
            <w:pStyle w:val="Contents3"/>
            <w:tabs>
              <w:tab w:val="clear" w:pos="8459"/>
              <w:tab w:val="right" w:pos="9026" w:leader="dot"/>
            </w:tabs>
            <w:rPr/>
          </w:pPr>
          <w:hyperlink w:anchor="__RefHeading___Toc6319466_2870459653">
            <w:r>
              <w:rPr>
                <w:webHidden/>
                <w:rStyle w:val="IndexLink"/>
                <w:rtl w:val="true"/>
              </w:rPr>
              <w:t>گزارشی از فصل ها</w:t>
            </w:r>
            <w:r>
              <w:rPr>
                <w:rStyle w:val="IndexLink"/>
                <w:rtl w:val="true"/>
              </w:rPr>
              <w:tab/>
            </w:r>
            <w:r>
              <w:rPr>
                <w:rStyle w:val="IndexLink"/>
              </w:rPr>
              <w:t>117</w:t>
            </w:r>
          </w:hyperlink>
        </w:p>
        <w:p>
          <w:pPr>
            <w:pStyle w:val="Contents3"/>
            <w:tabs>
              <w:tab w:val="clear" w:pos="8459"/>
              <w:tab w:val="right" w:pos="9026" w:leader="dot"/>
            </w:tabs>
            <w:rPr/>
          </w:pPr>
          <w:hyperlink w:anchor="__RefHeading___Toc6319468_2870459653">
            <w:r>
              <w:rPr>
                <w:webHidden/>
                <w:rStyle w:val="IndexLink"/>
                <w:rtl w:val="true"/>
              </w:rPr>
              <w:t>شفیع عالمان</w:t>
            </w:r>
            <w:r>
              <w:rPr>
                <w:rStyle w:val="IndexLink"/>
                <w:rtl w:val="true"/>
              </w:rPr>
              <w:tab/>
            </w:r>
            <w:r>
              <w:rPr>
                <w:rStyle w:val="IndexLink"/>
              </w:rPr>
              <w:t>124</w:t>
            </w:r>
          </w:hyperlink>
        </w:p>
        <w:p>
          <w:pPr>
            <w:pStyle w:val="Contents2"/>
            <w:tabs>
              <w:tab w:val="clear" w:pos="8743"/>
              <w:tab w:val="right" w:pos="9026" w:leader="dot"/>
            </w:tabs>
            <w:rPr/>
          </w:pPr>
          <w:hyperlink w:anchor="__RefHeading___Toc6319470_2870459653">
            <w:r>
              <w:rPr>
                <w:webHidden/>
                <w:rStyle w:val="IndexLink"/>
                <w:rtl w:val="true"/>
              </w:rPr>
              <w:t>کرامتی از پس سه قرن</w:t>
            </w:r>
            <w:r>
              <w:rPr>
                <w:rStyle w:val="IndexLink"/>
                <w:rtl w:val="true"/>
              </w:rPr>
              <w:t xml:space="preserve">: </w:t>
            </w:r>
            <w:r>
              <w:rPr>
                <w:rStyle w:val="IndexLink"/>
                <w:rtl w:val="true"/>
              </w:rPr>
              <w:t>محمود فروز بخش</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85_70389"/>
      <w:bookmarkStart w:id="1" w:name="pg9485_70389"/>
      <w:bookmarkEnd w:id="1"/>
    </w:p>
    <w:p>
      <w:pPr>
        <w:pStyle w:val="Heading2"/>
        <w:numPr>
          <w:ilvl w:val="1"/>
          <w:numId w:val="1"/>
        </w:numPr>
        <w:rPr/>
      </w:pPr>
      <w:bookmarkStart w:id="2" w:name="pg9485_70389"/>
      <w:bookmarkStart w:id="3" w:name="__RefHeading___Toc631933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در بحر مجلسی</w:t>
      </w:r>
    </w:p>
    <w:p>
      <w:pPr>
        <w:pStyle w:val="BookText"/>
        <w:rPr/>
      </w:pPr>
      <w:r>
        <w:rPr>
          <w:rFonts w:ascii="IRNazanin" w:hAnsi="IRNazanin" w:eastAsia="IRNazanin"/>
          <w:color w:val="111111"/>
          <w:sz w:val="28"/>
          <w:sz w:val="28"/>
          <w:szCs w:val="28"/>
          <w:rtl w:val="true"/>
          <w:lang w:bidi="fa-IR"/>
        </w:rPr>
        <w:t>تولید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الهیات و معارف امامیه</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عابدینی</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 کریمی، محمود فروز بخش، محمد جواد عابدینی، محمد امین میر فندرسکی، محمد سعید ماجد، محمد جواد مهدیان</w:t>
      </w:r>
    </w:p>
    <w:p>
      <w:pPr>
        <w:pStyle w:val="BookText"/>
        <w:rPr/>
      </w:pPr>
      <w:r>
        <w:rPr>
          <w:rFonts w:ascii="IRNazanin" w:hAnsi="IRNazanin" w:eastAsia="IRNazanin"/>
          <w:color w:val="111111"/>
          <w:sz w:val="28"/>
          <w:sz w:val="28"/>
          <w:szCs w:val="28"/>
          <w:rtl w:val="true"/>
          <w:lang w:bidi="fa-IR"/>
        </w:rPr>
        <w:t>طراح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صادقیان</w:t>
      </w:r>
    </w:p>
    <w:p>
      <w:pPr>
        <w:pStyle w:val="BookText"/>
        <w:rPr/>
      </w:pPr>
      <w:r>
        <w:rPr>
          <w:rFonts w:ascii="IRNazanin" w:hAnsi="IRNazanin" w:eastAsia="IRNazanin"/>
          <w:color w:val="111111"/>
          <w:sz w:val="28"/>
          <w:sz w:val="28"/>
          <w:szCs w:val="28"/>
          <w:rtl w:val="true"/>
          <w:lang w:bidi="fa-IR"/>
        </w:rPr>
        <w:t>با تشکر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نجم الدین طبسی، حجت الاسلام و المسلمین دکتر محمد تقی سبحانی، دکتر سعید طاووسی مسرور، حجت الاسلام و المسلمین جواد عابدی، دکتر محمد مهدی جندقیان، سازمان فرهنگی اجتماعی ورزشی شهرداری اصفهان، مقبره علامه مجلسی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9340_2870459653"/>
      <w:bookmarkStart w:id="6" w:name="_Toc2"/>
      <w:bookmarkEnd w:id="5"/>
      <w:r>
        <w:rPr>
          <w:rtl w:val="true"/>
        </w:rPr>
        <w:t>در بحر مجلسی</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85_70391"/>
      <w:bookmarkStart w:id="8" w:name="pg9485_70391"/>
      <w:bookmarkEnd w:id="8"/>
    </w:p>
    <w:p>
      <w:pPr>
        <w:pStyle w:val="Heading2"/>
        <w:numPr>
          <w:ilvl w:val="1"/>
          <w:numId w:val="1"/>
        </w:numPr>
        <w:rPr/>
      </w:pPr>
      <w:bookmarkStart w:id="9" w:name="pg9485_70391"/>
      <w:bookmarkStart w:id="10" w:name="__RefHeading___Toc6319342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بی کرانه های مجلسی</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گزارشی از نشست علامه مجلسی احیاگر احادیث شیعه حجت الاسلام و المسلمین دکتر محمد تقی سبحانی</w:t>
      </w:r>
    </w:p>
    <w:p>
      <w:pPr>
        <w:pStyle w:val="BookText"/>
        <w:rPr/>
      </w:pPr>
      <w:r>
        <w:rPr>
          <w:rFonts w:ascii="IRNazanin" w:hAnsi="IRNazanin" w:eastAsia="IRNazanin"/>
          <w:color w:val="111111"/>
          <w:sz w:val="28"/>
          <w:sz w:val="28"/>
          <w:szCs w:val="28"/>
          <w:rtl w:val="true"/>
          <w:lang w:bidi="fa-IR"/>
        </w:rPr>
        <w:t>توفیقات بی نهایت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یک اربعین معرفت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گزارشی از کتاب اربعین علامه مجلسی، احمد رضا کریمی</w:t>
      </w:r>
    </w:p>
    <w:p>
      <w:pPr>
        <w:pStyle w:val="BookText"/>
        <w:rPr/>
      </w:pPr>
      <w:r>
        <w:rPr>
          <w:rFonts w:ascii="IRNazanin" w:hAnsi="IRNazanin" w:eastAsia="IRNazanin"/>
          <w:color w:val="111111"/>
          <w:sz w:val="28"/>
          <w:sz w:val="28"/>
          <w:szCs w:val="28"/>
          <w:rtl w:val="true"/>
          <w:lang w:bidi="fa-IR"/>
        </w:rPr>
        <w:t>تاج فقه و تخت حدیث</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نگاهی دگربار به حلیة المتقین به مثابه پروژه یک محدث تماما اصفهانی محمود فروز بخش</w:t>
      </w:r>
    </w:p>
    <w:p>
      <w:pPr>
        <w:pStyle w:val="BookText"/>
        <w:rPr/>
      </w:pPr>
      <w:r>
        <w:rPr>
          <w:rFonts w:ascii="IRNazanin" w:hAnsi="IRNazanin" w:eastAsia="IRNazanin"/>
          <w:color w:val="111111"/>
          <w:sz w:val="28"/>
          <w:sz w:val="28"/>
          <w:szCs w:val="28"/>
          <w:rtl w:val="true"/>
          <w:lang w:bidi="fa-IR"/>
        </w:rPr>
        <w:t>مهمان مردم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هفت شهر فقه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جستاری در فقه و فقه نگاری علامه مجلسی، محمد جواد عابدینی</w:t>
      </w:r>
    </w:p>
    <w:p>
      <w:pPr>
        <w:pStyle w:val="BookText"/>
        <w:rPr/>
      </w:pPr>
      <w:r>
        <w:rPr>
          <w:rFonts w:ascii="IRNazanin" w:hAnsi="IRNazanin" w:eastAsia="IRNazanin"/>
          <w:color w:val="111111"/>
          <w:sz w:val="28"/>
          <w:sz w:val="28"/>
          <w:szCs w:val="28"/>
          <w:rtl w:val="true"/>
          <w:lang w:bidi="fa-IR"/>
        </w:rPr>
        <w:t>میراث بان شیعه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تاریخ را برای تاریخ نمی خواهد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تاریخ نگاری علامه مجلسی در صحبت دکتر سعید طاووسی مسرور، محمد امین میر فندرسکی</w:t>
      </w:r>
    </w:p>
    <w:p>
      <w:pPr>
        <w:pStyle w:val="BookText"/>
        <w:rPr/>
      </w:pPr>
      <w:r>
        <w:rPr>
          <w:rFonts w:ascii="IRNazanin" w:hAnsi="IRNazanin" w:eastAsia="IRNazanin"/>
          <w:color w:val="111111"/>
          <w:sz w:val="28"/>
          <w:sz w:val="28"/>
          <w:szCs w:val="28"/>
          <w:rtl w:val="true"/>
          <w:lang w:bidi="fa-IR"/>
        </w:rPr>
        <w:t>همواره در طاعت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 ادبستان دعا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جستاری در دعا نگاری علامه مجلسی، جعفر زارعان</w:t>
      </w:r>
    </w:p>
    <w:p>
      <w:pPr>
        <w:pStyle w:val="BookText"/>
        <w:rPr/>
      </w:pPr>
      <w:r>
        <w:rPr>
          <w:rFonts w:ascii="IRNazanin" w:hAnsi="IRNazanin" w:eastAsia="IRNazanin"/>
          <w:color w:val="111111"/>
          <w:sz w:val="28"/>
          <w:sz w:val="28"/>
          <w:szCs w:val="28"/>
          <w:rtl w:val="true"/>
          <w:lang w:bidi="fa-IR"/>
        </w:rPr>
        <w:t>آستانه امامان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عمق معنا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جستاری در اخلاق و معنویت علامه مجلسی، محمد سعید ماجد</w:t>
      </w:r>
    </w:p>
    <w:p>
      <w:pPr>
        <w:pStyle w:val="BookText"/>
        <w:rPr/>
      </w:pPr>
      <w:r>
        <w:rPr>
          <w:rFonts w:ascii="IRNazanin" w:hAnsi="IRNazanin" w:eastAsia="IRNazanin"/>
          <w:color w:val="111111"/>
          <w:sz w:val="28"/>
          <w:sz w:val="28"/>
          <w:szCs w:val="28"/>
          <w:rtl w:val="true"/>
          <w:lang w:bidi="fa-IR"/>
        </w:rPr>
        <w:t>علامه مجلسی خیلی با ظرافت وارد شده است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مهدویت از دیدگاه علامه مجلسی در صحبت آیت اللّه شیخ نجم الدین طبسی، احمد رضا کریمی و محمد جواد عابدینی</w:t>
      </w:r>
    </w:p>
    <w:p>
      <w:pPr>
        <w:pStyle w:val="BookText"/>
        <w:rPr/>
      </w:pPr>
      <w:r>
        <w:rPr>
          <w:rFonts w:ascii="IRNazanin" w:hAnsi="IRNazanin" w:eastAsia="IRNazanin"/>
          <w:color w:val="111111"/>
          <w:sz w:val="28"/>
          <w:sz w:val="28"/>
          <w:szCs w:val="28"/>
          <w:rtl w:val="true"/>
          <w:lang w:bidi="fa-IR"/>
        </w:rPr>
        <w:t>شفیع عالمان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ماجرای یک اسطوره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گزارشی از کتاب زندگی نامه علامه مجلسی اثر سید مصلح الدین مهدوی، محمد جواد مهدیان</w:t>
      </w:r>
    </w:p>
    <w:p>
      <w:pPr>
        <w:pStyle w:val="BookText"/>
        <w:rPr/>
      </w:pPr>
      <w:r>
        <w:rPr>
          <w:rFonts w:ascii="IRNazanin" w:hAnsi="IRNazanin" w:eastAsia="IRNazanin"/>
          <w:color w:val="111111"/>
          <w:sz w:val="28"/>
          <w:sz w:val="28"/>
          <w:szCs w:val="28"/>
          <w:rtl w:val="true"/>
          <w:lang w:bidi="fa-IR"/>
        </w:rPr>
        <w:t>شفیع عالمان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کرامتی از پس سه قرن</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فروز بخش </w:t>
      </w:r>
      <w:bookmarkStart w:id="12" w:name="pg9485_70392"/>
    </w:p>
    <w:p>
      <w:pPr>
        <w:pStyle w:val="Heading2"/>
        <w:numPr>
          <w:ilvl w:val="1"/>
          <w:numId w:val="1"/>
        </w:numPr>
        <w:rPr/>
      </w:pPr>
      <w:bookmarkStart w:id="13" w:name="__RefHeading___Toc6319344_2870459653"/>
      <w:bookmarkStart w:id="14" w:name="_Toc4"/>
      <w:bookmarkEnd w:id="12"/>
      <w:bookmarkEnd w:id="13"/>
      <w:r>
        <w:rPr>
          <w:rtl w:val="true"/>
        </w:rPr>
        <w:t>یک</w:t>
      </w:r>
      <w:r>
        <w:rPr>
          <w:rtl w:val="true"/>
        </w:rPr>
        <w:t xml:space="preserve">: </w:t>
      </w:r>
      <w:r>
        <w:rPr>
          <w:rtl w:val="true"/>
        </w:rPr>
        <w:t>بی کرانه های مجلسی</w:t>
      </w:r>
      <w:bookmarkEnd w:id="14"/>
    </w:p>
    <w:p>
      <w:pPr>
        <w:pStyle w:val="Heading3"/>
        <w:numPr>
          <w:ilvl w:val="2"/>
          <w:numId w:val="1"/>
        </w:numPr>
        <w:rPr/>
      </w:pPr>
      <w:bookmarkStart w:id="15" w:name="__RefHeading___Toc6319346_2870459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گزارشی از نشست علامه مجلسی احیاگر احادیث شیعه حجت الاسلام و المسلمين دکتر محمد تقی سبحانی</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جهت این که ان شاء اللّه این جلسه مقدمه ای است بر سلسله برنامه معرفی مرحوم علامه مجلسی به جامعه شیعه و غیر شیعه از این رو باید به نکاتی اشاره کرد که قرار است به عنوان محورهای فعالیت و تلاش های آینده تلقی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تاریخ شیعه و تاریخ مکتب اهل بيت علیهم السلام، بزرگان بسیاری داشتیم که هر کدام نقطه درخشانی در این مسیر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اگر تشیع را قطاری تصویر کنیم که در تاریخ، ایستگاه به ایستگاه حرکت کرده و به دست ما رسیده و ما امروز سوار این قطار معارف و آموزه های الهی هستیم، در طول این مسیر تلاش های فراوانی صورت گرفته که ما امروز، خودمان را شیعه بنامیم و افتخار بودن و همراهی با این مکتب را داشته باشیم و این مسیر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که از دوره های مختلف، شهرهای مختلف، مکاتب مختلف و رشته های مختلف هر کدام سهمی داشته اند در پیشبرد پروژه تشیع در طول تاریخ و بعضی از این بزرگان دارای چنان جایگاهی هستند که اگر ایشان را از تاریخ </w:t>
      </w:r>
    </w:p>
    <w:p>
      <w:pPr>
        <w:pStyle w:val="BookText"/>
        <w:rPr/>
      </w:pPr>
      <w:r>
        <w:rPr>
          <w:rFonts w:ascii="IRNazanin" w:hAnsi="IRNazanin" w:eastAsia="IRNazanin"/>
          <w:color w:val="111111"/>
          <w:sz w:val="28"/>
          <w:sz w:val="28"/>
          <w:szCs w:val="28"/>
          <w:rtl w:val="true"/>
          <w:lang w:bidi="fa-IR"/>
        </w:rPr>
        <w:t>تشیع حذف کنیم، گویا بخش عمده ای از این معارف به دوره بعد منتقل نمی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هم بی گمان، هم به اعتراف دوستان و هم به اعتراف مخالفان، یکی از ایستگاه های بزرگ انتقال قطار معارف اهل بیت علیهم السلام به دنیای امروز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تقریب به ذهن می توان گفت که اگر قرار باشد ما ده شخصیت بزرگ تاریخ تشیع را بعد از معصومین علیهم السلام، بشماریم که آن ها نقش ویژه و اساسی در تاریخ تشیع داشته اند، بی تردید یکی از آن ده شخصیت، مرحوم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دلیل شرایط تاریخی که او می زیست و هم به دلیل میراثی که او منتقل کرده است و هم به دلیل روش هایی که او در ترویج و تبلیغ مکتب داشته است و هم تحولی که در جامعه شیعی ایجاد کرده است و یک انقلاب علمی و معرفتی در جامعه شیعه پدید آورده است و هم به لحاظ فردی، هم به لحاظ اجتماعی، هم به لحاظ علمی، هم به لحاظ معنوی، درتمام این ابعاد، مرحوم علامه امتیازاتی دارد که گفتنی و شنیدنی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معمولا شخصیت های بزرگی که در تاریخ خودمان داریم، تنها بعد علمی و تخصصی آن ها قوی است و تأثیرات اجتماعی و فرهنگی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علمای امامیه نیز در عصر خودشان درخشیدند و تاثیر گذار بودند و رسالت خویش را در عصر خودشان انجام دادند اما بعد از عصر خودشان تقریبا دیگر نقش چندانی نداشتند و بعدت دیگران ادامه دهنده راه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پاره ای از شخصیت ها ابعاد اجتماعی، سیاسی، تحولات عمومی را به عهده داشته اند اما به لحاظ ابعاد فرهنگی و تأثیر گذاری معنوی در جامعه خیلی مؤثر نبودند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مهم علامه مجلسی این است که این دو جنبه را با هم دارد و این یک ویژگی فوق العاده است که می تواند یک شخصیت دارای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نه تنها در عصر خودش یک شخصیت مؤثر، ذی نفوذ، تحول زا است، بلکه در طول تاریخ تا به امروز چنان تاثیر گذاری دارد که نمی توان او را از جامعه شیعه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مستشرقان در غرب، روشنفکران داخلیمان، هنوز دارند به علامه مجلسی تهمت می زنند و فحاشی می کنند و حساسیت نشان می دهند و موافقان ما و موافقان تشیع نمی توانند علامه مجلسی را از صفحه ذهن و ضمیر و علم و دانششان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یک حوزه علمیه نشان داد که بتواند امروز علامه مجلسی را نادیده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 گذاری در حالی است که بزرگانی در تاریخ می زیستند و دارای تأثیر گذاری هم بوده اند ولی امروزه از آثارشان یادی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آثار مرحوم مجلسی مطالبی وجود دارد که کاملا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هایی که از ایشان باقی مانده است و بعضی از بیان هایی که در بحار الانوار و یا مرآة العقول و یا آثار دیگر دارند، جزء بحث های عمیق و دقیق معارفی است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در موضوعاتی که شاید در طول تاریخ تشیع کم تر کسی اظهار نظر کرده است و دیگران از آن گذر کرده اند، مرحوم علامه مجلسی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عمومی سازی معارف، تولید و توزیع معارف اهل بیت علیهم السلام این را همه گفته اند حتی مستشرقان و پاره ای از دانشمندان سکولار ما نیز بیان کرده اند که مرحوم مجلسی یکی از ویژگی های فرهنگی و تمدنی اش این است که توانسته معارف ناب سنگین را عمومی سازی کرده و به تعبیری معارف عمیق را کوچه بازاری کند خود این ویژگی امروز به عنوان یک تکنیک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تا قبل از مرحوم علامه مجلسی آثاری که به زبان فارسی از شیعه وجود دارد، چه تعداد است؟ مرحوم مجلسی یه دوره کامل معارف را به زبان فارسی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چهل و چهار اثر از مجموعه آثارش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زبان فارسی؟ باز متخصصان ادبیات گفته اند که زبان مرحوم مجلسی در آن دوره تاریخی که مربوط به چهار صد سال پیش بوده است، حتی تا دویست سال بعد از آن کم </w:t>
      </w:r>
    </w:p>
    <w:p>
      <w:pPr>
        <w:pStyle w:val="BookText"/>
        <w:rPr/>
      </w:pPr>
      <w:r>
        <w:rPr>
          <w:rFonts w:ascii="IRNazanin" w:hAnsi="IRNazanin" w:eastAsia="IRNazanin"/>
          <w:color w:val="111111"/>
          <w:sz w:val="28"/>
          <w:sz w:val="28"/>
          <w:szCs w:val="28"/>
          <w:rtl w:val="true"/>
          <w:lang w:bidi="fa-IR"/>
        </w:rPr>
        <w:t>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وقتی مخاطب حلية المتقين، جلاء العيون، حياة القلوب و حق الیقین را می خواند، احساس نمی کند که یک متن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مخاطب اگر آثار فارسی علما در زمان قاجار را مورد مطالعه قرار دهد، در همان ابتدای مطالعه خسته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علامه مجلسی مورد تایید ادیبان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مستشرقان غربی در باب مجلسی گفته اند که مهم ترین کار مجلسی، فرهنگ سازئ اجتماعی است، یعنی دانش از حوزه های علمیه آمده روی طاقچه خانه ها نشسته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 دوره ای در اصفهان زاده می شود و پرورش پیدا می کند که تشیع شیعه یک تشیع عوامانه، به دور از فرهنگ دینی و شیعه گری و اسلامی گری است و به لحاظ علمی، حاکمیت یا با اخباری گری است، یا با صوفی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آن کسی که این فرهنگ، فرهنگ اخباری گری و صوفی گری، را از ایران برداشت، مرحوم مجلسی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صفویه بیان شده است که تا قبل از شیخ الاسلام شدن علامه در دولت صفوی در هر کوچه ای از کوچه های اصفهان یک خانقاه صوفی وجود داشته و مرحوم مجلسی کاری آرام، دقیق و زیربنایی کرد که در نتیجه به واسطه این فعالیت تصوف خانقاهی از تشیع جدا شد و این مرهون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پدر ایشان متهم به صوفی گری است، گر چه خود مرحوم علامه در آن رساله نفی می کند و می گوید من پدرم را می شناسم، این اتهام بی خودی است اما؛ این قدر جو تصوف در اصفهان وجود دارد که مرحوم شیخ بهایی، پدر ایشان، مجلسی اول، و بسیاری از بزرگان دیگر نیز به تصوف متهم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بزرگان و مورخان ما در مورد این اتهامات عملکرد تقیه این بزرگان در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فضای حاکم بر اصفهان به سود جریان تصوف و صوفی گری است که بزرگان ما برای </w:t>
      </w:r>
    </w:p>
    <w:p>
      <w:pPr>
        <w:pStyle w:val="BookText"/>
        <w:rPr/>
      </w:pPr>
      <w:r>
        <w:rPr>
          <w:rFonts w:ascii="IRNazanin" w:hAnsi="IRNazanin" w:eastAsia="IRNazanin"/>
          <w:color w:val="111111"/>
          <w:sz w:val="28"/>
          <w:sz w:val="28"/>
          <w:szCs w:val="28"/>
          <w:rtl w:val="true"/>
          <w:lang w:bidi="fa-IR"/>
        </w:rPr>
        <w:t>نفوذ اجتماعی، مجبور هستند گاهی اوقات از عبارات این ها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نیز دولت هم دولت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 یک فرقه صوفی دولت صفویه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رحمة اللّه علیه در زمان حیات خودش انقلابی می کند در این شهر و در جهان تشیع که تا به امروز آثارش وجود دارد و در نتیجه این فعالیت مرحوم مجلسی است که دیگر پس از او کسی نمی تواند بگوید تصوف با تشیع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تاریخ تصوف، دست کم دو قرن بلکه به نظر مختار چهار قرن، تشیع با تصوف عجین بوده به طوری که خیلی ها نتوانستند آن دو را از هم تفکیک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تشیع را خط گذاری و نشانه گذاری کرد و کاملا این دو میدان را از هم جدا نمود به طوری که بعد از مجلسی، هر کسی ادعای تصوف کرده است از دایره جامعه شیعه خارج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فعالیت های پر افتخار مرحوم مجلسی که سبب شد اتهاماتی به ایشان زده شود، بحث اخباری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تشیع دو رویکرد اخباری گری و اصولی گری وجود داشت؛ </w:t>
      </w:r>
    </w:p>
    <w:p>
      <w:pPr>
        <w:pStyle w:val="BookText"/>
        <w:rPr/>
      </w:pPr>
      <w:r>
        <w:rPr>
          <w:rFonts w:ascii="IRNazanin" w:hAnsi="IRNazanin" w:eastAsia="IRNazanin"/>
          <w:color w:val="111111"/>
          <w:sz w:val="28"/>
          <w:sz w:val="28"/>
          <w:szCs w:val="28"/>
          <w:rtl w:val="true"/>
          <w:lang w:bidi="fa-IR"/>
        </w:rPr>
        <w:t>مرحوم مجلسی در مرز میان اخباری گری و اصولی گری راهی را انتخاب می کند که پس از مرحوم مجلسی، اخباری گری دیگر در جامعه شیعی کاملا جدا شده و آن هیمنه گذشته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اصولی گری افراطی را هم ایشان نمی پذیرد، تعبیر خود ایشان در یکی از استفتائاتی که از ایشان می شود این است که شما اخباری هستید یا اصولی؟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بینا بین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ما نشان می دهد که ایشان کاملا بر اساس ضوابط، ادله و شواهد درست قرآنی و روایی، یک خطی را ایجاد می کند که جریان افراطی اخباری گری به کنار می رود و آن مسیر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بزرگ مرحوم مجلسی، جدا سازی و جدا کردن تشیع از خط غلو و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بلایی که از زمان حضور اهلبیت علیهم السلام گردن گیر شیعه شد، وجود دو خط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غالیانه که مقامات اهلبیت علیهم السلام را با مقام الهی خلط می کند که خود اهل بیت علیهم السلام آن ها را لعن و طرد کرده اند و یک جریانی که زیر بار مقامات اهل بیت علیهم السلام نمی روند و مقصر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غلو و تقصیر آن قدر مرزش دقیق است که خود اهل بیت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النمرقة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آن پشتی وسط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اليكم الغالى و يلحق بكم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وسطی که هم مرز افراط و هم مرز تفریط را نگه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درخشان مرحوم علامه مجلسی که در آثار ایشان نمایان است نشان دادن راه میان غلو این سخن باعث این برداشت نشود که هر چه ایشان در باب مقامات اهل بیت علیهم السلام و مسأله امامت گفته اند، مُرّ آن چیزی است که در روایت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معصوم نبود، بزرگانی هم بعد از ایشان آمده اند و حاشیه زده اند و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شخصیتی در آن دوره تاریخی با حضور خطوط غلو و تقصیر، جریان تصوف انحرافی که تصویر نا شایست از </w:t>
      </w:r>
    </w:p>
    <w:p>
      <w:pPr>
        <w:pStyle w:val="BookText"/>
        <w:rPr/>
      </w:pPr>
      <w:r>
        <w:rPr>
          <w:rFonts w:ascii="IRNazanin" w:hAnsi="IRNazanin" w:eastAsia="IRNazanin"/>
          <w:color w:val="111111"/>
          <w:sz w:val="28"/>
          <w:sz w:val="28"/>
          <w:szCs w:val="28"/>
          <w:rtl w:val="true"/>
          <w:lang w:bidi="fa-IR"/>
        </w:rPr>
        <w:t>اهل بیت علیهم السلام به دروغ ارائه می کند، آمده با غور در روایات اهل بیت علیهم السلام و نه از بیرون و با نظر به همه جهات، در باب مقامات اهل علیهم السلام نظر می دهد و تلاش می کند که این خط میانی غلو و تقصیر را نگه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دیگر مرحوم مجلسی، ادب علمی ایشان است و این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یک آدم خانه نشین و حجره نشین نیست، شیخ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دارای چنان منسب سیاسی است ولی در مقام بیان آراء به طوری است که گاهی اوقات او در ذیل یک روایت چهار پنج نظریه اندیشمندان دیگر که با همه آن ها مخالف است را آورده و بعد مودبانه شروع می کند به نقد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واضح است ایشان پس از مرحوم فیض کاشانی و پس از ملا صدرا و دیگران است، ایشان این آرا را با دقت آورده و تعابیری که در مورد صاحبان این اقوال دارد خیلی جالب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المحققين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ترینش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جا ایشان نسبت به مخالف خودش تندی و بی ادبی نمی کند اما؛ موقع نقد که می رسد دقیق ترین و محکم ترین </w:t>
      </w:r>
    </w:p>
    <w:p>
      <w:pPr>
        <w:pStyle w:val="BookText"/>
        <w:rPr/>
      </w:pPr>
      <w:r>
        <w:rPr>
          <w:rFonts w:ascii="IRNazanin" w:hAnsi="IRNazanin" w:eastAsia="IRNazanin"/>
          <w:color w:val="111111"/>
          <w:sz w:val="28"/>
          <w:sz w:val="28"/>
          <w:szCs w:val="28"/>
          <w:rtl w:val="true"/>
          <w:lang w:bidi="fa-IR"/>
        </w:rPr>
        <w:t>نقدها را انجام می دهد و می گوید معارف مکتب اهل بیت علیهم السلام این است و آن نا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مرحوم علامه مجلسی انسان هر چه مطالعه می کند و جلو می رود، باز یک چیز جدیدی را کشف می کند، تشیع و تک تک شیعیان ریزه خوار مجلسی و مدیون مجلسی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مهم دیگر علامه مجلسی که مبتلا به امروز ماست در حالی که ایشان هم عالم منقول بوده و هم بر خلاف شایعه ای که مطرح شده است صاحب معقول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مرحوم مجلسی در معقول، مرحوم حاج حسین خوانساری است و از عبارت معلوم است که ایشان مطلب را می فهمیده و موقع نقل دقیق نقل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با همه علوم زمان خودش آشناست اما؛ با این حال یکی از افتخارات مرحوم مجلسی این است که در مسجد جامع اصفهان منبر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مسجد جامع اصفهان در دوره شیخ الاسلامی علامه مجلسی خود مرحوم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گزارش های تاریخی متعدد نقل شده است و اتفاقا گفته اند که منبری حاذقی بوده، این از تعریف هایی که از افراد مختلف نسبت به منبرهای مرحوم مجلسی داشته اند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یک عالم درجه یک جهان تشیع در پایتخت جهان اسلام ابا نمی کند از این که بالای منبر رفته و برای مردم سخن گوید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 در زندگی علامه مجلسی، سیره عملی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مکرر نقل کرده اند، یک انسان عالم اجتماعی برجسته در زندگی شخصی خودش کمال تعبد را دارا است و یک انسان معنوی خدا ترس معتقد به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احوالات ایشان که ایشان منبر می رفت در مسجد جامع اصفهان، بعد که منبرش تمام می شد اعلام می کرد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گفته ام </w:t>
      </w:r>
    </w:p>
    <w:p>
      <w:pPr>
        <w:pStyle w:val="BookText"/>
        <w:rPr/>
      </w:pPr>
      <w:r>
        <w:rPr>
          <w:rFonts w:ascii="IRNazanin" w:hAnsi="IRNazanin" w:eastAsia="IRNazanin"/>
          <w:color w:val="111111"/>
          <w:sz w:val="28"/>
          <w:sz w:val="28"/>
          <w:szCs w:val="28"/>
          <w:rtl w:val="true"/>
          <w:lang w:bidi="fa-IR"/>
        </w:rPr>
        <w:t>اعتقاد شخصی من است، من این جا گفتم تا شما شهادت بدهید، بعد کفنش را می خواست از آن پایین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شهادت بدهید من این چیزهایی را که امروز برای شما گفتم روی کفن خودم نوشته ام، بیایید شهادت بدهید که فلانی یک چنین اعتقادی داشت و یک چنین اعتقادی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نعمت اللّه جزائری، از شاگردان نزدیک علامه است و از کسانی است که در نوشتن بحار هم مشارکت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 کند و می گوید من چهار سال در خانه علامه مجلسی زندگی می کردم، خانه زاد علامه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چهار سال از مجلسی مباح ندیدم؛ چون هر کار مباحی که می خواست انجام دهد، یک رنگ مستحب یا واجبی به آن می زد مثال می خواست بخوابد، می خواست میل کند، می خواست یک ارتباط جلسه ای و یا گعده ای بگیرد، به تمام این ها رنگ دینی می زد و تا آن را مستحب نمی کرد، انجامش نمی داد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جامعه ما می گویند عرفان، </w:t>
      </w:r>
    </w:p>
    <w:p>
      <w:pPr>
        <w:pStyle w:val="BookText"/>
        <w:rPr/>
      </w:pPr>
      <w:r>
        <w:rPr>
          <w:rFonts w:ascii="IRNazanin" w:hAnsi="IRNazanin" w:eastAsia="IRNazanin"/>
          <w:color w:val="111111"/>
          <w:sz w:val="28"/>
          <w:sz w:val="28"/>
          <w:szCs w:val="28"/>
          <w:rtl w:val="true"/>
          <w:lang w:bidi="fa-IR"/>
        </w:rPr>
        <w:t>معنویت، معنویت معنویت های نو ظهور؛ واقعا معنویت حقیقی اسلامی و اهل بیتی چیست؟ یعنی کسی می تواند به ما بگوید که عرفان حقیقی دینی قرآنی و اهل بیتی چیست؟ بنده زیستن، بنده بودن، توجه مستمر به خداوند متعال و متوسل به ذیل عنایات اهل بیت علیهم السلام بودن، این انسان را سعادتمند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معیار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بیرون از این باشد،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بازی است،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اوج عرفان را، اوج معنویت را، در زندگی مرحوم علامه مجلسی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در یکی از کتب خویش بیان کرده است که شاید حق الیقین باشد و یا حیاة القلوب، اعتقادات اسلامی را بازگو می کند، تا جایی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این است، این است، از توحید شروع می کند و جزئیات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نکنید که من این ها را در این سن دارم می گویم، من این ها را از سه سالگی باور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می گوید که من از سه سالگی نماز شب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نظر کرده، یک تحفه الهی، خداوند او را در یک جامعه شیعی کاشته و میراث و آثار و معنویتش، امروز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این خوشی ها اما نا خوشی این است که مرحوم علامه مجلسی یکی از مظلوم ترین شخصیت های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فحاشی که به این مرد در طول تاریخ و در دوره معاصر شده است، به هیچ کدام از علمای شیعه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جوان را فقط ارجاع می دهم به نسخه ویکیپدیای فارسی، یعنی امروز هر جوانی که بخواهد مجلسی را بشناسد، احتمالا اولین چیزی را که جستجو کند، همین ویکیپدیاست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ویکیپدیا سراسر فحش به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اتهام و دروغ واضح به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مجلسی آن قدر بزرگ است که دشمنان هم اعتراف می 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العزیز دهلوی که صاحب تحفه اثنی عشریه است آن بلوا را در هند ایجاد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که اگر نبودند بزرگانی مانند سید دلدار علی و میر حامد حسین، تخم تشیع را با همان کتاب در هند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کینه ای نسبت به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دهلوی، زمانی که نسبت به تشیع نقد می کند، می گوید شما فکر می کنید این شیعه که می گوید حرف های ما از اهلبیت علیهم السلام است، درست می گوید؟ همه این ها کار مجلسی است، تشیع ساخته مجلسی است و پیش از مجلسی هیچ کدام از این آداب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مجلسی احیاگر مکتب تشیع است، ما هم اعتراف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اگر مجلسی نبود تشیع آن گونه که به ما رسیده است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خصم چه استفاده ای می کند؟ امروز در دنیا مرحوم علامه مجلسی شخصیتی نا شناخته است با این که به اهتمام دوستان و بزرگانی، روز بین المللی مجلسی در یونسکو ثبت شده است، اما بعد از آن سالی که این روز گذاشته شد، هیچ کار دیگری انجام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 ما مجلسی را نمی شناسد، نسل جوان ما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سخن از تجلیل از علما مطرح می شود، بعضی ها می گویند چرا از علما تجلیل کنیم؟ </w:t>
      </w:r>
    </w:p>
    <w:p>
      <w:pPr>
        <w:pStyle w:val="BookText"/>
        <w:rPr/>
      </w:pPr>
      <w:r>
        <w:rPr>
          <w:rFonts w:ascii="IRNazanin" w:hAnsi="IRNazanin" w:eastAsia="IRNazanin"/>
          <w:color w:val="111111"/>
          <w:sz w:val="28"/>
          <w:sz w:val="28"/>
          <w:szCs w:val="28"/>
          <w:rtl w:val="true"/>
          <w:lang w:bidi="fa-IR"/>
        </w:rPr>
        <w:t>می رویم از خود اهل بیت علیهم السلام تجلیل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درست است، اما این نعمت از طریق این بزرگان به 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وقتی مجلسی معرفی شود، جامعه شیعه و به طور مثال مردم شهر اصفهان، وقتی با بصیرت مجلسی را بشناسند، این مجلسی در زندگی آن ها تاثیر گذار می شود و نسل جوانی که نیازمند به الگوست، مجلسی برای او یک الگو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خاتون آبادی وقتی آثار مرحوم مجلسی را می شمارد، البته بعضی از آثار ایشان در آن رساله نیست، طبق آماری که ایشان گرفته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صفحات آثار مجلسی را بر روزهای عمر ایشان تقسیم کرده ام، دیدم مرحوم مجلسی هر روز سی و سه صفحه به آن اختصاص داده است، یعنی مرحوم مجلسی در کنار همه اشتغالات، رتق و فتق امور اجتماعی، که دارد با این حال روزی سی و سه صفحه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طلبه یک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که برای مردم امروز جامعه که بدانند مجلسی چگونه در این شهر بین مردم زیست، علی رغم این که عنوان داشت و یک شخصیت بزرگ اجتماعی و سیاسی شیعه بود، ولی خودش را از مردم جدا نکرد و در درون جامعه شیعه زیست و با آن ها بود همه این ها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آخر باید گفت که ما امروز پای سفره علامه مجلسی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تشیع باید بیایند پای این کار، ولی به نظر می رسد که اصفهان و اصفهانی ها در این جا شایسته تر و نزدیک تر به این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اصفهان پایگاه نشر و معرفی علامه مجلسی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پرستی نیست؛ بلکه ما داریم به یک حقیقت توجه می کنیم، به یک شخصیتی که خودش را محو در یک مکتب کرده است، پس برای ما آن مکتب مهم است</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ها کار در باب علامه مجلسی 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معرفی های بسیار ساده، جذاب برای کودکان و نوجوانان که بشناسند تا کارهای علمی زمین مانده مانند این که کتابی نگاشته شود که در آن اعتقادات مرحوم مجلسی در آن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اعتقادات مرحوم مجلسی که الان در دسترس است، عشری از اندیشه های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کتاب ساده نوشته است برای عموم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عمیق و دقیق و لطیف ایشان، در این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کتابی تدوین شود که تشیع عقائد را بر اساس اندیشه مرحوم مجلسی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گویند سبک زندگی، باید گفت سبک زندگی حلیة المتقین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المتقین ریز و درشت حیات یک مؤمن را نشان می دهد؛ البته باید ادبیاتش امروزی شود و مثلا نسخه جوانان و نسخه خانواده برای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بحار الانوار امروز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ضرس قاطع گفت از هر فاضل درس خوانده ملای درون حوزه، اگر از ایشان پرسیده شود که بحار الانوار را توضیح بدهد که این کتاب </w:t>
      </w:r>
    </w:p>
    <w:p>
      <w:pPr>
        <w:pStyle w:val="BookText"/>
        <w:rPr/>
      </w:pPr>
      <w:r>
        <w:rPr>
          <w:rFonts w:ascii="IRNazanin" w:hAnsi="IRNazanin" w:eastAsia="IRNazanin"/>
          <w:color w:val="111111"/>
          <w:sz w:val="28"/>
          <w:sz w:val="28"/>
          <w:szCs w:val="28"/>
          <w:rtl w:val="true"/>
          <w:lang w:bidi="fa-IR"/>
        </w:rPr>
        <w:t>چیست و چگونه به وجود آمده و چرا به وجود آمده است و خواسته شود که ربع ساعت در مورد بحار الانوار توضیح دهد، از محتوایش، از ساختارش، از منابعش و از روش علامه مجلسی در جمع آوری آن، گمان نمی کنم یکی از صد نفر بتواند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تصورات غلط در باب کتاب بحار الانوار در کتاب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نا شایست است که حوزه تشیع بحار الانوار را نتواند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مجلسی گفته که آقا کتاب ها را از این طرف و آن طرف جمع کنید و همه این ها را بریزیم در یک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اگر حتی همین هم بود، ایشان با قلم خودش تمام این صد و ده جلد بحار الانوار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هایی که در ذیل روایات زده است، ساختاری که به این روایات داده است، بعضی ها فکر می کنند که ایشان هر چه در کتاب ها بوده است در بحار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تحقیق کرده ایم در مؤسسه خودمان و داریم یک کاری را منتشر می کنیم عرض می کنم که اصلا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کتب اربعه را نیاورد است، 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هایی را که آورده است، دست به انتخاب از آن ها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مصادر بحار، ایشان کم تر از یک سوم را نقل کرده است یعنی دو سوم مصادری که آن جا وجود دارد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گفته است که روش من چیست، چرا این روایت را نقل کردم و آن روایت را نقل نکردم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یک اجتماعی از دوستداران مکتب اهل بیت علیهم السلام شکل گیرد و دست به دست هم دهند، هر کسی به سهم خودش، یک کسی می تواند برای مجلسی منبر برود، یک کسی می تواند مقاله بنویسد، یک کسی می تواند آموزش بدهد، یک کسی می تواند خدمات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اصفهان جریانی بر پا شود و در طول چهار پنج سال، شخصیت مرحوم مجلسی را احیا کرد تا در نسل شیعه او را از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اتهامات ناروایی که وجود دارد تبرئه کند و نشان دهد که این ها اتهاماتی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جهانی باید مجلسی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آن شخصیت هایی است که اگر درست معرفی شود، جهانی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تمدنی است، شخصیتی انسانی است، اخلاق و معنویت و دانش و اجتماعی گرایی و توجه به محرومان در او بروز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بودم که مرحوم مجلسی از کسانی است که در آثارش و در سیره اش یکی از نکاتش توجه به محرومان و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دو کتابش وقتی متعرض پادشاه آن دوران می شود، می گوید سلطنت مشروع است به یک شرط که ظلم به مردم نکند، حق مردم را ادا کند، به مستمندان رسیدگی کند، و الا از مشروعیت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مجلسی بارها و بارها تظلم مردم به او وساطت او در رفع ظلم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جهانی و الگو است برای علما، برای طلاب، برای دانشجویان و برای جامعه</w:t>
      </w:r>
      <w:r>
        <w:rPr>
          <w:rFonts w:eastAsia="IRNazanin" w:cs="IRNazanin"/>
          <w:color w:val="111111"/>
          <w:sz w:val="28"/>
          <w:szCs w:val="28"/>
          <w:rtl w:val="true"/>
          <w:lang w:bidi="fa-IR"/>
        </w:rPr>
        <w:t xml:space="preserve">. </w:t>
      </w:r>
      <w:bookmarkStart w:id="17" w:name="pg9485_70409"/>
    </w:p>
    <w:p>
      <w:pPr>
        <w:pStyle w:val="Heading3"/>
        <w:numPr>
          <w:ilvl w:val="2"/>
          <w:numId w:val="1"/>
        </w:numPr>
        <w:rPr/>
      </w:pPr>
      <w:bookmarkStart w:id="18" w:name="__RefHeading___Toc6319348_2870459653"/>
      <w:bookmarkStart w:id="19" w:name="_Toc6"/>
      <w:bookmarkEnd w:id="17"/>
      <w:bookmarkEnd w:id="18"/>
      <w:r>
        <w:rPr>
          <w:rtl w:val="true"/>
        </w:rPr>
        <w:t>توفیقات بی نهایت</w:t>
      </w:r>
      <w:bookmarkEnd w:id="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توسط بعضی از افراد مورد اعتماد از مولی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ایشان فرموده بودند در برخی از شب ها بعد از تهجد، حالتی دست داد که یقین کردم که در آن حال هر دعایی بکنم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دعا اندیشه می کردم که آیا از امور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امور اخروی، که نا گاه صدای گریه محمد باقر از گهواره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حق محمد و آل محمد صلی اللّه علیه و آله و سلم این طفل را از مروجین دین و ناشرین احکام حضرت سید المرسلین قرار بده و موفق بدار او را به توفیقات بی نهایت خود</w:t>
      </w:r>
      <w:r>
        <w:rPr>
          <w:rFonts w:eastAsia="IRNazanin" w:cs="IRNazanin"/>
          <w:color w:val="111111"/>
          <w:sz w:val="28"/>
          <w:szCs w:val="28"/>
          <w:rtl w:val="true"/>
          <w:lang w:bidi="fa-IR"/>
        </w:rPr>
        <w:t xml:space="preserve">. </w:t>
      </w:r>
      <w:r>
        <w:rPr>
          <w:rStyle w:val="FootnoteAnchor"/>
          <w:rtl w:val="true"/>
        </w:rPr>
        <w:footnoteReference w:id="2"/>
      </w:r>
      <w:bookmarkStart w:id="20" w:name="pg9485_70410"/>
    </w:p>
    <w:p>
      <w:pPr>
        <w:pStyle w:val="Heading2"/>
        <w:numPr>
          <w:ilvl w:val="1"/>
          <w:numId w:val="1"/>
        </w:numPr>
        <w:rPr/>
      </w:pPr>
      <w:bookmarkStart w:id="21" w:name="__RefHeading___Toc6319350_2870459653"/>
      <w:bookmarkStart w:id="22" w:name="_Toc7"/>
      <w:bookmarkEnd w:id="20"/>
      <w:bookmarkEnd w:id="21"/>
      <w:r>
        <w:rPr>
          <w:rtl w:val="true"/>
        </w:rPr>
        <w:t>دو</w:t>
      </w:r>
      <w:r>
        <w:rPr>
          <w:rtl w:val="true"/>
        </w:rPr>
        <w:t xml:space="preserve">: </w:t>
      </w:r>
      <w:r>
        <w:rPr>
          <w:rtl w:val="true"/>
        </w:rPr>
        <w:t>یک اربعین معرفت</w:t>
      </w:r>
      <w:bookmarkEnd w:id="22"/>
    </w:p>
    <w:p>
      <w:pPr>
        <w:pStyle w:val="Heading3"/>
        <w:numPr>
          <w:ilvl w:val="2"/>
          <w:numId w:val="1"/>
        </w:numPr>
        <w:rPr/>
      </w:pPr>
      <w:bookmarkStart w:id="23" w:name="__RefHeading___Toc6319352_287045965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گزارشی از کتاب اربعین علامه مجلسی، احمد رضا کریمی</w:t>
      </w:r>
    </w:p>
    <w:p>
      <w:pPr>
        <w:pStyle w:val="BookText"/>
        <w:rPr/>
      </w:pPr>
      <w:r>
        <w:rPr>
          <w:rFonts w:ascii="IRNazanin" w:hAnsi="IRNazanin" w:eastAsia="IRNazanin"/>
          <w:color w:val="111111"/>
          <w:sz w:val="28"/>
          <w:sz w:val="28"/>
          <w:szCs w:val="28"/>
          <w:rtl w:val="true"/>
          <w:lang w:bidi="fa-IR"/>
        </w:rPr>
        <w:t>عکس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0" o:detectmouseclick="t"/>
                <v:stroke color="#3465a4" joinstyle="round" endcap="flat"/>
                <w10:wrap type="none"/>
              </v:shape>
            </w:pict>
          </mc:Fallback>
        </mc:AlternateContent>
      </w:r>
      <w:bookmarkStart w:id="25" w:name="pg9485_70411"/>
    </w:p>
    <w:p>
      <w:pPr>
        <w:pStyle w:val="BookText"/>
        <w:rPr/>
      </w:pPr>
      <w:bookmarkEnd w:id="25"/>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جمله آثار کم تر شناخته شده ایشان است این در حالی است که به تعبیر برخی اساتید، این كتاب عالمانه ترین اثر مجلسی است که شامل مباحث اعتقادی، اخلاقی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نگارش کتاب اربعین را پانزده سال بعد از آغاز تالیف بحار الانوار، در روز سوم ماه مبارک رمضان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کتاب شناسی کتاب اربعین متأسفانه مقاله ای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سیاهه پیش رو، کتاب شناسی این اثر نیست بلکه؛ تنها گزارشی از محتوای کتاب است که به ذکر جمالی مفاد روایات کتاب و پاره ای توضیحات پیرامون انتخاب روایات و ترتیب آن ها می پردازد</w:t>
      </w:r>
      <w:r>
        <w:rPr>
          <w:rFonts w:eastAsia="IRNazanin" w:cs="IRNazanin"/>
          <w:color w:val="111111"/>
          <w:sz w:val="28"/>
          <w:szCs w:val="28"/>
          <w:rtl w:val="true"/>
          <w:lang w:bidi="fa-IR"/>
        </w:rPr>
        <w:t>.</w:t>
      </w:r>
    </w:p>
    <w:p>
      <w:pPr>
        <w:pStyle w:val="Heading3"/>
        <w:numPr>
          <w:ilvl w:val="2"/>
          <w:numId w:val="1"/>
        </w:numPr>
        <w:rPr/>
      </w:pPr>
      <w:bookmarkStart w:id="26" w:name="__RefHeading___Toc6319354_2870459653"/>
      <w:bookmarkStart w:id="27" w:name="_Toc9"/>
      <w:bookmarkEnd w:id="26"/>
      <w:r>
        <w:rPr>
          <w:rtl w:val="true"/>
        </w:rPr>
        <w:t>گزارشی از کتاب اربعین علامه مجلسی، احمد رضا کریمی</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اربعین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سنگی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 تصحیح نشده است و دارای غلط های فروانی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کتاب دو مرتبه دیگر به زیور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 الكتب العلمیه در قم، در یک جلد با تصحیح </w:t>
      </w:r>
      <w:bookmarkStart w:id="28" w:name="pg9485_70412"/>
    </w:p>
    <w:p>
      <w:pPr>
        <w:pStyle w:val="BookText"/>
        <w:rPr/>
      </w:pPr>
      <w:bookmarkEnd w:id="28"/>
      <w:r>
        <w:rPr>
          <w:rFonts w:ascii="IRNazanin" w:hAnsi="IRNazanin" w:eastAsia="IRNazanin"/>
          <w:color w:val="111111"/>
          <w:sz w:val="28"/>
          <w:sz w:val="28"/>
          <w:szCs w:val="28"/>
          <w:rtl w:val="true"/>
          <w:lang w:bidi="fa-IR"/>
        </w:rPr>
        <w:t xml:space="preserve">محمد تفرشی درودی، به چاپ رسیده است و بار دیگر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فارس حسون کریم، در دو جلد توسط انتشارات باقیات و به همت مكتبه فدک روانه بازار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چاپ بیست و یک حدیث ابتدایی در جلد اول و نوزده حدیث باقی ماده در جلد دوم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 چه مؤلف در مقدمه کتاب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مشهد عده ای از علماء این شهر از ایشان درخواست بحثی علمی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درخواست علامه مجلسی، در این سفر، جلد اول حیات القلوب و نیز کتاب اربعین را تألیف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کتاب، توسط مرحوم علامه مجلسی انتخاب شده است، روایات مهمی است و گویای نگاه علامه مجلسی به محتوای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گزینش خود در فرصتی کوتاه و مجالی اندک، مباحث مهمی را بررسی نموده است</w:t>
      </w:r>
      <w:r>
        <w:rPr>
          <w:rFonts w:eastAsia="IRNazanin" w:cs="IRNazanin"/>
          <w:color w:val="111111"/>
          <w:sz w:val="28"/>
          <w:szCs w:val="28"/>
          <w:rtl w:val="true"/>
          <w:lang w:bidi="fa-IR"/>
        </w:rPr>
        <w:t>.</w:t>
      </w:r>
    </w:p>
    <w:p>
      <w:pPr>
        <w:pStyle w:val="Heading3"/>
        <w:numPr>
          <w:ilvl w:val="2"/>
          <w:numId w:val="1"/>
        </w:numPr>
        <w:rPr/>
      </w:pPr>
      <w:bookmarkStart w:id="29" w:name="__RefHeading___Toc6319356_2870459653"/>
      <w:bookmarkStart w:id="30" w:name="_Toc10"/>
      <w:bookmarkEnd w:id="29"/>
      <w:r>
        <w:rPr>
          <w:rtl w:val="true"/>
        </w:rPr>
        <w:t>گزارش محتوای کتاب</w:t>
      </w:r>
      <w:bookmarkEnd w:id="30"/>
    </w:p>
    <w:p>
      <w:pPr>
        <w:pStyle w:val="BookText"/>
        <w:rPr/>
      </w:pPr>
      <w:r>
        <w:rPr>
          <w:rFonts w:ascii="IRNazanin" w:hAnsi="IRNazanin" w:eastAsia="IRNazanin"/>
          <w:color w:val="111111"/>
          <w:sz w:val="28"/>
          <w:sz w:val="28"/>
          <w:szCs w:val="28"/>
          <w:rtl w:val="true"/>
          <w:lang w:bidi="fa-IR"/>
        </w:rPr>
        <w:t>علامه مجلسی در آغاز کتاب به سند روایتی که به حدیث اربعین معروف است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نوزده سلسله سند حدیث را ذکر می کند و سپس به شرح این حدیث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شرح خود، برخی از بیانات پیامبر اکرم صلی اللّه علیه و آله و سلم به امام علی علیه السلام را ذکر کرده و شرح داده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از مهم ترین مسائل در نگاه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کتاب کافی را با كتاب عقل و جهل شروع می کند که نشان می دهد اساس دیانت و زندگی متدینانه 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نیز، دومین حدیث را حدیثی در باب عقل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ذیل این حدیث، به تشریح معنای عقل و معنای اولین مخلوق بودن آن،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طرح روایتی در باب عقل، ایشان وارد مسئله توحید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مجموع، چهار ده حدیث در مباحث توحیدی را ذکر نموده و به آن شرح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ایشان شامل بحث لغوی و محتوایی ناظر به بحث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بحثی که در توحید مورد توجه علامه مجلسی قرار گرفته است، اثبات یگانگی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رابطه با این موضوع، حدیث معروف فرجه، را ذکر کرده و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ذیل این حدیث ادله متکلمان بر توحید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مهم ترین دلیل بر توحید،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علامه مجلسی به بیان اشکال و پاسخ هایی در رابطه با دلیل نقلی بر توحید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 پنجم و ششم، اختصاص به بحث رؤیت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ذکر این احادیث ادله نفى رؤیت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هفتم، هشتم و نهم، صفات باری به بحث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مباحث وجود شناسی و معنا شناسی صفات مورد توجه قرار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دهم روایات بداء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بداء و اشکالات آن از جمله مباحثی است که در بررسی این روایت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یازدهم تا چهار دهم، بار دیگر، مباحثی مربوط به شناخت اسماء خداوند ذکر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پانزدهم به بحث عصمت انبیاء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بخش حدیث امام رضا علیه السلام با مأمون نقل کرده است و به بیا آراء مذاهب مختلف اسلامی و رأی متکلمان امامی در بحث عصمت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حدیث، در ضمن چهار ده فصل که بیش از صد صفحه از کتاب را استیعاب می کند، در باب عصمت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خلال این فصول، بحث هایی استطردادی، هم چون معاد جسمانی،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شانزدهم به بحث خلقت حضرت آدم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بخش روایاتی که مربوط به ابعاد جسمانی حضرت آدم عليه السلام و طول قامت او است، را نقل کرده و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هفدهم بحثی پیرامون حضرت ابو طالب علیه السلام و امان ایشان را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هجدهم روایتی با موضوع ولادت پیامبر صلی اللّه علیه و آله و سلم، نقل و معجزاتی که در هنگام ولادت ایشان رخ داده است،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ادامه تاریخ ولادت آن حضرت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نوزدهم روایتی طولانی در رابطه با سنن النبی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بیستم معراج به بحث گذارده شده است و با نقل حدیثی در کیفیت معراج آن حضرت به شرح معراج پیامبر صلوات اللّه علیه و آله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بخش به بحث نسبتاً مفصلی پیرامون معراج جسمانی و اشکالات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بیست و یکم، داستان مباهله از کتاب اقبال سید بن طاووس، نقل و نکات جالب و مفصلی، ذیل این حدیث،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داستان مباهله از قسمت های مفصل این کتاب است که بیش از صد صفحه را به خود اختصاص داده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 و دوم به نامه امیر المومنین علیه السلام و نامه حضرت به حذیفه بن یمان، در زمان فرمانداری او بر مدائن،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نامه، که نظیر عهد نامه مالک اشتر است، را از ارشاد القلوب دیلمی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حدیث، روایت غدیر و برخی مباحث تاریخی، از زبان حذیفه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 و سوم خطبه ای طولانی از امیر المؤمنین علیه السلام است که شامل مباحث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آغاز شرح حدیث می فرمایند گر چه سند این روایت ضعیف است اما؛ محتوای والای متن، دال بر حدیث بودن آن و بی نیازی </w:t>
      </w:r>
    </w:p>
    <w:p>
      <w:pPr>
        <w:pStyle w:val="BookText"/>
        <w:rPr/>
      </w:pPr>
      <w:r>
        <w:rPr>
          <w:rFonts w:ascii="IRNazanin" w:hAnsi="IRNazanin" w:eastAsia="IRNazanin"/>
          <w:color w:val="111111"/>
          <w:sz w:val="28"/>
          <w:sz w:val="28"/>
          <w:szCs w:val="28"/>
          <w:rtl w:val="true"/>
          <w:lang w:bidi="fa-IR"/>
        </w:rPr>
        <w:t>از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 و چهارم خطبه دیگری از امیر المؤمنین علیه السلام است که مشتمل بر مباحث دقیقی 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خطبه، خطبه دیگری از حضرت را نقل شده است که از احتجاجات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 و پنج نیز از خطب امیر المؤمنین علیه السلام است که محتوای زهد و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فصاحت و بلاغت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ششم حدیثی بسیار کوتاه است که از کتاب بصائر الدرجات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حدیث، روایت نحن سبع المثانی را ایراد و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 و هفتم، روایتی مشکل در فضائل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مرحوم مجلسی، 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معضلات اخبار و مخبیات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ذیل همین حدیث بحثی را نیز در باب توقیت ظهور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 و هشتم، از کتاب الخرائج و از زبان امام حسین علیه السلام و در باب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رجعت را به تفصیل مورد بررسی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نهم، مناجاتی از مناجات های حضرت موسی علیه السلام است که شامل مواعظ بلیغ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فقرات این روایت توسط مرحوم مجلسی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سیم، موعظه خداوند و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مضمونی اخلاقی دارد و توسط ایشان شرح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از حدیث سی و یکم، وارد مباحث فقهی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 و یکم، حدیثی در باب آب کر و حدیث سی و دوم، در مورد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سی و سوم بحث فقهی غسل بیان شده است و در حدیث سی و چهارم نماز میت بر مصلوب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سی و پنج در باب سهو </w:t>
      </w:r>
    </w:p>
    <w:p>
      <w:pPr>
        <w:pStyle w:val="BookText"/>
        <w:rPr/>
      </w:pPr>
      <w:r>
        <w:rPr>
          <w:rFonts w:ascii="IRNazanin" w:hAnsi="IRNazanin" w:eastAsia="IRNazanin"/>
          <w:color w:val="111111"/>
          <w:sz w:val="28"/>
          <w:sz w:val="28"/>
          <w:szCs w:val="28"/>
          <w:rtl w:val="true"/>
          <w:lang w:bidi="fa-IR"/>
        </w:rPr>
        <w:t>امام جماعت و مأموم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بررسی این حدیث پس بحث سندی و رجالی مفصل خود، به تحقیق مفصل فقهی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شانزده فرض شک امام و مأموم را مطرح کرده و به بررسی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 ششم نیز موضوع فقهی زکات را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فقهی علامه مجلسی بر این روایات، به خصوص در مسأله سهو امام و مأموم، نشان از تسلط ویژه ایشان بر مباحث فقهی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سی و هفتم، از خواب های پیامبر صلی اللّه علیه و آله و سلم و پیش گویی ایشان از تسلط امویان بر مسلمین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حدیث به مناسبت بحث شب قدر، از جهات مختلف،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 و هشتم، روایتی در باب ساختن کعبه به دست حضرت ابراهیم علیه السلام و تشویق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شرح مختصری از این روایت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 و نهم، روایتی در باب دو نفر خنثی است که پیامبر صلی اللّه علیه و آله و سلم، آن ها را به بیرون مدینه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دارای لغات مشکلی است که علامه مجلسی ضمن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لغوی به حل مشکات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در فصلی،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الاربۀ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قرآن، در این روایت نیز آمده است، توضیح و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حدیث مربوط به سؤالاتی است که یحیی بن اکثم از امام جواد علیه السلام پرسیده است و ایشان به صورت مکتوب به این سوالات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حدیثی در مورد فضیلت صلوات بر پیامبر صلی اللّه علیه و آله و سلم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مباحثی در رابطه با صلوات و به مناسبت لعن بر دشمنان اهل بیت علیهم اسلام بیان شده است</w:t>
      </w:r>
      <w:r>
        <w:rPr>
          <w:rFonts w:eastAsia="IRNazanin" w:cs="IRNazanin"/>
          <w:color w:val="111111"/>
          <w:sz w:val="28"/>
          <w:szCs w:val="28"/>
          <w:rtl w:val="true"/>
          <w:lang w:bidi="fa-IR"/>
        </w:rPr>
        <w:t xml:space="preserve">. </w:t>
      </w:r>
      <w:bookmarkStart w:id="31" w:name="pg9485_70418"/>
    </w:p>
    <w:p>
      <w:pPr>
        <w:pStyle w:val="Heading2"/>
        <w:numPr>
          <w:ilvl w:val="1"/>
          <w:numId w:val="1"/>
        </w:numPr>
        <w:rPr/>
      </w:pPr>
      <w:bookmarkStart w:id="32" w:name="__RefHeading___Toc6319358_2870459653"/>
      <w:bookmarkStart w:id="33" w:name="_Toc11"/>
      <w:bookmarkEnd w:id="31"/>
      <w:bookmarkEnd w:id="32"/>
      <w:r>
        <w:rPr>
          <w:rtl w:val="true"/>
        </w:rPr>
        <w:t>سه</w:t>
      </w:r>
      <w:r>
        <w:rPr>
          <w:rtl w:val="true"/>
        </w:rPr>
        <w:t xml:space="preserve">: </w:t>
      </w:r>
      <w:r>
        <w:rPr>
          <w:rtl w:val="true"/>
        </w:rPr>
        <w:t>تاج فقه و تخت حدیث</w:t>
      </w:r>
      <w:bookmarkEnd w:id="33"/>
    </w:p>
    <w:p>
      <w:pPr>
        <w:pStyle w:val="Heading3"/>
        <w:numPr>
          <w:ilvl w:val="2"/>
          <w:numId w:val="1"/>
        </w:numPr>
        <w:rPr/>
      </w:pPr>
      <w:bookmarkStart w:id="34" w:name="__RefHeading___Toc6319360_2870459653"/>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نگاهی دگر بار به حلية المتقين به مثابه پروژه یک محدث تماما اصفهانی، محمود فروز بخش</w:t>
      </w:r>
    </w:p>
    <w:p>
      <w:pPr>
        <w:pStyle w:val="BookText"/>
        <w:rPr/>
      </w:pPr>
      <w:r>
        <w:rPr>
          <w:rFonts w:ascii="IRNazanin" w:hAnsi="IRNazanin" w:eastAsia="IRNazanin"/>
          <w:color w:val="111111"/>
          <w:sz w:val="28"/>
          <w:sz w:val="28"/>
          <w:szCs w:val="28"/>
          <w:rtl w:val="true"/>
          <w:lang w:bidi="fa-IR"/>
        </w:rPr>
        <w:t>عکس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 علمی را در هر زمانی نمی توان وارد جامعه کرد و نمی توان انتظار داشت که جامعه آن علم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شده است که در دانشگاه های ما، رشته ای در علوم انسانی تاسیس می شود اما؛ آن رشته هیچ راهی به عالم بیرون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 ترین عوامل این انسداد، آن است که جامعه نسبت به پدیده هایی که به آن وارد می شود، جهت گیری دارد و این طور نیست که هر چیز جدیدی به جامعه وارد شود، جامعه از آن تاثیر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برابر پدیده های جدید از جمله علوم مختلف، جامعه پذیرشی دارد که بخش قابل توجهی از این پذیرش را، از هویت و تاریخ همان جامعه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چون احساس نیاز و آرمان ها نیز، در پذیرش و رونق یک رشته از علوم انسانی موثر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آن جاست که تاریخ اصفهان نسبت به کدام علم، بیش ترین گیرایی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سریع بر احوالات دانشمندان و مروری بر اسامی و جایگاه آنان در اصفهان، متوجه می شویم </w:t>
      </w:r>
    </w:p>
    <w:p>
      <w:pPr>
        <w:pStyle w:val="BookText"/>
        <w:rPr/>
      </w:pPr>
      <w:r>
        <w:rPr>
          <w:rFonts w:ascii="IRNazanin" w:hAnsi="IRNazanin" w:eastAsia="IRNazanin"/>
          <w:color w:val="111111"/>
          <w:sz w:val="28"/>
          <w:sz w:val="28"/>
          <w:szCs w:val="28"/>
          <w:rtl w:val="true"/>
          <w:lang w:bidi="fa-IR"/>
        </w:rPr>
        <w:t xml:space="preserve">که به مدت بیش از هزار سال از ورود اسلام به اصفهان، مهم ترین و پر رونق ترین و گیرا ترین علم در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یعنی در میان همه علوم، معارف اسلامی و در میان آنان، حدیث از همه مهم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وقوع چنین پدیده ای بدیهی به نظر می رسد زیرا در قرون اولیه اسلامی، حرف اول و آخر را آن کسی می زند که کلامش سندی از پیامبر و ائمه اطهار علیهم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جریان به شخصیتی هم چون علامه محمد باقر مجلسی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بزرگ ترین دایره المعارف حدیثی شیعی، یعنی بحار الانوار، را در صد و ده جلد گرد 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بزرگ ترین شخصیت تمدنی جهان اسلام، که زیست تماما اصفهانی داشته است، محمد باقر مجلسی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اصفهان، محل رفت و آمد و بحث و تدریس ابن سینا، میر داماد، میر فندرسکی، شیخ بهایی و ملا صدرا بوده است اما؛ این شخصیت ها، هیچ کدام تماما زیست اصفهانی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تماما اصفهانی، یعنی کسی که متولد این شهر باشد و تربیتش کاملا در این شهر باشد و پروژه عالی شخصی او در این شهر شکوفا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دیگر، اصفهان در شعر هم، قله پرور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شعر فارسی از رودکی، فردوسی، خیام، بابا طاهر، نظامی، سنایی، عطار، مولوی، سعدی، حافظ و جامی هیچ کدام اصفهانی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که به اصفهانی بودن شهرت دارند هم چون کمال الدین اسماعیل، جمال الدین عبد الرزاق، هاتف اصفهانی و شعرای هندی از جمله صائب تبریزی را در این میان، در درجه بعدی باید قرار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شخصیت هایی مانند ابو ریحان بیرونی و خواجه نصیر الدین طوسی را شخصیت های درجه اول تمدن اسلامی بدانیم، شخصیت هایی مانند ابن </w:t>
      </w:r>
    </w:p>
    <w:p>
      <w:pPr>
        <w:pStyle w:val="BookText"/>
        <w:rPr/>
      </w:pPr>
      <w:r>
        <w:rPr>
          <w:rFonts w:ascii="IRNazanin" w:hAnsi="IRNazanin" w:eastAsia="IRNazanin"/>
          <w:color w:val="111111"/>
          <w:sz w:val="28"/>
          <w:sz w:val="28"/>
          <w:szCs w:val="28"/>
          <w:rtl w:val="true"/>
          <w:lang w:bidi="fa-IR"/>
        </w:rPr>
        <w:t>مسکویه، صاحب بن عباد و خواجه نظام الملک از رده نخستین به حساب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فخر رازی، ابن رشید، جابر بن حیان، زکریا رازی، ابن هيثم، خوارزمی و غیاث الدین جمشید کاشانی، اصفهانی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اصفهان، در قرون اولیه عالم اسلام، اگر چه در دوره هایی مرکز علم و دانش بوده است اما؛ با مروری کلی بر اسامی برترین های تمدن اسلامی در آن زمان، متوجه می شویم که هیچ کدام را نمی توان تماما اصفهانی نامید؛ تا آن که به علامه مجلسی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نیز محصول یک سال یا یک دوره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بزرگان اصفهان را مرور کنیم متوجه می شویم که در این جریان هزار ساله، محدثین مسلط فراوانی در اصفهان حضور داشتند، به درس نشسته اند و کتاب نگاشته اند و شهر اصفهان هم تماما آن ها را همراهی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اصفهان با تمام کلیتش در طول تاریخش از علمای حدیثی، استقبال کرده است و می توان گفت این شهر و فضای آن زمان جهان اسلام بوده است که چنین عالمانی را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توجه به فضای امن و علم دوست دوران صفویه، اوج می گیرد و با بحار الانوار مجلسی، کامل ترین شکل مجموعه احادیث اهل بیت علیهم السلام، تدوین می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درجه اهمیت مجلسی در آن است که وی در طول این قرن ها و در طی تاریخ پر فراز و نشیب و از لحاظ علمی درخشان، تنها کسی است که در فن و رشته خود در قله قرار دارد و به عبارتی درجه یک تلقی می شود و در عین حال یک اصفهانی اصیل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دیگران یا تماما تربیت شده اصفهان نیستند، مانند شیخ بهایی و ملا صدرا یا درجه یک مانند صائب و ابن </w:t>
      </w:r>
    </w:p>
    <w:p>
      <w:pPr>
        <w:pStyle w:val="BookText"/>
        <w:rPr/>
      </w:pPr>
      <w:r>
        <w:rPr>
          <w:rFonts w:ascii="IRNazanin" w:hAnsi="IRNazanin" w:eastAsia="IRNazanin"/>
          <w:color w:val="111111"/>
          <w:sz w:val="28"/>
          <w:sz w:val="28"/>
          <w:szCs w:val="28"/>
          <w:rtl w:val="true"/>
          <w:lang w:bidi="fa-IR"/>
        </w:rPr>
        <w:t>مسکویه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هم درجه یک است و هم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محصول تاریخ پر فراز و نشیب هزار ساله عملی این شهر است و هم بهترین و مهم ترین یادگار مکتوب صفوی برای آینده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توانیم بگوییم که اصفهان شهری است که در درجه اول، به مدت بیش از هزار سال علم حدیث را بر صدر معارف خود ارج می نهاد و پس از آن سیر تکاملی فقه را دنبال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شخصیتی را انتخاب کنیم که آن شخصیت عصاره مردمان اصفهان است، آن شخص محمد 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با تسامح بپذیرید و در ادامه اگر بخواهیم کتابی را معرفی کنیم که عصاره و چکیده شخصیت اصفهانی است،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اصفهان، مجلسی را به دو چیز می شناسند یکی به بحار الانوار و دیگر به مقبره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اصفهانی ها قبر یک شخصیت حدیثی را زیارتگاه کرده اند، خود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رفت و آمد ترین مقبره در اصفهان، مزار علامه مجلسی در گوشه مسجد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مزار با عمق مردم پیوند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قبر امام زادگان و یا عرفای بزرگ محل زیارت بشود، عجیب نیست اما؛ علاقه مردم اصفهان به علامه مجلسی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با بحار الانوار و در واقع با تاریخ علم حدیث نویسی که نسل های گذشته آن را حفظ کرده و ارتقا داده اند، نسبت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در اصفهان به چنین جایگاهی نرسیده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هنر، علوم عقلی و معارف شهودی را تجلیات تمدن اسلامی بدانیم و اگر بخواهیم یک شاخه را شاخه ای بدانیم که اصفهان ما بازای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p>
    <w:p>
      <w:pPr>
        <w:pStyle w:val="BookText"/>
        <w:rPr/>
      </w:pPr>
      <w:r>
        <w:rPr>
          <w:rFonts w:ascii="IRNazanin" w:hAnsi="IRNazanin" w:eastAsia="IRNazanin"/>
          <w:color w:val="111111"/>
          <w:sz w:val="28"/>
          <w:sz w:val="28"/>
          <w:szCs w:val="28"/>
          <w:rtl w:val="true"/>
          <w:lang w:bidi="fa-IR"/>
        </w:rPr>
        <w:t>من ما نمی توانیم، روح اصفهان را در یک شخصیت هنری و ادبی در این شهر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 توانیم یک عارف را نماد و نمودی از اصفهان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فلسفه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ها شاعر و فیلسوف و عارف زیاد دارند اما؛ هیچ کدام از آنان در والا ترین درجه نیستند و هیچ کدام از این رشته ها تجلی تام و تمام مردم اصفهان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اصفهان دارای تاریخی است که با حدیث جلو آمده است و به فقه رسیده است و اکنون از همین فقه خواستار تحولات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گویا علوم عقلی و شهودی توأمان ماموریت تمدن سازی را به فقه و فقیه واگذار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سبک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نیز زمینه سازی برای ورود علوم حوزوی به تمدن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میان این جملات فاصله بسیاری است و شاید هر کدام از این مراحل ده ها سال زمان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حلیه المتقینی نگرشی است که بر روح ریاضیاتی و تحلیل گر و محاسبه پیشه اصفهان</w:t>
      </w:r>
    </w:p>
    <w:p>
      <w:pPr>
        <w:pStyle w:val="BookText"/>
        <w:rPr/>
      </w:pPr>
      <w:r>
        <w:rPr>
          <w:rFonts w:ascii="IRNazanin" w:hAnsi="IRNazanin" w:eastAsia="IRNazanin"/>
          <w:color w:val="111111"/>
          <w:sz w:val="28"/>
          <w:sz w:val="28"/>
          <w:szCs w:val="28"/>
          <w:rtl w:val="true"/>
          <w:lang w:bidi="fa-IR"/>
        </w:rPr>
        <w:t>عکس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1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
                        <a:stretch/>
                      </pic:blipFill>
                      <pic:spPr>
                        <a:xfrm>
                          <a:off x="0" y="0"/>
                          <a:ext cx="3517920" cy="6985080"/>
                        </a:xfrm>
                        <a:prstGeom prst="rect">
                          <a:avLst/>
                        </a:prstGeom>
                        <a:ln w="0">
                          <a:noFill/>
                        </a:ln>
                      </pic:spPr>
                    </pic:pic>
                  </a:graphicData>
                </a:graphic>
              </wp:inline>
            </w:drawing>
          </mc:Choice>
          <mc:Fallback>
            <w:pict>
              <v:shape id="shape_0" stroked="f" o:allowincell="f" style="position:absolute;margin-left:0pt;margin-top:-550.05pt;width:276.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سازگار است زیرا؛ به صورت دقیق برای شما مشخص می کند که هر چیز در کجا باشد و دقیقا در کدام نقطه چه عملی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حاکم بر حلیه المتقین، نوعی از عقل گرایی و توجه همه جانبه به مقوله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شیوه مواجه با متن احادیث موجود در آن می تواند اخباری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وضع خواننده و احوال مخاطب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حلیه المتقین دقیقا بر سر یک گلوگاه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حدیث به اوج خود رسیده است یعنی زمانی که بحار الانوار در حال خلق شدن است و جایی که شیعه پرسش های اساسی از متن زندگی دارد و پس از آن فقه می بایست در حوزه های مختلف ورود کند</w:t>
      </w:r>
      <w:r>
        <w:rPr>
          <w:rFonts w:eastAsia="IRNazanin" w:cs="IRNazanin"/>
          <w:color w:val="111111"/>
          <w:sz w:val="28"/>
          <w:szCs w:val="28"/>
          <w:rtl w:val="true"/>
          <w:lang w:bidi="fa-IR"/>
        </w:rPr>
        <w:t xml:space="preserve">. </w:t>
      </w:r>
      <w:bookmarkStart w:id="36" w:name="pg9485_70425"/>
    </w:p>
    <w:p>
      <w:pPr>
        <w:pStyle w:val="Heading3"/>
        <w:numPr>
          <w:ilvl w:val="2"/>
          <w:numId w:val="1"/>
        </w:numPr>
        <w:rPr/>
      </w:pPr>
      <w:bookmarkStart w:id="37" w:name="__RefHeading___Toc6319362_2870459653"/>
      <w:bookmarkStart w:id="38" w:name="_Toc13"/>
      <w:bookmarkEnd w:id="36"/>
      <w:bookmarkEnd w:id="37"/>
      <w:r>
        <w:rPr>
          <w:rtl w:val="true"/>
        </w:rPr>
        <w:t>مهمان مردم</w:t>
      </w:r>
      <w:bookmarkEnd w:id="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شهری چون اصفهان، از طرف سلاطین صفوی شیخ الاسلام بود و جمیع مرافعات و دعاوی مردم را خود شخصاً رسیدگی می فرمود و فوت نمی شد از او، نماز بر اموات و جماعات و ضیافات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ضیافت و مهمان شدن آن جناب به مرتبه ای بود که اسامی میزبان ها و ترتیب دعوت ها را می نوشتند و چون از نماز عشا فارغ می شد، عرض می کردند که امشب فلان جا مهمان هستند و آن جناب را حرکت می دادند به جایی که مهمان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معاش خویش توجهی خاص داشت و حوایج دنیوی او در نهایت انضباط بود</w:t>
      </w:r>
      <w:r>
        <w:rPr>
          <w:rFonts w:eastAsia="IRNazanin" w:cs="IRNazanin"/>
          <w:color w:val="111111"/>
          <w:sz w:val="28"/>
          <w:szCs w:val="28"/>
          <w:rtl w:val="true"/>
          <w:lang w:bidi="fa-IR"/>
        </w:rPr>
        <w:t xml:space="preserve">. </w:t>
      </w:r>
      <w:r>
        <w:rPr>
          <w:rStyle w:val="FootnoteAnchor"/>
          <w:rtl w:val="true"/>
        </w:rPr>
        <w:footnoteReference w:id="4"/>
      </w:r>
      <w:bookmarkStart w:id="39" w:name="pg9485_70426"/>
    </w:p>
    <w:p>
      <w:pPr>
        <w:pStyle w:val="Heading2"/>
        <w:numPr>
          <w:ilvl w:val="1"/>
          <w:numId w:val="1"/>
        </w:numPr>
        <w:rPr/>
      </w:pPr>
      <w:bookmarkStart w:id="40" w:name="__RefHeading___Toc6319364_2870459653"/>
      <w:bookmarkStart w:id="41" w:name="_Toc14"/>
      <w:bookmarkEnd w:id="39"/>
      <w:bookmarkEnd w:id="40"/>
      <w:r>
        <w:rPr>
          <w:rtl w:val="true"/>
        </w:rPr>
        <w:t>چهار</w:t>
      </w:r>
      <w:r>
        <w:rPr>
          <w:rtl w:val="true"/>
        </w:rPr>
        <w:t xml:space="preserve">: </w:t>
      </w:r>
      <w:r>
        <w:rPr>
          <w:rtl w:val="true"/>
        </w:rPr>
        <w:t>هفت شهر فقه</w:t>
      </w:r>
      <w:bookmarkEnd w:id="41"/>
    </w:p>
    <w:p>
      <w:pPr>
        <w:pStyle w:val="Heading3"/>
        <w:numPr>
          <w:ilvl w:val="2"/>
          <w:numId w:val="1"/>
        </w:numPr>
        <w:rPr/>
      </w:pPr>
      <w:bookmarkStart w:id="42" w:name="__RefHeading___Toc6319366_2870459653"/>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جستاری در فقه و فقه نگاری علامه مجلسی، محمد جواد عابدینی</w:t>
      </w:r>
    </w:p>
    <w:p>
      <w:pPr>
        <w:pStyle w:val="BookText"/>
        <w:rPr/>
      </w:pPr>
      <w:r>
        <w:rPr>
          <w:rFonts w:ascii="IRNazanin" w:hAnsi="IRNazanin" w:eastAsia="IRNazanin"/>
          <w:color w:val="111111"/>
          <w:sz w:val="28"/>
          <w:sz w:val="28"/>
          <w:szCs w:val="28"/>
          <w:rtl w:val="true"/>
          <w:lang w:bidi="fa-IR"/>
        </w:rPr>
        <w:t>عکس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2" o:detectmouseclick="t"/>
                <v:stroke color="#3465a4" joinstyle="round" endcap="flat"/>
                <w10:wrap type="none"/>
              </v:shape>
            </w:pict>
          </mc:Fallback>
        </mc:AlternateContent>
      </w:r>
      <w:bookmarkStart w:id="44" w:name="pg9485_70427"/>
    </w:p>
    <w:p>
      <w:pPr>
        <w:pStyle w:val="Heading3"/>
        <w:numPr>
          <w:ilvl w:val="2"/>
          <w:numId w:val="1"/>
        </w:numPr>
        <w:rPr/>
      </w:pPr>
      <w:bookmarkStart w:id="45" w:name="__RefHeading___Toc6319368_2870459653"/>
      <w:bookmarkStart w:id="46" w:name="_Toc16"/>
      <w:bookmarkEnd w:id="44"/>
      <w:bookmarkEnd w:id="45"/>
      <w:r>
        <w:rPr>
          <w:rtl w:val="true"/>
        </w:rPr>
        <w:t>اهمیت فقاهت علامه مجلسی</w:t>
      </w:r>
      <w:bookmarkEnd w:id="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اشتهار علامه مجلسی به حدیث، به حدی است که دیگر ابعاد علمی ایشان در سایه سار این عظمت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ابعاد فقه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گستره آثار ایشان جامع نگاری فقهی و فقه نگاری استدلالی یافت نمی شود اما؛ طیف گسترده ای از آثار ایشان مشحون از بررسی مسائل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آثار بیانات ایشان در شرح اخبار فقهی در کتاب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با موضوع دعا و زیارات و اعمال مستحبی است، مشتمل بر مسائلی از خمس و زکات و کفارات و نیز اعتکاف است که در دو فصل پایانی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به ذکر بحث های فقهی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نگاری های فقهی در موضوعات گوناگون از دیگر آثار فقهی ایشان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تک نگاری ها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صلاة الجمعة و وجوبها العينى فی زمن 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اوقات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زنان و مردان در احکام طهارت و 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خمس و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آداب اسب تاختن و تیر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عقود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تک نگاری ها در مجموعه بیست و پنج رساله فارسی علامه مجلسی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استفتائات 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گوشه ای از تلاش فقهی علامه مجلسی است و می توان شاهد طرح فروعات فقهی در خلال دیگر آثار ایشان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آثار فقهی پیش گفته، امر دیگری که می تواند گواه بعد فقهی علامه مجلسی باشد، زمانه و معاصران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علمی علامه مجلسی در زمانه ای است که فقیهانی هم چون محقق سبزواری، آقا جمال خوانساری و فاضل هندی در آن زیسته و بالیده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زمان عهده دار منصب شیخ الاسلامی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گزارشی در زمانی که مرحوم اردبیلی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الرواه خود را نوشت، نسخه ای از آن را برای شاه سلیمان استنساخ کرده و از علما درخواست نمود که در نگارش مقدمه کتاب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با نوشتن بسم اللّه بر مرحوم آقا جمال خوانساری مقدم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هم چنین از اساتیدی گران مایه، خواه مستقیم و خواه با واسطه، برخوردار بوده است که مکتوبات وی گواه استفاده های وی از گفتار و نوشتار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محمد تقی مجلسی، که مجلسی با تعبیر والدی العلامه از او یاد می کند، مرحوم فیض کاشانی، که با بعض الافاضل از او یاد می شود، مرحوم ملا عبد اللّه تستری و مرحوم شیخ بهایی از این اساتید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از فقها نظیر صاحب مدارک، شهید ثانی و شهید اول تأثیر بسیاری بر آثار فقهی ایشان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bookmarkStart w:id="47" w:name="pg9485_70429"/>
    </w:p>
    <w:p>
      <w:pPr>
        <w:pStyle w:val="BookText"/>
        <w:rPr/>
      </w:pPr>
      <w:bookmarkEnd w:id="47"/>
      <w:r>
        <w:rPr>
          <w:rFonts w:ascii="IRNazanin" w:hAnsi="IRNazanin" w:eastAsia="IRNazanin"/>
          <w:color w:val="111111"/>
          <w:sz w:val="28"/>
          <w:sz w:val="28"/>
          <w:szCs w:val="28"/>
          <w:rtl w:val="true"/>
          <w:lang w:bidi="fa-IR"/>
        </w:rPr>
        <w:t>مجلسی در موارد بسیاری به گزارش دیدگاه های این فقیهان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آثار خود از صاحب مدارک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که گواه تأثیر عمیق صاحب مدارک بر فقه ایشان است</w:t>
      </w:r>
      <w:r>
        <w:rPr>
          <w:rFonts w:eastAsia="IRNazanin" w:cs="IRNazanin"/>
          <w:color w:val="111111"/>
          <w:sz w:val="28"/>
          <w:szCs w:val="28"/>
          <w:rtl w:val="true"/>
          <w:lang w:bidi="fa-IR"/>
        </w:rPr>
        <w:t>.</w:t>
      </w:r>
    </w:p>
    <w:p>
      <w:pPr>
        <w:pStyle w:val="Heading3"/>
        <w:numPr>
          <w:ilvl w:val="2"/>
          <w:numId w:val="1"/>
        </w:numPr>
        <w:rPr/>
      </w:pPr>
      <w:bookmarkStart w:id="48" w:name="__RefHeading___Toc6319370_2870459653"/>
      <w:bookmarkStart w:id="49" w:name="_Toc17"/>
      <w:bookmarkEnd w:id="48"/>
      <w:r>
        <w:rPr>
          <w:rtl w:val="true"/>
        </w:rPr>
        <w:t>فقه علامه مجلسی</w:t>
      </w:r>
      <w:bookmarkEnd w:id="49"/>
    </w:p>
    <w:p>
      <w:pPr>
        <w:pStyle w:val="BookText"/>
        <w:rPr/>
      </w:pPr>
      <w:r>
        <w:rPr>
          <w:rFonts w:ascii="IRNazanin" w:hAnsi="IRNazanin" w:eastAsia="IRNazanin"/>
          <w:color w:val="111111"/>
          <w:sz w:val="28"/>
          <w:sz w:val="28"/>
          <w:szCs w:val="28"/>
          <w:rtl w:val="true"/>
          <w:lang w:bidi="fa-IR"/>
        </w:rPr>
        <w:t>بررسی ویژگی های فقه علامه مجلسی چنان نیست که در ساحت این نوشتار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نوشتار از تلاش متواضعانه خود در نزدیک شدن به پاره ای از این ویژگی ها دریغ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هر یک از ویژگی هایی که در ادامه بدان اشاره خواهد شد درخواه بررسی تفصیلی و محققانه دیگری است</w:t>
      </w:r>
      <w:r>
        <w:rPr>
          <w:rFonts w:eastAsia="IRNazanin" w:cs="IRNazanin"/>
          <w:color w:val="111111"/>
          <w:sz w:val="28"/>
          <w:szCs w:val="28"/>
          <w:rtl w:val="true"/>
          <w:lang w:bidi="fa-IR"/>
        </w:rPr>
        <w:t>.</w:t>
      </w:r>
    </w:p>
    <w:p>
      <w:pPr>
        <w:pStyle w:val="Heading3"/>
        <w:numPr>
          <w:ilvl w:val="2"/>
          <w:numId w:val="1"/>
        </w:numPr>
        <w:rPr/>
      </w:pPr>
      <w:bookmarkStart w:id="50" w:name="__RefHeading___Toc6319372_2870459653"/>
      <w:bookmarkStart w:id="51" w:name="_Toc18"/>
      <w:bookmarkEnd w:id="50"/>
      <w:r>
        <w:rPr>
          <w:rtl w:val="true"/>
        </w:rPr>
        <w:t>نص گروی</w:t>
      </w:r>
      <w:bookmarkEnd w:id="51"/>
    </w:p>
    <w:p>
      <w:pPr>
        <w:pStyle w:val="BookText"/>
        <w:rPr/>
      </w:pPr>
      <w:r>
        <w:rPr>
          <w:rFonts w:ascii="IRNazanin" w:hAnsi="IRNazanin" w:eastAsia="IRNazanin"/>
          <w:color w:val="111111"/>
          <w:sz w:val="28"/>
          <w:sz w:val="28"/>
          <w:szCs w:val="28"/>
          <w:rtl w:val="true"/>
          <w:lang w:bidi="fa-IR"/>
        </w:rPr>
        <w:t>در این فقه ادعای الغاء خصوصیت یا تنقیح مناط ادعایی نیست که به وفور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غسل جمعه در روز پنج شنبه به جهت ترس از نبود آب، امری است که استحباب آن در کلام فقها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حکم یاد شده را به هر ترسی از فوت شدن غسل جمعه سرایت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شب جمعه را نیز مشمول این استحباب دانسته اند و بر آن ادعا اجماع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مرحوم علامه مجلسی هیچ یک از دو تعمیم یاد شده را پذیرا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اطلاقات در این فقه تا حدودی محترم تر بوده و کم تر مورد تعرض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امر را می توان در مورد جواز ازدواج با همسر پنجم در زمان عده طلاق بائن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اگر چه جواز ازدواج به تصریح مرحوم علامه موافق با اصل و شهرت است اما؛ مرحوم علامه مجلسی به چنین جوازی حکم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اطلاق روایاتی است که از ازدواج با همسر </w:t>
      </w:r>
      <w:bookmarkStart w:id="52" w:name="pg9485_70430"/>
    </w:p>
    <w:p>
      <w:pPr>
        <w:pStyle w:val="BookText"/>
        <w:rPr/>
      </w:pPr>
      <w:bookmarkEnd w:id="52"/>
      <w:r>
        <w:rPr>
          <w:rFonts w:ascii="IRNazanin" w:hAnsi="IRNazanin" w:eastAsia="IRNazanin"/>
          <w:color w:val="111111"/>
          <w:sz w:val="28"/>
          <w:sz w:val="28"/>
          <w:szCs w:val="28"/>
          <w:rtl w:val="true"/>
          <w:lang w:bidi="fa-IR"/>
        </w:rPr>
        <w:t>پنجم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مرحوم علامه، خود، به وجود قرینه ای در این روایات که موجب اختصاص نهی به موارد طلاق رجعی است اشاره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53" w:name="__RefHeading___Toc6319374_2870459653"/>
      <w:bookmarkStart w:id="54" w:name="_Toc19"/>
      <w:bookmarkEnd w:id="53"/>
      <w:r>
        <w:rPr>
          <w:rtl w:val="true"/>
        </w:rPr>
        <w:t>گریز از شذوذات</w:t>
      </w:r>
      <w:bookmarkEnd w:id="54"/>
    </w:p>
    <w:p>
      <w:pPr>
        <w:pStyle w:val="BookText"/>
        <w:rPr/>
      </w:pPr>
      <w:r>
        <w:rPr>
          <w:rFonts w:ascii="IRNazanin" w:hAnsi="IRNazanin" w:eastAsia="IRNazanin"/>
          <w:color w:val="111111"/>
          <w:sz w:val="28"/>
          <w:sz w:val="28"/>
          <w:szCs w:val="28"/>
          <w:rtl w:val="true"/>
          <w:lang w:bidi="fa-IR"/>
        </w:rPr>
        <w:t>مرحوم علامه مجلسی از فتوا به امری که در میان اصحاب سابقه ای ندارد اجتناب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مورد اشاره ایشان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افضاء زوجه غیر بالغه مشهور فقیهان به طور مطلق به ثبوت دیه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مقتضای صحیحه حمران، تفصیل بین دو صورت امساک و طلاق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امروزه نیز مورد فتوای فقیهان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مرحوم مجلسی در دفاع از مشهور می فرمایند روایت یاد شده تا کنون مورد فتوای فقیهان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دیدگاه اعراض مشهور یا وجود اجماع در قبال تفصیل یاد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بدان پایه از شهرت و اهمیت نیست که اجماع فقها در مورد آن احراز شود و نیز مرحوم مجلسی در موارد متعددی به فتاوای خلاف مشهور تمایل دارند که به معنای آن است که شهرت از منظر ایشان به خودی خود نمی تواند مانع از حجیت روایات باشد</w:t>
      </w:r>
      <w:r>
        <w:rPr>
          <w:rFonts w:eastAsia="IRNazanin" w:cs="IRNazanin"/>
          <w:color w:val="111111"/>
          <w:sz w:val="28"/>
          <w:szCs w:val="28"/>
          <w:rtl w:val="true"/>
          <w:lang w:bidi="fa-IR"/>
        </w:rPr>
        <w:t>.</w:t>
      </w:r>
    </w:p>
    <w:p>
      <w:pPr>
        <w:pStyle w:val="Heading3"/>
        <w:numPr>
          <w:ilvl w:val="2"/>
          <w:numId w:val="1"/>
        </w:numPr>
        <w:rPr/>
      </w:pPr>
      <w:bookmarkStart w:id="55" w:name="__RefHeading___Toc6319376_2870459653"/>
      <w:bookmarkStart w:id="56" w:name="_Toc20"/>
      <w:bookmarkEnd w:id="55"/>
      <w:r>
        <w:rPr>
          <w:rtl w:val="true"/>
        </w:rPr>
        <w:t>پرهیز از احتیاطات گسترده</w:t>
      </w:r>
      <w:bookmarkEnd w:id="5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و روحیه بسیاری از فقیهان، ایشان را بر آن داشته تا در غالب موارد اختلاف جانب احتیاط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دیدگاه های فقهی مرحوم علامه مجلسی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جانب مبانی، پذیرش برائت در شبهات بدویه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جواز مخالفت قطعیه علم </w:t>
      </w:r>
      <w:bookmarkStart w:id="57" w:name="pg9485_70431"/>
    </w:p>
    <w:p>
      <w:pPr>
        <w:pStyle w:val="BookText"/>
        <w:rPr/>
      </w:pPr>
      <w:bookmarkEnd w:id="57"/>
      <w:r>
        <w:rPr>
          <w:rFonts w:ascii="IRNazanin" w:hAnsi="IRNazanin" w:eastAsia="IRNazanin"/>
          <w:color w:val="111111"/>
          <w:sz w:val="28"/>
          <w:sz w:val="28"/>
          <w:szCs w:val="28"/>
          <w:rtl w:val="true"/>
          <w:lang w:bidi="fa-IR"/>
        </w:rPr>
        <w:t xml:space="preserve">اجمالی در تدریجیات به ایشان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فقه ایشان سیمایی شجاعانه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روحیات ایشان در مواجهه با مسائل و روایات، باعث نشده تا دیدگاه هایی ضیق و دشوار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ازدواج با زنان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زنجانی، بی تا،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ازدواج با مادر همسر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زنجانی، بی تا،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معتقد به استقلال انحصاری دختران باکره در ازدواج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این ازدواج دختران نیازمند رضایت اولیا خویش نیستند اما در جانب مقابل ولی دختر در ازدواج ناگزیر از کسب اجازه دختر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شبیری زنجانی، بی تا،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دیدگاه های ایشان لازم نبودن قضا روزه بر پیرمرد و پیر زنی است که توان قضای روزه خویش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58" w:name="__RefHeading___Toc6319378_2870459653"/>
      <w:bookmarkStart w:id="59" w:name="_Toc21"/>
      <w:bookmarkEnd w:id="58"/>
      <w:r>
        <w:rPr>
          <w:rtl w:val="true"/>
        </w:rPr>
        <w:t>یک پارچگی و دوری از طرح تفصیلات گسترده</w:t>
      </w:r>
      <w:bookmarkEnd w:id="5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ابداء احتمالات در موضوعات، بسیاری از فقیهان را بر آن داشته تا از کلیت فتاوای خویش بکاهند و دست به طرح تفصیلات گوناگون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دیدگاه های فقهی مرحوم علامه مجلسی گویای آن است که فقه ایشان در صدد ایجاد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احداث قول ثالث را جایز نمی شمرند و بر این اساس در موارد متعددی از فقه خود تفصیلات مطرح شده را مردود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مشهور است ازدواج با محارم در شریعت مجوسیان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دیدگاه میراث بردن از چنین سببی و نسب برخاسته از آن مورد پرسش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به ذکر روایتی می پردازند که سبب فاسد را موجب ارث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دنبال ذکر این روایت با انضمام عدم قول بفصل صحت توارث از نسب برخاسته از سبب فاسد را نتیجه می گیرند</w:t>
      </w:r>
      <w:r>
        <w:rPr>
          <w:rFonts w:eastAsia="IRNazanin" w:cs="IRNazanin"/>
          <w:color w:val="111111"/>
          <w:sz w:val="28"/>
          <w:szCs w:val="28"/>
          <w:rtl w:val="true"/>
          <w:lang w:bidi="fa-IR"/>
        </w:rPr>
        <w:t xml:space="preserve">. </w:t>
      </w:r>
      <w:bookmarkStart w:id="60" w:name="pg9485_70432"/>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جایز ندانستن احداث قول ثالث، می توان ریشه های این ویژگی را، در شیوه های اخذ به اطلاق جستجو کرد که گزارشی از آن در ویژگی نص گرایی گذشت</w:t>
      </w:r>
      <w:r>
        <w:rPr>
          <w:rFonts w:eastAsia="IRNazanin" w:cs="IRNazanin"/>
          <w:color w:val="111111"/>
          <w:sz w:val="28"/>
          <w:szCs w:val="28"/>
          <w:rtl w:val="true"/>
          <w:lang w:bidi="fa-IR"/>
        </w:rPr>
        <w:t>.</w:t>
      </w:r>
    </w:p>
    <w:p>
      <w:pPr>
        <w:pStyle w:val="Heading3"/>
        <w:numPr>
          <w:ilvl w:val="2"/>
          <w:numId w:val="1"/>
        </w:numPr>
        <w:rPr/>
      </w:pPr>
      <w:bookmarkStart w:id="61" w:name="__RefHeading___Toc6319380_2870459653"/>
      <w:bookmarkStart w:id="62" w:name="_Toc22"/>
      <w:bookmarkEnd w:id="61"/>
      <w:r>
        <w:rPr>
          <w:rtl w:val="true"/>
        </w:rPr>
        <w:t>فقه نگاری علامه مجلسی</w:t>
      </w:r>
      <w:bookmarkEnd w:id="62"/>
    </w:p>
    <w:p>
      <w:pPr>
        <w:pStyle w:val="BookText"/>
        <w:rPr/>
      </w:pPr>
      <w:r>
        <w:rPr>
          <w:rFonts w:ascii="IRNazanin" w:hAnsi="IRNazanin" w:eastAsia="IRNazanin"/>
          <w:color w:val="111111"/>
          <w:sz w:val="28"/>
          <w:sz w:val="28"/>
          <w:szCs w:val="28"/>
          <w:rtl w:val="true"/>
          <w:lang w:bidi="fa-IR"/>
        </w:rPr>
        <w:t>نوشته های فقهی مرحوم علامه مجلسی، به خصوص فارسی نگاری ها برخوردار از ویژگی هایی است که به این نوشته ها امتیاز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ویژگی ها اشاره خواهد شد</w:t>
      </w:r>
      <w:r>
        <w:rPr>
          <w:rFonts w:eastAsia="IRNazanin" w:cs="IRNazanin"/>
          <w:color w:val="111111"/>
          <w:sz w:val="28"/>
          <w:szCs w:val="28"/>
          <w:rtl w:val="true"/>
          <w:lang w:bidi="fa-IR"/>
        </w:rPr>
        <w:t>.</w:t>
      </w:r>
    </w:p>
    <w:p>
      <w:pPr>
        <w:pStyle w:val="Heading3"/>
        <w:numPr>
          <w:ilvl w:val="2"/>
          <w:numId w:val="1"/>
        </w:numPr>
        <w:rPr/>
      </w:pPr>
      <w:bookmarkStart w:id="63" w:name="__RefHeading___Toc6319382_2870459653"/>
      <w:bookmarkStart w:id="64" w:name="_Toc23"/>
      <w:bookmarkEnd w:id="63"/>
      <w:r>
        <w:rPr>
          <w:rtl w:val="true"/>
        </w:rPr>
        <w:t>تعیین مقدارها</w:t>
      </w:r>
      <w:bookmarkEnd w:id="6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 در ملاک و مقدار از جمله ابهاماتی است که مکلفان را از فهم و اعمال حکم خدا در زندگی خود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نگاری مرحوم مجلسی در موارد متعدد موفق به بر طرف ساختن این ابهامات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نصاب زکات انگور و نیز تعیین دقیق زمان فضیلت نمازهای ظهر عصر از نمونه ای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از غلاتی است که متعلق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زمان تعلق زکات، بنا به اختلاف، یا در زمان غوره شدن میوه تاک و یا در زمان انگور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آن شده تا مقدار انگوری که زکات بدان تعلق می گیرد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مرحوم مجلسی در زمانی که انگور به سه برابر نصاب برسد لازم است زکات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از نسبت انگور و کشمش پرده بر می دارند و نسبت این دو را نسبت سه به یک اعلام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تعیین وقت فضیلت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که در کتب فقهی با بیان اندازه سایه شاخص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معیار آن گونه نیست که همه مخاطبان امکان اندازه </w:t>
      </w:r>
      <w:bookmarkStart w:id="65" w:name="pg9485_70433"/>
    </w:p>
    <w:p>
      <w:pPr>
        <w:pStyle w:val="BookText"/>
        <w:rPr/>
      </w:pPr>
      <w:bookmarkEnd w:id="65"/>
      <w:r>
        <w:rPr>
          <w:rFonts w:ascii="IRNazanin" w:hAnsi="IRNazanin" w:eastAsia="IRNazanin"/>
          <w:color w:val="111111"/>
          <w:sz w:val="28"/>
          <w:sz w:val="28"/>
          <w:szCs w:val="28"/>
          <w:rtl w:val="true"/>
          <w:lang w:bidi="fa-IR"/>
        </w:rPr>
        <w:t>گیری و شناخت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علامه مجلسی را بر آن داشته تا با تألیف رساله بیان اوقات نماز این مقادیر را در ایام مختلف سال تعیین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3"/>
        <w:numPr>
          <w:ilvl w:val="2"/>
          <w:numId w:val="1"/>
        </w:numPr>
        <w:rPr/>
      </w:pPr>
      <w:bookmarkStart w:id="66" w:name="__RefHeading___Toc6319384_2870459653"/>
      <w:bookmarkStart w:id="67" w:name="_Toc24"/>
      <w:bookmarkEnd w:id="66"/>
      <w:r>
        <w:rPr>
          <w:rtl w:val="true"/>
        </w:rPr>
        <w:t>اشاره به احتیاط در مسأله</w:t>
      </w:r>
      <w:bookmarkEnd w:id="67"/>
    </w:p>
    <w:p>
      <w:pPr>
        <w:pStyle w:val="BookText"/>
        <w:rPr/>
      </w:pPr>
      <w:r>
        <w:rPr>
          <w:rFonts w:ascii="IRNazanin" w:hAnsi="IRNazanin" w:eastAsia="IRNazanin"/>
          <w:color w:val="111111"/>
          <w:sz w:val="28"/>
          <w:sz w:val="28"/>
          <w:szCs w:val="28"/>
          <w:rtl w:val="true"/>
          <w:lang w:bidi="fa-IR"/>
        </w:rPr>
        <w:t>اگر چه فقه مرحوم مجلسی چندان احتیاط محور به شمار نمی رود اما؛ ایشان در فقه نگاری خود به موارد احتیاط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احتیاطات در بسیاری از موارد به نحوی نیست که همگان موفق به شناخت آن باشند و از این جهت این تلاش از مرحوم مجلسی درخور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شک در قیام هنگام نیت نماز به واسطه اعاده نماز از جمله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با اشاره به حقیقت نیت در نماز و لازم نبودن اخطار یا تلفظ در آن، چنین شکی را متصور نمی شمرند با این وجود به ذکر شیوه احتیاط در مورد آن پرداخته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68" w:name="__RefHeading___Toc6319386_2870459653"/>
      <w:bookmarkStart w:id="69" w:name="_Toc25"/>
      <w:bookmarkEnd w:id="68"/>
      <w:r>
        <w:rPr>
          <w:rtl w:val="true"/>
        </w:rPr>
        <w:t>توجه به شیوه امتثال</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جالب در فقه نگاری مرحوم مجلسی ارائه راه کارهایی در جهت امتثال بی دغدغه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راه کارها را می توان در خاتمه رساله شکیات نماز ایشان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رساله پس از آن که به تفصیل در احکام سهو و شک در نماز سخن گفته اند، در خاتمه به بیان راه های علاج کثرت شک و سهو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کارهای ایشان توجه به عظمت خالق و پناه بردن به او از شیطان و نیز کوتاه کردن نماز با قرائت سوره های کوتاه و یا شرکت در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به استفاده از سنگ ریزه جهت شمارش رکعات توصیه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بیست و پنج رساله فارسی،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70" w:name="pg9485_70434"/>
    </w:p>
    <w:p>
      <w:pPr>
        <w:pStyle w:val="Heading3"/>
        <w:numPr>
          <w:ilvl w:val="2"/>
          <w:numId w:val="1"/>
        </w:numPr>
        <w:rPr/>
      </w:pPr>
      <w:bookmarkStart w:id="71" w:name="__RefHeading___Toc6319388_2870459653"/>
      <w:bookmarkStart w:id="72" w:name="_Toc26"/>
      <w:bookmarkEnd w:id="70"/>
      <w:bookmarkEnd w:id="71"/>
      <w:r>
        <w:rPr>
          <w:rtl w:val="true"/>
        </w:rPr>
        <w:t>استفاده دیگر فقها از علامه مجلسی</w:t>
      </w:r>
      <w:bookmarkEnd w:id="72"/>
    </w:p>
    <w:p>
      <w:pPr>
        <w:pStyle w:val="BookText"/>
        <w:rPr/>
      </w:pPr>
      <w:r>
        <w:rPr>
          <w:rFonts w:ascii="IRNazanin" w:hAnsi="IRNazanin" w:eastAsia="IRNazanin"/>
          <w:color w:val="111111"/>
          <w:sz w:val="28"/>
          <w:sz w:val="28"/>
          <w:szCs w:val="28"/>
          <w:rtl w:val="true"/>
          <w:lang w:bidi="fa-IR"/>
        </w:rPr>
        <w:t>دیدگاه های علامه مجلسی در مجالات مختلف، همواره مد نظر دیگر فقیهان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پاره ای از این موارد می تواند زمینه ساز بهره گیری مضاعف از آثار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ذکر مواردی از استفاده دیگران از مباحث ایشان پرداخته خواهد شد</w:t>
      </w:r>
      <w:r>
        <w:rPr>
          <w:rFonts w:eastAsia="IRNazanin" w:cs="IRNazanin"/>
          <w:color w:val="111111"/>
          <w:sz w:val="28"/>
          <w:szCs w:val="28"/>
          <w:rtl w:val="true"/>
          <w:lang w:bidi="fa-IR"/>
        </w:rPr>
        <w:t>.</w:t>
      </w:r>
    </w:p>
    <w:p>
      <w:pPr>
        <w:pStyle w:val="Heading3"/>
        <w:numPr>
          <w:ilvl w:val="2"/>
          <w:numId w:val="1"/>
        </w:numPr>
        <w:rPr/>
      </w:pPr>
      <w:bookmarkStart w:id="73" w:name="__RefHeading___Toc6319390_2870459653"/>
      <w:bookmarkStart w:id="74" w:name="_Toc27"/>
      <w:bookmarkEnd w:id="73"/>
      <w:r>
        <w:rPr>
          <w:rtl w:val="true"/>
        </w:rPr>
        <w:t>تتبع گسترده و اشاره به دیدگاه فقیهان</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باعث شده تا در موارد متعددی از نوشته های فقهی ایشان در تعیین وضعیت مسأله در میان فقها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گمانه اجماع یا شهرت وجود دارد بررسی بیانات مرحوم مجلسی در تحقیق صحت و سقم این گمانه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 دهی که شیر کمی می تواند با پرداخت فدیه، از روزه ماه رمضان سر باز زند و قضا آن را به زمانی دیگر محول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تفصیلی مطرح شده است که مورد اختلاف فقیهان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حکم یاد شده را مختص به صورتی دانسته اند که زن ضرری را متوجه خود ببیند؛ در مقابل برخی دیگر حکم را در هر صورت، خواه ضرر متوجه زن و خواه ضرر متوجه فرزند باشد، جاری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آن که برخی از فقیهان قول به اختصاص را مشهور دانسته اند، علامه مجلسی شهرت را در جانب اطلاق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پس از ایشان توسط صاحب ریاض نیز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شبیری زنجانی، بی تا،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جواز افطار ذو العطاش 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زنجانی، بی تا،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استناد وجوب قضا روزه پیر مرد و پیر زن قادر بر قضا کردن 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شبیری زنجانی، بی تا،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این استفاده است</w:t>
      </w:r>
      <w:r>
        <w:rPr>
          <w:rFonts w:eastAsia="IRNazanin" w:cs="IRNazanin"/>
          <w:color w:val="111111"/>
          <w:sz w:val="28"/>
          <w:szCs w:val="28"/>
          <w:rtl w:val="true"/>
          <w:lang w:bidi="fa-IR"/>
        </w:rPr>
        <w:t xml:space="preserve">. </w:t>
      </w:r>
      <w:bookmarkStart w:id="75" w:name="pg9485_70435"/>
    </w:p>
    <w:p>
      <w:pPr>
        <w:pStyle w:val="Heading3"/>
        <w:numPr>
          <w:ilvl w:val="2"/>
          <w:numId w:val="1"/>
        </w:numPr>
        <w:rPr/>
      </w:pPr>
      <w:bookmarkStart w:id="76" w:name="__RefHeading___Toc6319392_2870459653"/>
      <w:bookmarkStart w:id="77" w:name="_Toc28"/>
      <w:bookmarkEnd w:id="75"/>
      <w:bookmarkEnd w:id="76"/>
      <w:r>
        <w:rPr>
          <w:rtl w:val="true"/>
        </w:rPr>
        <w:t>تنقیح نسخ</w:t>
      </w:r>
      <w:bookmarkEnd w:id="77"/>
    </w:p>
    <w:p>
      <w:pPr>
        <w:pStyle w:val="BookText"/>
        <w:rPr/>
      </w:pPr>
      <w:r>
        <w:rPr>
          <w:rFonts w:ascii="IRNazanin" w:hAnsi="IRNazanin" w:eastAsia="IRNazanin"/>
          <w:color w:val="111111"/>
          <w:sz w:val="28"/>
          <w:sz w:val="28"/>
          <w:szCs w:val="28"/>
          <w:rtl w:val="true"/>
          <w:lang w:bidi="fa-IR"/>
        </w:rPr>
        <w:t>دسترسی مرحوم مجلسی به نسخ متعدد و مقابله این نسخ بسیاری از فقها را بر آن داشته تا در تحقیق متن روایات به گزارش های مرحوم مجلسی اتکا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متن روایتی از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نسخه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متن روایتی در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متن روایتی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است</w:t>
      </w:r>
      <w:r>
        <w:rPr>
          <w:rFonts w:eastAsia="IRNazanin" w:cs="IRNazanin"/>
          <w:color w:val="111111"/>
          <w:sz w:val="28"/>
          <w:szCs w:val="28"/>
          <w:rtl w:val="true"/>
          <w:lang w:bidi="fa-IR"/>
        </w:rPr>
        <w:t>.</w:t>
      </w:r>
    </w:p>
    <w:p>
      <w:pPr>
        <w:pStyle w:val="Heading3"/>
        <w:numPr>
          <w:ilvl w:val="2"/>
          <w:numId w:val="1"/>
        </w:numPr>
        <w:rPr/>
      </w:pPr>
      <w:bookmarkStart w:id="78" w:name="__RefHeading___Toc6319394_2870459653"/>
      <w:bookmarkStart w:id="79" w:name="_Toc29"/>
      <w:bookmarkEnd w:id="78"/>
      <w:r>
        <w:rPr>
          <w:rtl w:val="true"/>
        </w:rPr>
        <w:t>تحقیق در سند و رجال حدیث</w:t>
      </w:r>
      <w:bookmarkEnd w:id="79"/>
    </w:p>
    <w:p>
      <w:pPr>
        <w:pStyle w:val="BookText"/>
        <w:rPr/>
      </w:pPr>
      <w:r>
        <w:rPr>
          <w:rFonts w:ascii="IRNazanin" w:hAnsi="IRNazanin" w:eastAsia="IRNazanin"/>
          <w:color w:val="111111"/>
          <w:sz w:val="28"/>
          <w:sz w:val="28"/>
          <w:szCs w:val="28"/>
          <w:rtl w:val="true"/>
          <w:lang w:bidi="fa-IR"/>
        </w:rPr>
        <w:t>امتیاز دیگر نوشته های فقهی ایشان توجه به سند و رجال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این آثار می توان از موارد سقط، تحریف و تعلیق حدیث مطلع شد؛ هم چنان که توجه به دیدگاه های رجالی ایشان، با توجه بررسی رجالی روایت تهذیب و کافی توسط ایشان شایان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کلمات ایشان در جرح و تعدیل مسعده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مسعده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بررسی هاست</w:t>
      </w:r>
      <w:r>
        <w:rPr>
          <w:rFonts w:eastAsia="IRNazanin" w:cs="IRNazanin"/>
          <w:color w:val="111111"/>
          <w:sz w:val="28"/>
          <w:szCs w:val="28"/>
          <w:rtl w:val="true"/>
          <w:lang w:bidi="fa-IR"/>
        </w:rPr>
        <w:t>.</w:t>
      </w:r>
    </w:p>
    <w:p>
      <w:pPr>
        <w:pStyle w:val="Heading3"/>
        <w:numPr>
          <w:ilvl w:val="2"/>
          <w:numId w:val="1"/>
        </w:numPr>
        <w:rPr/>
      </w:pPr>
      <w:bookmarkStart w:id="80" w:name="__RefHeading___Toc6319396_2870459653"/>
      <w:bookmarkStart w:id="81" w:name="_Toc30"/>
      <w:bookmarkEnd w:id="80"/>
      <w:r>
        <w:rPr>
          <w:rtl w:val="true"/>
        </w:rPr>
        <w:t>تحقیق معنای الفاظ</w:t>
      </w:r>
      <w:bookmarkEnd w:id="8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مطالعات و انس مرحوم مجلسی با ادبیات روایت باعث شده تا دیدگاه ایشان در بررسی معنای الفاظ حائز 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جمله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در لباسی که در بردارنده پوست یا موى خز است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اختلاف، تعیین معنای خز و مطابقت آن با حیوانی که امروزه به نام خز معروف است و به ندرت یافت </w:t>
      </w:r>
      <w:bookmarkStart w:id="82" w:name="pg9485_70436"/>
    </w:p>
    <w:p>
      <w:pPr>
        <w:pStyle w:val="BookText"/>
        <w:rPr/>
      </w:pPr>
      <w:bookmarkEnd w:id="82"/>
      <w:r>
        <w:rPr>
          <w:rFonts w:ascii="IRNazanin" w:hAnsi="IRNazanin" w:eastAsia="IRNazanin"/>
          <w:color w:val="111111"/>
          <w:sz w:val="28"/>
          <w:sz w:val="28"/>
          <w:szCs w:val="28"/>
          <w:rtl w:val="true"/>
          <w:lang w:bidi="fa-IR"/>
        </w:rPr>
        <w:t>می شود، اختلاف دیگری است که در کتب فقهی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این مطابقت را انکار کرده و می فرمایند بر اساس روایات خز حیوانی است که در خارج از آب زیست نمی کند اما؛ آن چه امروزه به نام خز شناخته می شود در غالب موارد در خارج از آب زندگی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83" w:name="__RefHeading___Toc6319398_2870459653"/>
      <w:bookmarkStart w:id="84" w:name="_Toc31"/>
      <w:bookmarkEnd w:id="83"/>
      <w:r>
        <w:rPr>
          <w:rtl w:val="true"/>
        </w:rPr>
        <w:t>موضوع شناسی</w:t>
      </w:r>
      <w:bookmarkEnd w:id="84"/>
    </w:p>
    <w:p>
      <w:pPr>
        <w:pStyle w:val="BookText"/>
        <w:rPr/>
      </w:pPr>
      <w:r>
        <w:rPr>
          <w:rFonts w:ascii="IRNazanin" w:hAnsi="IRNazanin" w:eastAsia="IRNazanin"/>
          <w:color w:val="111111"/>
          <w:sz w:val="28"/>
          <w:sz w:val="28"/>
          <w:szCs w:val="28"/>
          <w:rtl w:val="true"/>
          <w:lang w:bidi="fa-IR"/>
        </w:rPr>
        <w:t>شناخت صحیح موضوع در تشخیص حکم اهمیتی به 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بررسی های موضوع شناسانه مرحوم مجلسی استفاده دیگری است که در آثار فقهای پس از ایشان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بررسی حقیقت سحر و اقسام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بحار به تفصیل در باب سحر و اقسام آن سخن گفته که این بررسی در کلمات فقهای پس از ایشان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3"/>
        <w:numPr>
          <w:ilvl w:val="2"/>
          <w:numId w:val="1"/>
        </w:numPr>
        <w:rPr/>
      </w:pPr>
      <w:bookmarkStart w:id="85" w:name="__RefHeading___Toc6319400_2870459653"/>
      <w:bookmarkStart w:id="86" w:name="_Toc32"/>
      <w:bookmarkEnd w:id="85"/>
      <w:r>
        <w:rPr>
          <w:rtl w:val="true"/>
        </w:rPr>
        <w:t>منابع</w:t>
      </w:r>
      <w:bookmarkEnd w:id="86"/>
    </w:p>
    <w:p>
      <w:pPr>
        <w:pStyle w:val="BookText"/>
        <w:rPr/>
      </w:pPr>
      <w:r>
        <w:rPr>
          <w:rFonts w:ascii="IRNazanin" w:hAnsi="IRNazanin" w:eastAsia="IRNazanin"/>
          <w:color w:val="111111"/>
          <w:sz w:val="28"/>
          <w:sz w:val="28"/>
          <w:szCs w:val="28"/>
          <w:rtl w:val="true"/>
          <w:lang w:bidi="fa-IR"/>
        </w:rPr>
        <w:t>آقا بزرگ تهرانی، محمد محسن، الذريعه الى تصانيف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w:t>
      </w:r>
    </w:p>
    <w:p>
      <w:pPr>
        <w:pStyle w:val="BookText"/>
        <w:rPr/>
      </w:pPr>
      <w:r>
        <w:rPr>
          <w:rFonts w:ascii="IRNazanin" w:hAnsi="IRNazanin" w:eastAsia="IRNazanin"/>
          <w:color w:val="111111"/>
          <w:sz w:val="28"/>
          <w:sz w:val="28"/>
          <w:szCs w:val="28"/>
          <w:rtl w:val="true"/>
          <w:lang w:bidi="fa-IR"/>
        </w:rPr>
        <w:t>انصاری، مرتضی</w:t>
      </w:r>
      <w:r>
        <w:rPr>
          <w:rFonts w:eastAsia="IRNazanin" w:cs="IRNazanin"/>
          <w:color w:val="111111"/>
          <w:sz w:val="28"/>
          <w:szCs w:val="28"/>
          <w:rtl w:val="true"/>
          <w:lang w:bidi="fa-IR"/>
        </w:rPr>
        <w:t>.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p>
    <w:p>
      <w:pPr>
        <w:pStyle w:val="BookText"/>
        <w:rPr/>
      </w:pPr>
      <w:r>
        <w:rPr>
          <w:rFonts w:ascii="IRNazanin" w:hAnsi="IRNazanin" w:eastAsia="IRNazanin"/>
          <w:color w:val="111111"/>
          <w:sz w:val="28"/>
          <w:sz w:val="28"/>
          <w:szCs w:val="28"/>
          <w:rtl w:val="true"/>
          <w:lang w:bidi="fa-IR"/>
        </w:rPr>
        <w:t>خویی، سید ابو القاسم</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مدینه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احیاء آثار الامام الخویی</w:t>
      </w:r>
    </w:p>
    <w:p>
      <w:pPr>
        <w:pStyle w:val="BookText"/>
        <w:rPr/>
      </w:pPr>
      <w:r>
        <w:rPr>
          <w:rFonts w:ascii="IRNazanin" w:hAnsi="IRNazanin" w:eastAsia="IRNazanin"/>
          <w:color w:val="111111"/>
          <w:sz w:val="28"/>
          <w:sz w:val="28"/>
          <w:szCs w:val="28"/>
          <w:rtl w:val="true"/>
          <w:lang w:bidi="fa-IR"/>
        </w:rPr>
        <w:t xml:space="preserve">شبیری زنجانی، سید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فقهی امام باقر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رأی پرداز</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مرآه العقول فی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الاخيار فى فهم تهذیب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عمومی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رساله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عمومی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الاعلمى للمطبوعات </w:t>
      </w:r>
      <w:bookmarkStart w:id="87" w:name="pg9485_70437"/>
    </w:p>
    <w:p>
      <w:pPr>
        <w:pStyle w:val="Heading3"/>
        <w:numPr>
          <w:ilvl w:val="2"/>
          <w:numId w:val="1"/>
        </w:numPr>
        <w:rPr/>
      </w:pPr>
      <w:bookmarkStart w:id="88" w:name="__RefHeading___Toc6319402_2870459653"/>
      <w:bookmarkStart w:id="89" w:name="_Toc33"/>
      <w:bookmarkEnd w:id="87"/>
      <w:bookmarkEnd w:id="88"/>
      <w:r>
        <w:rPr>
          <w:rtl w:val="true"/>
        </w:rPr>
        <w:t>میراث بان شیعه</w:t>
      </w:r>
      <w:bookmarkEnd w:id="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حال علامه مجلسی می نویسند که به ایشان خبر رسید که نسخه كتاب مدينه العلم تألیف صدوق در کتاب خانه پادشاه یمن است، علامه مجلسی به پادشاه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شاه سلطان حسین یا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کتاب را از ایشان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نماینده ای با تحف و هدایای فراوان به یمن نزد آن پادشاه فرستاد و کتاب را از وی درخواست نمود، لکن نسخه به نظر علامه مجلسی نرسید و تاکنون اثری از این کتاب دیده و شنیده نشده است</w:t>
      </w:r>
      <w:r>
        <w:rPr>
          <w:rFonts w:eastAsia="IRNazanin" w:cs="IRNazanin"/>
          <w:color w:val="111111"/>
          <w:sz w:val="28"/>
          <w:szCs w:val="28"/>
          <w:rtl w:val="true"/>
          <w:lang w:bidi="fa-IR"/>
        </w:rPr>
        <w:t xml:space="preserve">. </w:t>
      </w:r>
      <w:r>
        <w:rPr>
          <w:rStyle w:val="FootnoteAnchor"/>
          <w:rtl w:val="true"/>
        </w:rPr>
        <w:footnoteReference w:id="5"/>
      </w:r>
      <w:bookmarkStart w:id="90" w:name="pg9485_70438"/>
    </w:p>
    <w:p>
      <w:pPr>
        <w:pStyle w:val="Heading2"/>
        <w:numPr>
          <w:ilvl w:val="1"/>
          <w:numId w:val="1"/>
        </w:numPr>
        <w:rPr/>
      </w:pPr>
      <w:bookmarkStart w:id="91" w:name="__RefHeading___Toc6319404_2870459653"/>
      <w:bookmarkStart w:id="92" w:name="_Toc34"/>
      <w:bookmarkEnd w:id="90"/>
      <w:bookmarkEnd w:id="91"/>
      <w:r>
        <w:rPr>
          <w:rtl w:val="true"/>
        </w:rPr>
        <w:t>پنج</w:t>
      </w:r>
      <w:r>
        <w:rPr>
          <w:rtl w:val="true"/>
        </w:rPr>
        <w:t xml:space="preserve">: </w:t>
      </w:r>
      <w:r>
        <w:rPr>
          <w:rtl w:val="true"/>
        </w:rPr>
        <w:t>تاریخ را برای تاریخ نمی خواهد</w:t>
      </w:r>
      <w:r>
        <w:rPr>
          <w:rtl w:val="true"/>
        </w:rPr>
        <w:t>!</w:t>
      </w:r>
      <w:bookmarkEnd w:id="92"/>
    </w:p>
    <w:p>
      <w:pPr>
        <w:pStyle w:val="Heading3"/>
        <w:numPr>
          <w:ilvl w:val="2"/>
          <w:numId w:val="1"/>
        </w:numPr>
        <w:rPr/>
      </w:pPr>
      <w:bookmarkStart w:id="93" w:name="__RefHeading___Toc6319406_2870459653"/>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تاریخ نگاری علامه مجلسی در صحبت دکتر سعید طاووسی مسرور، محمد امین میر فندرسکی</w:t>
      </w:r>
    </w:p>
    <w:p>
      <w:pPr>
        <w:pStyle w:val="BookText"/>
        <w:rPr/>
      </w:pPr>
      <w:r>
        <w:rPr>
          <w:rFonts w:ascii="IRNazanin" w:hAnsi="IRNazanin" w:eastAsia="IRNazanin"/>
          <w:color w:val="111111"/>
          <w:sz w:val="28"/>
          <w:sz w:val="28"/>
          <w:szCs w:val="28"/>
          <w:rtl w:val="true"/>
          <w:lang w:bidi="fa-IR"/>
        </w:rPr>
        <w:t>عکس</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عرض سلام و ادب و احترام دارم خدمت جناب دکتر سعید طاووسی مسرور، عضو هیأت علمی 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را داریم که در رابطه با کنگره علامه مجلسی، در رابطه با برخی از آثار علامه مجلسی و آثار تاریخی ایشان در خدمت استاد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سلام عرض می کنم خدمتتان در خدمت شما هستیم</w:t>
      </w:r>
    </w:p>
    <w:p>
      <w:pPr>
        <w:pStyle w:val="BookText"/>
        <w:rPr/>
      </w:pPr>
      <w:r>
        <w:rPr>
          <w:rFonts w:ascii="IRNazanin" w:hAnsi="IRNazanin" w:eastAsia="IRNazanin"/>
          <w:color w:val="111111"/>
          <w:sz w:val="28"/>
          <w:sz w:val="28"/>
          <w:szCs w:val="28"/>
          <w:rtl w:val="true"/>
          <w:lang w:bidi="fa-IR"/>
        </w:rPr>
        <w:t>سلام و عرض ادب</w:t>
      </w:r>
    </w:p>
    <w:p>
      <w:pPr>
        <w:pStyle w:val="BookText"/>
        <w:rPr/>
      </w:pPr>
      <w:r>
        <w:rPr>
          <w:rFonts w:ascii="IRNazanin" w:hAnsi="IRNazanin" w:eastAsia="IRNazanin"/>
          <w:color w:val="111111"/>
          <w:sz w:val="28"/>
          <w:sz w:val="28"/>
          <w:szCs w:val="28"/>
          <w:rtl w:val="true"/>
          <w:lang w:bidi="fa-IR"/>
        </w:rPr>
        <w:t>جای خوشحالی است که کنگره ای برای بزرگداشت علامه مجلسی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 هستم که در خدمتتان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اجازه بدهید من سوال اول و موضوع اول را، با معرفی آثار علامه مجلسی و به ویژه سهم ایشان در ثبت تاریخ اسلام و تاریخ اهلبیت علیهم السلام، آغاز کنم و شما درخواست داشته باشم که در مورد آثار ایشان و نقششان در ثبت تاریخ اسلام و تاریخ اهل بیت مطالبی را بفرمایید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خواهش می کنم خدمتتان عرض کنم که علامه مجلسی در علوم مختلف صاحب نظر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اند و فعالیت کرده اند و آثاری را به یادگار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شهرت ایشان به حدیث است ولی؛ مثلا ایشان کتاب رجال دارند و همین طور تألیفات تاریخی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کتابی که ایشان تألیف کرده است بحار الانوار است که طبق تنظیمی که مولف انجام داده است، در بیست و پنج جلد است اما؛ نسخه چاپی که در زمان ما رایج هست صد و ده جلدی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برای این کتاب زحمت کشیده شده است و از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آن به طول انجامیده است و یک کتاب کاملا دائره المعارفی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معمولا ما آن را به عنوان یک مجموعه حدیث می شناسیم؛ در حالی که تحقیقات گوناگون کلامی، تاریخی، فقهی، تفسیری، اخلاقی و حتی لغوی از طرف علامه در آن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کردم، یکی از موضوعات مهمی که مورد نظر علامه بوده است، تاریخ معصومان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 چه در منابع متقدم و حتی در قرون میانه در آثار شیعه یافت می شده است و حتی بعضا در آثار اهل سنت برای تکمیل آن اطلاعاتی که منابع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می دهند، ایشان رفته و گرد آوری و مرتب کرده است به نحوی که اگر هر کدام از بخش های تاریخی بحار را جدا کنند یک کتاب مفصل مستقل در مورد معصومان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مورد حضرت حجت عجل اللّه فرجه یا 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بحار الانوار که در واقع علامه مجلسی به طور ضمنی آمده به تاریخ اسلام و اهل بیت توجه کرده است، اگر ما مراجعه کنیم به رساله عدد تألیفات علامه مجلسی که نوشته سبط ایشان است، یعنی سید محمد حسین بن محمد صالح حسینی خاتون آبادی و مروری بر آثار علامه داشته باشیم، در آثار عربی علامه بیش تر در همین بحار به مسأله تاریخ پرداخته شده است اما؛ در آثار فارسی در واقع آثار مستقلی در حوزه تاریخ دارند یکی حیات القلوب که در سه مجلد تنظیم شده است توسط مولف که تاریخ انبیا را شامل می شود و هم تاریخ حضرت رسول را شامل می شود و در جلد سوم به مباحث مربوط به امامت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تألیف مهم تاریخی علامه هست که حتی این قسمت مربوط به پیامبر از حیات القلوب مورد توجه مستشرقین قرار گرفته است و به انگلیسی ترجمه شده است و در مورد آن مطالبی به زبان های غربی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کتاب جلاء العیون است که فرق آن با کتاب قبلی این است که آن اختصاص به پیامبران و پیامبر داشت، حالا مباحثی نیز در ادامه در مورد امامت آمده بود اما؛ جلاء العیون که کتاب دیگری است به فارسی از علامه مجلسی در مورد تاریخ چهار ده معصوم است و احوالات ائمه و شهادتشان و معجزات و کراماتی که از آن بزرگواران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دیگری که شاید از جهات تاریخی هم بشود به آن توجه کرد کتاب زاد المعاد است که اگر چه کتاب اعمال و ادعیه است اما حاوی مطالب تاریخی هم هست و به علاوه نوعی تقویم نگاری هم برای شیعیان محسوب می شود یعنی تقویم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مذهبی و آن را می توان با مسار الشیعه شیخ مفید از این جهت، البته از جهت تقویم نگاری مناسبتی، بیاییم و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دیگری نیز هست که در فهرست تألیفات علامه مجلسی توسط نوه ایشان نیامده است و آن كتاب تذكرة الائمه است که نسخه هایی از آن وجود دارد و یک بار هم چاپ سنگی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 کتاب به محمد باقر لاهیجی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محمد باقر لاهیجی کسی است که تذکرة الائمه را تلخیص کرده است و نسخه ای به همین عنوان و منسوب به او در کتاب خانه ملی رشت موجود هست اما؛ پژوهش ها نشان می دهد که کتاب تذکرة الائمه از تألیفات علامه مجلسی هست و به زبان فارسی هم نوشته شده است اما؛ ظاهرا علامه این را که تدوین کرده بودند اصلا فرصت این دست نداده که آن را در واقع ویرایش نهایی کنند و شاید خود علامه هم نخواستند آن را منتشر کنند قبل از این که از نظر ایشان نهایی باشد لذا در فهرست آثار ایشان هم ذکر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تذکرة الائمه هم در جای خودش نکات مهمی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علامه در کتاب تذکرة الائمه میلاد امام حسین علیه السلام را؛ موافق با بعضی از اقوال که در شیعه هم بوده است، در ماه ربیع الاول دانسته است که این شاید از نکات خاص این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خدمتتان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ممنونم استاد با توجه به مکاتب تاریخ نگاری متفاوتی که در بین مورخین وجود داشته و با توجه به این آثاری که در ذیل آثار تاریخی علامه مجلسی فرمودید به نظر شما روش تاریخ نگاری علامه مجلسی به چه صورت 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خیلی خوبی هست در واقع من یک پژوهشی در مورد مرحوم سید علی آقا قاضی انجام دادم و در قالب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یکی از نکاتی که آقای قاضی به شاگردانشان تذکر داده اند، این است که اکثر سیره نگاری ها در مورد پیامبر اکرم صلی اللّه علیه و سلم، رویکرد سنی دارد؛ یعنی بر اساس منابع اهل سنت است و با نگاه اهل سنت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ای ایشان می کنند این است که سعی کنید سیره شیعی بنویسید و این خلاء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چه عرض کردم؟ برای این که عرض کنم که علامه مجلسی در روزگاری که دولت صفوی تشکیل شده بود، بعد از ده قرن حاکمیت دولت های اکثرا سنی مذهب، اکثرا چون بعضا دولت هایی بوده اند که شیعه مذهب باشند، مانند آل بویه، اما خب ده قرن تقریبا اکثرش دولت های اهل سنت حاکم بوده اند و نظام مدارس، آموزشگاه ها، دستگاه های فرهنگی، موقوفات از طرف حاکمیت جوری تنظیم می شد که شیعیان در محدودیت قرار بگیرند لذا؛ علامه مجلسی در دوره خودش متوجه این خلاء شد که مثلا سیره با رنگ و بوی شیعی، نه این که نداشته باشیم، کم داریم و در این زمینه با ضعف و خلاء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در زمینه مربوط به پیامبر که ایشان آمدند، هم در حیات القلوب هم در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 العیون، به این بخش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عرض کنم که ایشان این کتاب ها را از این جهت به فارسی می نوشتند که عمو مخاطبان ایران بتوانند از این بهره مند بشوند و کار بسیار هوشمندانه ای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جور مطالب را به بطن مردم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از سید بحر العلوم نقل می شود که من همه آثارم را حاضرم بدهم و ثواب فارسی نویسی های علامه مجلسی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سیره نگاری که انجام دادند دو شاخص را می توانیم در آن بببینیم یکی رویکرد روایی علامه مجلسی هست؛ یعنی علامه مجلسی در بحار الانوار که کاملا محسوس است این رویکرد رواییشان اما در سایر آثار تاریخیشان هم مبتنی بر روایات است و این روایات نیز روایات شیعی هست که مطلب را تدوین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دومی که در سیره نگاری علامه مجلسی می توانیم بگوییم رویکرد کلامی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تاریخ را برای تاریخ نمی خواهد و از تاریخ می خواهد استفاده ای بکند و آن استفاده تحکیم عقاید هست و تقویت مذهب شیعه در برابر مخالفان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شبهات لذا؛ حتی در انتخاب موضوعات و یا در نحوه بیان موضوعات این رویکرد کلامی علامه مجلسی را ما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حدیبیه مثلا، یا در مباهله مثلا، دست روی جاهایی گذاشته می شود که از طریق آن مذهب شیعه را تحکیم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مباهله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هم ایشان در حوزه های مربوط به امیر المومنین و امام حسن و امام حسین سلام اللّه علیهم همین مشکل وجود داشته است و تا حدودی روایت های اهل تسنن غلبه داشته و فضای تاریخ نگاری آن ها و لذا علامه آمدند و اولا هر آن چه که موجود بود را اولا در بحار گرد آوردند که فقط صرف گرد آوری هم نیست؛ تبویب خیلی خوبی دارد در واقع، تدوین خیلی خوبی دارد و همین طور بعضا نکاتی علامه می گویند شرح می کنند روایات را نقادی می کنند؛ مثلا می گویند این روایت با فلان روایت این نا سازگاری را دارد و زحمات زیادی بر روی این روایات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علامه بحث های کتاب شناسی دارند در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این کتاب به فلان کس درست هست یا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علامه مشهور این بوده است که کتاب دعائم الاسلام از صدوق است که علامه این نظر را رد می کنند و مولف اصلی کتاب را که قاضی نعمان است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رحمه اللّه علیه، علاوه بر گرد آوری روایات کارشناسی روایات را انجام داده اند و خیلی زحمت کشیده اند و ثانیا در حیات القلوب و جلا العیون آمده اند روایات را گزینش کرده اند و یک تدوینی انجام داده اند و آن چیزی که مد نظرشان بوده است و برای مخاطب فارسی زبان مناسب می دانستند در قالب این دو کتاب تدوین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مرحوم علامه مجلسی در نسبت منابع و روایات هم نقد بیرونی می کنند و هم نقد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روش هایی که امروزه در تاریخ پژوهی رایج هست ایشان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وارد بحث از </w:t>
      </w:r>
    </w:p>
    <w:p>
      <w:pPr>
        <w:pStyle w:val="BookText"/>
        <w:rPr/>
      </w:pPr>
      <w:r>
        <w:rPr>
          <w:rFonts w:ascii="IRNazanin" w:hAnsi="IRNazanin" w:eastAsia="IRNazanin"/>
          <w:color w:val="111111"/>
          <w:sz w:val="28"/>
          <w:sz w:val="28"/>
          <w:szCs w:val="28"/>
          <w:rtl w:val="true"/>
          <w:lang w:bidi="fa-IR"/>
        </w:rPr>
        <w:t>نسبت کتاب به مولفین می شوند این یعنی نقد بیرونی وقتی وارد اجزا یک روایت می شوند مثلا فرض کنید روایتی که مربوط به اسارت شهر بانو هست در دوره خلیفه دوم، علامه با توجه به زمان ولادت امام سجاد علیه السلام، می گویند که احتمال ندارد که این همه مدت مادر ایشان نازا بوده باشد و قضیه را به زمان عثمان مربوط می کنند، یعنی 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نقد درونی ایشان می کند و هم نقد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خب خیلی ممنونم جناب دکتر طاووسی یک نکته ای که برای خود من پیش آمده در کتاب تاریخ نگاری استاد عالم زاده، که مکاتب تاریخ نگاری را ایشان معرفی می کند مثل مكتب مدينه يا مكتب خراسان یا مکتب کوفه، در بین این مکاتب تاریخ نگاری که معرفی شده است روش تاریخ نگاری علامه مجلسی را به کدام یک از آن ها بیش تر می توان شبیه دانست؟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خدمتتان عرض کنم که ببینید در واقع ما همان زمان هم که درس مکاتب تاریخ نگاری را می خواندیم استاد ما آقای دکتر محسن </w:t>
      </w:r>
    </w:p>
    <w:p>
      <w:pPr>
        <w:pStyle w:val="BookText"/>
        <w:rPr/>
      </w:pPr>
      <w:r>
        <w:rPr>
          <w:rFonts w:ascii="IRNazanin" w:hAnsi="IRNazanin" w:eastAsia="IRNazanin"/>
          <w:color w:val="111111"/>
          <w:sz w:val="28"/>
          <w:sz w:val="28"/>
          <w:szCs w:val="28"/>
          <w:rtl w:val="true"/>
          <w:lang w:bidi="fa-IR"/>
        </w:rPr>
        <w:t>الویری بودند و یک نکته و نقدی داشتند روی این دسته بندی هایی که آقای دکتر عالم زاده انجام می دهند یا مرحوم استاد آیینه وند در کتاب دو جلدی مكاتب تاریخ نگاری اسلامی انجام می دهند و من با نظر استاد موافق بودم که در واقع این مکاتب بعضا با هم هم پوشانی دارند در شخصیت ها و در بعضی از روش ها آن قدر اختلافشان زیاد نیست که ما این ها را مکتب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می فرمودند که ما یک مکتب تاریخ نگاری اسلامی داریم در برابر تاریخ نگاری یونان، تاریخ نگاری فرض کنید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طوری اگر بخواهم ناظر به سوال شما و این دسته بندی توضیح بدهم، علامه نزدیک می شود به هر مکتبی که جنبه روایی بیش تر و تحلیلی کم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فارغ از آن دسته بندی نظر داده باشم علامه در مکتبی دارد قلم می زند که اسم آن را می توانیم بگذاریم تاریخ نگاری شیعی و قبل از ایشان هم بوده است که همین ویژگی هایی که عرض کردم را هم می شود نشان داد در این آثار پیشین یعنی تمرکز بر جمع آوری روایات و نقل آن ها و نگاه کلامی که می توان به شیخ مفید و کتاب الارشاد اشاره کنم و در ادامه به کتاب الهام الوری از امین الاسلام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طوری ایشان را بشناسانیم به صواب نزدیک 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علامه مکتب تاریخ نگاری شیعه را نمایندگی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طاووسی یکی از چیزهایی که در بین مورخین بسیار مرسوم بوده است، سیره نگاری پیامبر اعظم یا سیره نبوی یا سیره نگاری امامان شیعه بوده است نقش علامه مجلسی در این دو موضوع چگونه بوده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اجمالا در سوالات قبلی اشاراتی کردم که علامه در حوزه سیره نبوی مهم ترین کاری که به طور مستقل انجام دادند، حیات القلوب است به زبان فارسی و بخش های مرتبط به پیامبر اکرم صلی اللّه علیه و آله و سلم در کتاب بحار الانوار</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به همین کتاب حیات القلوب ما توجه کنیم اولا در جلد اول و دوم کتاب در چاپ پنج جلدی فعلی را عرض می کنم چون؛ تنظیمی که خود مولف انجام داده است سه مجلد است، ما تاریخ انبیا را می خوانیم و بعد از این که تاریخ انبیا را می خوانیم وارد زندگی پیامبر اکرم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این است که این یک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است که از آدم علیه السلام شروع می شود و دانه دانه انبیا می آیند تا برسیم به خاتم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افرادی که با انبیا مواجه بوده اند هم ذکر می شوند طبیعتا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سیره نبوی می شویم در ادامه همین توضیحی که عرض کردم نسب شریف و خلقت با کرامت آن حضرت ذکر می شود که بله این خاتم انبیا نه تنها ادامه سلسله انبیاست که نسب پاکی دارد و نسب خونی او نیز به این انبیا می رسد و خلقت خاصی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مطالبی در سیره نگاری علامه مجلسی برجسته می شود که ممکن است بعضی از سیره نویسان و تاریخ نگاران از این ها عبور کنند مثلا ببینید کرامات و معجزات برای نمونه مسکویه رازی در تجارب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الامم می گوید که معجزات فایده تاریخی ندارد چون قابل الگو برداری نیست لذا من این ها را ذکر نمی کنم در حالی که می بینیم علامه مجلسی اصرار خاصی بر ذکر معجزات و کرامات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معجزات مثلا خبر دادن از عالم غیب و شفا دادن و معجزاتی که در کفایت شر دشمنان بوده است حتی زنده کردن مردگان سخن گفتن با مردگان زنده شده و این که اصلا مشابه معجزات جمیع پیامبران را پیامبر اکرم داشته است یعنی یک هم چنین رویکردی به پیامبر اکرم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فضائل آن حضرت و خصایص آن حضرت و در آن بخشی که مربوط می شود به زندگی آن بزرگوار می بینیم که به آن نقاطی دست می گذارد که برای مخاطب شیعه لازم تر است و موجب تقویت مذهب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علاوه بر تأکید بر غزوه بدر و غزوه خندق و نقش امیر المومنین در این غزوات، مثلا به طور خاص به صحابه ای که شیعه بوده اند توجه شده مثلا سلمان، ابوذر، مقداد و فضائلی که این ها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جلاء العیون هم همین رویکرد را می بینیم با این تفاوت که این جا در مورد چهار ده معصوم هست یعنی وقتی می خواهد یک معصوم معرفی بشود فضائلش مطرح می شود؛ مثلا به طور خاص اگر مثال بزنم فصل مربوط به حضرت زهرا سلام اللّه علیها فضائل آن حضرت آمده است، مناقب و معجزات آن حضرت آمده است، سیره و مکارم اخلاق آن حضرت آمده است، دو فصل هم در انتها مصائب آن حضرت آمده است و تظلم آن بزرگوار و ماجرایی که مربوط به شهادت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همان رویکردی است که در حیات القلوب هم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مثلا اگر یک معصوم دیگری را هم اگر ما مراجعه بکنیم تقریبا همین فضا را روبرو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شاید این از تاریخ نگاری مرسوم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علامه مجلسی عالم دین هست و در شرایطی که برای یک شیعه در آن </w:t>
      </w:r>
    </w:p>
    <w:p>
      <w:pPr>
        <w:pStyle w:val="BookText"/>
        <w:rPr/>
      </w:pPr>
      <w:r>
        <w:rPr>
          <w:rFonts w:ascii="IRNazanin" w:hAnsi="IRNazanin" w:eastAsia="IRNazanin"/>
          <w:color w:val="111111"/>
          <w:sz w:val="28"/>
          <w:sz w:val="28"/>
          <w:szCs w:val="28"/>
          <w:rtl w:val="true"/>
          <w:lang w:bidi="fa-IR"/>
        </w:rPr>
        <w:t>زمان تهدیدهای اعتقادی هم وجود است، مثلا فرض کنید تصوف و انواع فرقی که بوده اند و یا بعد از صفویه هم به هر حال اهل تسنن بوده اند و فعال بوده اند کما این که صفویه را بخشی از اهل تسنن ایران بر انداختند و حالا گرایش های غالیانه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علامه زندگی می کرده، یعنی دوره پایانی صفویان و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رحلت می کند،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صفویه را داریم لذا</w:t>
      </w:r>
    </w:p>
    <w:p>
      <w:pPr>
        <w:pStyle w:val="BookText"/>
        <w:rPr/>
      </w:pPr>
      <w:r>
        <w:rPr>
          <w:rFonts w:ascii="IRNazanin" w:hAnsi="IRNazanin" w:eastAsia="IRNazanin"/>
          <w:color w:val="111111"/>
          <w:sz w:val="28"/>
          <w:sz w:val="28"/>
          <w:szCs w:val="28"/>
          <w:rtl w:val="true"/>
          <w:lang w:bidi="fa-IR"/>
        </w:rPr>
        <w:t>ایشان به عنوان یک عالم دین رسالت خودش می دیده است که در مورد پیامبر و اهل بیت به چنین مطالبی بپردازد، هرچند از مطالب تاریخی و وقایع مهم این بزرگواران هم غفلت نشده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دو مرتبه به فارسی نویسی علامه اشاره کردید آن هم در دورانی که غالبا علما و دانشمندانی که در حوزه دین کار می کردند اصرار به نوشتن مطالبشان به زبان عربی داشتند این فارسی نویسی از کجا بر می آید یعنی چه چیزی در ذهن ایشان گذشته که بعضی از کتب را تصمیم گرفته که به زبان فارسی بنویسد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ببینید ما با تشکیل دولت صفویه اتفاقی که در ایران شاهدش هستیم، یک این که اساسا بعد از حمله خلیفه دوم ایران به صورت یک پارچه دیگر وجود ندارد و صفویه ایران را به عنوان یک کشور یک پارچه احیا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که مذهب شیعه توسط شاه اسماعیل رسمیت داده می شود در حالی که قبل از آن یک بار فقط در زمان سلطان محمد خدا بنده یا الجایتو این رسمیت وجود داشت و آن هم موقت بود و خود سلطان عقب نشینی کرد به جهت این که فضا آماده نبود هر چند خودش تا آخر عمر شیعه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شرایطی که ایرانیان فارس زبان شیعه نخستین بار است که دارند یک دولت و یک حکومت را تجربه می کنند و حوزه هایی در ایران شکل می گیرد ادبیات مکتوبات متناسب با این مخاطب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پیشین هم مراکز علمی شیعه خارج از مرزهای ایران بوده است و خارج مناطق فارس زبان بوده است، مثلا در جبل عامل یا در حله یا در بغداد و نجف و کوفه؛ بنابر این چون شرایط جدیدی ایجاد شده است و چنین نیازی وجود داشته است برای عامه مردم، فضای فارسی نویسی را می بینیم که شروع می شود و پیش از علامه مجلسی رضوان اللّه علیه ما می بینیم که شیخ بهایی می آید و کتاب جامع عباسی را به فارسی تدوین می کند که می توانیم بگوییم نخستین رساله عملیه شیعه به فارسی هست علامه مجلسی تحت تأثیر بزرگان علما که در اصفهان بوده اند از جمله شیخ بهایی بوده است اما علامه اصراری بر این داشته است و خیلی در این زمینه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بسا بتوانم این تعبیر را به کار ببرم که ایشان ایثار کرده است و شاید اگر همه آثارش را به فارسی می نوشت از جهت شأن علمی و جایگاه بین علما در زمانه خودش وضع بهتری می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یک دغدغه مندی خاصی برای عموم مردم داشته است چون اساسا </w:t>
      </w:r>
    </w:p>
    <w:p>
      <w:pPr>
        <w:pStyle w:val="BookText"/>
        <w:rPr/>
      </w:pPr>
      <w:r>
        <w:rPr>
          <w:rFonts w:ascii="IRNazanin" w:hAnsi="IRNazanin" w:eastAsia="IRNazanin"/>
          <w:color w:val="111111"/>
          <w:sz w:val="28"/>
          <w:sz w:val="28"/>
          <w:szCs w:val="28"/>
          <w:rtl w:val="true"/>
          <w:lang w:bidi="fa-IR"/>
        </w:rPr>
        <w:t>وقتی کتاب به زبان عربی نوشته بشود و بعد بخواهد ترجمه بشود خواه ناخواه آن غرض اصلی مولف سخت به مخاطب انتقال پیدا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چیزهایی که علامه ترجمه کرده است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تألیفات، بحث ترجمه هایی که علامه انجام داده است، مثلا ایشان آمده است نماز را ترجمه کرده است، اذان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شاخص شیعی را ترجمه کرده است؛ مثلا زیارت جامعه کبیره را ترجمه کرده است و البته شرح هم کرده است اما؛ آن ترجمه تا به حال چاپ نشده که خوشبختانه تک نسخه ای از آن را، من به دست آوردم و مراحل تصحیح و تحقیقش را انجام می دهیم که ان شاء اللّه منتشر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خدمتتان عرض کنم که کتاب فرحة الغرى سيد عبد الكريم بن طاووس را ترجمه کرده است چون جواب شبهه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 امیر المومنین در نجف نیست این شبهه ای است که مخالفین کرده اند و سید عبد الکریم بن طاووس به نحو مستوفایی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صفوی </w:t>
      </w:r>
    </w:p>
    <w:p>
      <w:pPr>
        <w:pStyle w:val="BookText"/>
        <w:rPr/>
      </w:pPr>
      <w:r>
        <w:rPr>
          <w:rFonts w:ascii="IRNazanin" w:hAnsi="IRNazanin" w:eastAsia="IRNazanin"/>
          <w:color w:val="111111"/>
          <w:sz w:val="28"/>
          <w:sz w:val="28"/>
          <w:szCs w:val="28"/>
          <w:rtl w:val="true"/>
          <w:lang w:bidi="fa-IR"/>
        </w:rPr>
        <w:t>که دولت شیعه عتبات را تصرف می کند و در اختیار می گیرد انبوه زائران می خواهند به زیارت عتبات بروند و این شبهه آزارشان می دهد لذا؛ علامه آمده است این کتاب را ترجمه کرده است در حالی که می توانستند خلاصه آن را در منابر بگویند ببینید چه دغدغه ای داشته است که آن متن اصلی را آمده است در اختیار مخاطب فارسی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اهوازیه امام صادق علیه السلام به عبد اللّه نجاشی را ترجمه کرده است چون همه کار گزاران حکومت صفوی لزوما از اهل علم و فضل و عربی دان نبودند، مثلا سپاهی بوده است، نظامی بوده است، کار اجرایی داشته است، پرده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واقع آداب فعالیت یک شیعه در دستگاه حکومتی است لذا علامه آمده است و آن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رسائل فارسی علامه اكثرا به چاپ رسیده اند از جمله مجموعه ای از آن ها را با عنوان بیست و پنج رساله فارسی، کتاب خانه مرحوم آیت اللّه مرعشی چاپ کرده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جالبی است که هر کدام از جهتی ناظر به مخاطب فارس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زیارت که عرض کردم رساله ای را ایشان در آن جا نوشته است، به فارسی به عنوان تحقیق در حدیث عدم احتساب عمر زائران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بعضا تألیف هستند و بعضا ترجمه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رساله آداب نماز رساله بیان اوقات نماز رساله بیان شکیات نماز رساله آداب ماه شعبان نشان می دهد رویکرد ایشان در فارسی نویسی و ترجمه فارسی در چه موضوعاتی بوده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ماه محرم و در ماه عزای ابا عبد اللّه الحسین علیه السلام هم قرار داریم سوال پایانی را اگر شما هم مناسب بدانید اختصاص دهیم به سهم خاص و ویژه علامه مجلسی در مورد واقعه کربلا و ثبت آن چه که در کربلا اتفاق </w:t>
      </w:r>
    </w:p>
    <w:p>
      <w:pPr>
        <w:pStyle w:val="BookText"/>
        <w:rPr/>
      </w:pPr>
      <w:r>
        <w:rPr>
          <w:rFonts w:ascii="IRNazanin" w:hAnsi="IRNazanin" w:eastAsia="IRNazanin"/>
          <w:color w:val="111111"/>
          <w:sz w:val="28"/>
          <w:sz w:val="28"/>
          <w:szCs w:val="28"/>
          <w:rtl w:val="true"/>
          <w:lang w:bidi="fa-IR"/>
        </w:rPr>
        <w:t>افتاده است و به طور خاص در مورد عاشورا نگاری که ایشان انجام داده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عالی، به جا و به مناسبت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هست از همان بحث قبلی اگر بخواهم این سوال را جواب داده باشم، یکی از رساله های فارسی علامه مجلسی، رساله در حکمت شهادت سید الشهدا علیه السلام است که این هم به چاپ رسیده است به طور جدا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آن جا یک نظریه ارائه کرده است در فهم عاشورا و نظر ایشان آن است که امام در عین علم به شهادت برای تشکیل حکومت در کوفه قیام کردند و این ها هیچ منافات و تناقضی بین این ها نیست و این را تبیین می کنند در حدود چهل پنجاه صفحه که از همان زمان نگارش رساله بر علما آن زمان تأثیر گذاشتند و عده ای پیرو ایشان شدند در این نظر مثل مرحوم سید نعمت اللّه جزایری تا معاصران که بسیاری از علما و فقهای معاصر چنین نگاهی به عاشورا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خود عاشورا نگاری در دو کتاب به طور جدی وارد بحث تدوین تاریخ عاشورا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مختصر هست به </w:t>
      </w:r>
    </w:p>
    <w:p>
      <w:pPr>
        <w:pStyle w:val="BookText"/>
        <w:rPr/>
      </w:pPr>
      <w:r>
        <w:rPr>
          <w:rFonts w:ascii="IRNazanin" w:hAnsi="IRNazanin" w:eastAsia="IRNazanin"/>
          <w:color w:val="111111"/>
          <w:sz w:val="28"/>
          <w:sz w:val="28"/>
          <w:szCs w:val="28"/>
          <w:rtl w:val="true"/>
          <w:lang w:bidi="fa-IR"/>
        </w:rPr>
        <w:t>فارسی در کتاب جلا العیون که البته نسبت به برخی از ائمه، بیش تر به بحث امام حسین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خاصی در مورد امام حسین باز کرده اند و مفصلا به وقایع عاشورا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 مختصر؟ زیرا مفصلا در بحار به این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بیست و چهار از جلد چهل و چهارتا پایان جلد چهل و پنج از چاپ صد و ده جلدی به موضوع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خلاف روش معمول خودشان که بر اساس روایات شیعی بوده است در بخش امام حسین علیه السلام از منابع عامه و زیدیه هم استفاده کرده اند مثلا مروج الذهب يا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متأخر هم بعضا بهره برده اند و حتی از منابع معاصرشان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نقدی که می توان کرد آن است که برخی از منابع معاصر علامه حاوی روایاتی ضعیف و بدون سند یا غیر معتبری بوده است که از طریق این منابع به بحار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ای که هم هست این است که این متن از زمان صفویه تا به امروز رواج داشته است از جمله مرحوم محمد حسن هشت رودی این بخش از بحار را ترجمه کرده است با عنوان محن الابرار که مستقلا هم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 در مجموع یک تألیف مهم عاشورایی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مدخلی هم در مورد این کتاب در کتاب فرهنگ سوگ شیعی بنده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گزارم استاد خیلی ممنونم از وقتی که در اختیار ما قرار دادید و تشکر بابت پاسخ به سوالات و نکات مفیدی که بیان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نکته پایانی هست در خدمتتان هستیم اگر نه از حضورتان خدا حافظی می کنم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 کنم منم از شما تشکر می کنم و برای همه دست اندر کاران کنگره علامه مجلسی آرزوی توفیق دارم در پناه خدا</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9485_70457"/>
      <w:bookmarkStart w:id="96" w:name="pg9485_70457"/>
      <w:bookmarkEnd w:id="96"/>
    </w:p>
    <w:p>
      <w:pPr>
        <w:pStyle w:val="Heading3"/>
        <w:numPr>
          <w:ilvl w:val="2"/>
          <w:numId w:val="1"/>
        </w:numPr>
        <w:rPr/>
      </w:pPr>
      <w:bookmarkStart w:id="97" w:name="pg9485_70457"/>
      <w:bookmarkStart w:id="98" w:name="__RefHeading___Toc6319408_2870459653"/>
      <w:bookmarkStart w:id="99" w:name="_Toc36"/>
      <w:bookmarkEnd w:id="97"/>
      <w:bookmarkEnd w:id="98"/>
      <w:r>
        <w:rPr>
          <w:rtl w:val="true"/>
        </w:rPr>
        <w:t>همواره در طاعت</w:t>
      </w:r>
      <w:bookmarkEnd w:id="9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سال باوی معاشرت کردم و شب و روز با او بودم، هیچ عمل مباحی از او ندیدم تا چه رسد به مکروهات زیرا؛ وی از فرمایش رسول اکرم صلى اللّه عليه و آله و سلم و سلم پیروی می کرد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وليكن فی كل شیء نية حتى النوم و الاكل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تمام اعمال و افعالش طاعت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جوان بود، تحصیل علوم کرده بود، بدان گونه که احدی از علمای زمانش بدان پایه نبودند، به خصوص در علم حدیث، حل هیچ حدیثی را از وی نپرسیدم مگر آن که به حدیثی مفصل، که حل آن حدیث مجمل بود، مرا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اصفهان مردم را موعظه می فرمود، هیچ کس را فصیح تر و خوش کلام 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شب مطالعه می کردیم، چون روز از او می شنیدیم، چنان بود که هرگز از او نشنیده ایم از حسن تقریر و عذوبت منطقش</w:t>
      </w:r>
      <w:r>
        <w:rPr>
          <w:rFonts w:eastAsia="IRNazanin" w:cs="IRNazanin"/>
          <w:color w:val="111111"/>
          <w:sz w:val="28"/>
          <w:szCs w:val="28"/>
          <w:rtl w:val="true"/>
          <w:lang w:bidi="fa-IR"/>
        </w:rPr>
        <w:t xml:space="preserve">. </w:t>
      </w:r>
      <w:r>
        <w:rPr>
          <w:rStyle w:val="FootnoteAnchor"/>
          <w:rtl w:val="true"/>
        </w:rPr>
        <w:footnoteReference w:id="6"/>
      </w:r>
      <w:bookmarkStart w:id="100" w:name="pg9485_70458"/>
    </w:p>
    <w:p>
      <w:pPr>
        <w:pStyle w:val="Heading2"/>
        <w:numPr>
          <w:ilvl w:val="1"/>
          <w:numId w:val="1"/>
        </w:numPr>
        <w:rPr/>
      </w:pPr>
      <w:bookmarkStart w:id="101" w:name="__RefHeading___Toc6319410_2870459653"/>
      <w:bookmarkStart w:id="102" w:name="_Toc37"/>
      <w:bookmarkEnd w:id="100"/>
      <w:bookmarkEnd w:id="101"/>
      <w:r>
        <w:rPr>
          <w:rtl w:val="true"/>
        </w:rPr>
        <w:t>شش</w:t>
      </w:r>
      <w:r>
        <w:rPr>
          <w:rtl w:val="true"/>
        </w:rPr>
        <w:t xml:space="preserve">: </w:t>
      </w:r>
      <w:r>
        <w:rPr>
          <w:rtl w:val="true"/>
        </w:rPr>
        <w:t>در ادبستان دعا</w:t>
      </w:r>
      <w:bookmarkEnd w:id="102"/>
    </w:p>
    <w:p>
      <w:pPr>
        <w:pStyle w:val="Heading3"/>
        <w:numPr>
          <w:ilvl w:val="2"/>
          <w:numId w:val="1"/>
        </w:numPr>
        <w:rPr/>
      </w:pPr>
      <w:bookmarkStart w:id="103" w:name="__RefHeading___Toc6319412_2870459653"/>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جستاری در دعا نگاری علامه مجلسی جعفر زارعان</w:t>
      </w:r>
    </w:p>
    <w:p>
      <w:pPr>
        <w:pStyle w:val="BookText"/>
        <w:rPr/>
      </w:pPr>
      <w:r>
        <w:rPr>
          <w:rFonts w:ascii="IRNazanin" w:hAnsi="IRNazanin" w:eastAsia="IRNazanin"/>
          <w:color w:val="111111"/>
          <w:sz w:val="28"/>
          <w:sz w:val="28"/>
          <w:szCs w:val="28"/>
          <w:rtl w:val="true"/>
          <w:lang w:bidi="fa-IR"/>
        </w:rPr>
        <w:t>عکس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88" o:detectmouseclick="t"/>
                <v:stroke color="#3465a4" joinstyle="round" endcap="flat"/>
                <w10:wrap type="none"/>
              </v:shape>
            </w:pict>
          </mc:Fallback>
        </mc:AlternateContent>
      </w:r>
      <w:bookmarkStart w:id="105" w:name="pg9485_70459"/>
    </w:p>
    <w:p>
      <w:pPr>
        <w:pStyle w:val="Heading3"/>
        <w:numPr>
          <w:ilvl w:val="2"/>
          <w:numId w:val="1"/>
        </w:numPr>
        <w:rPr/>
      </w:pPr>
      <w:bookmarkStart w:id="106" w:name="__RefHeading___Toc6319414_2870459653"/>
      <w:bookmarkStart w:id="107" w:name="_Toc39"/>
      <w:bookmarkEnd w:id="105"/>
      <w:bookmarkEnd w:id="106"/>
      <w:r>
        <w:rPr>
          <w:rtl w:val="true"/>
        </w:rPr>
        <w:t>اهمیت دعا</w:t>
      </w:r>
      <w:bookmarkEnd w:id="107"/>
    </w:p>
    <w:p>
      <w:pPr>
        <w:pStyle w:val="BookText"/>
        <w:rPr/>
      </w:pPr>
      <w:r>
        <w:rPr>
          <w:rFonts w:ascii="IRNazanin" w:hAnsi="IRNazanin" w:eastAsia="IRNazanin"/>
          <w:color w:val="111111"/>
          <w:sz w:val="28"/>
          <w:sz w:val="28"/>
          <w:szCs w:val="28"/>
          <w:rtl w:val="true"/>
          <w:lang w:bidi="fa-IR"/>
        </w:rPr>
        <w:t>بنابر تعالیم معصومان علیهم السلام، دعا سِلاح مؤمن، ستون دین و نور آسمان ها و زمین، کلیدهای نجات و گنجینه های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شیعیان نیز نسبت به انس و قرائت ادعیه مأثوره، اهتمام داشته و به مناسبت های گوناگون به قرائت آن ها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بی نظیری که در متون ادعیه وجود دارد، این امکان را فراهم کرده است که در روزها و شب های هفته ادعیه مخصوصی وجود داشته باشد، چنان چه ماه ها و ایام خاص، دعای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خواسته های مختلف و رفع و دفع بلاها و غیر آن، متون ویژه ای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شیعیان با بهره مندی از ادعیه، در شرایط مختلف می توانند با باری تعالی ارتباط برقرار کنند</w:t>
      </w:r>
      <w:r>
        <w:rPr>
          <w:rFonts w:eastAsia="IRNazanin" w:cs="IRNazanin"/>
          <w:color w:val="111111"/>
          <w:sz w:val="28"/>
          <w:szCs w:val="28"/>
          <w:rtl w:val="true"/>
          <w:lang w:bidi="fa-IR"/>
        </w:rPr>
        <w:t>.</w:t>
      </w:r>
    </w:p>
    <w:p>
      <w:pPr>
        <w:pStyle w:val="Heading3"/>
        <w:numPr>
          <w:ilvl w:val="2"/>
          <w:numId w:val="1"/>
        </w:numPr>
        <w:rPr/>
      </w:pPr>
      <w:bookmarkStart w:id="108" w:name="__RefHeading___Toc6319416_2870459653"/>
      <w:bookmarkStart w:id="109" w:name="_Toc40"/>
      <w:bookmarkEnd w:id="108"/>
      <w:r>
        <w:rPr>
          <w:rtl w:val="true"/>
        </w:rPr>
        <w:t>اهمیت دعا در تألیفات شیعه</w:t>
      </w:r>
      <w:bookmarkEnd w:id="10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ادعیه در نزد مسلمانان در ضمن آیات قرآن نمایان شده است و در ادامه با ادعیه نبوی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فرق اسلامی، به ادعیه قرآنی و نبوی اکتفا نموده و تراث معارفی آن ها در این </w:t>
      </w:r>
    </w:p>
    <w:p>
      <w:pPr>
        <w:pStyle w:val="BookText"/>
        <w:rPr/>
      </w:pPr>
      <w:r>
        <w:rPr>
          <w:rFonts w:ascii="IRNazanin" w:hAnsi="IRNazanin" w:eastAsia="IRNazanin"/>
          <w:color w:val="111111"/>
          <w:sz w:val="28"/>
          <w:sz w:val="28"/>
          <w:szCs w:val="28"/>
          <w:rtl w:val="true"/>
          <w:lang w:bidi="fa-IR"/>
        </w:rPr>
        <w:t>حوزه، محدود به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جایگاهی که امام معصوم در فرهنگ شیعه دارد این زمینه را فراهم کرده است که تشیع میراث دعایی را تنها در ادعیه صادره از سوی پیامبر اکرم صلی اللّه علیه و آله و سلم ندانسته و حجم زیادی از ادعیه را از سوی جانشینان پیامبر صلی اللّه علیه و آله و سلم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بعد از پیامبر اکرم صلی اللّه علیه و آله و سلم، شیعه با ادعیه صادره از امیر المومنین علیه السلام و فرزندان معصوم او آشنا شده و در طول حیات خود با آن ها مأنوس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ادعیه ابتدائاً از سوی معصومان، انشاء شده است، چنان چه در بسیاری از موارد، درخواست دعا در یک موضوع یا موقعیت خاص توسط اصحاب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بیان بخش قابل توجهی از میراث حدیثی شیعه، ادعیه و مناجات هایی است که از معصومین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یکی از منابع با اهمیت معارف دینی، دعا و متون ادعیه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رویکرد و برای بهره برداری بیش تر و بهتر از این بخش </w:t>
      </w:r>
    </w:p>
    <w:p>
      <w:pPr>
        <w:pStyle w:val="BookText"/>
        <w:rPr/>
      </w:pPr>
      <w:r>
        <w:rPr>
          <w:rFonts w:ascii="IRNazanin" w:hAnsi="IRNazanin" w:eastAsia="IRNazanin"/>
          <w:color w:val="111111"/>
          <w:sz w:val="28"/>
          <w:sz w:val="28"/>
          <w:szCs w:val="28"/>
          <w:rtl w:val="true"/>
          <w:lang w:bidi="fa-IR"/>
        </w:rPr>
        <w:t>متون دینی، از ابتدا کتاب هایی بر اساس متون ادعیه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ها، سابقه نگارش آثار دعایی هم چون دیگر کتب حدیثی، به سده های نخستین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ادبیات کتب ادعیه از آغاز تا کنون سیر تطوری را طی کرده است اما همواره تألیف کتب ادعیه در دستور فعالیت محدثین شیعه قرار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منابع شیعی در طول تاریخ از دسترس ما خارج شده و حداقل بعد از تألیف جوامع حدیثی، از آن شکل ابتدایی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فهرست نگاران شیعه از جمله شیخ طوسی و نجاشی به خوبی عناوین این آثار را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چنین فهرست هایی با نام هایی نظیر کتاب الدعاء، كتاب ادعية الائمة، كتاب يوم و ليلة، كتاب عمل الشهور، کتاب عمل شهر رمضان، كتاب التهجد، كتاب المبسوط فى عمل يوم و ليلة، دعوات الايام،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ها به خوبی جایگاه کتب ادعیه در میان آثار مولفان شیعه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آثاری که در قرون بعدی در زمینه دعا نگارش یافته، بر آمده از همین آثار نهفته 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مهم ترین آثار موجود در دعا نگاری را در طول تاریخ شیعه، دنبال کنیم، در رتبه اول باید از اثر فاخر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توسط دیگرانی تلخیص و ترجمه شده و پیرو آن آثار متعددی تألیف شده و تاکنون جایگاه ویژه ی خود را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شیخ طوسی، معروف ترین آثاری که می شناسیم مربوط به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با استفاده از میراث مکتوبی که در اختیار داشته است، ادعیه ی گوناگونی استخراج نموده و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شیعه تقدیم </w:t>
      </w:r>
      <w:bookmarkStart w:id="110" w:name="pg9485_70462"/>
    </w:p>
    <w:p>
      <w:pPr>
        <w:pStyle w:val="BookText"/>
        <w:rPr/>
      </w:pPr>
      <w:bookmarkEnd w:id="110"/>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دوران بعد، شخصیت محوری در حوزه دعا، ابراهیم بن علی عاملی معروف به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اثر مهم او در موضوع دعا و زیارت و اعمال ماه های قمری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 نام مصباح کفعمی 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حدود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مصباح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منتخب و خلاصه ای از البلد الامین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بعد از مصباح کفعمی، از حضور مصباح المتهجد شیخ در خانه ها کاسته شد</w:t>
      </w:r>
      <w:r>
        <w:rPr>
          <w:rFonts w:eastAsia="IRNazanin" w:cs="IRNazanin"/>
          <w:color w:val="111111"/>
          <w:sz w:val="28"/>
          <w:szCs w:val="28"/>
          <w:rtl w:val="true"/>
          <w:lang w:bidi="fa-IR"/>
        </w:rPr>
        <w:t>.</w:t>
      </w:r>
    </w:p>
    <w:p>
      <w:pPr>
        <w:pStyle w:val="Heading3"/>
        <w:numPr>
          <w:ilvl w:val="2"/>
          <w:numId w:val="1"/>
        </w:numPr>
        <w:rPr/>
      </w:pPr>
      <w:bookmarkStart w:id="111" w:name="__RefHeading___Toc6319418_2870459653"/>
      <w:bookmarkStart w:id="112" w:name="_Toc41"/>
      <w:bookmarkEnd w:id="111"/>
      <w:r>
        <w:rPr>
          <w:rtl w:val="true"/>
        </w:rPr>
        <w:t>نگارش کتب ادعیه</w:t>
      </w:r>
      <w:bookmarkEnd w:id="112"/>
    </w:p>
    <w:p>
      <w:pPr>
        <w:pStyle w:val="BookText"/>
        <w:rPr/>
      </w:pPr>
      <w:r>
        <w:rPr>
          <w:rFonts w:ascii="IRNazanin" w:hAnsi="IRNazanin" w:eastAsia="IRNazanin"/>
          <w:color w:val="111111"/>
          <w:sz w:val="28"/>
          <w:sz w:val="28"/>
          <w:szCs w:val="28"/>
          <w:rtl w:val="true"/>
          <w:lang w:bidi="fa-IR"/>
        </w:rPr>
        <w:t>اکنون که تا حدی با سیر تدوین کتب ادعیه در تاریخ حدیث شیعه، آشنا شدیم، مناسب است مختصری با گونه های مختلف نگارش کتب ادعیه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دعا از دید کلی به چند گروه تقسیم می شوند که در ادامه به آن ها اشاره خواهد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نخست کتاب هایی است که صرفاً </w:t>
      </w:r>
    </w:p>
    <w:p>
      <w:pPr>
        <w:pStyle w:val="BookText"/>
        <w:rPr/>
      </w:pPr>
      <w:r>
        <w:rPr>
          <w:rFonts w:ascii="IRNazanin" w:hAnsi="IRNazanin" w:eastAsia="IRNazanin"/>
          <w:color w:val="111111"/>
          <w:sz w:val="28"/>
          <w:sz w:val="28"/>
          <w:szCs w:val="28"/>
          <w:rtl w:val="true"/>
          <w:lang w:bidi="fa-IR"/>
        </w:rPr>
        <w:t>مشتمل بر دعا بوده و به تناسب تقسیم بندی مؤلف و موضوع ادعیه که درباره روزهای هفته، ماه و یا سال باشد، ترتیب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آثاری که ادعیه رسیده از یک امام را جمع آوری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الوسائل إلى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آثاری که ادعیه ی مربوط به موضوع خاصی را جمع آوری کرده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صلاة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است که دربارة آداب دعا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نوع کتب ادعیه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الدّاعى و نَجاح السّاعى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 فهد حلَی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باقر بن اسماعیل 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است که به نحوی مربوط به امور طلسمات شده و در آن ها از تعویذات، ختم ها و حزرها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نوع کتب ادعیه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الأدعية و الأوراد و الختوم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شيخ علی بن فضل بن هيكل 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مربوط به استخاره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احتساب این آثار در میان کتاب های دعا، این است که دعاهای هنگام الاستخاره به تفصیل در آن ها آمده است؛ علاوه بر این که، خود استخاره نوعی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نوع کتب ادعیه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مجلسی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مشتمل بر زیارات است که به هر روی از همان آغاز پیوسته به کتاب های دعا بوده است، کتاب هایی که از آن ها با عنوان المزار یا شبیه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فرهنگ دعا و زیارت تا اندازه زیادی به یک دیگر آمیخته بوده و به طور معمول در کنار یک دیگر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اولین بار در </w:t>
      </w:r>
      <w:bookmarkStart w:id="113" w:name="pg9485_70464"/>
    </w:p>
    <w:p>
      <w:pPr>
        <w:pStyle w:val="BookText"/>
        <w:rPr/>
      </w:pPr>
      <w:bookmarkEnd w:id="113"/>
      <w:r>
        <w:rPr>
          <w:rFonts w:ascii="IRNazanin" w:hAnsi="IRNazanin" w:eastAsia="IRNazanin"/>
          <w:color w:val="111111"/>
          <w:sz w:val="28"/>
          <w:sz w:val="28"/>
          <w:szCs w:val="28"/>
          <w:rtl w:val="true"/>
          <w:lang w:bidi="fa-IR"/>
        </w:rPr>
        <w:t xml:space="preserve">نیمه اول قرن پنجم دعا و زیارت،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 و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طرازی، به صراحت در کنار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پنج گونه ای که بیان شد بخش قابل توجهی از کتب ادعیه، مواردی است که همه یا بخشی از موارد یاد شده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 هایی این دست بر شمرد</w:t>
      </w:r>
      <w:r>
        <w:rPr>
          <w:rFonts w:eastAsia="IRNazanin" w:cs="IRNazanin"/>
          <w:color w:val="111111"/>
          <w:sz w:val="28"/>
          <w:szCs w:val="28"/>
          <w:rtl w:val="true"/>
          <w:lang w:bidi="fa-IR"/>
        </w:rPr>
        <w:t>.</w:t>
      </w:r>
    </w:p>
    <w:p>
      <w:pPr>
        <w:pStyle w:val="Heading3"/>
        <w:numPr>
          <w:ilvl w:val="2"/>
          <w:numId w:val="1"/>
        </w:numPr>
        <w:rPr/>
      </w:pPr>
      <w:bookmarkStart w:id="114" w:name="__RefHeading___Toc6319420_2870459653"/>
      <w:bookmarkStart w:id="115" w:name="_Toc42"/>
      <w:bookmarkEnd w:id="114"/>
      <w:r>
        <w:rPr>
          <w:rtl w:val="true"/>
        </w:rPr>
        <w:t>علامه مجلسی و دعا</w:t>
      </w:r>
      <w:bookmarkEnd w:id="115"/>
    </w:p>
    <w:p>
      <w:pPr>
        <w:pStyle w:val="Heading4"/>
        <w:numPr>
          <w:ilvl w:val="3"/>
          <w:numId w:val="1"/>
        </w:numPr>
        <w:rPr/>
      </w:pPr>
      <w:bookmarkStart w:id="116" w:name="__RefHeading___Toc6319422_2870459653"/>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علامه محمد باقر مجلسی آثار فراوانی در حوزه های مختلف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آثاری چند نیز در موضوع ادعیه نگاشته است که در ادامه با آن آشنا می شویم</w:t>
      </w:r>
      <w:r>
        <w:rPr>
          <w:rFonts w:eastAsia="IRNazanin" w:cs="IRNazanin"/>
          <w:color w:val="111111"/>
          <w:sz w:val="28"/>
          <w:szCs w:val="28"/>
          <w:rtl w:val="true"/>
          <w:lang w:bidi="fa-IR"/>
        </w:rPr>
        <w:t>.</w:t>
      </w:r>
    </w:p>
    <w:p>
      <w:pPr>
        <w:pStyle w:val="Heading4"/>
        <w:numPr>
          <w:ilvl w:val="3"/>
          <w:numId w:val="1"/>
        </w:numPr>
        <w:rPr/>
      </w:pPr>
      <w:bookmarkStart w:id="118" w:name="__RefHeading___Toc6319424_2870459653"/>
      <w:bookmarkStart w:id="119" w:name="_Toc44"/>
      <w:bookmarkEnd w:id="118"/>
      <w:r>
        <w:rPr/>
        <w:t>1</w:t>
      </w:r>
      <w:r>
        <w:rPr>
          <w:rtl w:val="true"/>
        </w:rPr>
        <w:t xml:space="preserve"> </w:t>
      </w:r>
      <w:r>
        <w:rPr>
          <w:rtl w:val="true"/>
        </w:rPr>
        <w:t>بحار الانوار</w:t>
      </w:r>
      <w:bookmarkEnd w:id="119"/>
    </w:p>
    <w:p>
      <w:pPr>
        <w:pStyle w:val="Heading5"/>
        <w:numPr>
          <w:ilvl w:val="4"/>
          <w:numId w:val="1"/>
        </w:numPr>
        <w:rPr/>
      </w:pPr>
      <w:bookmarkStart w:id="120" w:name="__RefHeading___Toc6319426_2870459653"/>
      <w:bookmarkStart w:id="121" w:name="_Toc45"/>
      <w:bookmarkEnd w:id="120"/>
      <w:r>
        <w:rPr>
          <w:rtl w:val="true"/>
        </w:rPr>
        <w:t>اشاره</w:t>
      </w:r>
      <w:bookmarkEnd w:id="1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المعارف بحار الانوار که اثر ماندگار علامه مجلسی است، مباحث مختلفی پیرامون ادعیه و زیارت و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هشتاد و سوم این کتاب تعقیبات نمازهای یومیه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هشتاد و شش و هشتاد و هفتم به فضیلت روز و شب جمعه و </w:t>
      </w:r>
      <w:bookmarkStart w:id="122" w:name="pg9485_70465"/>
    </w:p>
    <w:p>
      <w:pPr>
        <w:pStyle w:val="BookText"/>
        <w:rPr/>
      </w:pPr>
      <w:bookmarkEnd w:id="122"/>
      <w:r>
        <w:rPr>
          <w:rFonts w:ascii="IRNazanin" w:hAnsi="IRNazanin" w:eastAsia="IRNazanin"/>
          <w:color w:val="111111"/>
          <w:sz w:val="28"/>
          <w:sz w:val="28"/>
          <w:szCs w:val="28"/>
          <w:rtl w:val="true"/>
          <w:lang w:bidi="fa-IR"/>
        </w:rPr>
        <w:t>اعمال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نود و نود یک و نود دو، باب های دعا و حرز و عوذات پیامبر اکرم صلی اللّه علیه و آله و سلم و ائمه علیهم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دو جلد نود و چهار و نود و پنجم مرتبط با اعمال روزها و سال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جلد نود هفتم، نود و هشتم و نود و نهم به کتتاب مزار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بین سال های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گردیده است، چنان چه جلد هجده در چهار دهم صفر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جلد بیست و دو در بیست و هفت رجب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و جلد نوزده نیز توسط علامه تصحیح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دعا نگاری علامه در بحار الانوار تا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نهایتاً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Heading5"/>
        <w:numPr>
          <w:ilvl w:val="4"/>
          <w:numId w:val="1"/>
        </w:numPr>
        <w:rPr/>
      </w:pPr>
      <w:bookmarkStart w:id="123" w:name="__RefHeading___Toc6319428_2870459653"/>
      <w:bookmarkStart w:id="124" w:name="_Toc46"/>
      <w:bookmarkEnd w:id="123"/>
      <w:r>
        <w:rPr>
          <w:rtl w:val="true"/>
        </w:rPr>
        <w:t>تحفة الزائر</w:t>
      </w:r>
      <w:bookmarkEnd w:id="124"/>
    </w:p>
    <w:p>
      <w:pPr>
        <w:pStyle w:val="BookText"/>
        <w:rPr/>
      </w:pPr>
      <w:r>
        <w:rPr>
          <w:rFonts w:ascii="IRNazanin" w:hAnsi="IRNazanin" w:eastAsia="IRNazanin"/>
          <w:color w:val="111111"/>
          <w:sz w:val="28"/>
          <w:sz w:val="28"/>
          <w:szCs w:val="28"/>
          <w:rtl w:val="true"/>
          <w:lang w:bidi="fa-IR"/>
        </w:rPr>
        <w:t>علامه مجلسی در کتاب المزار بحار الانوار به ذکر زیارات معصومان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حدود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زیاراتی اقدام می کند که به طرق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جهت آن که ثواب زیارت پیامبر اکرم صلى اللّه عليه و آله و ائمه علیهم السلام در احادیث فراوانی آمده و بیش تر کتب زیارت، به زبان عربی نوشته شده است، تصمیم می گیرد کتابی در زمینه آداب زیارت معتبر نقل شده از معصومان به زبان فارسی بنویسد تا شیعیان فارسی زبان از آن بهره ببرند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مقتضای اخبار بسیار و احادیث بی شمار، زیارت رسول مختار و ائمه ابرار صلوات اللّه عليهم أجمعین از اشرف قُربات است و در هر عمل رعایتِ آداب مأثوره و الفاظ منقوله از ائمّه هدی صلوات اللَّه عليهم موجب مزید قبول و قُرب وصول به مأمول می گردد و اکثر کتبی که در زیارات مصنَّف گردیده است به لغت عرب تالیف نموده اند و اکثر خلق را از آن بهره کامل و حظّ شاملی نیست و </w:t>
      </w:r>
    </w:p>
    <w:p>
      <w:pPr>
        <w:pStyle w:val="BookText"/>
        <w:rPr/>
      </w:pPr>
      <w:r>
        <w:rPr>
          <w:rFonts w:ascii="IRNazanin" w:hAnsi="IRNazanin" w:eastAsia="IRNazanin"/>
          <w:color w:val="111111"/>
          <w:sz w:val="28"/>
          <w:sz w:val="28"/>
          <w:szCs w:val="28"/>
          <w:rtl w:val="true"/>
          <w:lang w:bidi="fa-IR"/>
        </w:rPr>
        <w:t>بسیاری از زیارات، مظنون آن است که از تأليفات علما رضوان اللَّه علیهم است و زیارات منقوله بسیار از ائمه اطهار علیهم السلام به نظر این قاصر رسیده بود، که با وجود آن ها به زیارات مؤلّفه علما احتیاج نبود، بخواست که رساله ای تألیف نماید که مقصور باشد بر ذکر زیارات و ادعیه و آدابی که به اسانید معتبره از ائمه دین صلوات اللَّه عليهم اجمعین منقول گردیده است و فضایل و آداب هر یک را به لغت فارسی ترجمه نماید، تا اکثر شیعیان این دیار از این رساله وافیه بهره مند گردند و اطلاع بر فضایل زيارات موجب مزید رغبات ایشان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مقدمه دانسته می شود علامه سه دغدغه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بیان زیارات مأثور از سوی معصومان در مقابل زیارت تالیف شده، دوم بیان زیارات به اسناد معتبر و سوم تألیف کتابی به زبان فارسی برای بهره مندی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یک مقدمه، دوازده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کتاب را در ماه صفر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bookmarkStart w:id="125" w:name="pg9485_70467"/>
    </w:p>
    <w:p>
      <w:pPr>
        <w:pStyle w:val="Heading5"/>
        <w:numPr>
          <w:ilvl w:val="4"/>
          <w:numId w:val="1"/>
        </w:numPr>
        <w:rPr/>
      </w:pPr>
      <w:bookmarkStart w:id="126" w:name="__RefHeading___Toc6319430_2870459653"/>
      <w:bookmarkStart w:id="127" w:name="_Toc47"/>
      <w:bookmarkEnd w:id="125"/>
      <w:bookmarkEnd w:id="126"/>
      <w:r>
        <w:rPr>
          <w:rtl w:val="true"/>
        </w:rPr>
        <w:t>مقباس المصابيح</w:t>
      </w:r>
      <w:bookmarkEnd w:id="127"/>
    </w:p>
    <w:p>
      <w:pPr>
        <w:pStyle w:val="BookText"/>
        <w:rPr/>
      </w:pPr>
      <w:r>
        <w:rPr>
          <w:rFonts w:ascii="IRNazanin" w:hAnsi="IRNazanin" w:eastAsia="IRNazanin"/>
          <w:color w:val="111111"/>
          <w:sz w:val="28"/>
          <w:sz w:val="28"/>
          <w:szCs w:val="28"/>
          <w:rtl w:val="true"/>
          <w:lang w:bidi="fa-IR"/>
        </w:rPr>
        <w:t>این کتاب در ادعیه و تعقیبات نماز و هم چنین ادعیه ی اوقات مختلف روز، 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اشرف عبادات بدنیّه نماز است، و تعقیبات مأثوره را در تکمیل صلوات مدخلیّتی عظیم هست؛ و ایضاً موجب رفع درجات، و حطّ سيّئات، و حصول مطالب و حاجات می گردند، و هیچ راه از طرُقِ قربِ رافع الدرجات به دعا و مناجات نمی رسد؛ و کتب و رسایل که در این مطلب تدوین شده محیط به همه آن ها نیست، و بسیاری از آن ها که به اسانید صحیحه منقول گردیده ایراد ننموده اند و بعضی از آن ها که ایراد نموده اند خصوصیّتی به تعقیب ندارد، و بعضی که مخصوص به نماز خاصّی وارد شده در تعقیب مطلق صلوات ایراد نموده اند؛ و چون این قاصر جمیع آن ها را در کتاب بحار الانوار به طرق متعدّده ایراد کرده ام به خاطر فاتر رسید اکثر آن ها را در رساله ای جدا جمع کنم، و به فارسی احادیث آن ها را ترجمه نمایم تا عامّه خلق از آن بهره مند توانند شد، و در ضمن نقل هر یک اشاره به صحّت و قوّت هر یک به حسب سند بشود که اگر ناقد بصیر خواهد که بعضی را اختیار نماید راه امتیاز را داند؛ و دعاهای صبح و شام و سایر ساعات لیل و نهار را اضافه نمودم، و بر ده فصل مرتّب گردانیدم، و چون ادعیه را از کتب معتبره علمای سلف رضوان اللّه عليهم و مصباح ها که در دعا تألیف نموده اند اقتباس نموده به مقباس المصابیح مسمّی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مقدمه بدست می آید که علامه در صدد تدوین کتابی است اولاً جامعیت داشته باشد و ثانیاً از اعتبار کافی برخوردار باشد و ثالثاً برای عامه ی مردم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کتاب در ماه رمضان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bookmarkStart w:id="128" w:name="pg9485_70468"/>
    </w:p>
    <w:p>
      <w:pPr>
        <w:pStyle w:val="Heading5"/>
        <w:numPr>
          <w:ilvl w:val="4"/>
          <w:numId w:val="1"/>
        </w:numPr>
        <w:rPr/>
      </w:pPr>
      <w:bookmarkStart w:id="129" w:name="__RefHeading___Toc6319432_2870459653"/>
      <w:bookmarkStart w:id="130" w:name="_Toc48"/>
      <w:bookmarkEnd w:id="128"/>
      <w:bookmarkEnd w:id="129"/>
      <w:r>
        <w:rPr>
          <w:rtl w:val="true"/>
        </w:rPr>
        <w:t>ربيع الاسابيع</w:t>
      </w:r>
      <w:bookmarkEnd w:id="130"/>
    </w:p>
    <w:p>
      <w:pPr>
        <w:pStyle w:val="BookText"/>
        <w:rPr/>
      </w:pPr>
      <w:r>
        <w:rPr>
          <w:rFonts w:ascii="IRNazanin" w:hAnsi="IRNazanin" w:eastAsia="IRNazanin"/>
          <w:color w:val="111111"/>
          <w:sz w:val="28"/>
          <w:sz w:val="28"/>
          <w:szCs w:val="28"/>
          <w:rtl w:val="true"/>
          <w:lang w:bidi="fa-IR"/>
        </w:rPr>
        <w:t>ربیع الاسابیع کتابی در باب اعمال روزهای هفته است که البته حجم کتاب به شب و روز جمعه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این کتاب را در چهار ده فصل و یک خاتمه تدوین کرده و در جمادی الاول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شهادت آیات کریمه و دلالت روایات قویمه مأثوره از نبیّ مختار و اهل بیت اطهار صلوات اللّه عليهم اجمعين كالشمس فی رابعة النهار لایح و ظاهر گردیده است که شب و روز جمعه از میان سایر لیالی و ایّام به مزید رفعت و کرامت و شرافت و نباهت ممتازند و به انتساب به حضرت سیّد انبیا و آل ولايت اِنتما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اطناب در مدح و ثنا بی نیاز و در اخبار بی شمار اعمال بسیار از صلوات و دعوات و غیر آن ها از سیّد ابرار و ائمّه اخبار عليه و عليهم الصّلاة و السّلام مأثور و در کتب معتبره مسطور است و اکثر خلق قدر این دو گوهر ثمین و دو سرمایه رحمت ربّ العالمین را نشناخته ساعات شریفه آن ها را که زبده و خلاصه عمر گران مایه است صرف غفلت و طرب و لهو و لعب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این رساله عجاله را با ضیق </w:t>
      </w:r>
      <w:bookmarkStart w:id="131" w:name="pg9485_70469"/>
    </w:p>
    <w:p>
      <w:pPr>
        <w:pStyle w:val="BookText"/>
        <w:rPr/>
      </w:pPr>
      <w:bookmarkEnd w:id="131"/>
      <w:r>
        <w:rPr>
          <w:rFonts w:ascii="IRNazanin" w:hAnsi="IRNazanin" w:eastAsia="IRNazanin"/>
          <w:color w:val="111111"/>
          <w:sz w:val="28"/>
          <w:sz w:val="28"/>
          <w:szCs w:val="28"/>
          <w:rtl w:val="true"/>
          <w:lang w:bidi="fa-IR"/>
        </w:rPr>
        <w:t xml:space="preserve">مجال و وفور اشتغال در حیّز تحریر در آورد و برخی از اعمال سایر ایّام هفته را نیز به آن اضافه نمود و بر چهار ده فصل و خاتمه مرتّب گردانید و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الأسابيع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پیش تر در بحار الانوار به این گونه ادعیه پرداخته است، اما در راستای هدایت و ارشاد مردمی که از سرمایه عمر خود بهره نمی برند اثری با این موضوع تدوین کرده است</w:t>
      </w:r>
      <w:r>
        <w:rPr>
          <w:rFonts w:eastAsia="IRNazanin" w:cs="IRNazanin"/>
          <w:color w:val="111111"/>
          <w:sz w:val="28"/>
          <w:szCs w:val="28"/>
          <w:rtl w:val="true"/>
          <w:lang w:bidi="fa-IR"/>
        </w:rPr>
        <w:t>.</w:t>
      </w:r>
    </w:p>
    <w:p>
      <w:pPr>
        <w:pStyle w:val="Heading5"/>
        <w:numPr>
          <w:ilvl w:val="4"/>
          <w:numId w:val="1"/>
        </w:numPr>
        <w:rPr/>
      </w:pPr>
      <w:bookmarkStart w:id="132" w:name="__RefHeading___Toc6319434_2870459653"/>
      <w:bookmarkStart w:id="133" w:name="_Toc49"/>
      <w:bookmarkEnd w:id="132"/>
      <w:r>
        <w:rPr>
          <w:rtl w:val="true"/>
        </w:rPr>
        <w:t>زاد المعاد</w:t>
      </w:r>
      <w:bookmarkEnd w:id="133"/>
    </w:p>
    <w:p>
      <w:pPr>
        <w:pStyle w:val="BookText"/>
        <w:rPr/>
      </w:pPr>
      <w:r>
        <w:rPr>
          <w:rFonts w:ascii="IRNazanin" w:hAnsi="IRNazanin" w:eastAsia="IRNazanin"/>
          <w:color w:val="111111"/>
          <w:sz w:val="28"/>
          <w:sz w:val="28"/>
          <w:szCs w:val="28"/>
          <w:rtl w:val="true"/>
          <w:lang w:bidi="fa-IR"/>
        </w:rPr>
        <w:t xml:space="preserve">ظاهراً آخرين تالیف علامه مجلسی در ادبیات دعا، کتاب ارزشمند زاد المعاد است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اواخر عمر ایشان یعنی ماه رمضان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فارسی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تبویب کتاب، از یک مقدمه و چهار ده باب و خاتمه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عمومی به زاد المعاد بسیار بوده و ده ها بار طبع و نشر یافته و تا پیش از انتشار مفاتیح الجنان، معروف ترین کتاب ادعیه و زیارت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4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0"/>
                        <a:stretch/>
                      </pic:blipFill>
                      <pic:spPr>
                        <a:xfrm>
                          <a:off x="0" y="0"/>
                          <a:ext cx="2540160" cy="6985080"/>
                        </a:xfrm>
                        <a:prstGeom prst="rect">
                          <a:avLst/>
                        </a:prstGeom>
                        <a:ln w="0">
                          <a:noFill/>
                        </a:ln>
                      </pic:spPr>
                    </pic:pic>
                  </a:graphicData>
                </a:graphic>
              </wp:inline>
            </w:drawing>
          </mc:Choice>
          <mc:Fallback>
            <w:pict>
              <v:shape id="shape_0" stroked="f" o:allowincell="f" style="position:absolute;margin-left:0pt;margin-top:-550.05pt;width:199.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نقل است که وقتی از علامه مجلسی در خواست تألیف کتابی در دعا و زیارة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ذريعة النجاح عمل کنید، که شما را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دوانی،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این کتاب از آثار میر محمد صالح خاتون آبادی است و با موضوع اعمال و ادعیه ی معتبر سال و بعضی زیارات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کتاب را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اند یعنی حدوداً هفت سال قبل از تالیف 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چیزی علامه مجلسی را مجاب کرده است تا کتاب دیگری در این موضوع، نگارش کند، پاسخ صریحی ندارد اما شاید کلمات او در مقدمه زاد المعاد راه گشا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جناب مقدس ایزد تعالی شأنه، برای هدایت گم گشتگان بوادی جهالت و ضلالت، طريق صوم و صلاة و دعا و عبادات که اشرف طاعات و اقرب طرق نیل سعاداتند، مقرر گردانیده و از حضرت رسول خدا و ائمة هدى صلوات اللّه عليه و علیهم اجمعین ادعیه و اعمال بسیار منقول گردیده که کتب دعا مشحون است از آن ها و این خادم اخبار ائمع </w:t>
      </w:r>
    </w:p>
    <w:p>
      <w:pPr>
        <w:pStyle w:val="BookText"/>
        <w:rPr/>
      </w:pPr>
      <w:r>
        <w:rPr>
          <w:rFonts w:ascii="IRNazanin" w:hAnsi="IRNazanin" w:eastAsia="IRNazanin"/>
          <w:color w:val="111111"/>
          <w:sz w:val="28"/>
          <w:sz w:val="28"/>
          <w:szCs w:val="28"/>
          <w:rtl w:val="true"/>
          <w:lang w:bidi="fa-IR"/>
        </w:rPr>
        <w:t>اطهار عليهم صلوات اللّه الملک الغفار اکثر آن ها را در کتاب بحار الانوار ایراد نموده و اکثر خلق باعتبار اشتغال بانواع اشغال دنیویه و غیرها تحصیل آن ها و عمل بجمیع آن ها میسر نیست، خواستم که منتخبی از اعمال سال و فضائل ایام و لیالی شریفه متبرکه و اعمال آن ها که باسانید صحیحه و معتبره وارد شده است در این رساله ایراد نمایم که عامه خلق از برکات آن محروم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مقدمه، انگیزه ی اصلی مؤلف، فراهم کردن زمینه ی بهره مندی عموم مردم از دعا و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علامه با وجود ارجاع به کتبی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ذريعة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تألیف اثری بر آمده اند که عموم مردم که اهتمام کم تری به امور عبادی دارند، بتوانند از دعا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باب پایانی زاد المعاد از ادبیات دعا فاصله گرفته و بیش تر به بیان احکام و مسائل فقهی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از باب دوازدهم، احکام نماز آیات بیان شده، در باب سیزدهم به احکام مرتبط به اموات پرداخته شده، و عنوان باب چهار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زکات و خمس و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خاتمه ی کتاب نیز به مسائل مربوط به کفاره اختصاص یافته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چاپ های قدیمی کتاب زاد المعاد،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به رغم شهرتی که داشته است، مؤلفش نا 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مورد اعتماد نبوده و بعدها محدث قمی بر اساس همین کتاب و با هدف ذکر ادعیه معتبر آن کتاب و البته افزودن ادعیه دیگر، به تألیف مفاتیح الجنان اقدام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34" w:name="pg9485_70472"/>
    </w:p>
    <w:p>
      <w:pPr>
        <w:pStyle w:val="Heading5"/>
        <w:numPr>
          <w:ilvl w:val="4"/>
          <w:numId w:val="1"/>
        </w:numPr>
        <w:rPr/>
      </w:pPr>
      <w:bookmarkStart w:id="135" w:name="__RefHeading___Toc6319436_2870459653"/>
      <w:bookmarkStart w:id="136" w:name="_Toc50"/>
      <w:bookmarkEnd w:id="134"/>
      <w:bookmarkEnd w:id="135"/>
      <w:r>
        <w:rPr>
          <w:rtl w:val="true"/>
        </w:rPr>
        <w:t>نهضت ترجمه متون ادعیه</w:t>
      </w:r>
      <w:bookmarkEnd w:id="136"/>
    </w:p>
    <w:p>
      <w:pPr>
        <w:pStyle w:val="BookText"/>
        <w:rPr/>
      </w:pPr>
      <w:r>
        <w:rPr>
          <w:rFonts w:ascii="IRNazanin" w:hAnsi="IRNazanin" w:eastAsia="IRNazanin"/>
          <w:color w:val="111111"/>
          <w:sz w:val="28"/>
          <w:sz w:val="28"/>
          <w:szCs w:val="28"/>
          <w:rtl w:val="true"/>
          <w:lang w:bidi="fa-IR"/>
        </w:rPr>
        <w:t>علامه مجلسی علاوه بر تألیفات متعدد، در راستای نشر دعا در متن جامعه، به ترجمه ی بعضی از متون معروف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ترجمه ی زیارت جامعه کبیره، ترجمه دعای سمات، ترجمه و شرح دعای جوشن کبیر و ترجمه دعای مباهله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گونه امور را می توان در دغدغه مندی علامه مجلسی نسبت به تدین و دین مداری جامعه پیرامون خود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بررسی نگاشته های او در موضوع ادعیه، به خوبی بیانگر این نکته است که علامه بخشی از بحار الانوار را برای عموم مردم ساده سازی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بحار الانوار، دریای معارف اهل بیت است و زبان تخصصی دارد، ایشان تک نگاری هایی در باب دعا، زیارت، تعقیبات و غیر آن به جامعه ی فارسی زبان پیرامون خود عرضه کرده است</w:t>
      </w:r>
      <w:r>
        <w:rPr>
          <w:rFonts w:eastAsia="IRNazanin" w:cs="IRNazanin"/>
          <w:color w:val="111111"/>
          <w:sz w:val="28"/>
          <w:szCs w:val="28"/>
          <w:rtl w:val="true"/>
          <w:lang w:bidi="fa-IR"/>
        </w:rPr>
        <w:t>.</w:t>
      </w:r>
    </w:p>
    <w:p>
      <w:pPr>
        <w:pStyle w:val="Heading3"/>
        <w:numPr>
          <w:ilvl w:val="2"/>
          <w:numId w:val="1"/>
        </w:numPr>
        <w:rPr/>
      </w:pPr>
      <w:bookmarkStart w:id="137" w:name="__RefHeading___Toc6319438_2870459653"/>
      <w:bookmarkStart w:id="138" w:name="_Toc51"/>
      <w:bookmarkEnd w:id="137"/>
      <w:r>
        <w:rPr>
          <w:rtl w:val="true"/>
        </w:rPr>
        <w:t>منابع</w:t>
      </w:r>
      <w:bookmarkEnd w:id="138"/>
    </w:p>
    <w:p>
      <w:pPr>
        <w:pStyle w:val="BookText"/>
        <w:rPr/>
      </w:pP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فی معرفة الأئمة،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انصاری قمی، ناصر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تألیفات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دعا در شیعه، نامه مفید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بزرگ مرد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p>
    <w:p>
      <w:pPr>
        <w:pStyle w:val="BookText"/>
        <w:rPr/>
      </w:pPr>
      <w:r>
        <w:rPr>
          <w:rFonts w:ascii="IRNazanin" w:hAnsi="IRNazanin" w:eastAsia="IRNazanin"/>
          <w:color w:val="111111"/>
          <w:sz w:val="28"/>
          <w:sz w:val="28"/>
          <w:szCs w:val="28"/>
          <w:rtl w:val="true"/>
          <w:lang w:bidi="fa-IR"/>
        </w:rPr>
        <w:t>قمی، عباس، مفاتیح الجنان،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انتشارات آستان قدس رضوی</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تهران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الاسابيع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سلیمانی،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مسجد مقدس جمکران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هادی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المصابیح در تعقیبات نماز و آثار آن، تحقیق ترکی، مصطفی؛ موسوی بخش،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حوزه علمیه اصفهان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الجامعه لدر اخبار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w:t>
      </w:r>
      <w:bookmarkStart w:id="139" w:name="pg9485_70473"/>
    </w:p>
    <w:p>
      <w:pPr>
        <w:pStyle w:val="Heading3"/>
        <w:numPr>
          <w:ilvl w:val="2"/>
          <w:numId w:val="1"/>
        </w:numPr>
        <w:rPr/>
      </w:pPr>
      <w:bookmarkStart w:id="140" w:name="__RefHeading___Toc6319440_2870459653"/>
      <w:bookmarkStart w:id="141" w:name="_Toc52"/>
      <w:bookmarkEnd w:id="139"/>
      <w:bookmarkEnd w:id="140"/>
      <w:r>
        <w:rPr>
          <w:rtl w:val="true"/>
        </w:rPr>
        <w:t>آستانه امامان</w:t>
      </w:r>
      <w:bookmarkEnd w:id="1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شیخ محمد حسن اصفهانی،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عالم رویا دیدم که گویا در مجلس بزرگی هستم و جماعتی از علما در آن مجلس حضور دارند و دم در دربانی بود، از او اجازه گرفته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محفل، عده زیادی از علمای متقدمین و متأخرین را دیدم که نشسته بودند و علامه مجلسی در صدر آن مجلس جای داشت تعجب کردم و از دربان علت آن را جویا شدم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نزد امامان علیهم السلام به باب الائمه شهرت دارد</w:t>
      </w:r>
      <w:r>
        <w:rPr>
          <w:rFonts w:eastAsia="IRNazanin" w:cs="IRNazanin"/>
          <w:color w:val="111111"/>
          <w:sz w:val="28"/>
          <w:szCs w:val="28"/>
          <w:rtl w:val="true"/>
          <w:lang w:bidi="fa-IR"/>
        </w:rPr>
        <w:t xml:space="preserve">. </w:t>
      </w:r>
      <w:r>
        <w:rPr>
          <w:rStyle w:val="FootnoteAnchor"/>
          <w:rtl w:val="true"/>
        </w:rPr>
        <w:footnoteReference w:id="11"/>
      </w:r>
      <w:bookmarkStart w:id="142" w:name="pg9485_70474"/>
    </w:p>
    <w:p>
      <w:pPr>
        <w:pStyle w:val="Heading2"/>
        <w:numPr>
          <w:ilvl w:val="1"/>
          <w:numId w:val="1"/>
        </w:numPr>
        <w:rPr/>
      </w:pPr>
      <w:bookmarkStart w:id="143" w:name="__RefHeading___Toc6319442_2870459653"/>
      <w:bookmarkStart w:id="144" w:name="_Toc53"/>
      <w:bookmarkEnd w:id="142"/>
      <w:bookmarkEnd w:id="143"/>
      <w:r>
        <w:rPr>
          <w:rtl w:val="true"/>
        </w:rPr>
        <w:t>هفت</w:t>
      </w:r>
      <w:r>
        <w:rPr>
          <w:rtl w:val="true"/>
        </w:rPr>
        <w:t xml:space="preserve">: </w:t>
      </w:r>
      <w:r>
        <w:rPr>
          <w:rtl w:val="true"/>
        </w:rPr>
        <w:t>عمق معنا</w:t>
      </w:r>
      <w:bookmarkEnd w:id="144"/>
    </w:p>
    <w:p>
      <w:pPr>
        <w:pStyle w:val="Heading3"/>
        <w:numPr>
          <w:ilvl w:val="2"/>
          <w:numId w:val="1"/>
        </w:numPr>
        <w:rPr/>
      </w:pPr>
      <w:bookmarkStart w:id="145" w:name="__RefHeading___Toc6319444_2870459653"/>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جستاری در اخلاق و معنویت علامه مجلسی، محمد سعید ماجد</w:t>
      </w:r>
    </w:p>
    <w:p>
      <w:pPr>
        <w:pStyle w:val="BookText"/>
        <w:rPr/>
      </w:pPr>
      <w:r>
        <w:rPr>
          <w:rFonts w:ascii="IRNazanin" w:hAnsi="IRNazanin" w:eastAsia="IRNazanin"/>
          <w:color w:val="111111"/>
          <w:sz w:val="28"/>
          <w:sz w:val="28"/>
          <w:szCs w:val="28"/>
          <w:rtl w:val="true"/>
          <w:lang w:bidi="fa-IR"/>
        </w:rPr>
        <w:t>عکس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08" o:detectmouseclick="t"/>
                <v:stroke color="#3465a4" joinstyle="round" endcap="flat"/>
                <w10:wrap type="none"/>
              </v:shape>
            </w:pict>
          </mc:Fallback>
        </mc:AlternateContent>
      </w:r>
      <w:bookmarkStart w:id="147" w:name="pg9485_70475"/>
    </w:p>
    <w:p>
      <w:pPr>
        <w:pStyle w:val="Heading3"/>
        <w:numPr>
          <w:ilvl w:val="2"/>
          <w:numId w:val="1"/>
        </w:numPr>
        <w:rPr/>
      </w:pPr>
      <w:bookmarkStart w:id="148" w:name="__RefHeading___Toc6319446_2870459653"/>
      <w:bookmarkStart w:id="149" w:name="_Toc55"/>
      <w:bookmarkEnd w:id="147"/>
      <w:bookmarkEnd w:id="148"/>
      <w:r>
        <w:rPr>
          <w:rtl w:val="true"/>
        </w:rPr>
        <w:t>سیره عملی</w:t>
      </w:r>
      <w:bookmarkEnd w:id="149"/>
    </w:p>
    <w:p>
      <w:pPr>
        <w:pStyle w:val="BookText"/>
        <w:rPr/>
      </w:pPr>
      <w:r>
        <w:rPr>
          <w:rFonts w:ascii="IRNazanin" w:hAnsi="IRNazanin" w:eastAsia="IRNazanin"/>
          <w:color w:val="111111"/>
          <w:sz w:val="28"/>
          <w:sz w:val="28"/>
          <w:szCs w:val="28"/>
          <w:rtl w:val="true"/>
          <w:lang w:bidi="fa-IR"/>
        </w:rPr>
        <w:t>از جمله شواهدی که گواه ویژگی های معنوی و عرفانی علامه مجلسی است، سیره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ایشان آمیخته به تقوی و معنویت بوده است که گزارش های شاگردان و اشارات خود ایشان گواه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گزارش هایی که از سیره ایشان در دسترس است گزارشی است که میر محمد صالح خاتون آبادی، که داماد، شاگرد و همراه همیشگی مرحوم علامه مجلسی بوده است،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وصف علامه مجلسی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چهل سال از باقی عمرم را در خدمت او سپری کردم و از فیوضات او بهره مند گشتم در حالی که آثار کرامت و استجابت دعاهایش را به چشم دیدم و در این مدت جز حسن نیت و اخلاص و صفای باطن از او ندیدم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گویای آن است که ایشان همواره </w:t>
      </w:r>
    </w:p>
    <w:p>
      <w:pPr>
        <w:pStyle w:val="BookText"/>
        <w:rPr/>
      </w:pPr>
      <w:r>
        <w:rPr>
          <w:rFonts w:ascii="IRNazanin" w:hAnsi="IRNazanin" w:eastAsia="IRNazanin"/>
          <w:color w:val="111111"/>
          <w:sz w:val="28"/>
          <w:sz w:val="28"/>
          <w:szCs w:val="28"/>
          <w:rtl w:val="true"/>
          <w:lang w:bidi="fa-IR"/>
        </w:rPr>
        <w:t>متوجه به خداوند متعال، اعمال نیک و معنویات در زندگی شخصی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از این دست، گزارشی است که سید نعمت اللّه جزائری از سیره علامه مجلسی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با وی معاشرت کردم و شب و روز با او مأنوس بودم، هیچ عمل مباحی را از او ندیدم، چه برسد به مکروهات زیرا؛ وی از فرمایش رسول اکرم صلی اللّه علیه و آله و سلم و سلم پیروی می کرد که فرموده اند وليكن فی كل شیء نيه حتى النوم و الاكل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افعال و اعمالش طاعت و عبادت بود و با وجود آن که جوان بود تتبع علوم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شواهدی بر این مدعا در نوشته های مرحوم علامه مجلسی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رساله پاسخ به پرسش های ملا خلیل قزوینی، ضمن گزارشی از مشایخ که به عرفان گرایش داشتند، به اخذ اربعین از پدر خود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پاسخ به پرسش های ملا خلیل قزوینی در مسائلی نظیر فلسفه و عرفان و رجوع به اخبار </w:t>
      </w:r>
      <w:bookmarkStart w:id="150" w:name="pg9485_70477"/>
    </w:p>
    <w:p>
      <w:pPr>
        <w:pStyle w:val="BookText"/>
        <w:rPr/>
      </w:pPr>
      <w:bookmarkEnd w:id="150"/>
      <w:r>
        <w:rPr>
          <w:rFonts w:ascii="IRNazanin" w:hAnsi="IRNazanin" w:eastAsia="IRNazanin"/>
          <w:color w:val="111111"/>
          <w:sz w:val="28"/>
          <w:sz w:val="28"/>
          <w:szCs w:val="28"/>
          <w:rtl w:val="true"/>
          <w:lang w:bidi="fa-IR"/>
        </w:rPr>
        <w:t>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محتوای این بخش از این رساله کتاب علامه مجلسی نوشته حسن طارمی چنین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پاسخ به پرسش های ملا خلیل قزوینی، علاوه بر این مشایخ، از شیخ بهایی نام می برد که کتاب هایش مشحون است به تحقیقات صوفیه، و پدر مجلسی، ملا محمد تقی، از این شیخ بزرگ تعلم ذکر و فکر گرفته بود و هر سال یک اربعین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 که پدرش جمع کثیری از تابعان شریعت مقدسه را مطابق قانون شرع به ریاضت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بارها اربعینیات بسر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آن گاه حدیثی را در تأیید درستی این کارها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چهل صبحدم اعمال خود را برای خدا خالص کند، خدا از قلب او بر زبانش چشمه های حکمت را جاری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151" w:name="__RefHeading___Toc6319448_2870459653"/>
      <w:bookmarkStart w:id="152" w:name="_Toc56"/>
      <w:bookmarkEnd w:id="151"/>
      <w:r>
        <w:rPr>
          <w:rtl w:val="true"/>
        </w:rPr>
        <w:t>تأثیر پذیری از پدر</w:t>
      </w:r>
      <w:bookmarkEnd w:id="152"/>
    </w:p>
    <w:p>
      <w:pPr>
        <w:pStyle w:val="BookText"/>
        <w:rPr/>
      </w:pPr>
      <w:r>
        <w:rPr>
          <w:rFonts w:ascii="IRNazanin" w:hAnsi="IRNazanin" w:eastAsia="IRNazanin"/>
          <w:color w:val="111111"/>
          <w:sz w:val="28"/>
          <w:sz w:val="28"/>
          <w:szCs w:val="28"/>
          <w:rtl w:val="true"/>
          <w:lang w:bidi="fa-IR"/>
        </w:rPr>
        <w:t>گواه دیگر بر وجود خصیصه های معنوی در علامه مجلسی، تأثیر پذیری و اعجابی است که از ایشان نسبت به پدر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ایشان از پدر خود، تأثیر پذیری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مجلسی از بزرگان اهل معنویت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دامن این پدر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اشاره شد ایشان اذعان می کند که اربعینیاتی را به دستور پدر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محمد تقی مجلسی عرفانی باطنی و روحی است و گرایشات عمیق معنوی در این عرفان،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تا بدان جاست که بسیاری وی را از صوفیه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انتهای رساله اعتقادات خود به این گمانه اشاره کرده و می 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من، بدان که آن چه در این رساله برایت بیان کردم، همه را از معادن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گرفته ام و به دلخواه خود چیزی نگفته ام و بپرهیز از این که گمان کنی پدر علاّمه 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اللهُ ضَريحَهُ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صوفیّه بوده و به مَسالِک و مذاهب ایشان اعتقاد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از پدرم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می تواند چنین باشد و حال آن که وی از اهل زمان خودش به اخبار اهل بیت عَلَیهِمُ السّلام مأنوس تر و عالم تر و عامل تر بود؛ بلکه او پیرو مسلک زُهد و پرهیز 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اوائل امر، خودش را صوفی نامیده بود تا این که صوفیه بر دوستی با او رغبت پیدا کرده و از او خوفی نداشته باشند، تا بتواند آن ها را از گفتارهای فاسد و کارهای بدعت نهاده شده، باز دارد و بسیاری از ایشان را هم با همین مُجادَله ی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حق هدایت کرد و زمانی که در اواخر عمرش دید که آن مَصلَحَت از بین رفت و پرچم های گمراهی و طغیان بر افراشته شد و احزاب شَیطَان غالب گشتند و وقتی که دانست ایشان از دشمنان خداوند هستند صریحاً از ایشان بیزاری جُست و آن ها را از جهت عقاید باطله یشان تکفیر می نمود و من بیش </w:t>
      </w:r>
      <w:bookmarkStart w:id="153" w:name="pg9485_70479"/>
    </w:p>
    <w:p>
      <w:pPr>
        <w:pStyle w:val="BookText"/>
        <w:rPr/>
      </w:pPr>
      <w:bookmarkEnd w:id="153"/>
      <w:r>
        <w:rPr>
          <w:rFonts w:ascii="IRNazanin" w:hAnsi="IRNazanin" w:eastAsia="IRNazanin"/>
          <w:color w:val="111111"/>
          <w:sz w:val="28"/>
          <w:sz w:val="28"/>
          <w:szCs w:val="28"/>
          <w:rtl w:val="true"/>
          <w:lang w:bidi="fa-IR"/>
        </w:rPr>
        <w:t xml:space="preserve">از همه بر طریق پدرم آشنایی دارم و نوشته جاتش درباره ی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که خود از مخالفین سر سخت تصوف است، از عرفان مرحوم محمد تقی مجلسی دفاع کرده است و طریقه ایشان را ممدوح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مرحوم میرزا یحیی بید آبادی به دفاع از عرفان و معنویت ایشان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مبارکه ای، که از علما اصفهان و صاحب تألیفاتی بود، اتهام اتصاف مرحوم ملا محمد تقی مجلسی به تصوف را رد کرده و در توضیح جهت تمجید مرحوم ملا محمد تقی مجلسی از تصوف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تصوف ریاضات روحیه و مجاهدات نفسانیه و ذکر و مراقبه و تحصیل مکارم اخلاق و عبادات و سیر مراتب قلبیه و اتصال به رشته ولایت و مراعات کامل از احکام شرع، که طریقت را شرط اعظم رعایت جانب شریعت است، و ترک هوای نفس و گناهان دور کننده انسان از مبدأ و زهد در دنیا و شروطی که در جای خود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تصوف مراد است جهت دارد که این مقام را از این شخص بزرگ نفی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گرایشات عرفان عملی، مجلسی اول در عرفان نظری نیز همراهی واسع و کاملی با بزرگان عرفان نظیر محیی الدین عربی و شیخ عبد الرزاق کاشانی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خود را پیرو این پدر می داند و افتخار می کند که از این پدر اخذ اربعینیات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همگان را از رمی نمودن پدر خود به صوفیه بر حذر می دارد</w:t>
      </w:r>
      <w:r>
        <w:rPr>
          <w:rFonts w:eastAsia="IRNazanin" w:cs="IRNazanin"/>
          <w:color w:val="111111"/>
          <w:sz w:val="28"/>
          <w:szCs w:val="28"/>
          <w:rtl w:val="true"/>
          <w:lang w:bidi="fa-IR"/>
        </w:rPr>
        <w:t>.</w:t>
      </w:r>
    </w:p>
    <w:p>
      <w:pPr>
        <w:pStyle w:val="Heading3"/>
        <w:numPr>
          <w:ilvl w:val="2"/>
          <w:numId w:val="1"/>
        </w:numPr>
        <w:rPr/>
      </w:pPr>
      <w:bookmarkStart w:id="154" w:name="__RefHeading___Toc6319450_2870459653"/>
      <w:bookmarkStart w:id="155" w:name="_Toc57"/>
      <w:bookmarkEnd w:id="154"/>
      <w:r>
        <w:rPr>
          <w:rtl w:val="true"/>
        </w:rPr>
        <w:t>تجلیل از مشایخ اهل عرفان</w:t>
      </w:r>
      <w:bookmarkEnd w:id="15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علامه مجلسی با صوفیه زمان خود از محکمات زندگی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مبارزات تا بدان جا ادامه داشته است که برخی وی را متهم به صوفی کشی می دانسته اند، اما مرحوم مجلسی این مبارزات را به معنای نفی توجه معنویت و بواطن دین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تصوف را رویکردی به باطن شرعیت همراه با حفظ آداب دینی، توجه به معرفة النفس و تهذیب آن و نیز کوششی برای تقرب به حق بدانیم، محمد باقر مجلسی از مدافعان این رویکرد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عالمانی چون برهان الاصفياء الكاملين، شیخ صفی الدین اردبیلی، سید رضی الدین علی بن طاووس، ابن فهد حلی و شهید ثانی از کسانی بوده اند که بعد از طی مدراج علوم دینی به طریقه ریاضت و عبادت و بندگی به قانون شریعت مقدس نبوی روی آوردند و بدعتی از ایشان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چند تن از صوفیه امامیه بوده اند که در کتاب هایشان دقایق اسرار صوفیه را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می فرماید گروهی هستند که گرایشات باطنی و معنوی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اسامی که ایشان ذکر کرده است توسط تراجم نویسان متهم به تصوف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از ابن فهد حلی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در قرن هشتم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تراجم نویسان هنگام یاد کرد از او به مذمت وی روی آورده اند و از تمایل او به مذهب صوفیه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مرحوم مجلسی از شخصیتی مانند ابن فهد حلی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معنا می توان به بیان مرحوم سید محسن امین، در اعیان الشیعه،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تصوفی که به این بزرگان دین نظیر ابن فهد و ابن طاووس و خواجه نصیر الدین طوسی و شهید ثانی و شیخ بهایی و امثال ایشان نسبت می دهند </w:t>
      </w:r>
      <w:bookmarkStart w:id="156" w:name="pg9485_70481"/>
    </w:p>
    <w:p>
      <w:pPr>
        <w:pStyle w:val="BookText"/>
        <w:rPr/>
      </w:pPr>
      <w:bookmarkEnd w:id="156"/>
      <w:r>
        <w:rPr>
          <w:rFonts w:ascii="IRNazanin" w:hAnsi="IRNazanin" w:eastAsia="IRNazanin"/>
          <w:color w:val="111111"/>
          <w:sz w:val="28"/>
          <w:sz w:val="28"/>
          <w:szCs w:val="28"/>
          <w:rtl w:val="true"/>
          <w:lang w:bidi="fa-IR"/>
        </w:rPr>
        <w:t>جز اننقطاع به خالق و جدایی از خلق و زهد در دنیا و فنا در دوستی حق چیزی نیست و این نهایت مدح بزرگان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نائیجی،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تجلیلی است که مرحوم مجلسی از اساتید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کم نظیر مرحوم مجلسی از مقام فلسفی حکیم نامدار شیعه، میرداماد، از جمله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میرزا رفیعا نائینی،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الحكماء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محسن فیض کاشانی که اعاظم عرفای شیعه بوده است و کتب وی مشحون از مطالب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وقتی به نام وی می رسد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 العارفين المولى المحقق العارف المولى الجليل العالم العارف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 کند آن چه بیان شد گویای توجه آشکار مرحوم مجلسی به بواطن دین و معنویات است</w:t>
      </w:r>
      <w:r>
        <w:rPr>
          <w:rFonts w:eastAsia="IRNazanin" w:cs="IRNazanin"/>
          <w:color w:val="111111"/>
          <w:sz w:val="28"/>
          <w:szCs w:val="28"/>
          <w:rtl w:val="true"/>
          <w:lang w:bidi="fa-IR"/>
        </w:rPr>
        <w:t>.</w:t>
      </w:r>
    </w:p>
    <w:p>
      <w:pPr>
        <w:pStyle w:val="Heading3"/>
        <w:numPr>
          <w:ilvl w:val="2"/>
          <w:numId w:val="1"/>
        </w:numPr>
        <w:rPr/>
      </w:pPr>
      <w:bookmarkStart w:id="157" w:name="__RefHeading___Toc6319452_2870459653"/>
      <w:bookmarkStart w:id="158" w:name="_Toc58"/>
      <w:bookmarkEnd w:id="157"/>
      <w:r>
        <w:rPr>
          <w:rtl w:val="true"/>
        </w:rPr>
        <w:t>منابع</w:t>
      </w:r>
      <w:bookmarkEnd w:id="158"/>
    </w:p>
    <w:p>
      <w:pPr>
        <w:pStyle w:val="BookText"/>
        <w:rPr/>
      </w:pPr>
      <w:r>
        <w:rPr>
          <w:rFonts w:ascii="IRNazanin" w:hAnsi="IRNazanin" w:eastAsia="IRNazanin"/>
          <w:color w:val="111111"/>
          <w:sz w:val="28"/>
          <w:sz w:val="28"/>
          <w:szCs w:val="28"/>
          <w:rtl w:val="true"/>
          <w:lang w:bidi="fa-IR"/>
        </w:rPr>
        <w:t>طارمی، حسن</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p>
    <w:p>
      <w:pPr>
        <w:pStyle w:val="BookText"/>
        <w:rPr/>
      </w:pPr>
      <w:r>
        <w:rPr>
          <w:rFonts w:ascii="IRNazanin" w:hAnsi="IRNazanin" w:eastAsia="IRNazanin"/>
          <w:color w:val="111111"/>
          <w:sz w:val="28"/>
          <w:sz w:val="28"/>
          <w:szCs w:val="28"/>
          <w:rtl w:val="true"/>
          <w:lang w:bidi="fa-IR"/>
        </w:rPr>
        <w:t xml:space="preserve">قاسمی، رحیم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اشراق</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درگاهی،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آزیر، حمید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زیتون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حلی، ابن فهد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به درگاه بی نیاز ترجمه عده الداعى و نجاح الساعى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نائیچی،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w:t>
      </w:r>
      <w:bookmarkStart w:id="159" w:name="pg9485_70482"/>
    </w:p>
    <w:p>
      <w:pPr>
        <w:pStyle w:val="Heading2"/>
        <w:numPr>
          <w:ilvl w:val="1"/>
          <w:numId w:val="1"/>
        </w:numPr>
        <w:rPr/>
      </w:pPr>
      <w:bookmarkStart w:id="160" w:name="__RefHeading___Toc6319454_2870459653"/>
      <w:bookmarkStart w:id="161" w:name="_Toc59"/>
      <w:bookmarkEnd w:id="159"/>
      <w:bookmarkEnd w:id="160"/>
      <w:r>
        <w:rPr>
          <w:rtl w:val="true"/>
        </w:rPr>
        <w:t>هشت</w:t>
      </w:r>
      <w:r>
        <w:rPr>
          <w:rtl w:val="true"/>
        </w:rPr>
        <w:t xml:space="preserve">: </w:t>
      </w:r>
      <w:r>
        <w:rPr>
          <w:rtl w:val="true"/>
        </w:rPr>
        <w:t>علامه مجلسی خیلی با ظرافت وارد شده است</w:t>
      </w:r>
      <w:bookmarkEnd w:id="161"/>
    </w:p>
    <w:p>
      <w:pPr>
        <w:pStyle w:val="Heading3"/>
        <w:numPr>
          <w:ilvl w:val="2"/>
          <w:numId w:val="1"/>
        </w:numPr>
        <w:rPr/>
      </w:pPr>
      <w:bookmarkStart w:id="162" w:name="__RefHeading___Toc6319456_2870459653"/>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مهدویت از دیدگاه علامه مجلسی در صحبت آیت اللّه شیخ نجم الدین طبسی، احمد رضا کریمی و محمد جواد عابدینی</w:t>
      </w:r>
    </w:p>
    <w:p>
      <w:pPr>
        <w:pStyle w:val="BookText"/>
        <w:rPr/>
      </w:pPr>
      <w:r>
        <w:rPr>
          <w:rFonts w:ascii="IRNazanin" w:hAnsi="IRNazanin" w:eastAsia="IRNazanin"/>
          <w:color w:val="111111"/>
          <w:sz w:val="28"/>
          <w:sz w:val="28"/>
          <w:szCs w:val="28"/>
          <w:rtl w:val="true"/>
          <w:lang w:bidi="fa-IR"/>
        </w:rPr>
        <w:t>عکس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سلام عرض می کنیم محضرتان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ای که در خدمتتان هستیم مربوط به همایش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هفتم ماه مبارک رمضان مقرر شد که به طور سالیانه همایشی به یاد و نام ایشان برگزار شود و آثاری هم تولید بشود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برای این همایش انجام می شود، مصاحبه هایی است که در آخرین مصاحبه در خدمت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حضرت عالی، سوالاتی بوده است در باب مهدویت و اندیشه علامه مجلسی، در این باب می خواهیم که در خدمتتان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حجت اللّه فی الارضين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علامه مجلسی یک ارادت خاصی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نادرا اتفاق می افتد که بیایم اصفهان و سر مزار این بزرگوار نروم و سر درس نادرا اتفاق می افتد در درس ها، که نام مبارک این بزرگوار را ببرم و از طلبه ها نخواهم که برایش صلوات بفرستند بیست و هفت ماه مبارک رمضان من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بودم، مصادف هم شد با تشییع جنازه شهید زاهدی، و نامی از این بزرگوار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و اقامه نشست ها، بزرگداشت ها نسبت به علامه مجلسی احیا شعائر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تبلیغ از 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جواب حضرت عالی را عرض کنم من می خواهم نیم نگاهی به این شخصیت بزرگوار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نادره دهر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چه که ترویج داده می شود که یک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اگر به این معنا باشد که با حدیث سر و کار دارد این شرف برای علامه مجلسی است و برای هر کسی است که خود را ولایت مدار می داند اما؛ اگر محدث به معنای رتبه علمیش باشد نه ایشان جامع معقول 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ارجاع می دهم به جلد دو جامع الرواة صفحه هفتاد و نه، میرزا علی اردبیلی مولف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های زیادی در این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صفحه هفتاد و نه نسبت به علامه مجلسی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الدقق آیت اللّه العظمى الامام جامع المعقول و المنقول بعد می گوید اگر ما </w:t>
      </w:r>
    </w:p>
    <w:p>
      <w:pPr>
        <w:pStyle w:val="BookText"/>
        <w:rPr/>
      </w:pPr>
      <w:r>
        <w:rPr>
          <w:rFonts w:ascii="IRNazanin" w:hAnsi="IRNazanin" w:eastAsia="IRNazanin"/>
          <w:color w:val="111111"/>
          <w:sz w:val="28"/>
          <w:sz w:val="28"/>
          <w:szCs w:val="28"/>
          <w:rtl w:val="true"/>
          <w:lang w:bidi="fa-IR"/>
        </w:rPr>
        <w:t>بخواهیم راجع به ایشان صحبت کنیم در قالب این بیست و هشت حرف است و این بیست و هشت حرف نمی تواند شخصیت این بزرگوار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بلغ فیضه و فیض والده عالم را دينا 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اردبیلی در فن رجال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وقتی کتاب رجال ایشان زیر چاپ بود، خطیِ کتاب اردبیلی به دستشان رسید و فرمودند این از کتاب من بهتر است و این کتاب را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افتخارات مرحوم آقای خویی رحمه اللّه، در کتاب شریفشان، معجم رجال،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اساسا از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جامع الرواة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این جور نسبت به شخصیت علامه مجلسی تعریف و تجلیل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بدانید که، ایشان طبق آن خوابی که مرحوم صاحب جواهر دیده اند و این خواب را شیخ عباس قمی به سند خودش از صاحب جواهر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دیدم جلسه علمایی است و هر کس را هم راه نمی دهند من رفتم دم در که اجازه بگیرم، گفتند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که همه علما جمعند و مجلسی در صدر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انه يسمى عند الائمه بباب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الائمه است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مرحوم شاهرودی بزرگ، سید محمود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زاهد می فرماید من خدمت آقای شاهرودی رفتم که بیایم اصفهان؛ ایشان فرمود که من تعهد می دهم که یک زیارت امیر المومنین امین اللّه از طرفت بخوانم، شما به من تعهد بده که از طرف من مجلسی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که آقای مجلسی گویا در جلسات درس ائمه شرکت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ائمه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مجلسی متأسفانه همین جور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طلبه ها، </w:t>
      </w:r>
    </w:p>
    <w:p>
      <w:pPr>
        <w:pStyle w:val="BookText"/>
        <w:rPr/>
      </w:pPr>
      <w:r>
        <w:rPr>
          <w:rFonts w:ascii="IRNazanin" w:hAnsi="IRNazanin" w:eastAsia="IRNazanin"/>
          <w:color w:val="111111"/>
          <w:sz w:val="28"/>
          <w:sz w:val="28"/>
          <w:szCs w:val="28"/>
          <w:rtl w:val="true"/>
          <w:lang w:bidi="fa-IR"/>
        </w:rPr>
        <w:t>وظیفه ما حوزوی ها، این است که این سرمایه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گامتان گام بسیاری ارزشی است اما؛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متأسفانه برای دیگران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کسانی که عمامه به سرش هست که بعد خدا کمرش را خرد کرد، و خدا را شاکر هستم حرف هایش را گوش کردم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حرف حسن زاده آملی را نقل نکردیم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علامه طباطبایی را نقل نکردیم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مجتهد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بیاناتش، فهم احادیثش، تبیین احادیثش یکه تاز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نکردیم حرف های بزرگان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نوری چه می کند راجع به این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محسن امین چه می کند راجع به این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شیعه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کارتان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نسبت به یک شخص بزرگ این کار را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خارجی ها می گفت که اگر بخواهیم مذهب شیعه را به نام یکی از علما بخوانیم و ثبت کنیم باید بگوییم مذهب مجلسی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وقتی ژاپنی ها حرفی زده بودند که اگر در خانه ای از دنیا یک جنس از اجناس ما نباشد بیایید ما به او جایزه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یعنی اجناس و تولیدات ما همه جای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تشبیه من می خواهم عرض کنم که اگر در خانه ای بیان یا حرف یا برکتی از برکات مجلسی نباشد بیایید ما به او جایزه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را که بگی باز می گوید از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بحارش خواندش چند سال طول می کشد صد و ده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مرآتش بیست و شش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علمیتش را می خواهید به مرآتش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وارد می شود می گویید فقط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وارد می شود می گویید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می شود می گویید فقط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وارد می شود می گویید فقط رجالی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وارد می شود همین طور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من در درس به رفقا گفتم که امروز شما اگر بخواهید یک رساله تحقیقی بنویسید، بخواهید به لغت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لغت مراجعه می کند به ده لغت مراجعه می کنید؟ به پنج لغت مراجعه می کنید؟ بیست کتاب لغت از مراجعش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اعجوبه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ملاذ الاخیار شانزده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مقاله را مراجعه کنید آدم بهتش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 دست اولی چه تحلیل های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مرجع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باید یک گوشه بنیشند و بنویسد یا وارد میدان بشود ایشان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تستری، صاحب قاموس،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 دم خانه اش خودش آیفون را جواب می داد با همان لهجه شوشتری خودش می گفت چه می خواهی؟ می خواهیم شما را زیارت کنیم می گفت ما جز امواتیم، فاتحه بخوان و برو و السلام تا توانست نجعه را بنویسد، بهج الصباغة الصباغة بنويسد، رجال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مجلسی همه این ها را دارد و بالاخره مرجعیت هم دارد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 نابغه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نگذارید از دست ما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استادم آقای وحید بحار الانوار شناسی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حرف نزنند بهتر است و نیایند دست اندازی و دست درازی کنند به فرهنگ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یک مقاله ای کسی بنویسد در مورد موقعیت سیاسی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یک طرف کشور را گرفته است، پرتغالی های یک طرف کشور را، افغان ها یک طرف کشور را، یک تشططی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کار کرد که تشیع را تثبیت کرد؟ با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فرهنگ محکم پشتیبانش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مکتبی تا فرهنگ نداشته باشد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این مسأله هم رسیدگی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چه موقعیت چه برداشت نوشت که تا به امروز اهل فن زانو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وقتی اسم این بزرگوار برده می شود باید به احترام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عرب ها رسم است اگر کسی شعری بخواند شعر جان دار باشد 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نوشته جات علامه مجلسی کم تر از این چند شعر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شخصیت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می گویم که دستتان درد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ممنون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سنگین را از عهده ما بر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به شخصیت این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با شخصیت ایشان آشنا بشود کتاب فیض قدسی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دارید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مرحوم نوری، تبیین می کند جایگاه علامه مجلسی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صفر را هم ببینید آن هم خیلی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ما امروز هر چه داریم به برکت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فرهنگ ناب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خواهشی که من از مشا دارم این است که با همین فرمان و یک خرده هم سریع تر حرکت کنید و نگذارید که نا اهل ها و نا محرمان مصادره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با مهدویت؛ کسی که کتاب بحار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جلد اول از عقل و جهل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جلد دو و سه بحث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بحث توحید است در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بحث معاد است تا جلد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جلدش، نه و ده، احتجاجات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یازده نبوت عامه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جلد چهار ده این نبوت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پانزده شروع می کند در مورد نبی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پانزده تا بیست و دو در مورد نبی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سه شروع می کند بحث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آید بیست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هشت امامت خاصه، امامت امیر المومنین علیه السلام تا چهل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ده جلد آن روز راجع به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 و چهل و پنج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جور در مورد ائمه می آید تا می رسد پنجاه و یک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راجع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نکته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خلاف آن چه بعضی ها متهم می کنند علامه مجلسی را هات باللیل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باللیل یعنی شب می رود در بیابان و هر چه گیرش آمد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روی مبنا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مقدمه دومش را نگاه کند می فهمد که ایشان کتاب شناس است و اکتفا به این نکرده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متعدد را کنارش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مولفینش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گوید در این کتاب من بنا گذاشتم از اصول مشهوره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وارد که می شود در چند جا فتیله را می کشد پایین و می گوید من این جا تخطی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مبنایم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مراثی و نوحه خوانی برای امام حسین، آن جا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تخطی می کند؟ دلیلش را هم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جلد چهل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چهل و دو راجع به دفن امیر المومنین دو قصه نقل می کند از کتاب مشارق انوار الیقین و می گوید فقط در این کتاب است و من بر متفرداتش اعتماد نمی کنم ولی رد هم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این سه جلد کتاب را راجع به امام زمان نوشته، که مرحوم دوانی این سه جلد به دستور آیت اللّه العظمی بروجردی ترجمه کرد به نام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 مرحوم مجلسی که مخصوص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دست اول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را که نقل می کند از کتب معتبره نقل می کند، بعدش هم از کتاب کشف الغمه نقل می کند که کشف الغمه از کتب عامه نقل می کند و هر </w:t>
      </w:r>
    </w:p>
    <w:p>
      <w:pPr>
        <w:pStyle w:val="BookText"/>
        <w:rPr/>
      </w:pPr>
      <w:r>
        <w:rPr>
          <w:rFonts w:ascii="IRNazanin" w:hAnsi="IRNazanin" w:eastAsia="IRNazanin"/>
          <w:color w:val="111111"/>
          <w:sz w:val="28"/>
          <w:sz w:val="28"/>
          <w:szCs w:val="28"/>
          <w:rtl w:val="true"/>
          <w:lang w:bidi="fa-IR"/>
        </w:rPr>
        <w:t>چه هم نقل می کند مدرک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نکته ای را من راجع به امام عصر روحی فداه اشاره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ارتباط با کیفیت الانتفاع بامام زمان در عصر غیبت جلد پنجاه و دو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دوران غیبت انتفاع مردم از امام زمان مانند انتفاع مردم از خورشید است از پس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هشت بیان برایش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 با بیان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هشت تای دیگر هم خدا به روی من باز کرده است یعنی شانزده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حوصله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گیرایی دیگر نباشد اما دعا می کند و می گوید امیدوارم که به روی شما هزار در باز کند و از هر دری هزار 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که معنای روایت را تبیین می کند خیلی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ارتباط با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هل یبدو اللّه فی السفيانی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ممکن است که خدا در سفیانی بدا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این گونه وانمود کرده است که سفیانی از علامات اما بدون سفیانی امام زمان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را از امام جواد پرسیدند امام جواد گفتند بله يبدو اللّه فی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اگر بدا درش باز بشود خب يبدو اللّه فی المهدی اصلا بدون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که نه امام زمان از میعاد است و ان اللّه لا 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بیان دارد و من تا قبل از دیدن بیان ایشان نظرم همین بود که ممکن است بدون هیچ علاماتی امام زمان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بیان ایشان را دیدم که هم بحث سندی می کند و عمده اش بحث دلالی است که بداء خداوند در سفیانی نه در اصلش است؛ در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قلمروش کل جهان باشد شد چهار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مدت حکومتش ده سال باشد شد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ها واقعا برای ما درهایی باز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جریان جزیره خضرا که متأسفانه بعضی ها بلدش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 دانند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 فاسدش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بحث خارج مهدویت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است که خارج مهدویت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جلدش الان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سی جلد دیگر هم دارم اگر عمر کفاف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اسقاط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حذف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روش مرحوم بهبهانی است در فوائد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حدیث و محدث به یک جوری درستش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جزیره خضرا من نظرم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 را اگر بپذیریم خیلی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خمس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لازم نیست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صدوق فرموده اند که سهو النبی اما سهو نیست؛ اسهاست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پیامبر را به سهو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مفید می فرماید که فرض کنید که همان سهو النبی باشد که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سهو به صدوق اولی است به نسبت سهو به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 را اگر ما بپذیریم معنایش چیست می دانید؟ این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پیامبر هم در تلقی وحی اشتباهاتی داشته است لذا هر ساله جبرئیل می آمده است چک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خیلی با ظرافت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پنجاه و دو از باب هجده شروع می کند ملاقات هایی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باب نوزده باز می کند قضیه ملاقات سعد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امام عسکری ملاقات کرد بعد دید کودکی هم در خدمت آقا هست دو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فقهی، تاریخی، تفسیری، حدیثی، تحلیلی، همه را امام فرمود از ایشان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باب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دیگر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انتظار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یک امتحان و باب بیست و دو و باب بیست و سه باب من رآه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اصلا اشاره ای به جزیره خضرا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چهار یک باب مستقل باز می کند جزیره خضرا را آن جا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باب بیست و سه و نه در باب هجده، باب هجده اصلا ممحض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مستقلی آن هم می گوید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می آورد و از همان اول تکلیفش را با قصه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اهل فنید و جاده یکی از اقسام تحمل حدیث است و اضعف تحملات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اضعف تحملات حدیث و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وجدت در یک نسخه، مولفش که هست؟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بوده است؟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احببت ایرادها چون مطالبی درش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لم اجدها فی الاصول المعتبره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مبنای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من در جلد اول کتاب گفته ام که من الاصول المشهوره، لاصول المعتبره یعنی قضیه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نیایند بعضی عزیزان که من بهشان ارادت دارم اما گاهی الجواد قد یکبو که مجلسی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اما چگونه آورده است آیا به عنوان آن که قبول دارد آورده است؟ به عنوان این که رد کند آورده است؟ لحنش را ببینید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برای من خیلی جالب است تاریخ ما بعد از الظهور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خصائص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یادم نمی رود در جبهه همراهم این کتاب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شوش عملیات می شد که فتح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وقت ها جبهه بودم و برای نیروهای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نمی رود این کتاب پنجاه و دو همراهم بود و این ها را تبیین می کردم چه قدر هم برای نیروهای مسلح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آمدم قم و تبدیلش کردم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ده زبان هم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خصائص زمانه که ازش تعبیر به تاریخ ما بعد الظهور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اگر تعبیرم درست باشد، داخلی امام زمان، سیاست خارجی امام زمان، پایتخت ایشان کجاست؟ وزرای ایشان که هستند؟ وضع اقتصادی چه می شود؟ وضع امنیتی چه می شود؟ وضع کشاورزی چه می شود؟ وضعی بهداشتی چه می شود؟ تمام در این جلد تحت عنوان خصائص اهل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نظر مرا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انصافا جمع کرده است و حرف ها را از کتب معتبره، از نعمانی خیلی نقل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 خیلی نقل می کند، از کمال الدین خیلی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هم از کافی شریف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گویم گاه گاهی چون بنایشان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روایات کتب اربعه را جمع کردم سی صد روایت است یک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فى الكتب الاربعه،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قبل یا بیش تر ما شروع کردیم و الان دیگه مراحل نهاییش است که برود برای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چرا نیاورده است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مرد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از هر کتابی نقل کردم کتاب دیگر مهجور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کسی سراغش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ببینید لابد بیش از پنجاه جلد از مصادر بحار چاپ شده است اما کسی مراجعه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من برای این که کتب اربعه در عظمتش، جایگاهش، موقعیتش، مقامش بماند من ازش نقل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کجا را می 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این کتابی که در ارتباط با امام زمان علیه السلام هست شایسته چاپ شدن مستقل و شروح متعدد و تبیین متعدد و تدریس 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فرموده اند 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زاینده 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بحار 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موفق و موید باشید و مشمول دعای خود علامه مجلسی قرار بگیرید که با این کارتان دارید شعائر اسلام را احیا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بحار الانوار اثر مستقل و خاصی در باب مهدویت مرحوم علامه مجلسی دارند؟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رجعتی دارند که بعضی ها نسبت می دهند به ایشان که ایشان در سه جا توقیت کرده است و من هر سه جا را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بحث خارج من را چاپ کرده اند بحث توقیت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من هر سه نکات ایشان را نقل کرده ام هیچ کدامش توقیت بطی و قطعی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یوطئون مشکلی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زمینه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زمینه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قطعی باشد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مرآه العقول را اگر کسی جمع کند لابد چهار پنج جلدش در مورد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قدر مطالب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 ایشان را جمع کرده ام اما الان مستحضر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میان مهدویت نگاری علامه مجلسی با کتبی مانند غیبت نعمانی و غیبت طوسی و کمال الدین چه مطلبی در نظر دارید؟</w:t>
      </w:r>
    </w:p>
    <w:p>
      <w:pPr>
        <w:pStyle w:val="BookText"/>
        <w:rPr/>
      </w:pPr>
      <w:r>
        <w:rPr>
          <w:rFonts w:ascii="IRNazanin" w:hAnsi="IRNazanin" w:eastAsia="IRNazanin"/>
          <w:color w:val="111111"/>
          <w:sz w:val="28"/>
          <w:sz w:val="28"/>
          <w:szCs w:val="28"/>
          <w:rtl w:val="true"/>
          <w:lang w:bidi="fa-IR"/>
        </w:rPr>
        <w:t>مرحوم مجلسی ناظر به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کارش غیبت نعمانی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کمال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نیلی، الانوار المضيئه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نکته ای که در کتاب شریف مجلسی هست بیاناتش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فرموده اند گاهی بیان دارند و گاهی بیان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مجلسی بیان دارد اضافات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علامه مجلسی در یک کتابش اصلا بحثی که یک سنی کرده است یک جا می آورد و اگر ایشان این کار را نمی کرد ما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المهدى نعت المهدی دیدید؟ مال کیست؟ مال ابو 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جد مادری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آن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 گویند این سالم ترینشان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کتاب الامامه اش را بخواند می بیند که از ابن تیمیه دست 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نعت المهدی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روایت است همه را علامه مجلسی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اضافاتی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محبت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 کنیم از وقتی که گذاشتید</w:t>
      </w:r>
      <w:r>
        <w:rPr>
          <w:rFonts w:eastAsia="IRNazanin" w:cs="IRNazanin"/>
          <w:color w:val="111111"/>
          <w:sz w:val="28"/>
          <w:szCs w:val="28"/>
          <w:rtl w:val="true"/>
          <w:lang w:bidi="fa-IR"/>
        </w:rPr>
        <w:t xml:space="preserve">. </w:t>
      </w:r>
      <w:bookmarkStart w:id="164" w:name="pg9485_70497"/>
    </w:p>
    <w:p>
      <w:pPr>
        <w:pStyle w:val="Heading3"/>
        <w:numPr>
          <w:ilvl w:val="2"/>
          <w:numId w:val="1"/>
        </w:numPr>
        <w:rPr/>
      </w:pPr>
      <w:bookmarkStart w:id="165" w:name="__RefHeading___Toc6319458_2870459653"/>
      <w:bookmarkStart w:id="166" w:name="_Toc61"/>
      <w:bookmarkEnd w:id="164"/>
      <w:bookmarkEnd w:id="165"/>
      <w:r>
        <w:rPr>
          <w:rtl w:val="true"/>
        </w:rPr>
        <w:t>شفیع عالمان</w:t>
      </w:r>
      <w:bookmarkEnd w:id="16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مرعشی نجفی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مقید شدم که تمام ادعیه و آداب وقت خواب را انجام دهم تا مطلبی برایم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خوابیدم، خود را در صحنه قیامت یافتم؛ رسول اکرم صلى اللّه عليه و آله و سلم و سلم نشسته بودند و به حساب علما مشغول بودند، در این میان دیدم دو شیخ بزرگوار در دو طرف رسول خدا صلى اللّه عليه و آله و سلم و سلم نشسته اند و کتاب هایی در برابر آن هاست و نزد یکی از آن ها کتاب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آن دو بزرگوار شفاعت مجرمین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این دو شیخ کیستند؟ گفتند یکی شیخ مفید است و دیگری که نزد او کتاب های بیش تری است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خدمت پیغمبر شفاعت می کنند</w:t>
      </w:r>
      <w:r>
        <w:rPr>
          <w:rFonts w:eastAsia="IRNazanin" w:cs="IRNazanin"/>
          <w:color w:val="111111"/>
          <w:sz w:val="28"/>
          <w:szCs w:val="28"/>
          <w:rtl w:val="true"/>
          <w:lang w:bidi="fa-IR"/>
        </w:rPr>
        <w:t xml:space="preserve">. </w:t>
      </w:r>
      <w:r>
        <w:rPr>
          <w:rStyle w:val="FootnoteAnchor"/>
          <w:rtl w:val="true"/>
        </w:rPr>
        <w:footnoteReference w:id="12"/>
      </w:r>
      <w:bookmarkStart w:id="167" w:name="pg9485_70498"/>
    </w:p>
    <w:p>
      <w:pPr>
        <w:pStyle w:val="Heading2"/>
        <w:numPr>
          <w:ilvl w:val="1"/>
          <w:numId w:val="1"/>
        </w:numPr>
        <w:rPr/>
      </w:pPr>
      <w:bookmarkStart w:id="168" w:name="__RefHeading___Toc6319460_2870459653"/>
      <w:bookmarkStart w:id="169" w:name="_Toc62"/>
      <w:bookmarkEnd w:id="167"/>
      <w:bookmarkEnd w:id="168"/>
      <w:r>
        <w:rPr>
          <w:rtl w:val="true"/>
        </w:rPr>
        <w:t>نُه</w:t>
      </w:r>
      <w:r>
        <w:rPr>
          <w:rtl w:val="true"/>
        </w:rPr>
        <w:t xml:space="preserve">: </w:t>
      </w:r>
      <w:r>
        <w:rPr>
          <w:rtl w:val="true"/>
        </w:rPr>
        <w:t>ماجرای یک اسطوره</w:t>
      </w:r>
      <w:bookmarkEnd w:id="169"/>
    </w:p>
    <w:p>
      <w:pPr>
        <w:pStyle w:val="Heading3"/>
        <w:numPr>
          <w:ilvl w:val="2"/>
          <w:numId w:val="1"/>
        </w:numPr>
        <w:rPr/>
      </w:pPr>
      <w:bookmarkStart w:id="170" w:name="__RefHeading___Toc6319462_2870459653"/>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گزارشی از کتاب زندگی نامه علامه مجلسی اثر سید مصلح الدین مهدوی، محمد جواد مهدیان</w:t>
      </w:r>
    </w:p>
    <w:p>
      <w:pPr>
        <w:pStyle w:val="BookText"/>
        <w:rPr/>
      </w:pPr>
      <w:r>
        <w:rPr>
          <w:rFonts w:ascii="IRNazanin" w:hAnsi="IRNazanin" w:eastAsia="IRNazanin"/>
          <w:color w:val="111111"/>
          <w:sz w:val="28"/>
          <w:sz w:val="28"/>
          <w:szCs w:val="28"/>
          <w:rtl w:val="true"/>
          <w:lang w:bidi="fa-IR"/>
        </w:rPr>
        <w:t>عکس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6" o:detectmouseclick="t"/>
                <v:stroke color="#3465a4" joinstyle="round" endcap="flat"/>
                <w10:wrap type="none"/>
              </v:shape>
            </w:pict>
          </mc:Fallback>
        </mc:AlternateContent>
      </w:r>
      <w:bookmarkStart w:id="172" w:name="pg9485_70499"/>
    </w:p>
    <w:p>
      <w:pPr>
        <w:pStyle w:val="Heading3"/>
        <w:numPr>
          <w:ilvl w:val="2"/>
          <w:numId w:val="1"/>
        </w:numPr>
        <w:rPr/>
      </w:pPr>
      <w:bookmarkStart w:id="173" w:name="__RefHeading___Toc6319464_2870459653"/>
      <w:bookmarkStart w:id="174" w:name="_Toc64"/>
      <w:bookmarkEnd w:id="172"/>
      <w:bookmarkEnd w:id="173"/>
      <w:r>
        <w:rPr>
          <w:rtl w:val="true"/>
        </w:rPr>
        <w:t>مصلح الدین مهدوی و کتاب زندگی نامه علامه مجلسی او</w:t>
      </w:r>
      <w:bookmarkEnd w:id="174"/>
    </w:p>
    <w:p>
      <w:pPr>
        <w:pStyle w:val="BookText"/>
        <w:rPr/>
      </w:pPr>
      <w:r>
        <w:rPr>
          <w:rFonts w:ascii="IRNazanin" w:hAnsi="IRNazanin" w:eastAsia="IRNazanin"/>
          <w:color w:val="111111"/>
          <w:sz w:val="28"/>
          <w:sz w:val="28"/>
          <w:szCs w:val="28"/>
          <w:rtl w:val="true"/>
          <w:lang w:bidi="fa-IR"/>
        </w:rPr>
        <w:t>سید محمد حسین مهدوی اصفهانی، مشهور به سید مصلح الدین مهدوی، از مشهورترین تذکره نویسان و مورخین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آثار عدیده ای خود، در حوزه اماکن و علما و تاریخ اصفهان، نقشی مهم در حفظ هویت این شهر و انتقال پیشینه آن به نسل جدید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او از مراجع هر محققی است که بخواهد درباره علما و تاریخ این شهر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آثار مؤلف احاطه وافر و تطبع مدققانه او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نامه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یکی از آثار ایشان است که با دغدغه زدودن ابهامات و پاسخ به اتهامات به بزرگ ترین محدث عصر صفوی،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مؤلف، سابقه این تألیف را باید از طرفی در علاقه زیاد ایشان به علامه بزرگ، مجلسی دوم که حاصل تطبع در آثارشان است، و از طرف دیگر تبدیل به باور شدن هجمه های بی پایه ای که علیه علامه مجلسی مطرح شده است، دانست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نگارش کتاب بدین گونه است که عمدتا در </w:t>
      </w:r>
      <w:bookmarkStart w:id="175" w:name="pg9485_70500"/>
    </w:p>
    <w:p>
      <w:pPr>
        <w:pStyle w:val="BookText"/>
        <w:rPr/>
      </w:pPr>
      <w:bookmarkEnd w:id="175"/>
      <w:r>
        <w:rPr>
          <w:rFonts w:ascii="IRNazanin" w:hAnsi="IRNazanin" w:eastAsia="IRNazanin"/>
          <w:color w:val="111111"/>
          <w:sz w:val="28"/>
          <w:sz w:val="28"/>
          <w:szCs w:val="28"/>
          <w:rtl w:val="true"/>
          <w:lang w:bidi="fa-IR"/>
        </w:rPr>
        <w:t>بخش هایی که نیازی به تحلیل نداشته است مانند سال تولد و مکان سکونت و خاندان و اساتید علامهُ به بیان بدون مقدمه و تحلیل پرداخته شده و در بررسی اقدامات اجتماعی علامه یا حیات علمی او با ذکر مقدمه مفصل تاریخی، مؤلف به سراغ نقل قول هایی که در هر بخش بدان دسترسی داشته رفته و عمدتا با رویکرد انتقادی به آن ها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مؤلف دغدغه پاسخ گویی به شبهات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موجب آن شده است که دیدگاه خود را در خلال انتقاد به دیگر نظرات بیان کند و بدین گونه نیست که نویسنده در اول هر بخش به نظر مختار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دغدغه ای نیاز به تطبعی جامع داشته و بایستی به سراغ آثار اندیشمندان و محققان داخلی و خارجی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جای جای کتاب به نظرات مستشرقین از جمله ادوارد براون، لارنس لاکهارت و سر جان ملکم که عمدتا به علامه مجلسی اتهام تعصب و خشک دینی زده اند، توجه دارد و به رد نظر آنان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منابع این کتاب می توان به روضات الجنات، فوائد رضویه، الكنى و الالقاب، هديه الاحباب، الذریعه، مرآت الاحوال، فیض قدسی، رستم التواريخ، مجمع التواريخ، شمس التواريخ، شهداء الفضيله، اعيان الشيعه، ریحانه الادب، آثار ملی اصفهان، تاریخچه اوقاف اصفهان و گنجینه آثار تاریخی اصفهان اشاره کرد</w:t>
      </w:r>
      <w:r>
        <w:rPr>
          <w:rFonts w:eastAsia="IRNazanin" w:cs="IRNazanin"/>
          <w:color w:val="111111"/>
          <w:sz w:val="28"/>
          <w:szCs w:val="28"/>
          <w:rtl w:val="true"/>
          <w:lang w:bidi="fa-IR"/>
        </w:rPr>
        <w:t>.</w:t>
      </w:r>
    </w:p>
    <w:p>
      <w:pPr>
        <w:pStyle w:val="Heading3"/>
        <w:numPr>
          <w:ilvl w:val="2"/>
          <w:numId w:val="1"/>
        </w:numPr>
        <w:rPr/>
      </w:pPr>
      <w:bookmarkStart w:id="176" w:name="__RefHeading___Toc6319466_2870459653"/>
      <w:bookmarkStart w:id="177" w:name="_Toc65"/>
      <w:bookmarkEnd w:id="176"/>
      <w:r>
        <w:rPr>
          <w:rtl w:val="true"/>
        </w:rPr>
        <w:t>گزارشی از فصل ها</w:t>
      </w:r>
      <w:bookmarkEnd w:id="17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فصل اول، نگارنده به دو مقدمه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مشتمل بر نظریات او راجع به سیر تکون شیعه، دسته بندی علمای شیعه و نگاه کلی به تاریخ صفویه به خصوص رابطه علما با شاهان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دوم، به بررسی مختصر مقابر اصفهان و سپس مقبره علامه مجلسی و ذکر نقل قول هایی </w:t>
      </w:r>
    </w:p>
    <w:p>
      <w:pPr>
        <w:pStyle w:val="BookText"/>
        <w:rPr/>
      </w:pPr>
      <w:r>
        <w:rPr>
          <w:rFonts w:ascii="IRNazanin" w:hAnsi="IRNazanin" w:eastAsia="IRNazanin"/>
          <w:color w:val="111111"/>
          <w:sz w:val="28"/>
          <w:sz w:val="28"/>
          <w:szCs w:val="28"/>
          <w:rtl w:val="true"/>
          <w:lang w:bidi="fa-IR"/>
        </w:rPr>
        <w:t>تاریخی راجع به این مقبره، پرداخته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با ذکر دیدگاه ها در رابطه با تاریخ تولد، وفات، خاندان و حکایاتی از دوران کودکی و نوزادی علامه آغاز می شود و با بررسی شخصیت علامه، که از مهم ترین بخش های این اثر است،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با عباراتی از صوفیه راجع به علامه مجلسی، به تحلیل علت بغض و کینه ایشان نسبت به علامه مجلسی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علامه متوجه تغییر مشی این فرقه، نسبت به اوایل دوران صفویه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مهدوی این مطلب از نقل قول های علامه راجع به پدرشان، که او را از اتهام صوفی گری مبری می دانند،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پس از این، به ذکر نقل قول هایی از علمای اهل سنت، در زمانه نزدیک به علامه،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 نشان کرده است که این علما، از تأثیر شدید علامه مجلسی در گسترش دانش مذهبی شیعیان عادی احساس خطر کرده اند تا بدان جا که چنین اظهار کرده اند که بهتر است شیعیان را شیعه مجلسی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مؤلف به بیان نظرات مستشرقین پرداخته و با ذکر شواهد تاریخی نشان داده که آنان حقیقتا مغرضانه به بیان اقدامات این عالم بزرگ عالم تشیع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مهدوی به دنبال این است که نشان دهد که مجلسی دوم با رویکرد فرهنگی و علمی به تبلیغ تشیع پرداخته و نه ابزار قدرتی در دست داشته است و نه به دنبال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شواهد تاریخی، اسلام آوردن جمعیتی از مسلمین نواحی سرزمین شام است که مستشرقین از آن با عنوان شیعه کردن اجباری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در رد انتقادات دکتر شریعتی همتی مصروف نداشته است و تنها به ذکر غیر مستقیم آراء او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وی تاریخ شیعه و شکست های پیاپی قیام های شیعیان، علما را بدین مسیر سوق داده است که از ظرفیت حکام، برای حفظ آثار </w:t>
      </w:r>
    </w:p>
    <w:p>
      <w:pPr>
        <w:pStyle w:val="BookText"/>
        <w:rPr/>
      </w:pPr>
      <w:r>
        <w:rPr>
          <w:rFonts w:ascii="IRNazanin" w:hAnsi="IRNazanin" w:eastAsia="IRNazanin"/>
          <w:color w:val="111111"/>
          <w:sz w:val="28"/>
          <w:sz w:val="28"/>
          <w:szCs w:val="28"/>
          <w:rtl w:val="true"/>
          <w:lang w:bidi="fa-IR"/>
        </w:rPr>
        <w:t>خود و جان شیعیان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مؤلف از نظر دور نداشته که ارتباط علمای دوران صفویه با دربار، سیاسی بوده و هر دو طرف به دنبال بهره خود از این ارتباط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علی رغم تشیع حقیقی شاهان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مؤیدات این نظر، می توان به اقدامات علامه مجلسی در مبارزه با میگساری در دربار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در نهایت موفقیت کامل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بعدی این فصل مؤلف به بیان این نکته می پردازد که بعد از شاه عباس اول، سلسله صفویه رو به سقوط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سلطان حسین به پادشاهی، این روند را تشدید کرد و رویکرد علما، از جمله مجلسی، در این فرایند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مناصب و مشاغل علامه مجلسی پرداخته شده است و توضیحاتی راجع به منصب شیخ الاسلامی و سابقه آن بین شیعه و اهل سنت داده شده است که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اقدامات علامه مجلسی در راستای اقامه نماز جمعه اشاره شده و این اقدامات در راستای اقدامات پدرشان در احیای نماز جمعه،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مؤلف، بنا بر روش نگارشی خود، نظری به ادله فقهی وجوب نماز جمعه هم انداخته است و روایاتی را در این فصل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و چهارم و پنجم به بیان افراد خاندان علامه و اسلاف ایشان و مشایخ و اساتید اجازه و شاگردان علامه پرداخته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ششم در مقایسه ای جالب توجه، کتب علامه حلى با كتب علامه مجلسی به قیاس گذاشته شده است و در این میان آثار علامه مجلسی را دارای دو مزیت مهم، نسبت به آثار سلف ایشان،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مزیت مربوط به عمومی سازی علم در آثار مجلسی دوم است به گونه ای که برخی از علمای شیعه تمام شیعیان را وامدار ایشان می دانند زیرا؛ در هر خانه ای از </w:t>
      </w:r>
    </w:p>
    <w:p>
      <w:pPr>
        <w:pStyle w:val="BookText"/>
        <w:rPr/>
      </w:pPr>
      <w:r>
        <w:rPr>
          <w:rFonts w:ascii="IRNazanin" w:hAnsi="IRNazanin" w:eastAsia="IRNazanin"/>
          <w:color w:val="111111"/>
          <w:sz w:val="28"/>
          <w:sz w:val="28"/>
          <w:szCs w:val="28"/>
          <w:rtl w:val="true"/>
          <w:lang w:bidi="fa-IR"/>
        </w:rPr>
        <w:t>خانه های شیعیان و یا هر مکانی از اماکن متبرکه شیعه، کتابی از ایشان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ناظر به دهه ها و سده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دوم به فارسی نویسی در آثار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نویسی ایشان باعث شده است که کتب ایشان شیوع بیش 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مقایسه، به نقل دیدگاه شماری از علما، راجع به آثار علامه مجلسی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نویسنده اشتمال آثار علامه مجلسی، نسبت به روایات نا صحیح، این گونه توجیه شده است که علامه، مانند اسلاف خود، سعی بر جمع آوری تمامی روایات داشته است تا مسیر برای محققین بعدی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شبهاتی که در ادامه این فصل بدان پرداخته شده است، این است که عمر علامه مجلسی، با وجود اشتغالات فراوان ایشان، چگونه فرصت نگارش آثاری بدین گستردگی را به ایشان داده است؟ مؤلف در پاسخ، با اشاره به سنت تند نویسی میان علما، توضیح داده است که علامه در بسیاری از موارد، تنها به ذکر حدیث اکتفا کرده اند و علی رغم تند نویسی، فرصت تحلیل احادیث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تفصیل، ایشان نیازی به کمک گرفتن از کاتبان دیگر برای نگارش کتب نداشته است و همکاری علامه با کاتبین در موارد محدودی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ای از فصل هفتم به بررسی کتاب بحار الانوار، نحوه نگارش و مصادر کتاب و نقل قول های دیگران راجع بدین کتاب اختصاص داده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پس از آن که در فصل هشتم به مدفونین در بقعه مجلسیین اشاره می کند، در خاتمه، و به عنوان ختامه مسک، به بیان شرح حالی از علامه مجلسی اول، یعنی مولی محمد تقی مجلسی،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دنیا گریزی و پاک دستی و سعی فراوان ایشان در گسترش دین اشاره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نقل گزارشی از تعبیر خواب ایشان، که توسط مجلسی دوم نقل شده است؛ حکایت دیدار مجلسیین با میر فندرسکی مردود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پیش در دوره پهلوی دوم، دو مسجد جامع اصفهان در وضعیت نا گواری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وقت تصمیم گرفته بود به بهانه حفظ میراث فرهنگی و آثار تاریخی، نماز خواندن را در این دو مسجد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 روحانی شجاع به نام آیت اللّه محمد باقر زند کرمانی با تلاش های خود این توطئه را خنثی کرد؛ حتی در مقطعی کوتاه نماز جمعه به امامت حاج آقا رحیم ارباب نیز در مسجد جامع یا همان مسجد جمعه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حتی اگر هدف ما حفظ یک مسجد تاریخی هم باشد رفت و آمد، یعنی برقراری نمازهای روزانه، بهترین راه زنده نگه داشتن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را به این واقعیت اضافه کنید که اصفهان مانند مشهد، قم، شیراز و ری حرم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مطرحی ندارد و همواره دو قطب زیارتی مردم دو نقطه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تخت فولاد که علاوه بر مکان دفن مردم و علما، سرزمینی معنوی نیز بوده است و با اختلاف، مقبره علامه مجلسی مورد توجه مردمان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دو مقدمه وارد مبحث توریست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گردشگر ایرانی و خارجی سیاستی صحیح برای تولید درآمد است که در پی آن برکات زیادی حاصل می شود اما در این جا یک نکته بسیار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مذهبی برای زیست مومنانه مردم یک ناحیه درست شده اند و از همین جهت اهمیت دارند و صرفا مکان هایی برای تماشا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توریست آن صنعتی است که با ورودش می تواند یک مکان را از معنای اصیل خود تهی کند و آن را معنایی </w:t>
      </w:r>
    </w:p>
    <w:p>
      <w:pPr>
        <w:pStyle w:val="BookText"/>
        <w:rPr/>
      </w:pPr>
      <w:r>
        <w:rPr>
          <w:rFonts w:ascii="IRNazanin" w:hAnsi="IRNazanin" w:eastAsia="IRNazanin"/>
          <w:color w:val="111111"/>
          <w:sz w:val="28"/>
          <w:sz w:val="28"/>
          <w:szCs w:val="28"/>
          <w:rtl w:val="true"/>
          <w:lang w:bidi="fa-IR"/>
        </w:rPr>
        <w:t>توریستی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می توان گفت این وضعیت برای مسجد جامع عباسی اصفهان در سال های اخیر رخ داده است اما این حالت برای حرم امام رضا در مشهد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حرم امام رضا یا حرم حضرت معصومه همان کار کرد مومنانه را برای مردم دارد و در کنار آن موجب برکت و رونق گردشگری 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صحیح و ایده آلی است که در اصفهان باید به دنبال آن باشیم و همین الگو کم و بیش برای دو مسجد جامع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زیست مومنانه با نگاه گردشگری آن است که گردشگر صرفا تماشاچی است و بعضا منفعل است و بیش تر در چهار چوبی مقتصدانه در میانه بازار و فضای تفریح و سرگرمی حضورش تعریف می شود اما در حالت اول که ایده آل ماست انسان در مکان تاریخی کاملا درگیر می شود و خودش یک بازیگر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او کنشی است که امری معنوی بده بستان دارد و خلاصه او بیکار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ما در عزاداری ها هم شاهد هستیم در آئین های عزاداری تاریخی ما همه شاهدان و حاضران به نوعی درگیر می شوند و آئین عزاداری با کنش آنان پیش می رود اما در حالت مصرف رسانه ای و یا نگاه گردشگرانه صرف، این محیط است که غالب است و گردشگر تنها یک مصرف کننده یا صرفا شاهد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سراغ دو مسجد محل بحث خود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بینانه باید بگوییم مسجد جامع عباسی در میانه بازار و در کنار فضای میدان نقش جهان، از حالت ایده آل ما بسیار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به این مسجد و عوامل به وجود آمدن چنین وضعیتی نمی پردازیم اما خوشبختانه باید اعلام کنیم که مسجد جامع کهنسال اصفهان چنین وضعیتی دارد و هنوز جای امیدواری است که با مدیریت </w:t>
      </w:r>
    </w:p>
    <w:p>
      <w:pPr>
        <w:pStyle w:val="BookText"/>
        <w:rPr/>
      </w:pPr>
      <w:r>
        <w:rPr>
          <w:rFonts w:ascii="IRNazanin" w:hAnsi="IRNazanin" w:eastAsia="IRNazanin"/>
          <w:color w:val="111111"/>
          <w:sz w:val="28"/>
          <w:sz w:val="28"/>
          <w:szCs w:val="28"/>
          <w:rtl w:val="true"/>
          <w:lang w:bidi="fa-IR"/>
        </w:rPr>
        <w:t>و درایت به سمت حالت ایده آل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مسجد جامع در نگاه توریستی بلعیده نشده است برای آن که این مسجد عظیم در میانه تلاطم روز مرده مردمان شهر اصفهان است و همان طور که گفتیم مسجد برای زنده بودنش باید در میانه زدگی باشد و مسجد جامع دقیقا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که گفته می شود این مسجد گالری معماری ایران است که البته سخن صحیح و ارزشمندی است سبب حیات امروزه آن نشده است سبب حیات آن رفت و شد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رفت و آمد رکنش چیست؟ بی شک یکی از ارکانش اگر نگوییم بالا ترین رکن آن وجود مقبره عالمان جلیل القدری است که محور آنان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حس معنوی محکم میان مردم اصفهان و این بارگاه وجود دارد که موجب رفت و آمد شده است رفت و آمدی که حیات بخش است و ان فضا را از فضایی صرفا توریستی و تفریحی و مشاهده گرانه خارج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معجزه مردی است که از پی سی صد سال هنوز چنین کرامتی دارد و دم حیات بخشی او هنوز می تواند یکی از دو اثر اصلی تاریخی اصفهان را از آسیب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مورد غفلت مدیران بوده است اما مجلسی خود با حیات باطنی دائر مدار امر حفاظت از خود و میراث فرهنگی شیعه است</w:t>
      </w:r>
      <w:r>
        <w:rPr>
          <w:rFonts w:eastAsia="IRNazanin" w:cs="IRNazanin"/>
          <w:color w:val="111111"/>
          <w:sz w:val="28"/>
          <w:szCs w:val="28"/>
          <w:rtl w:val="true"/>
          <w:lang w:bidi="fa-IR"/>
        </w:rPr>
        <w:t xml:space="preserve">. </w:t>
      </w:r>
      <w:bookmarkStart w:id="178" w:name="pg9485_70507"/>
    </w:p>
    <w:p>
      <w:pPr>
        <w:pStyle w:val="Heading3"/>
        <w:numPr>
          <w:ilvl w:val="2"/>
          <w:numId w:val="1"/>
        </w:numPr>
        <w:rPr/>
      </w:pPr>
      <w:bookmarkStart w:id="179" w:name="__RefHeading___Toc6319468_2870459653"/>
      <w:bookmarkStart w:id="180" w:name="_Toc66"/>
      <w:bookmarkEnd w:id="178"/>
      <w:bookmarkEnd w:id="179"/>
      <w:r>
        <w:rPr>
          <w:rtl w:val="true"/>
        </w:rPr>
        <w:t>شفیع عالمان</w:t>
      </w:r>
      <w:bookmarkEnd w:id="18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مرعشی نجفی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مقید شدم که تمام ادعیه و آداب وقت خواب را انجام دهم تا مطلبی برایم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خوابیدم، خود را در صحنه قیامت یافتم؛ رسول اکرم صلى اللّه عليه و آله و سلم و سلم نشسته بودند و به حساب علما مشغول بودند، در این میان دیدم دو شیخ بزرگوار در دو طرف رسول خدا صلى اللّه عليه و آله و سلم نشسته اند و کتاب هایی در برابر آن هاست و نزد یکی از آن ها کتاب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آن دو بزرگوار شفاعت مجرمین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این دو شیخ کیستند؟ گفتند یکی شیخ مفید است و دیگری که نزد او کتاب های بیش تری است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خدمت پیغمبر شفاعت می کنند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عکس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4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48" o:detectmouseclick="t"/>
                <v:stroke color="#3465a4" joinstyle="round" endcap="flat"/>
                <w10:wrap type="none"/>
              </v:shape>
            </w:pict>
          </mc:Fallback>
        </mc:AlternateContent>
      </w:r>
      <w:bookmarkStart w:id="181" w:name="pg9485_70509"/>
    </w:p>
    <w:p>
      <w:pPr>
        <w:pStyle w:val="Heading2"/>
        <w:numPr>
          <w:ilvl w:val="1"/>
          <w:numId w:val="1"/>
        </w:numPr>
        <w:rPr/>
      </w:pPr>
      <w:bookmarkStart w:id="182" w:name="__RefHeading___Toc6319470_2870459653"/>
      <w:bookmarkStart w:id="183" w:name="_Toc67"/>
      <w:bookmarkEnd w:id="181"/>
      <w:bookmarkEnd w:id="182"/>
      <w:r>
        <w:rPr>
          <w:rtl w:val="true"/>
        </w:rPr>
        <w:t>کرامتی از پس سه قرن</w:t>
      </w:r>
      <w:r>
        <w:rPr>
          <w:rtl w:val="true"/>
        </w:rPr>
        <w:t xml:space="preserve">: </w:t>
      </w:r>
      <w:r>
        <w:rPr>
          <w:rtl w:val="true"/>
        </w:rPr>
        <w:t>محمود فروز بخش</w:t>
      </w:r>
      <w:bookmarkEnd w:id="183"/>
    </w:p>
    <w:p>
      <w:pPr>
        <w:pStyle w:val="BookText"/>
        <w:rPr/>
      </w:pPr>
      <w:r>
        <w:rPr>
          <w:rFonts w:ascii="IRNazanin" w:hAnsi="IRNazanin" w:eastAsia="IRNazanin"/>
          <w:color w:val="111111"/>
          <w:sz w:val="28"/>
          <w:sz w:val="28"/>
          <w:szCs w:val="28"/>
          <w:rtl w:val="true"/>
          <w:lang w:bidi="fa-IR"/>
        </w:rPr>
        <w:t>سال ها پیش در دوره پهلوی دوم، دو مسجد جامع اصفهان در وضعیت ناگواری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وقت تصمیم گرفته بود به بهانه حفظ میراث فرهنگی و آثار تاریخی، نماز خواندن را در این دو مسجد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 روحانی شجاع به نام آیت اللّه محمد باقر زند کرمانی با تلاش های خود این توطئه را خنثی کرد؛ حتی در مقطعی کوتاه نماز جمعه به امامت حاج آقا رحیم ارباب نیز در مسجد جامع یا همان مسجد جمعه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حتی اگر هدف ما حفظ یک مسجد تاریخی هم باشد رفت و آمد، یعنی برقراری نمازهای روزانه، بهترین راه زنده نگه داشتن مسجد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مقدمه را به این واقعیت اضافه کنید که اصفهان مانند مشهد، قم، شیراز و ری حرم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زاده مطرحی ندارد و همواره دو قطب زیارتی مردم دو نقطه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تخت فولاد که علاوه بر مکان دفن مردم و علما، سرزمینی معنوی نیز بوده است و با اختلاف، مقبره علامه مجلسی مورد توجه مردمان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دو مقدمه وارد مبحث توریست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گردشگر ایرانی و خارجی سیاستی صحیح برای تولید در آمد است که در پی آن برکات زیادی حاصل می شود اما در این جا یک نکته بسیار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مذهبی برای زیست مومنانه مردم یک ناحیه درست شده اند و از همین جهت اهمیت دارند و صرفا مکان هایی برای تماشا نیستند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توریست آن صنعتی است که با ورودش می تواند یک مکان را از معنای اصیل خود تهی کند و آن را معنایی توریستی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می توان گفت این وضعیت برای مسجد جامع عباسی اصفهان در سال های اخیر رخ داده است اما این حالت برای حرم امام رضا در مشهد رخ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حرم امام رضا یا حرم حضرت معصومه همان کار کرد مومنانه را برای مردم دارد و در کنار آن موجب برکت و رونق گردشگری 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صحیح و ایده آلی است که در اصفهان باید به دنبال آن باشیم و همین الگو کم و بیش برای دو مسجد جامع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زیست مومنانه با نگاه گردشگری آن است که گردشگر صرفا تماشاچی است و بعضا منفعل است و بیش تر در چهار چوبی مقتصدانه در میانه بازار و فضای تفریح و سرگرمی حضورش تعریف می شود اما در حالت اول که ایده آل ماست انسان در مکان تاریخی کاملا درگیر می شود و خودش یک بازیگر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او کنشی است که امری معنوی بده بستان دارد و خلاصه او بیکار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ما در عزاداری ها هم شاهد هستیم در آئین های عزاداری تاریخی ما همه شاهدان و حاضران به نوعی درگیر می شوند و آئین عزاداری با کنش آنان پیش می رود اما در حالت مصرف رسانه ای و یا نگاه گردشگرانه صرف، این محیط است که غالب است و گردشگر تنها یک مصرف کننده یا صرفا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دو مسجد محل بحث خود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بینانه باید بگوییم مسجد جامع عباسی در میانه بازار و در کنار فضای میدان نقش جهان، از حالت ایده آل ما بسیار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این مسجد و عوامل به وجود آمدن چنین وضعیتی نمی پردازیم اما خوشبختانه باید اعلام کنیم که مسجد جامع کهنسال اصفهان چنین وضعیتی دارد و هنوز جای امیدواری است که با مدیریت و درایت به سمت حالت ایده آل پیش برویم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مسجد جامع در نگاه توریستی بلعیده نشده است برای آن که این مسجد عظیم در میانه تلاطم روزمرده مردمان شهر اصفهان است و همان طور که </w:t>
      </w:r>
    </w:p>
    <w:p>
      <w:pPr>
        <w:pStyle w:val="BookText"/>
        <w:rPr/>
      </w:pPr>
      <w:r>
        <w:rPr>
          <w:rFonts w:ascii="IRNazanin" w:hAnsi="IRNazanin" w:eastAsia="IRNazanin"/>
          <w:color w:val="111111"/>
          <w:sz w:val="28"/>
          <w:sz w:val="28"/>
          <w:szCs w:val="28"/>
          <w:rtl w:val="true"/>
          <w:lang w:bidi="fa-IR"/>
        </w:rPr>
        <w:t>گفتیم مسجد برای زنده بودنش باید در میانه زدگی باشد و مسجد جامع دقیقا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که گفته می شود این مسجد گالری معماری ایران است که البته سخن صحیح و ارزشمندی است سبب حیات امروزه آن نشده است سبب حیات آن رفت و شد مردمان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رفت و آمد رکنش چیست؟ بی شک یکی از ارکانش اگر نگوییم بالا ترین رکن آن وجود مقبره عالمان جلیل القدری است که محور آنان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حس معنوی محکم میان مردم اصفهان و این بارگاه وجود دارد که موجب رفت و آمد شده است رفت و آمدی که حیات بخش است و آن فضا را از فضایی صرفا توریستی و تفریحی و مشاهده گرانه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مردی است که از پی سی صد سال هنوز چنین کرامتی دارد و دم حیات بخشی او هنوز می تواند یکی از دو اثر اصلی تاریخی اصفهان را از آسیب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مورد غفلت مدیران بوده است اما مجلسی خود با حیات باطنی دائر مدار امر حفاظت از خود و میراث فرهنگی شیعه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زنجره تمدنی در اصفهان از آل بویه شکل گرفت، گفتگو با اصغر منتظر القائم، روزنامه اصفهان زیبا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95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مربوط به ادعیه روزانه، اقبال مربوط به ادعیه سالیانه، مضمار السبق مربوط به اعمال ماه مبارک رمضان و جمال الاسبوع مربوط به اعمال روز جمعه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اثر علامه مجلسی، کتاب حق الیقین است که در شعبان سال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رسیده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در صحت چنین نقلی، تردید کرده اند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محقق دوانی، باب چهار دهم، در حقیقت رساله ی مستقلی است که علامه در ضمن این کتاب هم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بزرگ مرد علم و دین، ص </w:t>
      </w:r>
      <w:r>
        <w:rPr>
          <w:rFonts w:eastAsia="IRNazanin" w:cs="IRNazanin"/>
          <w:b w:val="false"/>
          <w:bCs w:val="false"/>
          <w:i w:val="false"/>
          <w:iCs w:val="false"/>
          <w:color w:val="333333"/>
          <w:sz w:val="20"/>
          <w:szCs w:val="20"/>
        </w:rPr>
        <w:t>129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مصلح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image" Target="media/image5.jpeg"/><Relationship Id="rId40" Type="http://schemas.openxmlformats.org/officeDocument/2006/relationships/image" Target="media/image5.jpeg"/><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image" Target="media/image6.jpeg"/><Relationship Id="rId47" Type="http://schemas.openxmlformats.org/officeDocument/2006/relationships/image" Target="media/image6.jpeg"/><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image" Target="media/image7.jpeg"/><Relationship Id="rId52" Type="http://schemas.openxmlformats.org/officeDocument/2006/relationships/image" Target="media/image7.jpeg"/><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image" Target="media/image8.jpeg"/><Relationship Id="rId66" Type="http://schemas.openxmlformats.org/officeDocument/2006/relationships/image" Target="media/image8.jpeg"/><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image" Target="media/image9.jpeg"/><Relationship Id="rId88" Type="http://schemas.openxmlformats.org/officeDocument/2006/relationships/image" Target="media/image9.jpeg"/><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image" Target="media/image10.jpeg"/><Relationship Id="rId101" Type="http://schemas.openxmlformats.org/officeDocument/2006/relationships/image" Target="media/image10.jpeg"/><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image" Target="media/image11.jpeg"/><Relationship Id="rId108" Type="http://schemas.openxmlformats.org/officeDocument/2006/relationships/image" Target="media/image11.jpeg"/><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image" Target="media/image12.jpeg"/><Relationship Id="rId118" Type="http://schemas.openxmlformats.org/officeDocument/2006/relationships/image" Target="media/image12.jpeg"/><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image" Target="media/image13.jpeg"/><Relationship Id="rId136" Type="http://schemas.openxmlformats.org/officeDocument/2006/relationships/image" Target="media/image13.jpeg"/><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image" Target="media/image14.jpeg"/><Relationship Id="rId148" Type="http://schemas.openxmlformats.org/officeDocument/2006/relationships/image" Target="media/image14.jpeg"/><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25.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26632</Words>
  <Characters>98218</Characters>
  <CharactersWithSpaces>124382</CharactersWithSpaces>
  <Paragraphs>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2026-08-20T15:11:15Z</dcterms:created>
  <dc:creator>ghaemiyeh.com</dc:creator>
  <dc:description/>
  <dc:language>en-US</dc:language>
  <cp:lastModifiedBy/>
  <dcterms:modified xsi:type="dcterms:W3CDTF">2026-08-20T18:41:25Z</dcterms:modified>
  <cp:revision>1</cp:revision>
  <dc:subject/>
  <dc:title>در بحر مجلسی</dc:title>
</cp:coreProperties>
</file>

<file path=docProps/custom.xml><?xml version="1.0" encoding="utf-8"?>
<Properties xmlns="http://schemas.openxmlformats.org/officeDocument/2006/custom-properties" xmlns:vt="http://schemas.openxmlformats.org/officeDocument/2006/docPropsVTypes"/>
</file>