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5.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فقه الثقلین فی شرح تحریرالوسیلة کتاب القصاص</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97401_2870459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5797403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797405_2870459653">
            <w:r>
              <w:rPr>
                <w:webHidden/>
                <w:rStyle w:val="IndexLink"/>
                <w:rtl w:val="true"/>
              </w:rPr>
              <w:t>دلیل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5797407_2870459653">
            <w:r>
              <w:rPr>
                <w:webHidden/>
                <w:rStyle w:val="IndexLink"/>
                <w:rtl w:val="true"/>
              </w:rPr>
              <w:t>مقدّمة التحقيق</w:t>
            </w:r>
            <w:r>
              <w:rPr>
                <w:rStyle w:val="IndexLink"/>
                <w:rtl w:val="true"/>
              </w:rPr>
              <w:tab/>
            </w:r>
            <w:r>
              <w:rPr>
                <w:rStyle w:val="IndexLink"/>
              </w:rPr>
              <w:t>13</w:t>
            </w:r>
          </w:hyperlink>
        </w:p>
        <w:p>
          <w:pPr>
            <w:pStyle w:val="Contents2"/>
            <w:tabs>
              <w:tab w:val="clear" w:pos="8743"/>
              <w:tab w:val="right" w:pos="9026" w:leader="dot"/>
            </w:tabs>
            <w:rPr/>
          </w:pPr>
          <w:hyperlink w:anchor="__RefHeading___Toc5797409_2870459653">
            <w:r>
              <w:rPr>
                <w:webHidden/>
                <w:rStyle w:val="IndexLink"/>
                <w:rtl w:val="true"/>
              </w:rPr>
              <w:t>مقدّمة المؤلّف</w:t>
            </w:r>
            <w:r>
              <w:rPr>
                <w:rStyle w:val="IndexLink"/>
                <w:rtl w:val="true"/>
              </w:rPr>
              <w:tab/>
            </w:r>
            <w:r>
              <w:rPr>
                <w:rStyle w:val="IndexLink"/>
              </w:rPr>
              <w:t>17</w:t>
            </w:r>
          </w:hyperlink>
        </w:p>
        <w:p>
          <w:pPr>
            <w:pStyle w:val="Contents2"/>
            <w:tabs>
              <w:tab w:val="clear" w:pos="8743"/>
              <w:tab w:val="right" w:pos="9026" w:leader="dot"/>
            </w:tabs>
            <w:rPr/>
          </w:pPr>
          <w:hyperlink w:anchor="__RefHeading___Toc5797411_2870459653">
            <w:r>
              <w:rPr>
                <w:webHidden/>
                <w:rStyle w:val="IndexLink"/>
                <w:rtl w:val="true"/>
              </w:rPr>
              <w:t>كتاب القصاص</w:t>
            </w:r>
            <w:r>
              <w:rPr>
                <w:rStyle w:val="IndexLink"/>
                <w:rtl w:val="true"/>
              </w:rPr>
              <w:tab/>
            </w:r>
            <w:r>
              <w:rPr>
                <w:rStyle w:val="IndexLink"/>
              </w:rPr>
              <w:t>19</w:t>
            </w:r>
          </w:hyperlink>
        </w:p>
        <w:p>
          <w:pPr>
            <w:pStyle w:val="Contents3"/>
            <w:tabs>
              <w:tab w:val="clear" w:pos="8459"/>
              <w:tab w:val="right" w:pos="9026" w:leader="dot"/>
            </w:tabs>
            <w:rPr/>
          </w:pPr>
          <w:hyperlink w:anchor="__RefHeading___Toc5797413_2870459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5797415_2870459653">
            <w:r>
              <w:rPr>
                <w:webHidden/>
                <w:rStyle w:val="IndexLink"/>
                <w:rtl w:val="true"/>
              </w:rPr>
              <w:t xml:space="preserve">القسم الأوّل </w:t>
            </w:r>
            <w:r>
              <w:rPr>
                <w:rStyle w:val="IndexLink"/>
                <w:rtl w:val="true"/>
              </w:rPr>
              <w:t xml:space="preserve">: </w:t>
            </w:r>
            <w:r>
              <w:rPr>
                <w:rStyle w:val="IndexLink"/>
                <w:rtl w:val="true"/>
              </w:rPr>
              <w:t>في قصاص النفس</w:t>
            </w:r>
            <w:r>
              <w:rPr>
                <w:rStyle w:val="IndexLink"/>
                <w:rtl w:val="true"/>
              </w:rPr>
              <w:tab/>
            </w:r>
            <w:r>
              <w:rPr>
                <w:rStyle w:val="IndexLink"/>
              </w:rPr>
              <w:t>20</w:t>
            </w:r>
          </w:hyperlink>
        </w:p>
        <w:p>
          <w:pPr>
            <w:pStyle w:val="Contents3"/>
            <w:tabs>
              <w:tab w:val="clear" w:pos="8459"/>
              <w:tab w:val="right" w:pos="9026" w:leader="dot"/>
            </w:tabs>
            <w:rPr/>
          </w:pPr>
          <w:hyperlink w:anchor="__RefHeading___Toc5797417_2870459653">
            <w:r>
              <w:rPr>
                <w:webHidden/>
                <w:rStyle w:val="IndexLink"/>
                <w:rtl w:val="true"/>
              </w:rPr>
              <w:t>معنى القصاص</w:t>
            </w:r>
            <w:r>
              <w:rPr>
                <w:rStyle w:val="IndexLink"/>
                <w:rtl w:val="true"/>
              </w:rPr>
              <w:tab/>
            </w:r>
            <w:r>
              <w:rPr>
                <w:rStyle w:val="IndexLink"/>
              </w:rPr>
              <w:t>24</w:t>
            </w:r>
          </w:hyperlink>
        </w:p>
        <w:p>
          <w:pPr>
            <w:pStyle w:val="Contents4"/>
            <w:tabs>
              <w:tab w:val="clear" w:pos="8176"/>
              <w:tab w:val="right" w:pos="9026" w:leader="dot"/>
            </w:tabs>
            <w:rPr/>
          </w:pPr>
          <w:hyperlink w:anchor="__RefHeading___Toc5797419_2870459653">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5797421_2870459653">
            <w:r>
              <w:rPr>
                <w:webHidden/>
                <w:rStyle w:val="IndexLink"/>
                <w:rtl w:val="true"/>
              </w:rPr>
              <w:t>الاستدلال بالآيات على القصاص</w:t>
            </w:r>
            <w:r>
              <w:rPr>
                <w:rStyle w:val="IndexLink"/>
                <w:rtl w:val="true"/>
              </w:rPr>
              <w:tab/>
            </w:r>
            <w:r>
              <w:rPr>
                <w:rStyle w:val="IndexLink"/>
              </w:rPr>
              <w:t>25</w:t>
            </w:r>
          </w:hyperlink>
        </w:p>
        <w:p>
          <w:pPr>
            <w:pStyle w:val="Contents4"/>
            <w:tabs>
              <w:tab w:val="clear" w:pos="8176"/>
              <w:tab w:val="right" w:pos="9026" w:leader="dot"/>
            </w:tabs>
            <w:rPr/>
          </w:pPr>
          <w:hyperlink w:anchor="__RefHeading___Toc5797423_2870459653">
            <w:r>
              <w:rPr>
                <w:webHidden/>
                <w:rStyle w:val="IndexLink"/>
                <w:rtl w:val="true"/>
              </w:rPr>
              <w:t>توهّم عدم الإطلاق في الآيات</w:t>
            </w:r>
            <w:r>
              <w:rPr>
                <w:rStyle w:val="IndexLink"/>
                <w:rtl w:val="true"/>
              </w:rPr>
              <w:tab/>
            </w:r>
            <w:r>
              <w:rPr>
                <w:rStyle w:val="IndexLink"/>
              </w:rPr>
              <w:t>27</w:t>
            </w:r>
          </w:hyperlink>
        </w:p>
        <w:p>
          <w:pPr>
            <w:pStyle w:val="Contents4"/>
            <w:tabs>
              <w:tab w:val="clear" w:pos="8176"/>
              <w:tab w:val="right" w:pos="9026" w:leader="dot"/>
            </w:tabs>
            <w:rPr/>
          </w:pPr>
          <w:hyperlink w:anchor="__RefHeading___Toc5797425_2870459653">
            <w:r>
              <w:rPr>
                <w:webHidden/>
                <w:rStyle w:val="IndexLink"/>
                <w:rtl w:val="true"/>
              </w:rPr>
              <w:t>الاستدلال بالروايات على القصاص</w:t>
            </w:r>
            <w:r>
              <w:rPr>
                <w:rStyle w:val="IndexLink"/>
                <w:rtl w:val="true"/>
              </w:rPr>
              <w:tab/>
            </w:r>
            <w:r>
              <w:rPr>
                <w:rStyle w:val="IndexLink"/>
              </w:rPr>
              <w:t>31</w:t>
            </w:r>
          </w:hyperlink>
        </w:p>
        <w:p>
          <w:pPr>
            <w:pStyle w:val="Contents4"/>
            <w:tabs>
              <w:tab w:val="clear" w:pos="8176"/>
              <w:tab w:val="right" w:pos="9026" w:leader="dot"/>
            </w:tabs>
            <w:rPr/>
          </w:pPr>
          <w:hyperlink w:anchor="__RefHeading___Toc5797427_2870459653">
            <w:r>
              <w:rPr>
                <w:webHidden/>
                <w:rStyle w:val="IndexLink"/>
                <w:rtl w:val="true"/>
              </w:rPr>
              <w:t>القتل من أعظم الكبائر</w:t>
            </w:r>
            <w:r>
              <w:rPr>
                <w:rStyle w:val="IndexLink"/>
                <w:rtl w:val="true"/>
              </w:rPr>
              <w:tab/>
            </w:r>
            <w:r>
              <w:rPr>
                <w:rStyle w:val="IndexLink"/>
              </w:rPr>
              <w:t>34</w:t>
            </w:r>
          </w:hyperlink>
        </w:p>
        <w:p>
          <w:pPr>
            <w:pStyle w:val="Contents2"/>
            <w:tabs>
              <w:tab w:val="clear" w:pos="8743"/>
              <w:tab w:val="right" w:pos="9026" w:leader="dot"/>
            </w:tabs>
            <w:rPr/>
          </w:pPr>
          <w:hyperlink w:anchor="__RefHeading___Toc5797429_2870459653">
            <w:r>
              <w:rPr>
                <w:webHidden/>
                <w:rStyle w:val="IndexLink"/>
                <w:rtl w:val="true"/>
              </w:rPr>
              <w:t>القول في الموجب</w:t>
            </w:r>
            <w:r>
              <w:rPr>
                <w:rStyle w:val="IndexLink"/>
                <w:rtl w:val="true"/>
              </w:rPr>
              <w:tab/>
            </w:r>
            <w:r>
              <w:rPr>
                <w:rStyle w:val="IndexLink"/>
              </w:rPr>
              <w:t>37</w:t>
            </w:r>
          </w:hyperlink>
        </w:p>
        <w:p>
          <w:pPr>
            <w:pStyle w:val="Contents3"/>
            <w:tabs>
              <w:tab w:val="clear" w:pos="8459"/>
              <w:tab w:val="right" w:pos="9026" w:leader="dot"/>
            </w:tabs>
            <w:rPr/>
          </w:pPr>
          <w:hyperlink w:anchor="__RefHeading___Toc5797431_2870459653">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5797433_2870459653">
            <w:r>
              <w:rPr>
                <w:webHidden/>
                <w:rStyle w:val="IndexLink"/>
                <w:rtl w:val="true"/>
              </w:rPr>
              <w:t>العمد والخطأ في القتل</w:t>
            </w:r>
            <w:r>
              <w:rPr>
                <w:rStyle w:val="IndexLink"/>
                <w:rtl w:val="true"/>
              </w:rPr>
              <w:tab/>
            </w:r>
            <w:r>
              <w:rPr>
                <w:rStyle w:val="IndexLink"/>
              </w:rPr>
              <w:t>38</w:t>
            </w:r>
          </w:hyperlink>
        </w:p>
        <w:p>
          <w:pPr>
            <w:pStyle w:val="Contents3"/>
            <w:tabs>
              <w:tab w:val="clear" w:pos="8459"/>
              <w:tab w:val="right" w:pos="9026" w:leader="dot"/>
            </w:tabs>
            <w:rPr/>
          </w:pPr>
          <w:hyperlink w:anchor="__RefHeading___Toc5797435_2870459653">
            <w:r>
              <w:rPr>
                <w:webHidden/>
                <w:rStyle w:val="IndexLink"/>
                <w:rtl w:val="true"/>
              </w:rPr>
              <w:t>أقسام القتل</w:t>
            </w:r>
            <w:r>
              <w:rPr>
                <w:rStyle w:val="IndexLink"/>
                <w:rtl w:val="true"/>
              </w:rPr>
              <w:tab/>
            </w:r>
            <w:r>
              <w:rPr>
                <w:rStyle w:val="IndexLink"/>
              </w:rPr>
              <w:t>40</w:t>
            </w:r>
          </w:hyperlink>
        </w:p>
        <w:p>
          <w:pPr>
            <w:pStyle w:val="Contents3"/>
            <w:tabs>
              <w:tab w:val="clear" w:pos="8459"/>
              <w:tab w:val="right" w:pos="9026" w:leader="dot"/>
            </w:tabs>
            <w:rPr/>
          </w:pPr>
          <w:hyperlink w:anchor="__RefHeading___Toc5797437_2870459653">
            <w:r>
              <w:rPr>
                <w:webHidden/>
                <w:rStyle w:val="IndexLink"/>
                <w:rtl w:val="true"/>
              </w:rPr>
              <w:t>المباشرة والتسبيب في القتل</w:t>
            </w:r>
            <w:r>
              <w:rPr>
                <w:rStyle w:val="IndexLink"/>
                <w:rtl w:val="true"/>
              </w:rPr>
              <w:tab/>
            </w:r>
            <w:r>
              <w:rPr>
                <w:rStyle w:val="IndexLink"/>
              </w:rPr>
              <w:t>55</w:t>
            </w:r>
          </w:hyperlink>
        </w:p>
        <w:p>
          <w:pPr>
            <w:pStyle w:val="Contents3"/>
            <w:tabs>
              <w:tab w:val="clear" w:pos="8459"/>
              <w:tab w:val="right" w:pos="9026" w:leader="dot"/>
            </w:tabs>
            <w:rPr/>
          </w:pPr>
          <w:hyperlink w:anchor="__RefHeading___Toc5797439_2870459653">
            <w:r>
              <w:rPr>
                <w:webHidden/>
                <w:rStyle w:val="IndexLink"/>
                <w:rtl w:val="true"/>
              </w:rPr>
              <w:t>حقيقة السحر</w:t>
            </w:r>
            <w:r>
              <w:rPr>
                <w:rStyle w:val="IndexLink"/>
                <w:rtl w:val="true"/>
              </w:rPr>
              <w:tab/>
            </w:r>
            <w:r>
              <w:rPr>
                <w:rStyle w:val="IndexLink"/>
              </w:rPr>
              <w:t>76</w:t>
            </w:r>
          </w:hyperlink>
        </w:p>
        <w:p>
          <w:pPr>
            <w:pStyle w:val="Contents3"/>
            <w:tabs>
              <w:tab w:val="clear" w:pos="8459"/>
              <w:tab w:val="right" w:pos="9026" w:leader="dot"/>
            </w:tabs>
            <w:rPr/>
          </w:pPr>
          <w:hyperlink w:anchor="__RefHeading___Toc5797441_2870459653">
            <w:r>
              <w:rPr>
                <w:webHidden/>
                <w:rStyle w:val="IndexLink"/>
                <w:rtl w:val="true"/>
              </w:rPr>
              <w:t>السراية في الجناية العمديّة</w:t>
            </w:r>
            <w:r>
              <w:rPr>
                <w:rStyle w:val="IndexLink"/>
                <w:rtl w:val="true"/>
              </w:rPr>
              <w:tab/>
            </w:r>
            <w:r>
              <w:rPr>
                <w:rStyle w:val="IndexLink"/>
              </w:rPr>
              <w:t>78</w:t>
            </w:r>
          </w:hyperlink>
        </w:p>
        <w:p>
          <w:pPr>
            <w:pStyle w:val="Contents3"/>
            <w:tabs>
              <w:tab w:val="clear" w:pos="8459"/>
              <w:tab w:val="right" w:pos="9026" w:leader="dot"/>
            </w:tabs>
            <w:rPr/>
          </w:pPr>
          <w:hyperlink w:anchor="__RefHeading___Toc5797443_2870459653">
            <w:r>
              <w:rPr>
                <w:webHidden/>
                <w:rStyle w:val="IndexLink"/>
                <w:rtl w:val="true"/>
              </w:rPr>
              <w:t>التسبيب في القتل</w:t>
            </w:r>
            <w:r>
              <w:rPr>
                <w:rStyle w:val="IndexLink"/>
                <w:rtl w:val="true"/>
              </w:rPr>
              <w:tab/>
            </w:r>
            <w:r>
              <w:rPr>
                <w:rStyle w:val="IndexLink"/>
              </w:rPr>
              <w:t>80</w:t>
            </w:r>
          </w:hyperlink>
        </w:p>
        <w:p>
          <w:pPr>
            <w:pStyle w:val="Contents3"/>
            <w:tabs>
              <w:tab w:val="clear" w:pos="8459"/>
              <w:tab w:val="right" w:pos="9026" w:leader="dot"/>
            </w:tabs>
            <w:rPr/>
          </w:pPr>
          <w:hyperlink w:anchor="__RefHeading___Toc5797445_2870459653">
            <w:r>
              <w:rPr>
                <w:webHidden/>
                <w:rStyle w:val="IndexLink"/>
                <w:rtl w:val="true"/>
              </w:rPr>
              <w:t>القتل بالطعام المسموم</w:t>
            </w:r>
            <w:r>
              <w:rPr>
                <w:rStyle w:val="IndexLink"/>
                <w:rtl w:val="true"/>
              </w:rPr>
              <w:tab/>
            </w:r>
            <w:r>
              <w:rPr>
                <w:rStyle w:val="IndexLink"/>
              </w:rPr>
              <w:t>81</w:t>
            </w:r>
          </w:hyperlink>
        </w:p>
        <w:p>
          <w:pPr>
            <w:pStyle w:val="Contents3"/>
            <w:tabs>
              <w:tab w:val="clear" w:pos="8459"/>
              <w:tab w:val="right" w:pos="9026" w:leader="dot"/>
            </w:tabs>
            <w:rPr/>
          </w:pPr>
          <w:hyperlink w:anchor="__RefHeading___Toc5797447_2870459653">
            <w:r>
              <w:rPr>
                <w:webHidden/>
                <w:rStyle w:val="IndexLink"/>
                <w:rtl w:val="true"/>
              </w:rPr>
              <w:t>القتل بالسمّ</w:t>
            </w:r>
            <w:r>
              <w:rPr>
                <w:rStyle w:val="IndexLink"/>
                <w:rtl w:val="true"/>
              </w:rPr>
              <w:tab/>
            </w:r>
            <w:r>
              <w:rPr>
                <w:rStyle w:val="IndexLink"/>
              </w:rPr>
              <w:t>84</w:t>
            </w:r>
          </w:hyperlink>
        </w:p>
        <w:p>
          <w:pPr>
            <w:pStyle w:val="Contents3"/>
            <w:tabs>
              <w:tab w:val="clear" w:pos="8459"/>
              <w:tab w:val="right" w:pos="9026" w:leader="dot"/>
            </w:tabs>
            <w:rPr/>
          </w:pPr>
          <w:hyperlink w:anchor="__RefHeading___Toc5797449_2870459653">
            <w:r>
              <w:rPr>
                <w:webHidden/>
                <w:rStyle w:val="IndexLink"/>
                <w:rtl w:val="true"/>
              </w:rPr>
              <w:t>الاختلاف في القتل بالجعل أو التقديم</w:t>
            </w:r>
            <w:r>
              <w:rPr>
                <w:rStyle w:val="IndexLink"/>
                <w:rtl w:val="true"/>
              </w:rPr>
              <w:tab/>
            </w:r>
            <w:r>
              <w:rPr>
                <w:rStyle w:val="IndexLink"/>
              </w:rPr>
              <w:t>87</w:t>
            </w:r>
          </w:hyperlink>
        </w:p>
        <w:p>
          <w:pPr>
            <w:pStyle w:val="Contents3"/>
            <w:tabs>
              <w:tab w:val="clear" w:pos="8459"/>
              <w:tab w:val="right" w:pos="9026" w:leader="dot"/>
            </w:tabs>
            <w:rPr/>
          </w:pPr>
          <w:hyperlink w:anchor="__RefHeading___Toc5797451_2870459653">
            <w:r>
              <w:rPr>
                <w:webHidden/>
                <w:rStyle w:val="IndexLink"/>
                <w:rtl w:val="true"/>
              </w:rPr>
              <w:t>الخطأ في تقديم السمّ</w:t>
            </w:r>
            <w:r>
              <w:rPr>
                <w:rStyle w:val="IndexLink"/>
                <w:rtl w:val="true"/>
              </w:rPr>
              <w:tab/>
            </w:r>
            <w:r>
              <w:rPr>
                <w:rStyle w:val="IndexLink"/>
              </w:rPr>
              <w:t>88</w:t>
            </w:r>
          </w:hyperlink>
        </w:p>
        <w:p>
          <w:pPr>
            <w:pStyle w:val="Contents3"/>
            <w:tabs>
              <w:tab w:val="clear" w:pos="8459"/>
              <w:tab w:val="right" w:pos="9026" w:leader="dot"/>
            </w:tabs>
            <w:rPr/>
          </w:pPr>
          <w:hyperlink w:anchor="__RefHeading___Toc5797453_2870459653">
            <w:r>
              <w:rPr>
                <w:webHidden/>
                <w:rStyle w:val="IndexLink"/>
                <w:rtl w:val="true"/>
              </w:rPr>
              <w:t>الدخول في البيت وأكل السمّ فيه</w:t>
            </w:r>
            <w:r>
              <w:rPr>
                <w:rStyle w:val="IndexLink"/>
                <w:rtl w:val="true"/>
              </w:rPr>
              <w:tab/>
            </w:r>
            <w:r>
              <w:rPr>
                <w:rStyle w:val="IndexLink"/>
              </w:rPr>
              <w:t>90</w:t>
            </w:r>
          </w:hyperlink>
        </w:p>
        <w:p>
          <w:pPr>
            <w:pStyle w:val="Contents3"/>
            <w:tabs>
              <w:tab w:val="clear" w:pos="8459"/>
              <w:tab w:val="right" w:pos="9026" w:leader="dot"/>
            </w:tabs>
            <w:rPr/>
          </w:pPr>
          <w:hyperlink w:anchor="__RefHeading___Toc5797455_2870459653">
            <w:r>
              <w:rPr>
                <w:webHidden/>
                <w:rStyle w:val="IndexLink"/>
                <w:rtl w:val="true"/>
              </w:rPr>
              <w:t>السموم القاتلة من غير أكل وشرب</w:t>
            </w:r>
            <w:r>
              <w:rPr>
                <w:rStyle w:val="IndexLink"/>
                <w:rtl w:val="true"/>
              </w:rPr>
              <w:tab/>
            </w:r>
            <w:r>
              <w:rPr>
                <w:rStyle w:val="IndexLink"/>
              </w:rPr>
              <w:t>91</w:t>
            </w:r>
          </w:hyperlink>
        </w:p>
        <w:p>
          <w:pPr>
            <w:pStyle w:val="Contents3"/>
            <w:tabs>
              <w:tab w:val="clear" w:pos="8459"/>
              <w:tab w:val="right" w:pos="9026" w:leader="dot"/>
            </w:tabs>
            <w:rPr/>
          </w:pPr>
          <w:hyperlink w:anchor="__RefHeading___Toc5797457_2870459653">
            <w:r>
              <w:rPr>
                <w:webHidden/>
                <w:rStyle w:val="IndexLink"/>
                <w:rtl w:val="true"/>
              </w:rPr>
              <w:t>شكّ السبب في السمّية</w:t>
            </w:r>
            <w:r>
              <w:rPr>
                <w:rStyle w:val="IndexLink"/>
                <w:rtl w:val="true"/>
              </w:rPr>
              <w:tab/>
            </w:r>
            <w:r>
              <w:rPr>
                <w:rStyle w:val="IndexLink"/>
              </w:rPr>
              <w:t>91</w:t>
            </w:r>
          </w:hyperlink>
        </w:p>
        <w:p>
          <w:pPr>
            <w:pStyle w:val="Contents3"/>
            <w:tabs>
              <w:tab w:val="clear" w:pos="8459"/>
              <w:tab w:val="right" w:pos="9026" w:leader="dot"/>
            </w:tabs>
            <w:rPr/>
          </w:pPr>
          <w:hyperlink w:anchor="__RefHeading___Toc5797459_2870459653">
            <w:r>
              <w:rPr>
                <w:webHidden/>
                <w:rStyle w:val="IndexLink"/>
                <w:rtl w:val="true"/>
              </w:rPr>
              <w:t>تداوي المجروح بدواء سمّي</w:t>
            </w:r>
            <w:r>
              <w:rPr>
                <w:rStyle w:val="IndexLink"/>
                <w:rtl w:val="true"/>
              </w:rPr>
              <w:tab/>
            </w:r>
            <w:r>
              <w:rPr>
                <w:rStyle w:val="IndexLink"/>
              </w:rPr>
              <w:t>93</w:t>
            </w:r>
          </w:hyperlink>
        </w:p>
        <w:p>
          <w:pPr>
            <w:pStyle w:val="Contents3"/>
            <w:tabs>
              <w:tab w:val="clear" w:pos="8459"/>
              <w:tab w:val="right" w:pos="9026" w:leader="dot"/>
            </w:tabs>
            <w:rPr/>
          </w:pPr>
          <w:hyperlink w:anchor="__RefHeading___Toc5797461_2870459653">
            <w:r>
              <w:rPr>
                <w:webHidden/>
                <w:rStyle w:val="IndexLink"/>
                <w:rtl w:val="true"/>
              </w:rPr>
              <w:t>الإلقاء في المسبعة</w:t>
            </w:r>
            <w:r>
              <w:rPr>
                <w:rStyle w:val="IndexLink"/>
                <w:rtl w:val="true"/>
              </w:rPr>
              <w:tab/>
            </w:r>
            <w:r>
              <w:rPr>
                <w:rStyle w:val="IndexLink"/>
              </w:rPr>
              <w:t>96</w:t>
            </w:r>
          </w:hyperlink>
        </w:p>
        <w:p>
          <w:pPr>
            <w:pStyle w:val="Contents3"/>
            <w:tabs>
              <w:tab w:val="clear" w:pos="8459"/>
              <w:tab w:val="right" w:pos="9026" w:leader="dot"/>
            </w:tabs>
            <w:rPr/>
          </w:pPr>
          <w:hyperlink w:anchor="__RefHeading___Toc5797463_2870459653">
            <w:r>
              <w:rPr>
                <w:webHidden/>
                <w:rStyle w:val="IndexLink"/>
                <w:rtl w:val="true"/>
              </w:rPr>
              <w:t>الإكراه في القتل</w:t>
            </w:r>
            <w:r>
              <w:rPr>
                <w:rStyle w:val="IndexLink"/>
                <w:rtl w:val="true"/>
              </w:rPr>
              <w:tab/>
            </w:r>
            <w:r>
              <w:rPr>
                <w:rStyle w:val="IndexLink"/>
              </w:rPr>
              <w:t>106</w:t>
            </w:r>
          </w:hyperlink>
        </w:p>
        <w:p>
          <w:pPr>
            <w:pStyle w:val="Contents3"/>
            <w:tabs>
              <w:tab w:val="clear" w:pos="8459"/>
              <w:tab w:val="right" w:pos="9026" w:leader="dot"/>
            </w:tabs>
            <w:rPr/>
          </w:pPr>
          <w:hyperlink w:anchor="__RefHeading___Toc5797465_2870459653">
            <w:r>
              <w:rPr>
                <w:webHidden/>
                <w:rStyle w:val="IndexLink"/>
                <w:rtl w:val="true"/>
              </w:rPr>
              <w:t>الاستدلال على كون القود على المكره المباشر</w:t>
            </w:r>
            <w:r>
              <w:rPr>
                <w:rStyle w:val="IndexLink"/>
                <w:rtl w:val="true"/>
              </w:rPr>
              <w:tab/>
            </w:r>
            <w:r>
              <w:rPr>
                <w:rStyle w:val="IndexLink"/>
              </w:rPr>
              <w:t>109</w:t>
            </w:r>
          </w:hyperlink>
        </w:p>
        <w:p>
          <w:pPr>
            <w:pStyle w:val="Contents3"/>
            <w:tabs>
              <w:tab w:val="clear" w:pos="8459"/>
              <w:tab w:val="right" w:pos="9026" w:leader="dot"/>
            </w:tabs>
            <w:rPr/>
          </w:pPr>
          <w:hyperlink w:anchor="__RefHeading___Toc5797467_2870459653">
            <w:r>
              <w:rPr>
                <w:webHidden/>
                <w:rStyle w:val="IndexLink"/>
                <w:rtl w:val="true"/>
              </w:rPr>
              <w:t>الإكراه بالقتل بالتوعيد بغير القتل</w:t>
            </w:r>
            <w:r>
              <w:rPr>
                <w:rStyle w:val="IndexLink"/>
                <w:rtl w:val="true"/>
              </w:rPr>
              <w:tab/>
            </w:r>
            <w:r>
              <w:rPr>
                <w:rStyle w:val="IndexLink"/>
              </w:rPr>
              <w:t>124</w:t>
            </w:r>
          </w:hyperlink>
        </w:p>
        <w:p>
          <w:pPr>
            <w:pStyle w:val="Contents3"/>
            <w:tabs>
              <w:tab w:val="clear" w:pos="8459"/>
              <w:tab w:val="right" w:pos="9026" w:leader="dot"/>
            </w:tabs>
            <w:rPr/>
          </w:pPr>
          <w:hyperlink w:anchor="__RefHeading___Toc5797469_2870459653">
            <w:r>
              <w:rPr>
                <w:webHidden/>
                <w:rStyle w:val="IndexLink"/>
                <w:rtl w:val="true"/>
              </w:rPr>
              <w:t>الإكراه والاضطرار في سقط الجنين</w:t>
            </w:r>
            <w:r>
              <w:rPr>
                <w:rStyle w:val="IndexLink"/>
                <w:rtl w:val="true"/>
              </w:rPr>
              <w:tab/>
            </w:r>
            <w:r>
              <w:rPr>
                <w:rStyle w:val="IndexLink"/>
              </w:rPr>
              <w:t>125</w:t>
            </w:r>
          </w:hyperlink>
        </w:p>
        <w:p>
          <w:pPr>
            <w:pStyle w:val="Contents3"/>
            <w:tabs>
              <w:tab w:val="clear" w:pos="8459"/>
              <w:tab w:val="right" w:pos="9026" w:leader="dot"/>
            </w:tabs>
            <w:rPr/>
          </w:pPr>
          <w:hyperlink w:anchor="__RefHeading___Toc5797471_2870459653">
            <w:r>
              <w:rPr>
                <w:webHidden/>
                <w:rStyle w:val="IndexLink"/>
                <w:rtl w:val="true"/>
              </w:rPr>
              <w:t>إكراه غير المميّز على القتل</w:t>
            </w:r>
            <w:r>
              <w:rPr>
                <w:rStyle w:val="IndexLink"/>
                <w:rtl w:val="true"/>
              </w:rPr>
              <w:tab/>
            </w:r>
            <w:r>
              <w:rPr>
                <w:rStyle w:val="IndexLink"/>
              </w:rPr>
              <w:t>130</w:t>
            </w:r>
          </w:hyperlink>
        </w:p>
        <w:p>
          <w:pPr>
            <w:pStyle w:val="Contents3"/>
            <w:tabs>
              <w:tab w:val="clear" w:pos="8459"/>
              <w:tab w:val="right" w:pos="9026" w:leader="dot"/>
            </w:tabs>
            <w:rPr/>
          </w:pPr>
          <w:hyperlink w:anchor="__RefHeading___Toc5797473_2870459653">
            <w:r>
              <w:rPr>
                <w:webHidden/>
                <w:rStyle w:val="IndexLink"/>
                <w:rtl w:val="true"/>
              </w:rPr>
              <w:t>إكراه غير البالغ المميّز على القتل</w:t>
            </w:r>
            <w:r>
              <w:rPr>
                <w:rStyle w:val="IndexLink"/>
                <w:rtl w:val="true"/>
              </w:rPr>
              <w:tab/>
            </w:r>
            <w:r>
              <w:rPr>
                <w:rStyle w:val="IndexLink"/>
              </w:rPr>
              <w:t>132</w:t>
            </w:r>
          </w:hyperlink>
        </w:p>
        <w:p>
          <w:pPr>
            <w:pStyle w:val="Contents3"/>
            <w:tabs>
              <w:tab w:val="clear" w:pos="8459"/>
              <w:tab w:val="right" w:pos="9026" w:leader="dot"/>
            </w:tabs>
            <w:rPr/>
          </w:pPr>
          <w:hyperlink w:anchor="__RefHeading___Toc5797475_2870459653">
            <w:r>
              <w:rPr>
                <w:webHidden/>
                <w:rStyle w:val="IndexLink"/>
                <w:rtl w:val="true"/>
              </w:rPr>
              <w:t>الإذن والأمر على القتل</w:t>
            </w:r>
            <w:r>
              <w:rPr>
                <w:rStyle w:val="IndexLink"/>
                <w:rtl w:val="true"/>
              </w:rPr>
              <w:tab/>
            </w:r>
            <w:r>
              <w:rPr>
                <w:rStyle w:val="IndexLink"/>
              </w:rPr>
              <w:t>134</w:t>
            </w:r>
          </w:hyperlink>
        </w:p>
        <w:p>
          <w:pPr>
            <w:pStyle w:val="Contents3"/>
            <w:tabs>
              <w:tab w:val="clear" w:pos="8459"/>
              <w:tab w:val="right" w:pos="9026" w:leader="dot"/>
            </w:tabs>
            <w:rPr/>
          </w:pPr>
          <w:hyperlink w:anchor="__RefHeading___Toc5797477_2870459653">
            <w:r>
              <w:rPr>
                <w:webHidden/>
                <w:rStyle w:val="IndexLink"/>
                <w:rtl w:val="true"/>
              </w:rPr>
              <w:t>الإكراه على قتل نفسه</w:t>
            </w:r>
            <w:r>
              <w:rPr>
                <w:rStyle w:val="IndexLink"/>
                <w:rtl w:val="true"/>
              </w:rPr>
              <w:tab/>
            </w:r>
            <w:r>
              <w:rPr>
                <w:rStyle w:val="IndexLink"/>
              </w:rPr>
              <w:t>138</w:t>
            </w:r>
          </w:hyperlink>
        </w:p>
        <w:p>
          <w:pPr>
            <w:pStyle w:val="Contents3"/>
            <w:tabs>
              <w:tab w:val="clear" w:pos="8459"/>
              <w:tab w:val="right" w:pos="9026" w:leader="dot"/>
            </w:tabs>
            <w:rPr/>
          </w:pPr>
          <w:hyperlink w:anchor="__RefHeading___Toc5797479_2870459653">
            <w:r>
              <w:rPr>
                <w:webHidden/>
                <w:rStyle w:val="IndexLink"/>
                <w:rtl w:val="true"/>
              </w:rPr>
              <w:t>الشركة في الجناية بالجرح والسراية</w:t>
            </w:r>
            <w:r>
              <w:rPr>
                <w:rStyle w:val="IndexLink"/>
                <w:rtl w:val="true"/>
              </w:rPr>
              <w:tab/>
            </w:r>
            <w:r>
              <w:rPr>
                <w:rStyle w:val="IndexLink"/>
              </w:rPr>
              <w:t>149</w:t>
            </w:r>
          </w:hyperlink>
        </w:p>
        <w:p>
          <w:pPr>
            <w:pStyle w:val="Contents3"/>
            <w:tabs>
              <w:tab w:val="clear" w:pos="8459"/>
              <w:tab w:val="right" w:pos="9026" w:leader="dot"/>
            </w:tabs>
            <w:rPr/>
          </w:pPr>
          <w:hyperlink w:anchor="__RefHeading___Toc5797481_2870459653">
            <w:r>
              <w:rPr>
                <w:webHidden/>
                <w:rStyle w:val="IndexLink"/>
                <w:rtl w:val="true"/>
              </w:rPr>
              <w:t>تداخل دية وقصاص الطرف في النفس وعدمها</w:t>
            </w:r>
            <w:r>
              <w:rPr>
                <w:rStyle w:val="IndexLink"/>
                <w:rtl w:val="true"/>
              </w:rPr>
              <w:tab/>
            </w:r>
            <w:r>
              <w:rPr>
                <w:rStyle w:val="IndexLink"/>
              </w:rPr>
              <w:t>151</w:t>
            </w:r>
          </w:hyperlink>
        </w:p>
        <w:p>
          <w:pPr>
            <w:pStyle w:val="Contents3"/>
            <w:tabs>
              <w:tab w:val="clear" w:pos="8459"/>
              <w:tab w:val="right" w:pos="9026" w:leader="dot"/>
            </w:tabs>
            <w:rPr/>
          </w:pPr>
          <w:hyperlink w:anchor="__RefHeading___Toc5797483_2870459653">
            <w:r>
              <w:rPr>
                <w:webHidden/>
                <w:rStyle w:val="IndexLink"/>
                <w:rtl w:val="true"/>
              </w:rPr>
              <w:t>حكم الاشتراك في القتل</w:t>
            </w:r>
            <w:r>
              <w:rPr>
                <w:rStyle w:val="IndexLink"/>
                <w:rtl w:val="true"/>
              </w:rPr>
              <w:tab/>
            </w:r>
            <w:r>
              <w:rPr>
                <w:rStyle w:val="IndexLink"/>
              </w:rPr>
              <w:t>161</w:t>
            </w:r>
          </w:hyperlink>
        </w:p>
        <w:p>
          <w:pPr>
            <w:pStyle w:val="Contents3"/>
            <w:tabs>
              <w:tab w:val="clear" w:pos="8459"/>
              <w:tab w:val="right" w:pos="9026" w:leader="dot"/>
            </w:tabs>
            <w:rPr/>
          </w:pPr>
          <w:hyperlink w:anchor="__RefHeading___Toc5797485_2870459653">
            <w:r>
              <w:rPr>
                <w:webHidden/>
                <w:rStyle w:val="IndexLink"/>
                <w:rtl w:val="true"/>
              </w:rPr>
              <w:t>فيما تتحقّق به الشركة في القتل</w:t>
            </w:r>
            <w:r>
              <w:rPr>
                <w:rStyle w:val="IndexLink"/>
                <w:rtl w:val="true"/>
              </w:rPr>
              <w:tab/>
            </w:r>
            <w:r>
              <w:rPr>
                <w:rStyle w:val="IndexLink"/>
              </w:rPr>
              <w:t>165</w:t>
            </w:r>
          </w:hyperlink>
        </w:p>
        <w:p>
          <w:pPr>
            <w:pStyle w:val="Contents3"/>
            <w:tabs>
              <w:tab w:val="clear" w:pos="8459"/>
              <w:tab w:val="right" w:pos="9026" w:leader="dot"/>
            </w:tabs>
            <w:rPr/>
          </w:pPr>
          <w:hyperlink w:anchor="__RefHeading___Toc5797487_2870459653">
            <w:r>
              <w:rPr>
                <w:webHidden/>
                <w:rStyle w:val="IndexLink"/>
                <w:rtl w:val="true"/>
              </w:rPr>
              <w:t>حكم الردّ قبل الاستيفاء</w:t>
            </w:r>
            <w:r>
              <w:rPr>
                <w:rStyle w:val="IndexLink"/>
                <w:rtl w:val="true"/>
              </w:rPr>
              <w:tab/>
            </w:r>
            <w:r>
              <w:rPr>
                <w:rStyle w:val="IndexLink"/>
              </w:rPr>
              <w:t>168</w:t>
            </w:r>
          </w:hyperlink>
        </w:p>
        <w:p>
          <w:pPr>
            <w:pStyle w:val="Contents2"/>
            <w:tabs>
              <w:tab w:val="clear" w:pos="8743"/>
              <w:tab w:val="right" w:pos="9026" w:leader="dot"/>
            </w:tabs>
            <w:rPr/>
          </w:pPr>
          <w:hyperlink w:anchor="__RefHeading___Toc5797489_2870459653">
            <w:r>
              <w:rPr>
                <w:webHidden/>
                <w:rStyle w:val="IndexLink"/>
                <w:rtl w:val="true"/>
              </w:rPr>
              <w:t>القول في الشرائط المعتبرة في القصاص</w:t>
            </w:r>
            <w:r>
              <w:rPr>
                <w:rStyle w:val="IndexLink"/>
                <w:rtl w:val="true"/>
              </w:rPr>
              <w:tab/>
            </w:r>
            <w:r>
              <w:rPr>
                <w:rStyle w:val="IndexLink"/>
              </w:rPr>
              <w:t>175</w:t>
            </w:r>
          </w:hyperlink>
        </w:p>
        <w:p>
          <w:pPr>
            <w:pStyle w:val="Contents3"/>
            <w:tabs>
              <w:tab w:val="clear" w:pos="8459"/>
              <w:tab w:val="right" w:pos="9026" w:leader="dot"/>
            </w:tabs>
            <w:rPr/>
          </w:pPr>
          <w:hyperlink w:anchor="__RefHeading___Toc5797491_2870459653">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5797493_2870459653">
            <w:r>
              <w:rPr>
                <w:webHidden/>
                <w:rStyle w:val="IndexLink"/>
                <w:rtl w:val="true"/>
              </w:rPr>
              <w:t>قصاص الحرّ بالحرّة</w:t>
            </w:r>
            <w:r>
              <w:rPr>
                <w:rStyle w:val="IndexLink"/>
                <w:rtl w:val="true"/>
              </w:rPr>
              <w:tab/>
            </w:r>
            <w:r>
              <w:rPr>
                <w:rStyle w:val="IndexLink"/>
              </w:rPr>
              <w:t>176</w:t>
            </w:r>
          </w:hyperlink>
        </w:p>
        <w:p>
          <w:pPr>
            <w:pStyle w:val="Contents3"/>
            <w:tabs>
              <w:tab w:val="clear" w:pos="8459"/>
              <w:tab w:val="right" w:pos="9026" w:leader="dot"/>
            </w:tabs>
            <w:rPr/>
          </w:pPr>
          <w:hyperlink w:anchor="__RefHeading___Toc5797495_2870459653">
            <w:r>
              <w:rPr>
                <w:webHidden/>
                <w:rStyle w:val="IndexLink"/>
                <w:rtl w:val="true"/>
              </w:rPr>
              <w:t>إجمال القول في استدلال الأصحاب</w:t>
            </w:r>
            <w:r>
              <w:rPr>
                <w:rStyle w:val="IndexLink"/>
                <w:rtl w:val="true"/>
              </w:rPr>
              <w:tab/>
            </w:r>
            <w:r>
              <w:rPr>
                <w:rStyle w:val="IndexLink"/>
              </w:rPr>
              <w:t>177</w:t>
            </w:r>
          </w:hyperlink>
        </w:p>
        <w:p>
          <w:pPr>
            <w:pStyle w:val="Contents3"/>
            <w:tabs>
              <w:tab w:val="clear" w:pos="8459"/>
              <w:tab w:val="right" w:pos="9026" w:leader="dot"/>
            </w:tabs>
            <w:rPr/>
          </w:pPr>
          <w:hyperlink w:anchor="__RefHeading___Toc5797497_2870459653">
            <w:r>
              <w:rPr>
                <w:webHidden/>
                <w:rStyle w:val="IndexLink"/>
                <w:rtl w:val="true"/>
              </w:rPr>
              <w:t>النقاش في استدلال الأصحاب</w:t>
            </w:r>
            <w:r>
              <w:rPr>
                <w:rStyle w:val="IndexLink"/>
                <w:rtl w:val="true"/>
              </w:rPr>
              <w:tab/>
            </w:r>
            <w:r>
              <w:rPr>
                <w:rStyle w:val="IndexLink"/>
              </w:rPr>
              <w:t>178</w:t>
            </w:r>
          </w:hyperlink>
        </w:p>
        <w:p>
          <w:pPr>
            <w:pStyle w:val="Contents3"/>
            <w:tabs>
              <w:tab w:val="clear" w:pos="8459"/>
              <w:tab w:val="right" w:pos="9026" w:leader="dot"/>
            </w:tabs>
            <w:rPr/>
          </w:pPr>
          <w:hyperlink w:anchor="__RefHeading___Toc5797499_2870459653">
            <w:r>
              <w:rPr>
                <w:webHidden/>
                <w:rStyle w:val="IndexLink"/>
                <w:rtl w:val="true"/>
              </w:rPr>
              <w:t>كيفيّة مخالفة هذه الأخبار للكتاب</w:t>
            </w:r>
            <w:r>
              <w:rPr>
                <w:rStyle w:val="IndexLink"/>
                <w:rtl w:val="true"/>
              </w:rPr>
              <w:tab/>
            </w:r>
            <w:r>
              <w:rPr>
                <w:rStyle w:val="IndexLink"/>
              </w:rPr>
              <w:t>180</w:t>
            </w:r>
          </w:hyperlink>
        </w:p>
        <w:p>
          <w:pPr>
            <w:pStyle w:val="Contents3"/>
            <w:tabs>
              <w:tab w:val="clear" w:pos="8459"/>
              <w:tab w:val="right" w:pos="9026" w:leader="dot"/>
            </w:tabs>
            <w:rPr/>
          </w:pPr>
          <w:hyperlink w:anchor="__RefHeading___Toc5797501_2870459653">
            <w:r>
              <w:rPr>
                <w:webHidden/>
                <w:rStyle w:val="IndexLink"/>
                <w:rtl w:val="true"/>
              </w:rPr>
              <w:t>توهّم ودفع</w:t>
            </w:r>
            <w:r>
              <w:rPr>
                <w:rStyle w:val="IndexLink"/>
                <w:rtl w:val="true"/>
              </w:rPr>
              <w:tab/>
            </w:r>
            <w:r>
              <w:rPr>
                <w:rStyle w:val="IndexLink"/>
              </w:rPr>
              <w:t>185</w:t>
            </w:r>
          </w:hyperlink>
        </w:p>
        <w:p>
          <w:pPr>
            <w:pStyle w:val="Contents3"/>
            <w:tabs>
              <w:tab w:val="clear" w:pos="8459"/>
              <w:tab w:val="right" w:pos="9026" w:leader="dot"/>
            </w:tabs>
            <w:rPr/>
          </w:pPr>
          <w:hyperlink w:anchor="__RefHeading___Toc5797503_2870459653">
            <w:r>
              <w:rPr>
                <w:webHidden/>
                <w:rStyle w:val="IndexLink"/>
                <w:rtl w:val="true"/>
              </w:rPr>
              <w:t>ترجيح أخبار المواسعة على المضايقة بموافقة الكتاب</w:t>
            </w:r>
            <w:r>
              <w:rPr>
                <w:rStyle w:val="IndexLink"/>
                <w:rtl w:val="true"/>
              </w:rPr>
              <w:tab/>
            </w:r>
            <w:r>
              <w:rPr>
                <w:rStyle w:val="IndexLink"/>
              </w:rPr>
              <w:t>193</w:t>
            </w:r>
          </w:hyperlink>
        </w:p>
        <w:p>
          <w:pPr>
            <w:pStyle w:val="Contents3"/>
            <w:tabs>
              <w:tab w:val="clear" w:pos="8459"/>
              <w:tab w:val="right" w:pos="9026" w:leader="dot"/>
            </w:tabs>
            <w:rPr/>
          </w:pPr>
          <w:hyperlink w:anchor="__RefHeading___Toc5797505_2870459653">
            <w:r>
              <w:rPr>
                <w:webHidden/>
                <w:rStyle w:val="IndexLink"/>
                <w:rtl w:val="true"/>
              </w:rPr>
              <w:t>مخالفة الأخبار المستدلّ بها مع الأخبار الأُخر في المسألة</w:t>
            </w:r>
            <w:r>
              <w:rPr>
                <w:rStyle w:val="IndexLink"/>
                <w:rtl w:val="true"/>
              </w:rPr>
              <w:tab/>
            </w:r>
            <w:r>
              <w:rPr>
                <w:rStyle w:val="IndexLink"/>
              </w:rPr>
              <w:t>206</w:t>
            </w:r>
          </w:hyperlink>
        </w:p>
        <w:p>
          <w:pPr>
            <w:pStyle w:val="Contents3"/>
            <w:tabs>
              <w:tab w:val="clear" w:pos="8459"/>
              <w:tab w:val="right" w:pos="9026" w:leader="dot"/>
            </w:tabs>
            <w:rPr/>
          </w:pPr>
          <w:hyperlink w:anchor="__RefHeading___Toc5797507_2870459653">
            <w:r>
              <w:rPr>
                <w:webHidden/>
                <w:rStyle w:val="IndexLink"/>
                <w:rtl w:val="true"/>
              </w:rPr>
              <w:t>البحث حول دية أعضاء المرأة بما هي دية</w:t>
            </w:r>
            <w:r>
              <w:rPr>
                <w:rStyle w:val="IndexLink"/>
                <w:rtl w:val="true"/>
              </w:rPr>
              <w:tab/>
            </w:r>
            <w:r>
              <w:rPr>
                <w:rStyle w:val="IndexLink"/>
              </w:rPr>
              <w:t>226</w:t>
            </w:r>
          </w:hyperlink>
        </w:p>
        <w:p>
          <w:pPr>
            <w:pStyle w:val="Contents3"/>
            <w:tabs>
              <w:tab w:val="clear" w:pos="8459"/>
              <w:tab w:val="right" w:pos="9026" w:leader="dot"/>
            </w:tabs>
            <w:rPr/>
          </w:pPr>
          <w:hyperlink w:anchor="__RefHeading___Toc5797509_2870459653">
            <w:r>
              <w:rPr>
                <w:webHidden/>
                <w:rStyle w:val="IndexLink"/>
                <w:rtl w:val="true"/>
              </w:rPr>
              <w:t>مسائل متفرّعة على المبنى المشهور</w:t>
            </w:r>
            <w:r>
              <w:rPr>
                <w:rStyle w:val="IndexLink"/>
                <w:rtl w:val="true"/>
              </w:rPr>
              <w:tab/>
            </w:r>
            <w:r>
              <w:rPr>
                <w:rStyle w:val="IndexLink"/>
              </w:rPr>
              <w:t>245</w:t>
            </w:r>
          </w:hyperlink>
        </w:p>
        <w:p>
          <w:pPr>
            <w:pStyle w:val="Contents3"/>
            <w:tabs>
              <w:tab w:val="clear" w:pos="8459"/>
              <w:tab w:val="right" w:pos="9026" w:leader="dot"/>
            </w:tabs>
            <w:rPr/>
          </w:pPr>
          <w:hyperlink w:anchor="__RefHeading___Toc5797511_2870459653">
            <w:r>
              <w:rPr>
                <w:webHidden/>
                <w:rStyle w:val="IndexLink"/>
                <w:rtl w:val="true"/>
              </w:rPr>
              <w:t>عدم شرطيّة التساوي في الدين</w:t>
            </w:r>
            <w:r>
              <w:rPr>
                <w:rStyle w:val="IndexLink"/>
                <w:rtl w:val="true"/>
              </w:rPr>
              <w:tab/>
            </w:r>
            <w:r>
              <w:rPr>
                <w:rStyle w:val="IndexLink"/>
              </w:rPr>
              <w:t>251</w:t>
            </w:r>
          </w:hyperlink>
        </w:p>
        <w:p>
          <w:pPr>
            <w:pStyle w:val="Contents3"/>
            <w:tabs>
              <w:tab w:val="clear" w:pos="8459"/>
              <w:tab w:val="right" w:pos="9026" w:leader="dot"/>
            </w:tabs>
            <w:rPr/>
          </w:pPr>
          <w:hyperlink w:anchor="__RefHeading___Toc5797513_2870459653">
            <w:r>
              <w:rPr>
                <w:webHidden/>
                <w:rStyle w:val="IndexLink"/>
                <w:rtl w:val="true"/>
              </w:rPr>
              <w:t>أدلّة القائلين بشرطيّة التساوي في الدين</w:t>
            </w:r>
            <w:r>
              <w:rPr>
                <w:rStyle w:val="IndexLink"/>
                <w:rtl w:val="true"/>
              </w:rPr>
              <w:tab/>
            </w:r>
            <w:r>
              <w:rPr>
                <w:rStyle w:val="IndexLink"/>
              </w:rPr>
              <w:t>254</w:t>
            </w:r>
          </w:hyperlink>
        </w:p>
        <w:p>
          <w:pPr>
            <w:pStyle w:val="Contents3"/>
            <w:tabs>
              <w:tab w:val="clear" w:pos="8459"/>
              <w:tab w:val="right" w:pos="9026" w:leader="dot"/>
            </w:tabs>
            <w:rPr/>
          </w:pPr>
          <w:hyperlink w:anchor="__RefHeading___Toc5797515_2870459653">
            <w:r>
              <w:rPr>
                <w:webHidden/>
                <w:rStyle w:val="IndexLink"/>
                <w:rtl w:val="true"/>
              </w:rPr>
              <w:t>محكوميّة المسلم المعتاد بقتل غير المسلم</w:t>
            </w:r>
            <w:r>
              <w:rPr>
                <w:rStyle w:val="IndexLink"/>
                <w:rtl w:val="true"/>
              </w:rPr>
              <w:tab/>
            </w:r>
            <w:r>
              <w:rPr>
                <w:rStyle w:val="IndexLink"/>
              </w:rPr>
              <w:t>266</w:t>
            </w:r>
          </w:hyperlink>
        </w:p>
        <w:p>
          <w:pPr>
            <w:pStyle w:val="Contents3"/>
            <w:tabs>
              <w:tab w:val="clear" w:pos="8459"/>
              <w:tab w:val="right" w:pos="9026" w:leader="dot"/>
            </w:tabs>
            <w:rPr/>
          </w:pPr>
          <w:hyperlink w:anchor="__RefHeading___Toc5797517_2870459653">
            <w:r>
              <w:rPr>
                <w:webHidden/>
                <w:rStyle w:val="IndexLink"/>
                <w:rtl w:val="true"/>
              </w:rPr>
              <w:t>حكم قتل المسلم مرتدّاً</w:t>
            </w:r>
            <w:r>
              <w:rPr>
                <w:rStyle w:val="IndexLink"/>
                <w:rtl w:val="true"/>
              </w:rPr>
              <w:tab/>
            </w:r>
            <w:r>
              <w:rPr>
                <w:rStyle w:val="IndexLink"/>
              </w:rPr>
              <w:t>288</w:t>
            </w:r>
          </w:hyperlink>
        </w:p>
        <w:p>
          <w:pPr>
            <w:pStyle w:val="Contents3"/>
            <w:tabs>
              <w:tab w:val="clear" w:pos="8459"/>
              <w:tab w:val="right" w:pos="9026" w:leader="dot"/>
            </w:tabs>
            <w:rPr/>
          </w:pPr>
          <w:hyperlink w:anchor="__RefHeading___Toc5797519_2870459653">
            <w:r>
              <w:rPr>
                <w:webHidden/>
                <w:rStyle w:val="IndexLink"/>
                <w:rtl w:val="true"/>
              </w:rPr>
              <w:t>قصاص الولد بقتل أبيه</w:t>
            </w:r>
            <w:r>
              <w:rPr>
                <w:rStyle w:val="IndexLink"/>
                <w:rtl w:val="true"/>
              </w:rPr>
              <w:tab/>
            </w:r>
            <w:r>
              <w:rPr>
                <w:rStyle w:val="IndexLink"/>
              </w:rPr>
              <w:t>298</w:t>
            </w:r>
          </w:hyperlink>
        </w:p>
        <w:p>
          <w:pPr>
            <w:pStyle w:val="Contents3"/>
            <w:tabs>
              <w:tab w:val="clear" w:pos="8459"/>
              <w:tab w:val="right" w:pos="9026" w:leader="dot"/>
            </w:tabs>
            <w:rPr/>
          </w:pPr>
          <w:hyperlink w:anchor="__RefHeading___Toc5797521_2870459653">
            <w:r>
              <w:rPr>
                <w:webHidden/>
                <w:rStyle w:val="IndexLink"/>
                <w:rtl w:val="true"/>
              </w:rPr>
              <w:t>عدم قصاص الأُمّ بقتل الولد</w:t>
            </w:r>
            <w:r>
              <w:rPr>
                <w:rStyle w:val="IndexLink"/>
                <w:rtl w:val="true"/>
              </w:rPr>
              <w:tab/>
            </w:r>
            <w:r>
              <w:rPr>
                <w:rStyle w:val="IndexLink"/>
              </w:rPr>
              <w:t>299</w:t>
            </w:r>
          </w:hyperlink>
        </w:p>
        <w:p>
          <w:pPr>
            <w:pStyle w:val="Contents3"/>
            <w:tabs>
              <w:tab w:val="clear" w:pos="8459"/>
              <w:tab w:val="right" w:pos="9026" w:leader="dot"/>
            </w:tabs>
            <w:rPr/>
          </w:pPr>
          <w:hyperlink w:anchor="__RefHeading___Toc5797523_2870459653">
            <w:r>
              <w:rPr>
                <w:webHidden/>
                <w:rStyle w:val="IndexLink"/>
                <w:rtl w:val="true"/>
              </w:rPr>
              <w:t>هل يثبت القصاص للولد بقتل زوج زوجته أم لا؟</w:t>
            </w:r>
            <w:r>
              <w:rPr>
                <w:rStyle w:val="IndexLink"/>
                <w:rtl w:val="true"/>
              </w:rPr>
              <w:tab/>
            </w:r>
            <w:r>
              <w:rPr>
                <w:rStyle w:val="IndexLink"/>
              </w:rPr>
              <w:t>302</w:t>
            </w:r>
          </w:hyperlink>
        </w:p>
        <w:p>
          <w:pPr>
            <w:pStyle w:val="Contents3"/>
            <w:tabs>
              <w:tab w:val="clear" w:pos="8459"/>
              <w:tab w:val="right" w:pos="9026" w:leader="dot"/>
            </w:tabs>
            <w:rPr/>
          </w:pPr>
          <w:hyperlink w:anchor="__RefHeading___Toc5797525_2870459653">
            <w:r>
              <w:rPr>
                <w:webHidden/>
                <w:rStyle w:val="IndexLink"/>
                <w:rtl w:val="true"/>
              </w:rPr>
              <w:t>شرطيّة العقل في القصاص</w:t>
            </w:r>
            <w:r>
              <w:rPr>
                <w:rStyle w:val="IndexLink"/>
                <w:rtl w:val="true"/>
              </w:rPr>
              <w:tab/>
            </w:r>
            <w:r>
              <w:rPr>
                <w:rStyle w:val="IndexLink"/>
              </w:rPr>
              <w:t>304</w:t>
            </w:r>
          </w:hyperlink>
        </w:p>
        <w:p>
          <w:pPr>
            <w:pStyle w:val="Contents3"/>
            <w:tabs>
              <w:tab w:val="clear" w:pos="8459"/>
              <w:tab w:val="right" w:pos="9026" w:leader="dot"/>
            </w:tabs>
            <w:rPr/>
          </w:pPr>
          <w:hyperlink w:anchor="__RefHeading___Toc5797527_2870459653">
            <w:r>
              <w:rPr>
                <w:webHidden/>
                <w:rStyle w:val="IndexLink"/>
                <w:rtl w:val="true"/>
              </w:rPr>
              <w:t>هل تثبت الدية على العاقلة في المجنون أم لا؟</w:t>
            </w:r>
            <w:r>
              <w:rPr>
                <w:rStyle w:val="IndexLink"/>
                <w:rtl w:val="true"/>
              </w:rPr>
              <w:tab/>
            </w:r>
            <w:r>
              <w:rPr>
                <w:rStyle w:val="IndexLink"/>
              </w:rPr>
              <w:t>307</w:t>
            </w:r>
          </w:hyperlink>
        </w:p>
        <w:p>
          <w:pPr>
            <w:pStyle w:val="Contents3"/>
            <w:tabs>
              <w:tab w:val="clear" w:pos="8459"/>
              <w:tab w:val="right" w:pos="9026" w:leader="dot"/>
            </w:tabs>
            <w:rPr/>
          </w:pPr>
          <w:hyperlink w:anchor="__RefHeading___Toc5797529_2870459653">
            <w:r>
              <w:rPr>
                <w:webHidden/>
                <w:rStyle w:val="IndexLink"/>
                <w:rtl w:val="true"/>
              </w:rPr>
              <w:t>شرطيّة البلوغ أو التمييز في القصاص</w:t>
            </w:r>
            <w:r>
              <w:rPr>
                <w:rStyle w:val="IndexLink"/>
                <w:rtl w:val="true"/>
              </w:rPr>
              <w:tab/>
            </w:r>
            <w:r>
              <w:rPr>
                <w:rStyle w:val="IndexLink"/>
              </w:rPr>
              <w:t>314</w:t>
            </w:r>
          </w:hyperlink>
        </w:p>
        <w:p>
          <w:pPr>
            <w:pStyle w:val="Contents3"/>
            <w:tabs>
              <w:tab w:val="clear" w:pos="8459"/>
              <w:tab w:val="right" w:pos="9026" w:leader="dot"/>
            </w:tabs>
            <w:rPr/>
          </w:pPr>
          <w:hyperlink w:anchor="__RefHeading___Toc5797531_2870459653">
            <w:r>
              <w:rPr>
                <w:webHidden/>
                <w:rStyle w:val="IndexLink"/>
                <w:rtl w:val="true"/>
              </w:rPr>
              <w:t>الاستدلال على عدم شرطيّ ة البلوغ وكفاية الإدراك والتمييز</w:t>
            </w:r>
            <w:r>
              <w:rPr>
                <w:rStyle w:val="IndexLink"/>
                <w:rtl w:val="true"/>
              </w:rPr>
              <w:tab/>
            </w:r>
            <w:r>
              <w:rPr>
                <w:rStyle w:val="IndexLink"/>
              </w:rPr>
              <w:t>320</w:t>
            </w:r>
          </w:hyperlink>
        </w:p>
        <w:p>
          <w:pPr>
            <w:pStyle w:val="Contents3"/>
            <w:tabs>
              <w:tab w:val="clear" w:pos="8459"/>
              <w:tab w:val="right" w:pos="9026" w:leader="dot"/>
            </w:tabs>
            <w:rPr/>
          </w:pPr>
          <w:hyperlink w:anchor="__RefHeading___Toc5797533_2870459653">
            <w:r>
              <w:rPr>
                <w:webHidden/>
                <w:rStyle w:val="IndexLink"/>
                <w:rtl w:val="true"/>
              </w:rPr>
              <w:t>قصاص القاتل بقتل الصبيّ</w:t>
            </w:r>
            <w:r>
              <w:rPr>
                <w:rStyle w:val="IndexLink"/>
                <w:rtl w:val="true"/>
              </w:rPr>
              <w:tab/>
            </w:r>
            <w:r>
              <w:rPr>
                <w:rStyle w:val="IndexLink"/>
              </w:rPr>
              <w:t>333</w:t>
            </w:r>
          </w:hyperlink>
        </w:p>
        <w:p>
          <w:pPr>
            <w:pStyle w:val="Contents3"/>
            <w:tabs>
              <w:tab w:val="clear" w:pos="8459"/>
              <w:tab w:val="right" w:pos="9026" w:leader="dot"/>
            </w:tabs>
            <w:rPr/>
          </w:pPr>
          <w:hyperlink w:anchor="__RefHeading___Toc5797535_2870459653">
            <w:r>
              <w:rPr>
                <w:webHidden/>
                <w:rStyle w:val="IndexLink"/>
                <w:rtl w:val="true"/>
              </w:rPr>
              <w:t>ثبوت القود على السكران</w:t>
            </w:r>
            <w:r>
              <w:rPr>
                <w:rStyle w:val="IndexLink"/>
                <w:rtl w:val="true"/>
              </w:rPr>
              <w:tab/>
            </w:r>
            <w:r>
              <w:rPr>
                <w:rStyle w:val="IndexLink"/>
              </w:rPr>
              <w:t>343</w:t>
            </w:r>
          </w:hyperlink>
        </w:p>
        <w:p>
          <w:pPr>
            <w:pStyle w:val="Contents3"/>
            <w:tabs>
              <w:tab w:val="clear" w:pos="8459"/>
              <w:tab w:val="right" w:pos="9026" w:leader="dot"/>
            </w:tabs>
            <w:rPr/>
          </w:pPr>
          <w:hyperlink w:anchor="__RefHeading___Toc5797537_2870459653">
            <w:r>
              <w:rPr>
                <w:webHidden/>
                <w:rStyle w:val="IndexLink"/>
                <w:rtl w:val="true"/>
              </w:rPr>
              <w:t>هل القود على النائم والمغمى عليه؟</w:t>
            </w:r>
            <w:r>
              <w:rPr>
                <w:rStyle w:val="IndexLink"/>
                <w:rtl w:val="true"/>
              </w:rPr>
              <w:tab/>
            </w:r>
            <w:r>
              <w:rPr>
                <w:rStyle w:val="IndexLink"/>
              </w:rPr>
              <w:t>348</w:t>
            </w:r>
          </w:hyperlink>
        </w:p>
        <w:p>
          <w:pPr>
            <w:pStyle w:val="Contents3"/>
            <w:tabs>
              <w:tab w:val="clear" w:pos="8459"/>
              <w:tab w:val="right" w:pos="9026" w:leader="dot"/>
            </w:tabs>
            <w:rPr/>
          </w:pPr>
          <w:hyperlink w:anchor="__RefHeading___Toc5797539_2870459653">
            <w:r>
              <w:rPr>
                <w:webHidden/>
                <w:rStyle w:val="IndexLink"/>
                <w:rtl w:val="true"/>
              </w:rPr>
              <w:t>جناية الأعمى</w:t>
            </w:r>
            <w:r>
              <w:rPr>
                <w:rStyle w:val="IndexLink"/>
                <w:rtl w:val="true"/>
              </w:rPr>
              <w:tab/>
            </w:r>
            <w:r>
              <w:rPr>
                <w:rStyle w:val="IndexLink"/>
              </w:rPr>
              <w:t>352</w:t>
            </w:r>
          </w:hyperlink>
        </w:p>
        <w:p>
          <w:pPr>
            <w:pStyle w:val="Contents3"/>
            <w:tabs>
              <w:tab w:val="clear" w:pos="8459"/>
              <w:tab w:val="right" w:pos="9026" w:leader="dot"/>
            </w:tabs>
            <w:rPr/>
          </w:pPr>
          <w:hyperlink w:anchor="__RefHeading___Toc5797541_2870459653">
            <w:r>
              <w:rPr>
                <w:webHidden/>
                <w:rStyle w:val="IndexLink"/>
                <w:rtl w:val="true"/>
              </w:rPr>
              <w:t xml:space="preserve">حكم سابّ النبيّ </w:t>
            </w:r>
            <w:r>
              <w:rPr>
                <w:rStyle w:val="IndexLink"/>
                <w:rtl w:val="true"/>
              </w:rPr>
              <w:t>(</w:t>
            </w:r>
            <w:r>
              <w:rPr>
                <w:rStyle w:val="IndexLink"/>
                <w:rtl w:val="true"/>
              </w:rPr>
              <w:t>صلی الله علیه وآله</w:t>
            </w:r>
            <w:r>
              <w:rPr>
                <w:rStyle w:val="IndexLink"/>
                <w:rtl w:val="true"/>
              </w:rPr>
              <w:t>)</w:t>
              <w:tab/>
            </w:r>
            <w:r>
              <w:rPr>
                <w:rStyle w:val="IndexLink"/>
              </w:rPr>
              <w:t>360</w:t>
            </w:r>
          </w:hyperlink>
        </w:p>
        <w:p>
          <w:pPr>
            <w:pStyle w:val="Contents2"/>
            <w:tabs>
              <w:tab w:val="clear" w:pos="8743"/>
              <w:tab w:val="right" w:pos="9026" w:leader="dot"/>
            </w:tabs>
            <w:rPr/>
          </w:pPr>
          <w:hyperlink w:anchor="__RefHeading___Toc5797543_2870459653">
            <w:r>
              <w:rPr>
                <w:webHidden/>
                <w:rStyle w:val="IndexLink"/>
                <w:rtl w:val="true"/>
              </w:rPr>
              <w:t>القول فيما يثبت به القود</w:t>
            </w:r>
            <w:r>
              <w:rPr>
                <w:rStyle w:val="IndexLink"/>
                <w:rtl w:val="true"/>
              </w:rPr>
              <w:tab/>
            </w:r>
            <w:r>
              <w:rPr>
                <w:rStyle w:val="IndexLink"/>
              </w:rPr>
              <w:t>367</w:t>
            </w:r>
          </w:hyperlink>
        </w:p>
        <w:p>
          <w:pPr>
            <w:pStyle w:val="Contents3"/>
            <w:tabs>
              <w:tab w:val="clear" w:pos="8459"/>
              <w:tab w:val="right" w:pos="9026" w:leader="dot"/>
            </w:tabs>
            <w:rPr/>
          </w:pPr>
          <w:hyperlink w:anchor="__RefHeading___Toc5797545_2870459653">
            <w:r>
              <w:rPr>
                <w:webHidden/>
                <w:rStyle w:val="IndexLink"/>
                <w:rtl w:val="true"/>
              </w:rPr>
              <w:t>اشارة</w:t>
            </w:r>
            <w:r>
              <w:rPr>
                <w:rStyle w:val="IndexLink"/>
                <w:rtl w:val="true"/>
              </w:rPr>
              <w:tab/>
            </w:r>
            <w:r>
              <w:rPr>
                <w:rStyle w:val="IndexLink"/>
              </w:rPr>
              <w:t>367</w:t>
            </w:r>
          </w:hyperlink>
        </w:p>
        <w:p>
          <w:pPr>
            <w:pStyle w:val="Contents3"/>
            <w:tabs>
              <w:tab w:val="clear" w:pos="8459"/>
              <w:tab w:val="right" w:pos="9026" w:leader="dot"/>
            </w:tabs>
            <w:rPr/>
          </w:pPr>
          <w:hyperlink w:anchor="__RefHeading___Toc5797547_2870459653">
            <w:r>
              <w:rPr>
                <w:webHidden/>
                <w:rStyle w:val="IndexLink"/>
                <w:rtl w:val="true"/>
              </w:rPr>
              <w:t>الإقرار بالقتل</w:t>
            </w:r>
            <w:r>
              <w:rPr>
                <w:rStyle w:val="IndexLink"/>
                <w:rtl w:val="true"/>
              </w:rPr>
              <w:tab/>
            </w:r>
            <w:r>
              <w:rPr>
                <w:rStyle w:val="IndexLink"/>
              </w:rPr>
              <w:t>367</w:t>
            </w:r>
          </w:hyperlink>
        </w:p>
        <w:p>
          <w:pPr>
            <w:pStyle w:val="Contents3"/>
            <w:tabs>
              <w:tab w:val="clear" w:pos="8459"/>
              <w:tab w:val="right" w:pos="9026" w:leader="dot"/>
            </w:tabs>
            <w:rPr/>
          </w:pPr>
          <w:hyperlink w:anchor="__RefHeading___Toc5797549_2870459653">
            <w:r>
              <w:rPr>
                <w:webHidden/>
                <w:rStyle w:val="IndexLink"/>
                <w:rtl w:val="true"/>
              </w:rPr>
              <w:t>شهادة النساء في القتل</w:t>
            </w:r>
            <w:r>
              <w:rPr>
                <w:rStyle w:val="IndexLink"/>
                <w:rtl w:val="true"/>
              </w:rPr>
              <w:tab/>
            </w:r>
            <w:r>
              <w:rPr>
                <w:rStyle w:val="IndexLink"/>
              </w:rPr>
              <w:t>381</w:t>
            </w:r>
          </w:hyperlink>
        </w:p>
        <w:p>
          <w:pPr>
            <w:pStyle w:val="Contents3"/>
            <w:tabs>
              <w:tab w:val="clear" w:pos="8459"/>
              <w:tab w:val="right" w:pos="9026" w:leader="dot"/>
            </w:tabs>
            <w:rPr/>
          </w:pPr>
          <w:hyperlink w:anchor="__RefHeading___Toc5797551_2870459653">
            <w:r>
              <w:rPr>
                <w:webHidden/>
                <w:rStyle w:val="IndexLink"/>
                <w:rtl w:val="true"/>
              </w:rPr>
              <w:t>تعارض البيّنتين</w:t>
            </w:r>
            <w:r>
              <w:rPr>
                <w:rStyle w:val="IndexLink"/>
                <w:rtl w:val="true"/>
              </w:rPr>
              <w:tab/>
            </w:r>
            <w:r>
              <w:rPr>
                <w:rStyle w:val="IndexLink"/>
              </w:rPr>
              <w:t>386</w:t>
            </w:r>
          </w:hyperlink>
        </w:p>
        <w:p>
          <w:pPr>
            <w:pStyle w:val="Contents3"/>
            <w:tabs>
              <w:tab w:val="clear" w:pos="8459"/>
              <w:tab w:val="right" w:pos="9026" w:leader="dot"/>
            </w:tabs>
            <w:rPr/>
          </w:pPr>
          <w:hyperlink w:anchor="__RefHeading___Toc5797553_2870459653">
            <w:r>
              <w:rPr>
                <w:webHidden/>
                <w:rStyle w:val="IndexLink"/>
                <w:rtl w:val="true"/>
              </w:rPr>
              <w:t>تعارض البيّنة مع الإقرار</w:t>
            </w:r>
            <w:r>
              <w:rPr>
                <w:rStyle w:val="IndexLink"/>
                <w:rtl w:val="true"/>
              </w:rPr>
              <w:tab/>
            </w:r>
            <w:r>
              <w:rPr>
                <w:rStyle w:val="IndexLink"/>
              </w:rPr>
              <w:t>397</w:t>
            </w:r>
          </w:hyperlink>
        </w:p>
        <w:p>
          <w:pPr>
            <w:pStyle w:val="Contents3"/>
            <w:tabs>
              <w:tab w:val="clear" w:pos="8459"/>
              <w:tab w:val="right" w:pos="9026" w:leader="dot"/>
            </w:tabs>
            <w:rPr/>
          </w:pPr>
          <w:hyperlink w:anchor="__RefHeading___Toc5797555_2870459653">
            <w:r>
              <w:rPr>
                <w:webHidden/>
                <w:rStyle w:val="IndexLink"/>
                <w:rtl w:val="true"/>
              </w:rPr>
              <w:t>مقتضى القاعدة في تعارض البيّنة مع الإقرار</w:t>
            </w:r>
            <w:r>
              <w:rPr>
                <w:rStyle w:val="IndexLink"/>
                <w:rtl w:val="true"/>
              </w:rPr>
              <w:tab/>
            </w:r>
            <w:r>
              <w:rPr>
                <w:rStyle w:val="IndexLink"/>
              </w:rPr>
              <w:t>399</w:t>
            </w:r>
          </w:hyperlink>
        </w:p>
        <w:p>
          <w:pPr>
            <w:pStyle w:val="Contents3"/>
            <w:tabs>
              <w:tab w:val="clear" w:pos="8459"/>
              <w:tab w:val="right" w:pos="9026" w:leader="dot"/>
            </w:tabs>
            <w:rPr/>
          </w:pPr>
          <w:hyperlink w:anchor="__RefHeading___Toc5797557_2870459653">
            <w:r>
              <w:rPr>
                <w:webHidden/>
                <w:rStyle w:val="IndexLink"/>
                <w:rtl w:val="true"/>
              </w:rPr>
              <w:t>دلالة النصّ في تعارض البيّنة مع الإقرار</w:t>
            </w:r>
            <w:r>
              <w:rPr>
                <w:rStyle w:val="IndexLink"/>
                <w:rtl w:val="true"/>
              </w:rPr>
              <w:tab/>
            </w:r>
            <w:r>
              <w:rPr>
                <w:rStyle w:val="IndexLink"/>
              </w:rPr>
              <w:t>402</w:t>
            </w:r>
          </w:hyperlink>
        </w:p>
        <w:p>
          <w:pPr>
            <w:pStyle w:val="Contents3"/>
            <w:tabs>
              <w:tab w:val="clear" w:pos="8459"/>
              <w:tab w:val="right" w:pos="9026" w:leader="dot"/>
            </w:tabs>
            <w:rPr/>
          </w:pPr>
          <w:hyperlink w:anchor="__RefHeading___Toc5797559_2870459653">
            <w:r>
              <w:rPr>
                <w:webHidden/>
                <w:rStyle w:val="IndexLink"/>
                <w:rtl w:val="true"/>
              </w:rPr>
              <w:t>في معنى القسامة</w:t>
            </w:r>
            <w:r>
              <w:rPr>
                <w:rStyle w:val="IndexLink"/>
                <w:rtl w:val="true"/>
              </w:rPr>
              <w:tab/>
            </w:r>
            <w:r>
              <w:rPr>
                <w:rStyle w:val="IndexLink"/>
              </w:rPr>
              <w:t>410</w:t>
            </w:r>
          </w:hyperlink>
        </w:p>
        <w:p>
          <w:pPr>
            <w:pStyle w:val="Contents3"/>
            <w:tabs>
              <w:tab w:val="clear" w:pos="8459"/>
              <w:tab w:val="right" w:pos="9026" w:leader="dot"/>
            </w:tabs>
            <w:rPr/>
          </w:pPr>
          <w:hyperlink w:anchor="__RefHeading___Toc5797561_2870459653">
            <w:r>
              <w:rPr>
                <w:webHidden/>
                <w:rStyle w:val="IndexLink"/>
                <w:rtl w:val="true"/>
              </w:rPr>
              <w:t>القسامة إمضائيّة أم تأسيسيّة؟</w:t>
            </w:r>
            <w:r>
              <w:rPr>
                <w:rStyle w:val="IndexLink"/>
                <w:rtl w:val="true"/>
              </w:rPr>
              <w:tab/>
            </w:r>
            <w:r>
              <w:rPr>
                <w:rStyle w:val="IndexLink"/>
              </w:rPr>
              <w:t>412</w:t>
            </w:r>
          </w:hyperlink>
        </w:p>
        <w:p>
          <w:pPr>
            <w:pStyle w:val="Contents3"/>
            <w:tabs>
              <w:tab w:val="clear" w:pos="8459"/>
              <w:tab w:val="right" w:pos="9026" w:leader="dot"/>
            </w:tabs>
            <w:rPr/>
          </w:pPr>
          <w:hyperlink w:anchor="__RefHeading___Toc5797563_2870459653">
            <w:r>
              <w:rPr>
                <w:webHidden/>
                <w:rStyle w:val="IndexLink"/>
                <w:rtl w:val="true"/>
              </w:rPr>
              <w:t>الفرق بين حلف القسامة وغيرها</w:t>
            </w:r>
            <w:r>
              <w:rPr>
                <w:rStyle w:val="IndexLink"/>
                <w:rtl w:val="true"/>
              </w:rPr>
              <w:tab/>
            </w:r>
            <w:r>
              <w:rPr>
                <w:rStyle w:val="IndexLink"/>
              </w:rPr>
              <w:t>416</w:t>
            </w:r>
          </w:hyperlink>
        </w:p>
        <w:p>
          <w:pPr>
            <w:pStyle w:val="Contents2"/>
            <w:tabs>
              <w:tab w:val="clear" w:pos="8743"/>
              <w:tab w:val="right" w:pos="9026" w:leader="dot"/>
            </w:tabs>
            <w:rPr/>
          </w:pPr>
          <w:hyperlink w:anchor="__RefHeading___Toc5797565_2870459653">
            <w:r>
              <w:rPr>
                <w:webHidden/>
                <w:rStyle w:val="IndexLink"/>
                <w:rtl w:val="true"/>
              </w:rPr>
              <w:t>[</w:t>
            </w:r>
            <w:r>
              <w:rPr>
                <w:rStyle w:val="IndexLink"/>
                <w:rtl w:val="true"/>
              </w:rPr>
              <w:t>المقصد</w:t>
            </w:r>
            <w:r>
              <w:rPr>
                <w:rStyle w:val="IndexLink"/>
                <w:rtl w:val="true"/>
              </w:rPr>
              <w:t xml:space="preserve">] </w:t>
            </w:r>
            <w:r>
              <w:rPr>
                <w:rStyle w:val="IndexLink"/>
                <w:rtl w:val="true"/>
              </w:rPr>
              <w:t>الأوّل</w:t>
            </w:r>
            <w:r>
              <w:rPr>
                <w:rStyle w:val="IndexLink"/>
                <w:rtl w:val="true"/>
              </w:rPr>
              <w:t xml:space="preserve">: </w:t>
            </w:r>
            <w:r>
              <w:rPr>
                <w:rStyle w:val="IndexLink"/>
                <w:rtl w:val="true"/>
              </w:rPr>
              <w:t xml:space="preserve">في اللوث </w:t>
            </w:r>
            <w:r>
              <w:rPr>
                <w:rStyle w:val="IndexLink"/>
                <w:rtl w:val="true"/>
              </w:rPr>
              <w:t>(</w:t>
            </w:r>
            <w:r>
              <w:rPr>
                <w:rStyle w:val="IndexLink"/>
              </w:rPr>
              <w:t>1</w:t>
            </w:r>
            <w:r>
              <w:rPr>
                <w:rStyle w:val="IndexLink"/>
                <w:rtl w:val="true"/>
              </w:rPr>
              <w:t>)</w:t>
              <w:tab/>
            </w:r>
            <w:r>
              <w:rPr>
                <w:rStyle w:val="IndexLink"/>
              </w:rPr>
              <w:t>419</w:t>
            </w:r>
          </w:hyperlink>
        </w:p>
        <w:p>
          <w:pPr>
            <w:pStyle w:val="Contents3"/>
            <w:tabs>
              <w:tab w:val="clear" w:pos="8459"/>
              <w:tab w:val="right" w:pos="9026" w:leader="dot"/>
            </w:tabs>
            <w:rPr/>
          </w:pPr>
          <w:hyperlink w:anchor="__RefHeading___Toc5797567_2870459653">
            <w:r>
              <w:rPr>
                <w:webHidden/>
                <w:rStyle w:val="IndexLink"/>
                <w:rtl w:val="true"/>
              </w:rPr>
              <w:t>اشارة</w:t>
            </w:r>
            <w:r>
              <w:rPr>
                <w:rStyle w:val="IndexLink"/>
                <w:rtl w:val="true"/>
              </w:rPr>
              <w:tab/>
            </w:r>
            <w:r>
              <w:rPr>
                <w:rStyle w:val="IndexLink"/>
              </w:rPr>
              <w:t>419</w:t>
            </w:r>
          </w:hyperlink>
        </w:p>
        <w:p>
          <w:pPr>
            <w:pStyle w:val="Contents3"/>
            <w:tabs>
              <w:tab w:val="clear" w:pos="8459"/>
              <w:tab w:val="right" w:pos="9026" w:leader="dot"/>
            </w:tabs>
            <w:rPr/>
          </w:pPr>
          <w:hyperlink w:anchor="__RefHeading___Toc5797569_2870459653">
            <w:r>
              <w:rPr>
                <w:webHidden/>
                <w:rStyle w:val="IndexLink"/>
                <w:rtl w:val="true"/>
              </w:rPr>
              <w:t>معنى اللوث</w:t>
            </w:r>
            <w:r>
              <w:rPr>
                <w:rStyle w:val="IndexLink"/>
                <w:rtl w:val="true"/>
              </w:rPr>
              <w:tab/>
            </w:r>
            <w:r>
              <w:rPr>
                <w:rStyle w:val="IndexLink"/>
              </w:rPr>
              <w:t>419</w:t>
            </w:r>
          </w:hyperlink>
        </w:p>
        <w:p>
          <w:pPr>
            <w:pStyle w:val="Contents3"/>
            <w:tabs>
              <w:tab w:val="clear" w:pos="8459"/>
              <w:tab w:val="right" w:pos="9026" w:leader="dot"/>
            </w:tabs>
            <w:rPr/>
          </w:pPr>
          <w:hyperlink w:anchor="__RefHeading___Toc5797571_2870459653">
            <w:r>
              <w:rPr>
                <w:webHidden/>
                <w:rStyle w:val="IndexLink"/>
                <w:rtl w:val="true"/>
              </w:rPr>
              <w:t>اعتبار اللوث في القسامة</w:t>
            </w:r>
            <w:r>
              <w:rPr>
                <w:rStyle w:val="IndexLink"/>
                <w:rtl w:val="true"/>
              </w:rPr>
              <w:tab/>
            </w:r>
            <w:r>
              <w:rPr>
                <w:rStyle w:val="IndexLink"/>
              </w:rPr>
              <w:t>420</w:t>
            </w:r>
          </w:hyperlink>
        </w:p>
        <w:p>
          <w:pPr>
            <w:pStyle w:val="Contents3"/>
            <w:tabs>
              <w:tab w:val="clear" w:pos="8459"/>
              <w:tab w:val="right" w:pos="9026" w:leader="dot"/>
            </w:tabs>
            <w:rPr/>
          </w:pPr>
          <w:hyperlink w:anchor="__RefHeading___Toc5797573_2870459653">
            <w:r>
              <w:rPr>
                <w:webHidden/>
                <w:rStyle w:val="IndexLink"/>
                <w:rtl w:val="true"/>
              </w:rPr>
              <w:t>المراد باللوث في القسامة</w:t>
            </w:r>
            <w:r>
              <w:rPr>
                <w:rStyle w:val="IndexLink"/>
                <w:rtl w:val="true"/>
              </w:rPr>
              <w:tab/>
            </w:r>
            <w:r>
              <w:rPr>
                <w:rStyle w:val="IndexLink"/>
              </w:rPr>
              <w:t>426</w:t>
            </w:r>
          </w:hyperlink>
        </w:p>
        <w:p>
          <w:pPr>
            <w:pStyle w:val="Contents3"/>
            <w:tabs>
              <w:tab w:val="clear" w:pos="8459"/>
              <w:tab w:val="right" w:pos="9026" w:leader="dot"/>
            </w:tabs>
            <w:rPr/>
          </w:pPr>
          <w:hyperlink w:anchor="__RefHeading___Toc5797575_2870459653">
            <w:r>
              <w:rPr>
                <w:webHidden/>
                <w:rStyle w:val="IndexLink"/>
                <w:rtl w:val="true"/>
              </w:rPr>
              <w:t>حكم ما لو لم يحصل اللوث</w:t>
            </w:r>
            <w:r>
              <w:rPr>
                <w:rStyle w:val="IndexLink"/>
                <w:rtl w:val="true"/>
              </w:rPr>
              <w:tab/>
            </w:r>
            <w:r>
              <w:rPr>
                <w:rStyle w:val="IndexLink"/>
              </w:rPr>
              <w:t>433</w:t>
            </w:r>
          </w:hyperlink>
        </w:p>
        <w:p>
          <w:pPr>
            <w:pStyle w:val="Contents4"/>
            <w:tabs>
              <w:tab w:val="clear" w:pos="8176"/>
              <w:tab w:val="right" w:pos="9026" w:leader="dot"/>
            </w:tabs>
            <w:rPr/>
          </w:pPr>
          <w:hyperlink w:anchor="__RefHeading___Toc5797577_2870459653">
            <w:r>
              <w:rPr>
                <w:webHidden/>
                <w:rStyle w:val="IndexLink"/>
                <w:rtl w:val="true"/>
              </w:rPr>
              <w:t>اشارة</w:t>
            </w:r>
            <w:r>
              <w:rPr>
                <w:rStyle w:val="IndexLink"/>
                <w:rtl w:val="true"/>
              </w:rPr>
              <w:tab/>
            </w:r>
            <w:r>
              <w:rPr>
                <w:rStyle w:val="IndexLink"/>
              </w:rPr>
              <w:t>433</w:t>
            </w:r>
          </w:hyperlink>
        </w:p>
        <w:p>
          <w:pPr>
            <w:pStyle w:val="Contents3"/>
            <w:tabs>
              <w:tab w:val="clear" w:pos="8459"/>
              <w:tab w:val="right" w:pos="9026" w:leader="dot"/>
            </w:tabs>
            <w:rPr/>
          </w:pPr>
          <w:hyperlink w:anchor="__RefHeading___Toc5797579_2870459653">
            <w:r>
              <w:rPr>
                <w:webHidden/>
                <w:rStyle w:val="IndexLink"/>
                <w:rtl w:val="true"/>
              </w:rPr>
              <w:t>تنبيهٌ وفرعٌ</w:t>
            </w:r>
            <w:r>
              <w:rPr>
                <w:rStyle w:val="IndexLink"/>
                <w:rtl w:val="true"/>
              </w:rPr>
              <w:t>:</w:t>
              <w:tab/>
            </w:r>
            <w:r>
              <w:rPr>
                <w:rStyle w:val="IndexLink"/>
              </w:rPr>
              <w:t>438</w:t>
            </w:r>
          </w:hyperlink>
        </w:p>
        <w:p>
          <w:pPr>
            <w:pStyle w:val="Contents2"/>
            <w:tabs>
              <w:tab w:val="clear" w:pos="8743"/>
              <w:tab w:val="right" w:pos="9026" w:leader="dot"/>
            </w:tabs>
            <w:rPr/>
          </w:pPr>
          <w:hyperlink w:anchor="__RefHeading___Toc5797581_2870459653">
            <w:r>
              <w:rPr>
                <w:webHidden/>
                <w:rStyle w:val="IndexLink"/>
                <w:rtl w:val="true"/>
              </w:rPr>
              <w:t>المقصد الثاني</w:t>
            </w:r>
            <w:r>
              <w:rPr>
                <w:rStyle w:val="IndexLink"/>
                <w:rtl w:val="true"/>
              </w:rPr>
              <w:t xml:space="preserve">: </w:t>
            </w:r>
            <w:r>
              <w:rPr>
                <w:rStyle w:val="IndexLink"/>
                <w:rtl w:val="true"/>
              </w:rPr>
              <w:t>في كمّيّة القسامة</w:t>
            </w:r>
            <w:r>
              <w:rPr>
                <w:rStyle w:val="IndexLink"/>
                <w:rtl w:val="true"/>
              </w:rPr>
              <w:tab/>
            </w:r>
            <w:r>
              <w:rPr>
                <w:rStyle w:val="IndexLink"/>
              </w:rPr>
              <w:t>443</w:t>
            </w:r>
          </w:hyperlink>
        </w:p>
        <w:p>
          <w:pPr>
            <w:pStyle w:val="Contents3"/>
            <w:tabs>
              <w:tab w:val="clear" w:pos="8459"/>
              <w:tab w:val="right" w:pos="9026" w:leader="dot"/>
            </w:tabs>
            <w:rPr/>
          </w:pPr>
          <w:hyperlink w:anchor="__RefHeading___Toc5797583_2870459653">
            <w:r>
              <w:rPr>
                <w:webHidden/>
                <w:rStyle w:val="IndexLink"/>
                <w:rtl w:val="true"/>
              </w:rPr>
              <w:t>اشارة</w:t>
            </w:r>
            <w:r>
              <w:rPr>
                <w:rStyle w:val="IndexLink"/>
                <w:rtl w:val="true"/>
              </w:rPr>
              <w:tab/>
            </w:r>
            <w:r>
              <w:rPr>
                <w:rStyle w:val="IndexLink"/>
              </w:rPr>
              <w:t>443</w:t>
            </w:r>
          </w:hyperlink>
        </w:p>
        <w:p>
          <w:pPr>
            <w:pStyle w:val="Contents3"/>
            <w:tabs>
              <w:tab w:val="clear" w:pos="8459"/>
              <w:tab w:val="right" w:pos="9026" w:leader="dot"/>
            </w:tabs>
            <w:rPr/>
          </w:pPr>
          <w:hyperlink w:anchor="__RefHeading___Toc5797585_2870459653">
            <w:r>
              <w:rPr>
                <w:webHidden/>
                <w:rStyle w:val="IndexLink"/>
                <w:rtl w:val="true"/>
              </w:rPr>
              <w:t>العدد في القسامة</w:t>
            </w:r>
            <w:r>
              <w:rPr>
                <w:rStyle w:val="IndexLink"/>
                <w:rtl w:val="true"/>
              </w:rPr>
              <w:tab/>
            </w:r>
            <w:r>
              <w:rPr>
                <w:rStyle w:val="IndexLink"/>
              </w:rPr>
              <w:t>443</w:t>
            </w:r>
          </w:hyperlink>
        </w:p>
        <w:p>
          <w:pPr>
            <w:pStyle w:val="Contents3"/>
            <w:tabs>
              <w:tab w:val="clear" w:pos="8459"/>
              <w:tab w:val="right" w:pos="9026" w:leader="dot"/>
            </w:tabs>
            <w:rPr/>
          </w:pPr>
          <w:hyperlink w:anchor="__RefHeading___Toc5797587_2870459653">
            <w:r>
              <w:rPr>
                <w:webHidden/>
                <w:rStyle w:val="IndexLink"/>
                <w:rtl w:val="true"/>
              </w:rPr>
              <w:t>في عدم القسامة للمدّعي</w:t>
            </w:r>
            <w:r>
              <w:rPr>
                <w:rStyle w:val="IndexLink"/>
                <w:rtl w:val="true"/>
              </w:rPr>
              <w:tab/>
            </w:r>
            <w:r>
              <w:rPr>
                <w:rStyle w:val="IndexLink"/>
              </w:rPr>
              <w:t>450</w:t>
            </w:r>
          </w:hyperlink>
        </w:p>
        <w:p>
          <w:pPr>
            <w:pStyle w:val="Contents3"/>
            <w:tabs>
              <w:tab w:val="clear" w:pos="8459"/>
              <w:tab w:val="right" w:pos="9026" w:leader="dot"/>
            </w:tabs>
            <w:rPr/>
          </w:pPr>
          <w:hyperlink w:anchor="__RefHeading___Toc5797589_2870459653">
            <w:r>
              <w:rPr>
                <w:webHidden/>
                <w:rStyle w:val="IndexLink"/>
                <w:rtl w:val="true"/>
              </w:rPr>
              <w:t>ما يعتبر في القسامة</w:t>
            </w:r>
            <w:r>
              <w:rPr>
                <w:rStyle w:val="IndexLink"/>
                <w:rtl w:val="true"/>
              </w:rPr>
              <w:tab/>
            </w:r>
            <w:r>
              <w:rPr>
                <w:rStyle w:val="IndexLink"/>
              </w:rPr>
              <w:t>457</w:t>
            </w:r>
          </w:hyperlink>
        </w:p>
        <w:p>
          <w:pPr>
            <w:pStyle w:val="Contents3"/>
            <w:tabs>
              <w:tab w:val="clear" w:pos="8459"/>
              <w:tab w:val="right" w:pos="9026" w:leader="dot"/>
            </w:tabs>
            <w:rPr/>
          </w:pPr>
          <w:hyperlink w:anchor="__RefHeading___Toc5797591_2870459653">
            <w:r>
              <w:rPr>
                <w:webHidden/>
                <w:rStyle w:val="IndexLink"/>
                <w:rtl w:val="true"/>
              </w:rPr>
              <w:t>فيما كان المدّعي أو المدّعى عليه أكثر من واحد</w:t>
            </w:r>
            <w:r>
              <w:rPr>
                <w:rStyle w:val="IndexLink"/>
                <w:rtl w:val="true"/>
              </w:rPr>
              <w:tab/>
            </w:r>
            <w:r>
              <w:rPr>
                <w:rStyle w:val="IndexLink"/>
              </w:rPr>
              <w:t>459</w:t>
            </w:r>
          </w:hyperlink>
        </w:p>
        <w:p>
          <w:pPr>
            <w:pStyle w:val="Contents3"/>
            <w:tabs>
              <w:tab w:val="clear" w:pos="8459"/>
              <w:tab w:val="right" w:pos="9026" w:leader="dot"/>
            </w:tabs>
            <w:rPr/>
          </w:pPr>
          <w:hyperlink w:anchor="__RefHeading___Toc5797593_2870459653">
            <w:r>
              <w:rPr>
                <w:webHidden/>
                <w:rStyle w:val="IndexLink"/>
                <w:rtl w:val="true"/>
              </w:rPr>
              <w:t>في النكول عن اليمين في القسامة</w:t>
            </w:r>
            <w:r>
              <w:rPr>
                <w:rStyle w:val="IndexLink"/>
                <w:rtl w:val="true"/>
              </w:rPr>
              <w:tab/>
            </w:r>
            <w:r>
              <w:rPr>
                <w:rStyle w:val="IndexLink"/>
              </w:rPr>
              <w:t>464</w:t>
            </w:r>
          </w:hyperlink>
        </w:p>
        <w:p>
          <w:pPr>
            <w:pStyle w:val="Contents3"/>
            <w:tabs>
              <w:tab w:val="clear" w:pos="8459"/>
              <w:tab w:val="right" w:pos="9026" w:leader="dot"/>
            </w:tabs>
            <w:rPr/>
          </w:pPr>
          <w:hyperlink w:anchor="__RefHeading___Toc5797595_2870459653">
            <w:r>
              <w:rPr>
                <w:webHidden/>
                <w:rStyle w:val="IndexLink"/>
                <w:rtl w:val="true"/>
              </w:rPr>
              <w:t>القسامة في الأعضاء</w:t>
            </w:r>
            <w:r>
              <w:rPr>
                <w:rStyle w:val="IndexLink"/>
                <w:rtl w:val="true"/>
              </w:rPr>
              <w:tab/>
            </w:r>
            <w:r>
              <w:rPr>
                <w:rStyle w:val="IndexLink"/>
              </w:rPr>
              <w:t>468</w:t>
            </w:r>
          </w:hyperlink>
        </w:p>
        <w:p>
          <w:pPr>
            <w:pStyle w:val="Contents3"/>
            <w:tabs>
              <w:tab w:val="clear" w:pos="8459"/>
              <w:tab w:val="right" w:pos="9026" w:leader="dot"/>
            </w:tabs>
            <w:rPr/>
          </w:pPr>
          <w:hyperlink w:anchor="__RefHeading___Toc5797597_2870459653">
            <w:r>
              <w:rPr>
                <w:webHidden/>
                <w:rStyle w:val="IndexLink"/>
                <w:rtl w:val="true"/>
              </w:rPr>
              <w:t>قسامة الكافر</w:t>
            </w:r>
            <w:r>
              <w:rPr>
                <w:rStyle w:val="IndexLink"/>
                <w:rtl w:val="true"/>
              </w:rPr>
              <w:tab/>
            </w:r>
            <w:r>
              <w:rPr>
                <w:rStyle w:val="IndexLink"/>
              </w:rPr>
              <w:t>473</w:t>
            </w:r>
          </w:hyperlink>
        </w:p>
        <w:p>
          <w:pPr>
            <w:pStyle w:val="Contents2"/>
            <w:tabs>
              <w:tab w:val="clear" w:pos="8743"/>
              <w:tab w:val="right" w:pos="9026" w:leader="dot"/>
            </w:tabs>
            <w:rPr/>
          </w:pPr>
          <w:hyperlink w:anchor="__RefHeading___Toc5797599_2870459653">
            <w:r>
              <w:rPr>
                <w:webHidden/>
                <w:rStyle w:val="IndexLink"/>
                <w:rtl w:val="true"/>
              </w:rPr>
              <w:t>المقصد الثالث</w:t>
            </w:r>
            <w:r>
              <w:rPr>
                <w:rStyle w:val="IndexLink"/>
                <w:rtl w:val="true"/>
              </w:rPr>
              <w:t xml:space="preserve">: </w:t>
            </w:r>
            <w:r>
              <w:rPr>
                <w:rStyle w:val="IndexLink"/>
                <w:rtl w:val="true"/>
              </w:rPr>
              <w:t xml:space="preserve">في أحكامها </w:t>
            </w:r>
            <w:r>
              <w:rPr>
                <w:rStyle w:val="IndexLink"/>
                <w:rtl w:val="true"/>
              </w:rPr>
              <w:t>[</w:t>
            </w:r>
            <w:r>
              <w:rPr>
                <w:rStyle w:val="IndexLink"/>
                <w:rtl w:val="true"/>
              </w:rPr>
              <w:t>القسامة</w:t>
            </w:r>
            <w:r>
              <w:rPr>
                <w:rStyle w:val="IndexLink"/>
                <w:rtl w:val="true"/>
              </w:rPr>
              <w:t>]</w:t>
              <w:tab/>
            </w:r>
            <w:r>
              <w:rPr>
                <w:rStyle w:val="IndexLink"/>
              </w:rPr>
              <w:t>477</w:t>
            </w:r>
          </w:hyperlink>
        </w:p>
        <w:p>
          <w:pPr>
            <w:pStyle w:val="Contents3"/>
            <w:tabs>
              <w:tab w:val="clear" w:pos="8459"/>
              <w:tab w:val="right" w:pos="9026" w:leader="dot"/>
            </w:tabs>
            <w:rPr/>
          </w:pPr>
          <w:hyperlink w:anchor="__RefHeading___Toc5797601_2870459653">
            <w:r>
              <w:rPr>
                <w:webHidden/>
                <w:rStyle w:val="IndexLink"/>
                <w:rtl w:val="true"/>
              </w:rPr>
              <w:t>اشارة</w:t>
            </w:r>
            <w:r>
              <w:rPr>
                <w:rStyle w:val="IndexLink"/>
                <w:rtl w:val="true"/>
              </w:rPr>
              <w:tab/>
            </w:r>
            <w:r>
              <w:rPr>
                <w:rStyle w:val="IndexLink"/>
              </w:rPr>
              <w:t>477</w:t>
            </w:r>
          </w:hyperlink>
        </w:p>
        <w:p>
          <w:pPr>
            <w:pStyle w:val="Contents3"/>
            <w:tabs>
              <w:tab w:val="clear" w:pos="8459"/>
              <w:tab w:val="right" w:pos="9026" w:leader="dot"/>
            </w:tabs>
            <w:rPr/>
          </w:pPr>
          <w:hyperlink w:anchor="__RefHeading___Toc5797603_2870459653">
            <w:r>
              <w:rPr>
                <w:webHidden/>
                <w:rStyle w:val="IndexLink"/>
                <w:rtl w:val="true"/>
              </w:rPr>
              <w:t>حجّية القسامة في ثبوت القصاص والدية</w:t>
            </w:r>
            <w:r>
              <w:rPr>
                <w:rStyle w:val="IndexLink"/>
                <w:rtl w:val="true"/>
              </w:rPr>
              <w:tab/>
            </w:r>
            <w:r>
              <w:rPr>
                <w:rStyle w:val="IndexLink"/>
              </w:rPr>
              <w:t>477</w:t>
            </w:r>
          </w:hyperlink>
        </w:p>
        <w:p>
          <w:pPr>
            <w:pStyle w:val="Contents3"/>
            <w:tabs>
              <w:tab w:val="clear" w:pos="8459"/>
              <w:tab w:val="right" w:pos="9026" w:leader="dot"/>
            </w:tabs>
            <w:rPr/>
          </w:pPr>
          <w:hyperlink w:anchor="__RefHeading___Toc5797605_2870459653">
            <w:r>
              <w:rPr>
                <w:webHidden/>
                <w:rStyle w:val="IndexLink"/>
                <w:rtl w:val="true"/>
              </w:rPr>
              <w:t>جريان القسامة مع غيبة بعض الأولياء</w:t>
            </w:r>
            <w:r>
              <w:rPr>
                <w:rStyle w:val="IndexLink"/>
                <w:rtl w:val="true"/>
              </w:rPr>
              <w:tab/>
            </w:r>
            <w:r>
              <w:rPr>
                <w:rStyle w:val="IndexLink"/>
              </w:rPr>
              <w:t>480</w:t>
            </w:r>
          </w:hyperlink>
        </w:p>
        <w:p>
          <w:pPr>
            <w:pStyle w:val="Contents3"/>
            <w:tabs>
              <w:tab w:val="clear" w:pos="8459"/>
              <w:tab w:val="right" w:pos="9026" w:leader="dot"/>
            </w:tabs>
            <w:rPr/>
          </w:pPr>
          <w:hyperlink w:anchor="__RefHeading___Toc5797607_2870459653">
            <w:r>
              <w:rPr>
                <w:webHidden/>
                <w:rStyle w:val="IndexLink"/>
                <w:rtl w:val="true"/>
              </w:rPr>
              <w:t>حبس المتّهم ومدّته</w:t>
            </w:r>
            <w:r>
              <w:rPr>
                <w:rStyle w:val="IndexLink"/>
                <w:rtl w:val="true"/>
              </w:rPr>
              <w:tab/>
            </w:r>
            <w:r>
              <w:rPr>
                <w:rStyle w:val="IndexLink"/>
              </w:rPr>
              <w:t>486</w:t>
            </w:r>
          </w:hyperlink>
        </w:p>
        <w:p>
          <w:pPr>
            <w:pStyle w:val="Contents2"/>
            <w:tabs>
              <w:tab w:val="clear" w:pos="8743"/>
              <w:tab w:val="right" w:pos="9026" w:leader="dot"/>
            </w:tabs>
            <w:rPr/>
          </w:pPr>
          <w:hyperlink w:anchor="__RefHeading___Toc5797609_2870459653">
            <w:r>
              <w:rPr>
                <w:webHidden/>
                <w:rStyle w:val="IndexLink"/>
                <w:rtl w:val="true"/>
              </w:rPr>
              <w:t>القول في كيفيّة الاستيفاء</w:t>
            </w:r>
            <w:r>
              <w:rPr>
                <w:rStyle w:val="IndexLink"/>
                <w:rtl w:val="true"/>
              </w:rPr>
              <w:tab/>
            </w:r>
            <w:r>
              <w:rPr>
                <w:rStyle w:val="IndexLink"/>
              </w:rPr>
              <w:t>493</w:t>
            </w:r>
          </w:hyperlink>
        </w:p>
        <w:p>
          <w:pPr>
            <w:pStyle w:val="Contents3"/>
            <w:tabs>
              <w:tab w:val="clear" w:pos="8459"/>
              <w:tab w:val="right" w:pos="9026" w:leader="dot"/>
            </w:tabs>
            <w:rPr/>
          </w:pPr>
          <w:hyperlink w:anchor="__RefHeading___Toc5797611_2870459653">
            <w:r>
              <w:rPr>
                <w:webHidden/>
                <w:rStyle w:val="IndexLink"/>
                <w:rtl w:val="true"/>
              </w:rPr>
              <w:t>اشارة</w:t>
            </w:r>
            <w:r>
              <w:rPr>
                <w:rStyle w:val="IndexLink"/>
                <w:rtl w:val="true"/>
              </w:rPr>
              <w:tab/>
            </w:r>
            <w:r>
              <w:rPr>
                <w:rStyle w:val="IndexLink"/>
              </w:rPr>
              <w:t>493</w:t>
            </w:r>
          </w:hyperlink>
        </w:p>
        <w:p>
          <w:pPr>
            <w:pStyle w:val="Contents3"/>
            <w:tabs>
              <w:tab w:val="clear" w:pos="8459"/>
              <w:tab w:val="right" w:pos="9026" w:leader="dot"/>
            </w:tabs>
            <w:rPr/>
          </w:pPr>
          <w:hyperlink w:anchor="__RefHeading___Toc5797613_2870459653">
            <w:r>
              <w:rPr>
                <w:webHidden/>
                <w:rStyle w:val="IndexLink"/>
                <w:rtl w:val="true"/>
              </w:rPr>
              <w:t>فيما يوجبه القتل العمد</w:t>
            </w:r>
            <w:r>
              <w:rPr>
                <w:rStyle w:val="IndexLink"/>
                <w:rtl w:val="true"/>
              </w:rPr>
              <w:tab/>
            </w:r>
            <w:r>
              <w:rPr>
                <w:rStyle w:val="IndexLink"/>
              </w:rPr>
              <w:t>493</w:t>
            </w:r>
          </w:hyperlink>
        </w:p>
        <w:p>
          <w:pPr>
            <w:pStyle w:val="Contents3"/>
            <w:tabs>
              <w:tab w:val="clear" w:pos="8459"/>
              <w:tab w:val="right" w:pos="9026" w:leader="dot"/>
            </w:tabs>
            <w:rPr/>
          </w:pPr>
          <w:hyperlink w:anchor="__RefHeading___Toc5797615_2870459653">
            <w:r>
              <w:rPr>
                <w:webHidden/>
                <w:rStyle w:val="IndexLink"/>
                <w:rtl w:val="true"/>
              </w:rPr>
              <w:t>الاستدلال للقول المشهور</w:t>
            </w:r>
            <w:r>
              <w:rPr>
                <w:rStyle w:val="IndexLink"/>
                <w:rtl w:val="true"/>
              </w:rPr>
              <w:tab/>
            </w:r>
            <w:r>
              <w:rPr>
                <w:rStyle w:val="IndexLink"/>
              </w:rPr>
              <w:t>495</w:t>
            </w:r>
          </w:hyperlink>
        </w:p>
        <w:p>
          <w:pPr>
            <w:pStyle w:val="Contents3"/>
            <w:tabs>
              <w:tab w:val="clear" w:pos="8459"/>
              <w:tab w:val="right" w:pos="9026" w:leader="dot"/>
            </w:tabs>
            <w:rPr/>
          </w:pPr>
          <w:hyperlink w:anchor="__RefHeading___Toc5797617_2870459653">
            <w:r>
              <w:rPr>
                <w:webHidden/>
                <w:rStyle w:val="IndexLink"/>
                <w:rtl w:val="true"/>
              </w:rPr>
              <w:t>الاستدلال للقول المخالف للمشهور</w:t>
            </w:r>
            <w:r>
              <w:rPr>
                <w:rStyle w:val="IndexLink"/>
                <w:rtl w:val="true"/>
              </w:rPr>
              <w:tab/>
            </w:r>
            <w:r>
              <w:rPr>
                <w:rStyle w:val="IndexLink"/>
              </w:rPr>
              <w:t>497</w:t>
            </w:r>
          </w:hyperlink>
        </w:p>
        <w:p>
          <w:pPr>
            <w:pStyle w:val="Contents3"/>
            <w:tabs>
              <w:tab w:val="clear" w:pos="8459"/>
              <w:tab w:val="right" w:pos="9026" w:leader="dot"/>
            </w:tabs>
            <w:rPr/>
          </w:pPr>
          <w:hyperlink w:anchor="__RefHeading___Toc5797619_2870459653">
            <w:r>
              <w:rPr>
                <w:webHidden/>
                <w:rStyle w:val="IndexLink"/>
                <w:rtl w:val="true"/>
              </w:rPr>
              <w:t>عفو القود بشرط الدية</w:t>
            </w:r>
            <w:r>
              <w:rPr>
                <w:rStyle w:val="IndexLink"/>
                <w:rtl w:val="true"/>
              </w:rPr>
              <w:tab/>
            </w:r>
            <w:r>
              <w:rPr>
                <w:rStyle w:val="IndexLink"/>
              </w:rPr>
              <w:t>504</w:t>
            </w:r>
          </w:hyperlink>
        </w:p>
        <w:p>
          <w:pPr>
            <w:pStyle w:val="Contents3"/>
            <w:tabs>
              <w:tab w:val="clear" w:pos="8459"/>
              <w:tab w:val="right" w:pos="9026" w:leader="dot"/>
            </w:tabs>
            <w:rPr/>
          </w:pPr>
          <w:hyperlink w:anchor="__RefHeading___Toc5797621_2870459653">
            <w:r>
              <w:rPr>
                <w:webHidden/>
                <w:rStyle w:val="IndexLink"/>
                <w:rtl w:val="true"/>
              </w:rPr>
              <w:t>في وجوب بذل الدية على الجاني</w:t>
            </w:r>
            <w:r>
              <w:rPr>
                <w:rStyle w:val="IndexLink"/>
                <w:rtl w:val="true"/>
              </w:rPr>
              <w:tab/>
            </w:r>
            <w:r>
              <w:rPr>
                <w:rStyle w:val="IndexLink"/>
              </w:rPr>
              <w:t>505</w:t>
            </w:r>
          </w:hyperlink>
        </w:p>
        <w:p>
          <w:pPr>
            <w:pStyle w:val="Contents3"/>
            <w:tabs>
              <w:tab w:val="clear" w:pos="8459"/>
              <w:tab w:val="right" w:pos="9026" w:leader="dot"/>
            </w:tabs>
            <w:rPr/>
          </w:pPr>
          <w:hyperlink w:anchor="__RefHeading___Toc5797623_2870459653">
            <w:r>
              <w:rPr>
                <w:webHidden/>
                <w:rStyle w:val="IndexLink"/>
                <w:rtl w:val="true"/>
              </w:rPr>
              <w:t>إرث القصاص</w:t>
            </w:r>
            <w:r>
              <w:rPr>
                <w:rStyle w:val="IndexLink"/>
                <w:rtl w:val="true"/>
              </w:rPr>
              <w:tab/>
            </w:r>
            <w:r>
              <w:rPr>
                <w:rStyle w:val="IndexLink"/>
              </w:rPr>
              <w:t>508</w:t>
            </w:r>
          </w:hyperlink>
        </w:p>
        <w:p>
          <w:pPr>
            <w:pStyle w:val="Contents3"/>
            <w:tabs>
              <w:tab w:val="clear" w:pos="8459"/>
              <w:tab w:val="right" w:pos="9026" w:leader="dot"/>
            </w:tabs>
            <w:rPr/>
          </w:pPr>
          <w:hyperlink w:anchor="__RefHeading___Toc5797625_2870459653">
            <w:r>
              <w:rPr>
                <w:webHidden/>
                <w:rStyle w:val="IndexLink"/>
                <w:rtl w:val="true"/>
              </w:rPr>
              <w:t>إرث الزوج والزوجة في القصاص</w:t>
            </w:r>
            <w:r>
              <w:rPr>
                <w:rStyle w:val="IndexLink"/>
                <w:rtl w:val="true"/>
              </w:rPr>
              <w:tab/>
            </w:r>
            <w:r>
              <w:rPr>
                <w:rStyle w:val="IndexLink"/>
              </w:rPr>
              <w:t>509</w:t>
            </w:r>
          </w:hyperlink>
        </w:p>
        <w:p>
          <w:pPr>
            <w:pStyle w:val="Contents3"/>
            <w:tabs>
              <w:tab w:val="clear" w:pos="8459"/>
              <w:tab w:val="right" w:pos="9026" w:leader="dot"/>
            </w:tabs>
            <w:rPr/>
          </w:pPr>
          <w:hyperlink w:anchor="__RefHeading___Toc5797627_2870459653">
            <w:r>
              <w:rPr>
                <w:webHidden/>
                <w:rStyle w:val="IndexLink"/>
                <w:rtl w:val="true"/>
              </w:rPr>
              <w:t>إرث الإخوة والأخوات في القصاص</w:t>
            </w:r>
            <w:r>
              <w:rPr>
                <w:rStyle w:val="IndexLink"/>
                <w:rtl w:val="true"/>
              </w:rPr>
              <w:tab/>
            </w:r>
            <w:r>
              <w:rPr>
                <w:rStyle w:val="IndexLink"/>
              </w:rPr>
              <w:t>511</w:t>
            </w:r>
          </w:hyperlink>
        </w:p>
        <w:p>
          <w:pPr>
            <w:pStyle w:val="Contents3"/>
            <w:tabs>
              <w:tab w:val="clear" w:pos="8459"/>
              <w:tab w:val="right" w:pos="9026" w:leader="dot"/>
            </w:tabs>
            <w:rPr/>
          </w:pPr>
          <w:hyperlink w:anchor="__RefHeading___Toc5797629_2870459653">
            <w:r>
              <w:rPr>
                <w:webHidden/>
                <w:rStyle w:val="IndexLink"/>
                <w:rtl w:val="true"/>
              </w:rPr>
              <w:t>إرث النساء في القصاص</w:t>
            </w:r>
            <w:r>
              <w:rPr>
                <w:rStyle w:val="IndexLink"/>
                <w:rtl w:val="true"/>
              </w:rPr>
              <w:tab/>
            </w:r>
            <w:r>
              <w:rPr>
                <w:rStyle w:val="IndexLink"/>
              </w:rPr>
              <w:t>513</w:t>
            </w:r>
          </w:hyperlink>
        </w:p>
        <w:p>
          <w:pPr>
            <w:pStyle w:val="Contents3"/>
            <w:tabs>
              <w:tab w:val="clear" w:pos="8459"/>
              <w:tab w:val="right" w:pos="9026" w:leader="dot"/>
            </w:tabs>
            <w:rPr/>
          </w:pPr>
          <w:hyperlink w:anchor="__RefHeading___Toc5797631_2870459653">
            <w:r>
              <w:rPr>
                <w:webHidden/>
                <w:rStyle w:val="IndexLink"/>
                <w:rtl w:val="true"/>
              </w:rPr>
              <w:t>هل يتوقّف القصاص على إذن الإمام؟</w:t>
            </w:r>
            <w:r>
              <w:rPr>
                <w:rStyle w:val="IndexLink"/>
                <w:rtl w:val="true"/>
              </w:rPr>
              <w:tab/>
            </w:r>
            <w:r>
              <w:rPr>
                <w:rStyle w:val="IndexLink"/>
              </w:rPr>
              <w:t>515</w:t>
            </w:r>
          </w:hyperlink>
        </w:p>
        <w:p>
          <w:pPr>
            <w:pStyle w:val="Contents3"/>
            <w:tabs>
              <w:tab w:val="clear" w:pos="8459"/>
              <w:tab w:val="right" w:pos="9026" w:leader="dot"/>
            </w:tabs>
            <w:rPr/>
          </w:pPr>
          <w:hyperlink w:anchor="__RefHeading___Toc5797633_2870459653">
            <w:r>
              <w:rPr>
                <w:webHidden/>
                <w:rStyle w:val="IndexLink"/>
                <w:rtl w:val="true"/>
              </w:rPr>
              <w:t>الاستدلال على لزوم إذن الإمام</w:t>
            </w:r>
            <w:r>
              <w:rPr>
                <w:rStyle w:val="IndexLink"/>
                <w:rtl w:val="true"/>
              </w:rPr>
              <w:tab/>
            </w:r>
            <w:r>
              <w:rPr>
                <w:rStyle w:val="IndexLink"/>
              </w:rPr>
              <w:t>517</w:t>
            </w:r>
          </w:hyperlink>
        </w:p>
        <w:p>
          <w:pPr>
            <w:pStyle w:val="Contents3"/>
            <w:tabs>
              <w:tab w:val="clear" w:pos="8459"/>
              <w:tab w:val="right" w:pos="9026" w:leader="dot"/>
            </w:tabs>
            <w:rPr/>
          </w:pPr>
          <w:hyperlink w:anchor="__RefHeading___Toc5797635_2870459653">
            <w:r>
              <w:rPr>
                <w:webHidden/>
                <w:rStyle w:val="IndexLink"/>
                <w:rtl w:val="true"/>
              </w:rPr>
              <w:t>الاستدلال على عدم وجوب الإذن من الإمام</w:t>
            </w:r>
            <w:r>
              <w:rPr>
                <w:rStyle w:val="IndexLink"/>
                <w:rtl w:val="true"/>
              </w:rPr>
              <w:tab/>
            </w:r>
            <w:r>
              <w:rPr>
                <w:rStyle w:val="IndexLink"/>
              </w:rPr>
              <w:t>519</w:t>
            </w:r>
          </w:hyperlink>
        </w:p>
        <w:p>
          <w:pPr>
            <w:pStyle w:val="Contents3"/>
            <w:tabs>
              <w:tab w:val="clear" w:pos="8459"/>
              <w:tab w:val="right" w:pos="9026" w:leader="dot"/>
            </w:tabs>
            <w:rPr/>
          </w:pPr>
          <w:hyperlink w:anchor="__RefHeading___Toc5797637_2870459653">
            <w:r>
              <w:rPr>
                <w:webHidden/>
                <w:rStyle w:val="IndexLink"/>
                <w:rtl w:val="true"/>
              </w:rPr>
              <w:t>هل يعتبر إذن جميع أولياء الدم إذا كان أكثر من واحد</w:t>
            </w:r>
            <w:r>
              <w:rPr>
                <w:rStyle w:val="IndexLink"/>
                <w:rtl w:val="true"/>
              </w:rPr>
              <w:tab/>
            </w:r>
            <w:r>
              <w:rPr>
                <w:rStyle w:val="IndexLink"/>
              </w:rPr>
              <w:t>521</w:t>
            </w:r>
          </w:hyperlink>
        </w:p>
        <w:p>
          <w:pPr>
            <w:pStyle w:val="Contents3"/>
            <w:tabs>
              <w:tab w:val="clear" w:pos="8459"/>
              <w:tab w:val="right" w:pos="9026" w:leader="dot"/>
            </w:tabs>
            <w:rPr/>
          </w:pPr>
          <w:hyperlink w:anchor="__RefHeading___Toc5797639_2870459653">
            <w:r>
              <w:rPr>
                <w:webHidden/>
                <w:rStyle w:val="IndexLink"/>
                <w:rtl w:val="true"/>
              </w:rPr>
              <w:t>القرعة في تزاحم الحقوق</w:t>
            </w:r>
            <w:r>
              <w:rPr>
                <w:rStyle w:val="IndexLink"/>
                <w:rtl w:val="true"/>
              </w:rPr>
              <w:tab/>
            </w:r>
            <w:r>
              <w:rPr>
                <w:rStyle w:val="IndexLink"/>
              </w:rPr>
              <w:t>529</w:t>
            </w:r>
          </w:hyperlink>
        </w:p>
        <w:p>
          <w:pPr>
            <w:pStyle w:val="Contents3"/>
            <w:tabs>
              <w:tab w:val="clear" w:pos="8459"/>
              <w:tab w:val="right" w:pos="9026" w:leader="dot"/>
            </w:tabs>
            <w:rPr/>
          </w:pPr>
          <w:hyperlink w:anchor="__RefHeading___Toc5797641_2870459653">
            <w:r>
              <w:rPr>
                <w:webHidden/>
                <w:rStyle w:val="IndexLink"/>
                <w:rtl w:val="true"/>
              </w:rPr>
              <w:t>عدم جواز استيفاء القصاص بالآلة الكالّة</w:t>
            </w:r>
            <w:r>
              <w:rPr>
                <w:rStyle w:val="IndexLink"/>
                <w:rtl w:val="true"/>
              </w:rPr>
              <w:tab/>
            </w:r>
            <w:r>
              <w:rPr>
                <w:rStyle w:val="IndexLink"/>
              </w:rPr>
              <w:t>533</w:t>
            </w:r>
          </w:hyperlink>
        </w:p>
        <w:p>
          <w:pPr>
            <w:pStyle w:val="Contents3"/>
            <w:tabs>
              <w:tab w:val="clear" w:pos="8459"/>
              <w:tab w:val="right" w:pos="9026" w:leader="dot"/>
            </w:tabs>
            <w:rPr/>
          </w:pPr>
          <w:hyperlink w:anchor="__RefHeading___Toc5797643_2870459653">
            <w:r>
              <w:rPr>
                <w:webHidden/>
                <w:rStyle w:val="IndexLink"/>
                <w:rtl w:val="true"/>
              </w:rPr>
              <w:t>استيفاء القصاص بالسيف والاستدلال عليه</w:t>
            </w:r>
            <w:r>
              <w:rPr>
                <w:rStyle w:val="IndexLink"/>
                <w:rtl w:val="true"/>
              </w:rPr>
              <w:tab/>
            </w:r>
            <w:r>
              <w:rPr>
                <w:rStyle w:val="IndexLink"/>
              </w:rPr>
              <w:t>534</w:t>
            </w:r>
          </w:hyperlink>
        </w:p>
        <w:p>
          <w:pPr>
            <w:pStyle w:val="Contents3"/>
            <w:tabs>
              <w:tab w:val="clear" w:pos="8459"/>
              <w:tab w:val="right" w:pos="9026" w:leader="dot"/>
            </w:tabs>
            <w:rPr/>
          </w:pPr>
          <w:hyperlink w:anchor="__RefHeading___Toc5797645_2870459653">
            <w:r>
              <w:rPr>
                <w:webHidden/>
                <w:rStyle w:val="IndexLink"/>
                <w:rtl w:val="true"/>
              </w:rPr>
              <w:t>عدم الضمان في قصاص الطرف مع السراية</w:t>
            </w:r>
            <w:r>
              <w:rPr>
                <w:rStyle w:val="IndexLink"/>
                <w:rtl w:val="true"/>
              </w:rPr>
              <w:tab/>
            </w:r>
            <w:r>
              <w:rPr>
                <w:rStyle w:val="IndexLink"/>
              </w:rPr>
              <w:t>542</w:t>
            </w:r>
          </w:hyperlink>
        </w:p>
        <w:p>
          <w:pPr>
            <w:pStyle w:val="Contents3"/>
            <w:tabs>
              <w:tab w:val="clear" w:pos="8459"/>
              <w:tab w:val="right" w:pos="9026" w:leader="dot"/>
            </w:tabs>
            <w:rPr/>
          </w:pPr>
          <w:hyperlink w:anchor="__RefHeading___Toc5797647_2870459653">
            <w:r>
              <w:rPr>
                <w:webHidden/>
                <w:rStyle w:val="IndexLink"/>
                <w:rtl w:val="true"/>
              </w:rPr>
              <w:t>جواز الاستيفاء مع غيبة بعض الأولياء</w:t>
            </w:r>
            <w:r>
              <w:rPr>
                <w:rStyle w:val="IndexLink"/>
                <w:rtl w:val="true"/>
              </w:rPr>
              <w:tab/>
            </w:r>
            <w:r>
              <w:rPr>
                <w:rStyle w:val="IndexLink"/>
              </w:rPr>
              <w:t>546</w:t>
            </w:r>
          </w:hyperlink>
        </w:p>
        <w:p>
          <w:pPr>
            <w:pStyle w:val="Contents3"/>
            <w:tabs>
              <w:tab w:val="clear" w:pos="8459"/>
              <w:tab w:val="right" w:pos="9026" w:leader="dot"/>
            </w:tabs>
            <w:rPr/>
          </w:pPr>
          <w:hyperlink w:anchor="__RefHeading___Toc5797649_2870459653">
            <w:r>
              <w:rPr>
                <w:webHidden/>
                <w:rStyle w:val="IndexLink"/>
                <w:rtl w:val="true"/>
              </w:rPr>
              <w:t>فيما إذا كان الوليّ صغيراً أو مجنوناً</w:t>
            </w:r>
            <w:r>
              <w:rPr>
                <w:rStyle w:val="IndexLink"/>
                <w:rtl w:val="true"/>
              </w:rPr>
              <w:tab/>
            </w:r>
            <w:r>
              <w:rPr>
                <w:rStyle w:val="IndexLink"/>
              </w:rPr>
              <w:t>548</w:t>
            </w:r>
          </w:hyperlink>
        </w:p>
        <w:p>
          <w:pPr>
            <w:pStyle w:val="Contents3"/>
            <w:tabs>
              <w:tab w:val="clear" w:pos="8459"/>
              <w:tab w:val="right" w:pos="9026" w:leader="dot"/>
            </w:tabs>
            <w:rPr/>
          </w:pPr>
          <w:hyperlink w:anchor="__RefHeading___Toc5797651_2870459653">
            <w:r>
              <w:rPr>
                <w:webHidden/>
                <w:rStyle w:val="IndexLink"/>
                <w:rtl w:val="true"/>
              </w:rPr>
              <w:t>اختيار بعض الأولياء الدية أو العفو</w:t>
            </w:r>
            <w:r>
              <w:rPr>
                <w:rStyle w:val="IndexLink"/>
                <w:rtl w:val="true"/>
              </w:rPr>
              <w:tab/>
            </w:r>
            <w:r>
              <w:rPr>
                <w:rStyle w:val="IndexLink"/>
              </w:rPr>
              <w:t>552</w:t>
            </w:r>
          </w:hyperlink>
        </w:p>
        <w:p>
          <w:pPr>
            <w:pStyle w:val="Contents3"/>
            <w:tabs>
              <w:tab w:val="clear" w:pos="8459"/>
              <w:tab w:val="right" w:pos="9026" w:leader="dot"/>
            </w:tabs>
            <w:rPr/>
          </w:pPr>
          <w:hyperlink w:anchor="__RefHeading___Toc5797653_2870459653">
            <w:r>
              <w:rPr>
                <w:webHidden/>
                <w:rStyle w:val="IndexLink"/>
                <w:rtl w:val="true"/>
              </w:rPr>
              <w:t>اشتراك الأب في قتل ولده مع الأجنبيّ</w:t>
            </w:r>
            <w:r>
              <w:rPr>
                <w:rStyle w:val="IndexLink"/>
                <w:rtl w:val="true"/>
              </w:rPr>
              <w:tab/>
            </w:r>
            <w:r>
              <w:rPr>
                <w:rStyle w:val="IndexLink"/>
              </w:rPr>
              <w:t>561</w:t>
            </w:r>
          </w:hyperlink>
        </w:p>
        <w:p>
          <w:pPr>
            <w:pStyle w:val="Contents3"/>
            <w:tabs>
              <w:tab w:val="clear" w:pos="8459"/>
              <w:tab w:val="right" w:pos="9026" w:leader="dot"/>
            </w:tabs>
            <w:rPr/>
          </w:pPr>
          <w:hyperlink w:anchor="__RefHeading___Toc5797655_2870459653">
            <w:r>
              <w:rPr>
                <w:webHidden/>
                <w:rStyle w:val="IndexLink"/>
                <w:rtl w:val="true"/>
              </w:rPr>
              <w:t>صرف الدية في ديون المقتول</w:t>
            </w:r>
            <w:r>
              <w:rPr>
                <w:rStyle w:val="IndexLink"/>
                <w:rtl w:val="true"/>
              </w:rPr>
              <w:tab/>
            </w:r>
            <w:r>
              <w:rPr>
                <w:rStyle w:val="IndexLink"/>
              </w:rPr>
              <w:t>563</w:t>
            </w:r>
          </w:hyperlink>
        </w:p>
        <w:p>
          <w:pPr>
            <w:pStyle w:val="Contents3"/>
            <w:tabs>
              <w:tab w:val="clear" w:pos="8459"/>
              <w:tab w:val="right" w:pos="9026" w:leader="dot"/>
            </w:tabs>
            <w:rPr/>
          </w:pPr>
          <w:hyperlink w:anchor="__RefHeading___Toc5797657_2870459653">
            <w:r>
              <w:rPr>
                <w:webHidden/>
                <w:rStyle w:val="IndexLink"/>
                <w:rtl w:val="true"/>
              </w:rPr>
              <w:t>استيفاء القصاص للمديون</w:t>
            </w:r>
            <w:r>
              <w:rPr>
                <w:rStyle w:val="IndexLink"/>
                <w:rtl w:val="true"/>
              </w:rPr>
              <w:tab/>
            </w:r>
            <w:r>
              <w:rPr>
                <w:rStyle w:val="IndexLink"/>
              </w:rPr>
              <w:t>567</w:t>
            </w:r>
          </w:hyperlink>
        </w:p>
        <w:p>
          <w:pPr>
            <w:pStyle w:val="Contents3"/>
            <w:tabs>
              <w:tab w:val="clear" w:pos="8459"/>
              <w:tab w:val="right" w:pos="9026" w:leader="dot"/>
            </w:tabs>
            <w:rPr/>
          </w:pPr>
          <w:hyperlink w:anchor="__RefHeading___Toc5797659_2870459653">
            <w:r>
              <w:rPr>
                <w:webHidden/>
                <w:rStyle w:val="IndexLink"/>
                <w:rtl w:val="true"/>
              </w:rPr>
              <w:t>تعدّد القتيل مع كون القاتل واحداً</w:t>
            </w:r>
            <w:r>
              <w:rPr>
                <w:rStyle w:val="IndexLink"/>
                <w:rtl w:val="true"/>
              </w:rPr>
              <w:tab/>
            </w:r>
            <w:r>
              <w:rPr>
                <w:rStyle w:val="IndexLink"/>
              </w:rPr>
              <w:t>573</w:t>
            </w:r>
          </w:hyperlink>
        </w:p>
        <w:p>
          <w:pPr>
            <w:pStyle w:val="Contents3"/>
            <w:tabs>
              <w:tab w:val="clear" w:pos="8459"/>
              <w:tab w:val="right" w:pos="9026" w:leader="dot"/>
            </w:tabs>
            <w:rPr/>
          </w:pPr>
          <w:hyperlink w:anchor="__RefHeading___Toc5797661_2870459653">
            <w:r>
              <w:rPr>
                <w:webHidden/>
                <w:rStyle w:val="IndexLink"/>
                <w:rtl w:val="true"/>
              </w:rPr>
              <w:t>التوكيل في استيفاء القصاص</w:t>
            </w:r>
            <w:r>
              <w:rPr>
                <w:rStyle w:val="IndexLink"/>
                <w:rtl w:val="true"/>
              </w:rPr>
              <w:tab/>
            </w:r>
            <w:r>
              <w:rPr>
                <w:rStyle w:val="IndexLink"/>
              </w:rPr>
              <w:t>582</w:t>
            </w:r>
          </w:hyperlink>
        </w:p>
        <w:p>
          <w:pPr>
            <w:pStyle w:val="Contents3"/>
            <w:tabs>
              <w:tab w:val="clear" w:pos="8459"/>
              <w:tab w:val="right" w:pos="9026" w:leader="dot"/>
            </w:tabs>
            <w:rPr/>
          </w:pPr>
          <w:hyperlink w:anchor="__RefHeading___Toc5797663_2870459653">
            <w:r>
              <w:rPr>
                <w:webHidden/>
                <w:rStyle w:val="IndexLink"/>
                <w:rtl w:val="true"/>
              </w:rPr>
              <w:t>عدم جواز الاقتصاص من الحامل</w:t>
            </w:r>
            <w:r>
              <w:rPr>
                <w:rStyle w:val="IndexLink"/>
                <w:rtl w:val="true"/>
              </w:rPr>
              <w:tab/>
            </w:r>
            <w:r>
              <w:rPr>
                <w:rStyle w:val="IndexLink"/>
              </w:rPr>
              <w:t>585</w:t>
            </w:r>
          </w:hyperlink>
        </w:p>
        <w:p>
          <w:pPr>
            <w:pStyle w:val="Contents3"/>
            <w:tabs>
              <w:tab w:val="clear" w:pos="8459"/>
              <w:tab w:val="right" w:pos="9026" w:leader="dot"/>
            </w:tabs>
            <w:rPr/>
          </w:pPr>
          <w:hyperlink w:anchor="__RefHeading___Toc5797665_2870459653">
            <w:r>
              <w:rPr>
                <w:webHidden/>
                <w:rStyle w:val="IndexLink"/>
                <w:rtl w:val="true"/>
              </w:rPr>
              <w:t>حكم ما لو قطع الجاني يد رجل ثمّ قتل آخر</w:t>
            </w:r>
            <w:r>
              <w:rPr>
                <w:rStyle w:val="IndexLink"/>
                <w:rtl w:val="true"/>
              </w:rPr>
              <w:tab/>
            </w:r>
            <w:r>
              <w:rPr>
                <w:rStyle w:val="IndexLink"/>
              </w:rPr>
              <w:t>588</w:t>
            </w:r>
          </w:hyperlink>
        </w:p>
        <w:p>
          <w:pPr>
            <w:pStyle w:val="Contents3"/>
            <w:tabs>
              <w:tab w:val="clear" w:pos="8459"/>
              <w:tab w:val="right" w:pos="9026" w:leader="dot"/>
            </w:tabs>
            <w:rPr/>
          </w:pPr>
          <w:hyperlink w:anchor="__RefHeading___Toc5797667_2870459653">
            <w:r>
              <w:rPr>
                <w:webHidden/>
                <w:rStyle w:val="IndexLink"/>
                <w:rtl w:val="true"/>
              </w:rPr>
              <w:t>سقوط القصاص بهلاك قاتل العمد</w:t>
            </w:r>
            <w:r>
              <w:rPr>
                <w:rStyle w:val="IndexLink"/>
                <w:rtl w:val="true"/>
              </w:rPr>
              <w:tab/>
            </w:r>
            <w:r>
              <w:rPr>
                <w:rStyle w:val="IndexLink"/>
              </w:rPr>
              <w:t>589</w:t>
            </w:r>
          </w:hyperlink>
        </w:p>
        <w:p>
          <w:pPr>
            <w:pStyle w:val="Contents3"/>
            <w:tabs>
              <w:tab w:val="clear" w:pos="8459"/>
              <w:tab w:val="right" w:pos="9026" w:leader="dot"/>
            </w:tabs>
            <w:rPr/>
          </w:pPr>
          <w:hyperlink w:anchor="__RefHeading___Toc5797669_2870459653">
            <w:r>
              <w:rPr>
                <w:webHidden/>
                <w:rStyle w:val="IndexLink"/>
                <w:rtl w:val="true"/>
              </w:rPr>
              <w:t>هل تسقط الدية بهلاك قاتل العمد؟</w:t>
            </w:r>
            <w:r>
              <w:rPr>
                <w:rStyle w:val="IndexLink"/>
                <w:rtl w:val="true"/>
              </w:rPr>
              <w:tab/>
            </w:r>
            <w:r>
              <w:rPr>
                <w:rStyle w:val="IndexLink"/>
              </w:rPr>
              <w:t>589</w:t>
            </w:r>
          </w:hyperlink>
        </w:p>
        <w:p>
          <w:pPr>
            <w:pStyle w:val="Contents3"/>
            <w:tabs>
              <w:tab w:val="clear" w:pos="8459"/>
              <w:tab w:val="right" w:pos="9026" w:leader="dot"/>
            </w:tabs>
            <w:rPr/>
          </w:pPr>
          <w:hyperlink w:anchor="__RefHeading___Toc5797671_2870459653">
            <w:r>
              <w:rPr>
                <w:webHidden/>
                <w:rStyle w:val="IndexLink"/>
                <w:rtl w:val="true"/>
              </w:rPr>
              <w:t>ثبوت الدية مع موت القاتل الهارب</w:t>
            </w:r>
            <w:r>
              <w:rPr>
                <w:rStyle w:val="IndexLink"/>
                <w:rtl w:val="true"/>
              </w:rPr>
              <w:tab/>
            </w:r>
            <w:r>
              <w:rPr>
                <w:rStyle w:val="IndexLink"/>
              </w:rPr>
              <w:t>593</w:t>
            </w:r>
          </w:hyperlink>
        </w:p>
        <w:p>
          <w:pPr>
            <w:pStyle w:val="Contents3"/>
            <w:tabs>
              <w:tab w:val="clear" w:pos="8459"/>
              <w:tab w:val="right" w:pos="9026" w:leader="dot"/>
            </w:tabs>
            <w:rPr/>
          </w:pPr>
          <w:hyperlink w:anchor="__RefHeading___Toc5797673_2870459653">
            <w:r>
              <w:rPr>
                <w:webHidden/>
                <w:rStyle w:val="IndexLink"/>
                <w:rtl w:val="true"/>
              </w:rPr>
              <w:t>حكم ما لو برئ الجاني من ضربة وليّ الدم</w:t>
            </w:r>
            <w:r>
              <w:rPr>
                <w:rStyle w:val="IndexLink"/>
                <w:rtl w:val="true"/>
              </w:rPr>
              <w:tab/>
            </w:r>
            <w:r>
              <w:rPr>
                <w:rStyle w:val="IndexLink"/>
              </w:rPr>
              <w:t>600</w:t>
            </w:r>
          </w:hyperlink>
        </w:p>
        <w:p>
          <w:pPr>
            <w:pStyle w:val="Contents3"/>
            <w:tabs>
              <w:tab w:val="clear" w:pos="8459"/>
              <w:tab w:val="right" w:pos="9026" w:leader="dot"/>
            </w:tabs>
            <w:rPr/>
          </w:pPr>
          <w:hyperlink w:anchor="__RefHeading___Toc5797675_2870459653">
            <w:r>
              <w:rPr>
                <w:webHidden/>
                <w:rStyle w:val="IndexLink"/>
                <w:rtl w:val="true"/>
              </w:rPr>
              <w:t>حكم قصاص قتل الكامل الناقص</w:t>
            </w:r>
            <w:r>
              <w:rPr>
                <w:rStyle w:val="IndexLink"/>
                <w:rtl w:val="true"/>
              </w:rPr>
              <w:tab/>
            </w:r>
            <w:r>
              <w:rPr>
                <w:rStyle w:val="IndexLink"/>
              </w:rPr>
              <w:t>606</w:t>
            </w:r>
          </w:hyperlink>
        </w:p>
        <w:p>
          <w:pPr>
            <w:pStyle w:val="Contents3"/>
            <w:tabs>
              <w:tab w:val="clear" w:pos="8459"/>
              <w:tab w:val="right" w:pos="9026" w:leader="dot"/>
            </w:tabs>
            <w:rPr/>
          </w:pPr>
          <w:hyperlink w:anchor="__RefHeading___Toc5797677_2870459653">
            <w:r>
              <w:rPr>
                <w:webHidden/>
                <w:rStyle w:val="IndexLink"/>
                <w:rtl w:val="true"/>
              </w:rPr>
              <w:t>قطع كفّ الجاني مع كون كفّ المجنيّ عليه بغير أصابع</w:t>
            </w:r>
            <w:r>
              <w:rPr>
                <w:rStyle w:val="IndexLink"/>
                <w:rtl w:val="true"/>
              </w:rPr>
              <w:tab/>
            </w:r>
            <w:r>
              <w:rPr>
                <w:rStyle w:val="IndexLink"/>
              </w:rPr>
              <w:t>612</w:t>
            </w:r>
          </w:hyperlink>
        </w:p>
        <w:p>
          <w:pPr>
            <w:pStyle w:val="Contents2"/>
            <w:tabs>
              <w:tab w:val="clear" w:pos="8743"/>
              <w:tab w:val="right" w:pos="9026" w:leader="dot"/>
            </w:tabs>
            <w:rPr/>
          </w:pPr>
          <w:hyperlink w:anchor="__RefHeading___Toc5797679_2870459653">
            <w:r>
              <w:rPr>
                <w:webHidden/>
                <w:rStyle w:val="IndexLink"/>
                <w:rtl w:val="true"/>
              </w:rPr>
              <w:t xml:space="preserve">القسم الثاني </w:t>
            </w:r>
            <w:r>
              <w:rPr>
                <w:rStyle w:val="IndexLink"/>
                <w:rtl w:val="true"/>
              </w:rPr>
              <w:t xml:space="preserve">: </w:t>
            </w:r>
            <w:r>
              <w:rPr>
                <w:rStyle w:val="IndexLink"/>
                <w:rtl w:val="true"/>
              </w:rPr>
              <w:t>في قصاص ما دون النفس</w:t>
            </w:r>
            <w:r>
              <w:rPr>
                <w:rStyle w:val="IndexLink"/>
                <w:rtl w:val="true"/>
              </w:rPr>
              <w:tab/>
            </w:r>
            <w:r>
              <w:rPr>
                <w:rStyle w:val="IndexLink"/>
              </w:rPr>
              <w:t>617</w:t>
            </w:r>
          </w:hyperlink>
        </w:p>
        <w:p>
          <w:pPr>
            <w:pStyle w:val="Contents2"/>
            <w:tabs>
              <w:tab w:val="clear" w:pos="8743"/>
              <w:tab w:val="right" w:pos="9026" w:leader="dot"/>
            </w:tabs>
            <w:rPr/>
          </w:pPr>
          <w:hyperlink w:anchor="__RefHeading___Toc5797681_2870459653">
            <w:r>
              <w:rPr>
                <w:webHidden/>
                <w:rStyle w:val="IndexLink"/>
                <w:rtl w:val="true"/>
              </w:rPr>
              <w:t xml:space="preserve">القسم الثاني </w:t>
            </w:r>
            <w:r>
              <w:rPr>
                <w:rStyle w:val="IndexLink"/>
                <w:rtl w:val="true"/>
              </w:rPr>
              <w:t xml:space="preserve">: </w:t>
            </w:r>
            <w:r>
              <w:rPr>
                <w:rStyle w:val="IndexLink"/>
                <w:rtl w:val="true"/>
              </w:rPr>
              <w:t>في قصاص ما دون النفس</w:t>
            </w:r>
            <w:r>
              <w:rPr>
                <w:rStyle w:val="IndexLink"/>
                <w:rtl w:val="true"/>
              </w:rPr>
              <w:tab/>
            </w:r>
            <w:r>
              <w:rPr>
                <w:rStyle w:val="IndexLink"/>
              </w:rPr>
              <w:t>619</w:t>
            </w:r>
          </w:hyperlink>
        </w:p>
        <w:p>
          <w:pPr>
            <w:pStyle w:val="Contents2"/>
            <w:tabs>
              <w:tab w:val="clear" w:pos="8743"/>
              <w:tab w:val="right" w:pos="9026" w:leader="dot"/>
            </w:tabs>
            <w:rPr/>
          </w:pPr>
          <w:hyperlink w:anchor="__RefHeading___Toc5797683_2870459653">
            <w:r>
              <w:rPr>
                <w:webHidden/>
                <w:rStyle w:val="IndexLink"/>
                <w:rtl w:val="true"/>
              </w:rPr>
              <w:t>قصاص الطرف</w:t>
            </w:r>
            <w:r>
              <w:rPr>
                <w:rStyle w:val="IndexLink"/>
                <w:rtl w:val="true"/>
              </w:rPr>
              <w:tab/>
            </w:r>
            <w:r>
              <w:rPr>
                <w:rStyle w:val="IndexLink"/>
              </w:rPr>
              <w:t>619</w:t>
            </w:r>
          </w:hyperlink>
        </w:p>
        <w:p>
          <w:pPr>
            <w:pStyle w:val="Contents2"/>
            <w:tabs>
              <w:tab w:val="clear" w:pos="8743"/>
              <w:tab w:val="right" w:pos="9026" w:leader="dot"/>
            </w:tabs>
            <w:rPr/>
          </w:pPr>
          <w:hyperlink w:anchor="__RefHeading___Toc5797685_2870459653">
            <w:r>
              <w:rPr>
                <w:webHidden/>
                <w:rStyle w:val="IndexLink"/>
                <w:rtl w:val="true"/>
              </w:rPr>
              <w:t>فيما يشترط في قصاص الطرف</w:t>
            </w:r>
            <w:r>
              <w:rPr>
                <w:rStyle w:val="IndexLink"/>
                <w:rtl w:val="true"/>
              </w:rPr>
              <w:tab/>
            </w:r>
            <w:r>
              <w:rPr>
                <w:rStyle w:val="IndexLink"/>
              </w:rPr>
              <w:t>620</w:t>
            </w:r>
          </w:hyperlink>
        </w:p>
        <w:p>
          <w:pPr>
            <w:pStyle w:val="Contents2"/>
            <w:tabs>
              <w:tab w:val="clear" w:pos="8743"/>
              <w:tab w:val="right" w:pos="9026" w:leader="dot"/>
            </w:tabs>
            <w:rPr/>
          </w:pPr>
          <w:hyperlink w:anchor="__RefHeading___Toc5797687_2870459653">
            <w:r>
              <w:rPr>
                <w:webHidden/>
                <w:rStyle w:val="IndexLink"/>
                <w:rtl w:val="true"/>
              </w:rPr>
              <w:t>قصاص الطرف للرجل من الرجل ومن المرأة</w:t>
            </w:r>
            <w:r>
              <w:rPr>
                <w:rStyle w:val="IndexLink"/>
                <w:rtl w:val="true"/>
              </w:rPr>
              <w:tab/>
            </w:r>
            <w:r>
              <w:rPr>
                <w:rStyle w:val="IndexLink"/>
              </w:rPr>
              <w:t>622</w:t>
            </w:r>
          </w:hyperlink>
        </w:p>
        <w:p>
          <w:pPr>
            <w:pStyle w:val="Contents2"/>
            <w:tabs>
              <w:tab w:val="clear" w:pos="8743"/>
              <w:tab w:val="right" w:pos="9026" w:leader="dot"/>
            </w:tabs>
            <w:rPr/>
          </w:pPr>
          <w:hyperlink w:anchor="__RefHeading___Toc5797689_2870459653">
            <w:r>
              <w:rPr>
                <w:webHidden/>
                <w:rStyle w:val="IndexLink"/>
                <w:rtl w:val="true"/>
              </w:rPr>
              <w:t>التساوي في السلامة من الشلل</w:t>
            </w:r>
            <w:r>
              <w:rPr>
                <w:rStyle w:val="IndexLink"/>
                <w:rtl w:val="true"/>
              </w:rPr>
              <w:tab/>
            </w:r>
            <w:r>
              <w:rPr>
                <w:rStyle w:val="IndexLink"/>
              </w:rPr>
              <w:t>633</w:t>
            </w:r>
          </w:hyperlink>
        </w:p>
        <w:p>
          <w:pPr>
            <w:pStyle w:val="Contents2"/>
            <w:tabs>
              <w:tab w:val="clear" w:pos="8743"/>
              <w:tab w:val="right" w:pos="9026" w:leader="dot"/>
            </w:tabs>
            <w:rPr/>
          </w:pPr>
          <w:hyperlink w:anchor="__RefHeading___Toc5797691_2870459653">
            <w:r>
              <w:rPr>
                <w:webHidden/>
                <w:rStyle w:val="IndexLink"/>
                <w:rtl w:val="true"/>
              </w:rPr>
              <w:t>اعتبار التساوي في المحلّ</w:t>
            </w:r>
            <w:r>
              <w:rPr>
                <w:rStyle w:val="IndexLink"/>
                <w:rtl w:val="true"/>
              </w:rPr>
              <w:tab/>
            </w:r>
            <w:r>
              <w:rPr>
                <w:rStyle w:val="IndexLink"/>
              </w:rPr>
              <w:t>641</w:t>
            </w:r>
          </w:hyperlink>
        </w:p>
        <w:p>
          <w:pPr>
            <w:pStyle w:val="Contents2"/>
            <w:tabs>
              <w:tab w:val="clear" w:pos="8743"/>
              <w:tab w:val="right" w:pos="9026" w:leader="dot"/>
            </w:tabs>
            <w:rPr/>
          </w:pPr>
          <w:hyperlink w:anchor="__RefHeading___Toc5797693_2870459653">
            <w:r>
              <w:rPr>
                <w:webHidden/>
                <w:rStyle w:val="IndexLink"/>
                <w:rtl w:val="true"/>
              </w:rPr>
              <w:t>قصاص عين الأعور</w:t>
            </w:r>
            <w:r>
              <w:rPr>
                <w:rStyle w:val="IndexLink"/>
                <w:rtl w:val="true"/>
              </w:rPr>
              <w:tab/>
            </w:r>
            <w:r>
              <w:rPr>
                <w:rStyle w:val="IndexLink"/>
              </w:rPr>
              <w:t>656</w:t>
            </w:r>
          </w:hyperlink>
        </w:p>
        <w:p>
          <w:pPr>
            <w:pStyle w:val="Contents2"/>
            <w:tabs>
              <w:tab w:val="clear" w:pos="8743"/>
              <w:tab w:val="right" w:pos="9026" w:leader="dot"/>
            </w:tabs>
            <w:rPr/>
          </w:pPr>
          <w:hyperlink w:anchor="__RefHeading___Toc5797695_2870459653">
            <w:r>
              <w:rPr>
                <w:webHidden/>
                <w:rStyle w:val="IndexLink"/>
                <w:rtl w:val="true"/>
              </w:rPr>
              <w:t>عدم القصاص في العين العمياء القائمة</w:t>
            </w:r>
            <w:r>
              <w:rPr>
                <w:rStyle w:val="IndexLink"/>
                <w:rtl w:val="true"/>
              </w:rPr>
              <w:tab/>
            </w:r>
            <w:r>
              <w:rPr>
                <w:rStyle w:val="IndexLink"/>
              </w:rPr>
              <w:t>662</w:t>
            </w:r>
          </w:hyperlink>
        </w:p>
        <w:p>
          <w:pPr>
            <w:pStyle w:val="Contents2"/>
            <w:tabs>
              <w:tab w:val="clear" w:pos="8743"/>
              <w:tab w:val="right" w:pos="9026" w:leader="dot"/>
            </w:tabs>
            <w:rPr/>
          </w:pPr>
          <w:hyperlink w:anchor="__RefHeading___Toc5797697_2870459653">
            <w:r>
              <w:rPr>
                <w:webHidden/>
                <w:rStyle w:val="IndexLink"/>
                <w:rtl w:val="true"/>
              </w:rPr>
              <w:t>كيفيّة القصاص في إذهاب ضوء العين</w:t>
            </w:r>
            <w:r>
              <w:rPr>
                <w:rStyle w:val="IndexLink"/>
                <w:rtl w:val="true"/>
              </w:rPr>
              <w:tab/>
            </w:r>
            <w:r>
              <w:rPr>
                <w:rStyle w:val="IndexLink"/>
              </w:rPr>
              <w:t>664</w:t>
            </w:r>
          </w:hyperlink>
        </w:p>
        <w:p>
          <w:pPr>
            <w:pStyle w:val="Contents2"/>
            <w:tabs>
              <w:tab w:val="clear" w:pos="8743"/>
              <w:tab w:val="right" w:pos="9026" w:leader="dot"/>
            </w:tabs>
            <w:rPr/>
          </w:pPr>
          <w:hyperlink w:anchor="__RefHeading___Toc5797699_2870459653">
            <w:r>
              <w:rPr>
                <w:webHidden/>
                <w:rStyle w:val="IndexLink"/>
                <w:rtl w:val="true"/>
              </w:rPr>
              <w:t>حكم تفاوت العضو في الجاني والمجنيّ عليه</w:t>
            </w:r>
            <w:r>
              <w:rPr>
                <w:rStyle w:val="IndexLink"/>
                <w:rtl w:val="true"/>
              </w:rPr>
              <w:tab/>
            </w:r>
            <w:r>
              <w:rPr>
                <w:rStyle w:val="IndexLink"/>
              </w:rPr>
              <w:t>670</w:t>
            </w:r>
          </w:hyperlink>
        </w:p>
        <w:p>
          <w:pPr>
            <w:pStyle w:val="Contents2"/>
            <w:tabs>
              <w:tab w:val="clear" w:pos="8743"/>
              <w:tab w:val="right" w:pos="9026" w:leader="dot"/>
            </w:tabs>
            <w:rPr/>
          </w:pPr>
          <w:hyperlink w:anchor="__RefHeading___Toc5797701_2870459653">
            <w:r>
              <w:rPr>
                <w:webHidden/>
                <w:rStyle w:val="IndexLink"/>
                <w:rtl w:val="true"/>
              </w:rPr>
              <w:t>سراية قطع الإصبع إلى الكفّ</w:t>
            </w:r>
            <w:r>
              <w:rPr>
                <w:rStyle w:val="IndexLink"/>
                <w:rtl w:val="true"/>
              </w:rPr>
              <w:tab/>
            </w:r>
            <w:r>
              <w:rPr>
                <w:rStyle w:val="IndexLink"/>
              </w:rPr>
              <w:t>673</w:t>
            </w:r>
          </w:hyperlink>
        </w:p>
        <w:p>
          <w:pPr>
            <w:pStyle w:val="Contents2"/>
            <w:tabs>
              <w:tab w:val="clear" w:pos="8743"/>
              <w:tab w:val="right" w:pos="9026" w:leader="dot"/>
            </w:tabs>
            <w:rPr/>
          </w:pPr>
          <w:hyperlink w:anchor="__RefHeading___Toc5797703_2870459653">
            <w:r>
              <w:rPr>
                <w:webHidden/>
                <w:rStyle w:val="IndexLink"/>
                <w:rtl w:val="true"/>
              </w:rPr>
              <w:t>في عفو المجنيّ عليه</w:t>
            </w:r>
            <w:r>
              <w:rPr>
                <w:rStyle w:val="IndexLink"/>
                <w:rtl w:val="true"/>
              </w:rPr>
              <w:tab/>
            </w:r>
            <w:r>
              <w:rPr>
                <w:rStyle w:val="IndexLink"/>
              </w:rPr>
              <w:t>678</w:t>
            </w:r>
          </w:hyperlink>
        </w:p>
        <w:p>
          <w:pPr>
            <w:pStyle w:val="Contents2"/>
            <w:tabs>
              <w:tab w:val="clear" w:pos="8743"/>
              <w:tab w:val="right" w:pos="9026" w:leader="dot"/>
            </w:tabs>
            <w:rPr/>
          </w:pPr>
          <w:hyperlink w:anchor="__RefHeading___Toc5797705_2870459653">
            <w:r>
              <w:rPr>
                <w:webHidden/>
                <w:rStyle w:val="IndexLink"/>
                <w:rtl w:val="true"/>
              </w:rPr>
              <w:t>مصادر التحقيق</w:t>
            </w:r>
            <w:r>
              <w:rPr>
                <w:rStyle w:val="IndexLink"/>
                <w:rtl w:val="true"/>
              </w:rPr>
              <w:tab/>
            </w:r>
            <w:r>
              <w:rPr>
                <w:rStyle w:val="IndexLink"/>
              </w:rPr>
              <w:t>683</w:t>
            </w:r>
          </w:hyperlink>
        </w:p>
        <w:p>
          <w:pPr>
            <w:pStyle w:val="Contents2"/>
            <w:tabs>
              <w:tab w:val="clear" w:pos="8743"/>
              <w:tab w:val="right" w:pos="9026" w:leader="dot"/>
            </w:tabs>
            <w:rPr/>
          </w:pPr>
          <w:hyperlink w:anchor="__RefHeading___Toc5797707_2870459653">
            <w:r>
              <w:rPr>
                <w:webHidden/>
                <w:rStyle w:val="IndexLink"/>
                <w:rtl w:val="true"/>
              </w:rPr>
              <w:t>فهرس المطالب</w:t>
            </w:r>
            <w:r>
              <w:rPr>
                <w:rStyle w:val="IndexLink"/>
                <w:rtl w:val="true"/>
              </w:rPr>
              <w:tab/>
            </w:r>
            <w:r>
              <w:rPr>
                <w:rStyle w:val="IndexLink"/>
              </w:rPr>
              <w:t>697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28_72119"/>
      <w:bookmarkStart w:id="1" w:name="pg9428_72119"/>
      <w:bookmarkEnd w:id="1"/>
    </w:p>
    <w:p>
      <w:pPr>
        <w:pStyle w:val="Heading2"/>
        <w:numPr>
          <w:ilvl w:val="1"/>
          <w:numId w:val="1"/>
        </w:numPr>
        <w:rPr/>
      </w:pPr>
      <w:bookmarkStart w:id="2" w:name="pg9428_72119"/>
      <w:bookmarkStart w:id="3" w:name="__RefHeading___Toc5797401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صانعی، یوسف،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Saanei Yusuf</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فقه‌الثقلین فی شرح تحریرالوسیلة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یوسف الصانعی؛ تحقیق موسّسة فقه‌الثقلین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فقه‌الثقلین،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9786229473405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الله، رهبرانقلاب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Times New Roman" w:cs="Times New Roman" w:ascii="Times New Roman" w:hAnsi="Times New Roman"/>
          <w:color w:val="111111"/>
          <w:sz w:val="28"/>
          <w:szCs w:val="28"/>
          <w:lang w:val="en-US" w:bidi="en-US"/>
        </w:rPr>
        <w:t>Islamic law Ja`fari – Handbooks manuals etc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Lex talionis (Islamic law)</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9/183</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3422/297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8860756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97403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منشورات فقه الثقلين</w:t>
      </w:r>
    </w:p>
    <w:p>
      <w:pPr>
        <w:pStyle w:val="BookText"/>
        <w:rPr/>
      </w:pPr>
      <w:r>
        <w:rPr>
          <w:rFonts w:ascii="IRNazanin" w:hAnsi="IRNazanin" w:eastAsia="IRNazanin"/>
          <w:color w:val="111111"/>
          <w:sz w:val="28"/>
          <w:sz w:val="28"/>
          <w:szCs w:val="28"/>
          <w:rtl w:val="true"/>
          <w:lang w:bidi="fa-IR"/>
        </w:rPr>
        <w:t xml:space="preserve">فقه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سماحة آیة الله العظمی الشیخ یوسف الصانعي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فقه الثقلين</w:t>
      </w:r>
    </w:p>
    <w:p>
      <w:pPr>
        <w:pStyle w:val="BookText"/>
        <w:rPr/>
      </w:pPr>
      <w:r>
        <w:rPr>
          <w:rFonts w:ascii="Amiri" w:hAnsi="Amiri" w:eastAsia="Amiri" w:cs="Amiri"/>
          <w:color w:val="111111"/>
          <w:sz w:val="28"/>
          <w:sz w:val="28"/>
          <w:szCs w:val="28"/>
          <w:rtl w:val="true"/>
          <w:lang w:bidi="ar-SA"/>
        </w:rPr>
        <w:t>ليتوقرافي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النويس ■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الزمزم</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IRNazanin" w:hAnsi="IRNazanin" w:eastAsia="IRNazanin"/>
          <w:color w:val="111111"/>
          <w:sz w:val="28"/>
          <w:sz w:val="28"/>
          <w:szCs w:val="28"/>
          <w:rtl w:val="true"/>
          <w:lang w:bidi="fa-IR"/>
        </w:rPr>
        <w:t>جمیع حقوق الطبع والنشر محفوظة للناشر</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فندق الصفاء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 للمنشورات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الفرع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الفرع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37835090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37835091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البرید</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37185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www.feqh.ir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الموقع الإکتروني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info@feqh.ir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فقه الثقلين</w:t>
      </w:r>
    </w:p>
    <w:p>
      <w:pPr>
        <w:pStyle w:val="BookText"/>
        <w:rPr/>
      </w:pPr>
      <w:r>
        <w:rPr>
          <w:rFonts w:ascii="IRNazanin" w:hAnsi="IRNazanin" w:eastAsia="IRNazanin"/>
          <w:color w:val="111111"/>
          <w:sz w:val="28"/>
          <w:sz w:val="28"/>
          <w:szCs w:val="28"/>
          <w:rtl w:val="true"/>
          <w:lang w:bidi="fa-IR"/>
        </w:rPr>
        <w:t>کتاب القصاص</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 xml:space="preserve">آیة الله العظمی الشیخ یوسف الصانعي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شرح تحریرالوسیلة</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موسّسة فقه‌الثقلین الثقافیة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فقه الثقلين الثقافية </w:t>
      </w:r>
      <w:bookmarkStart w:id="7" w:name="pg9428_72123"/>
    </w:p>
    <w:p>
      <w:pPr>
        <w:pStyle w:val="Heading2"/>
        <w:numPr>
          <w:ilvl w:val="1"/>
          <w:numId w:val="1"/>
        </w:numPr>
        <w:rPr/>
      </w:pPr>
      <w:bookmarkStart w:id="8" w:name="__RefHeading___Toc5797405_2870459653"/>
      <w:bookmarkStart w:id="9" w:name="_Toc3"/>
      <w:bookmarkEnd w:id="7"/>
      <w:bookmarkEnd w:id="8"/>
      <w:r>
        <w:rPr>
          <w:rtl w:val="true"/>
        </w:rPr>
        <w:t>دلیل الکتاب</w:t>
      </w:r>
      <w:bookmarkEnd w:id="9"/>
    </w:p>
    <w:p>
      <w:pPr>
        <w:pStyle w:val="BookText"/>
        <w:rPr/>
      </w:pPr>
      <w:r>
        <w:rPr>
          <w:rFonts w:ascii="Amiri" w:hAnsi="Amiri" w:eastAsia="Amiri" w:cs="Amiri"/>
          <w:color w:val="111111"/>
          <w:sz w:val="28"/>
          <w:sz w:val="28"/>
          <w:szCs w:val="28"/>
          <w:rtl w:val="true"/>
          <w:lang w:bidi="ar-SA"/>
        </w:rPr>
        <w:t xml:space="preserve">كتاب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قصاص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القول في الموجب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القول في الشرائط المعتبرة في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القول فيما يثبت به القود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كمّيّة القسامة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أحكامها القسامة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القول في كيفيّة الاستيفاء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قصاص ما دون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428_72125"/>
      <w:bookmarkStart w:id="11" w:name="pg9428_72125"/>
      <w:bookmarkEnd w:id="11"/>
    </w:p>
    <w:p>
      <w:pPr>
        <w:pStyle w:val="Heading2"/>
        <w:numPr>
          <w:ilvl w:val="1"/>
          <w:numId w:val="1"/>
        </w:numPr>
        <w:rPr/>
      </w:pPr>
      <w:bookmarkStart w:id="12" w:name="pg9428_72125"/>
      <w:bookmarkStart w:id="13" w:name="__RefHeading___Toc5797407_2870459653"/>
      <w:bookmarkStart w:id="14" w:name="_Toc4"/>
      <w:bookmarkEnd w:id="12"/>
      <w:bookmarkEnd w:id="13"/>
      <w:r>
        <w:rPr>
          <w:rtl w:val="true"/>
        </w:rPr>
        <w:t>مقدّمة التحقيق</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ثمّ إنّ من أحسن الكتب الفقهية التي أُلَّفت أخيراً هو كتاب تحرير الوسيلة الذي ألَّفه الفقيه النحرير، العالم بزمانه، الذي كان من أعلم فقهاء العصر، السيّد الأُستاذ الإمام آية الله العظمى الحاج السيّد روح الله الخميني تغمّده الله برحمته ورضوانه، فإنّه جدّاً من أحسن المتون الفتوائية الجامعة لأهمّ المسائل الفقهية من الطهارة إلى آخر الديات، بل وهو حاوٍ لمسائل جديدة مستحدثة، فتح بها باب ورود الفقيه في هذه المسائل المستحدثة، فإنّ فقهنا الإمامي الاثني عشري فقه تامّ عامّ، لاستقائه من ينابيع كلمات العترة الطاهرة التي تركها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لأُمّته، وهي أعظم الثقلين اللذين هما كتاب الله وعترته، صلوات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حاز هذا الکتاب من الأهمّية شأناً عظيماً بحيث ما زال محور للتحقيق والاجتهاد، الذي عكف العلماء والفضلاء على تدريسه، وشرحه، والتعليق عليه، وتوضيح غوامضه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ونظراً إلى أهمّية هذا الكتاب، وضرورة نشره على مختلف المستوياتوالأصعدة؛ قام الفقيه المدقّق آیة الله العظمی الشيخ يوسف الصانعي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p>
    <w:p>
      <w:pPr>
        <w:pStyle w:val="BookText"/>
        <w:rPr/>
      </w:pPr>
      <w:r>
        <w:rPr>
          <w:rFonts w:ascii="IRNazanin" w:hAnsi="IRNazanin" w:eastAsia="IRNazanin"/>
          <w:color w:val="111111"/>
          <w:sz w:val="28"/>
          <w:sz w:val="28"/>
          <w:szCs w:val="28"/>
          <w:rtl w:val="true"/>
          <w:lang w:bidi="fa-IR"/>
        </w:rPr>
        <w:t>الله نفسه الزکيّة وحشره مع أولیائه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بتدريسه، ثمّ ألّف بعض مباحثه ناظراً إلی آراء المحقّقين من الفقهاء وأنظارهم والنقض والإبرام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ويعدّ الكتاب الذي بين يديك، واحداً من هذه المباحث الضخمة التي تروم مؤسّسة فقه الثقلین طبعها، وهو شرح لمباحث القصاص من 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تعالی أن یحشر مؤلّفه مع موالیه الطاهرین وتغمّده الله بغفرانه، وأسکنه فرادیس جنانه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والجدير بالذكر أنّه قد طبع هذا الأثر مرّة في حیاته؛ بهمّة مؤسّسة تنظیم ونشر آثار الإمام الخمیني، ومن المناسب أن نحیي هذا التراث الفخم من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تصدّت مؤسّسة فقه الثقلین بهذه الطبعة الحديثة بعد مقابلته مع الطبعة الأُولی وملاحظة تحقيقه السابق واستخراج منابعه وتنظيم فهرس فنّية له، ونشره بهذه الصورة الأنيقة، مع التحاق بعض الحواشي من التعلیقة علی تحریر الوسيلة من کتاب قصاصه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منهجنا في تحقيق الكتاب فهو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تسهيلاًً لمراجعة القرّاء الكرام أثبتنا المتن في صدر الصفحة وذكرنا شرحها في ذيلها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استخرجنا کلّ ما یحتاجه المتن والشرح، کالآیات القرآنیة الکریمة، والروایات النبويّة والأحاديث الشريفة عن أئمّة أهلالبيت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المصادر الرئیسة المعتمدة علیها علماء المسلمین، مع ضمّ کتاب وسائل الشيعة المطبوع في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لتسهیل المراجعة إلی الرواية، وکذا تخريج الأقوال الفقهية التي أوردها المعظّم له واستدلّ بها أو ناقشها أثناء بحثه في مسائل الکتاب، وکذا مراعاة فنّية الترقيم والتنقيط ووضع العناوين المقتبسة من </w:t>
      </w:r>
    </w:p>
    <w:p>
      <w:pPr>
        <w:pStyle w:val="BookText"/>
        <w:rPr/>
      </w:pPr>
      <w:r>
        <w:rPr>
          <w:rFonts w:ascii="IRNazanin" w:hAnsi="IRNazanin" w:eastAsia="IRNazanin"/>
          <w:color w:val="111111"/>
          <w:sz w:val="28"/>
          <w:sz w:val="28"/>
          <w:szCs w:val="28"/>
          <w:rtl w:val="true"/>
          <w:lang w:bidi="fa-IR"/>
        </w:rPr>
        <w:t>موضوعات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الختام تتقدّم المؤسّسة بالشكر الجزيل والثناء العاطر إلى كلّ الإخوة الفضلاء الذين ساهموا في تحقيق هذا الكتاب راجيةً لهم التسديد والموفّقية في خدمة ديننا الحنيف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مؤسّسة فقه الثقلین</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فخرالدین الصانعي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428_72129"/>
      <w:bookmarkStart w:id="16" w:name="pg9428_72129"/>
      <w:bookmarkEnd w:id="16"/>
    </w:p>
    <w:p>
      <w:pPr>
        <w:pStyle w:val="Heading2"/>
        <w:numPr>
          <w:ilvl w:val="1"/>
          <w:numId w:val="1"/>
        </w:numPr>
        <w:rPr/>
      </w:pPr>
      <w:bookmarkStart w:id="17" w:name="pg9428_72129"/>
      <w:bookmarkStart w:id="18" w:name="__RefHeading___Toc5797409_2870459653"/>
      <w:bookmarkStart w:id="19" w:name="_Toc5"/>
      <w:bookmarkEnd w:id="17"/>
      <w:bookmarkEnd w:id="18"/>
      <w:r>
        <w:rPr>
          <w:rtl w:val="true"/>
        </w:rPr>
        <w:t>مقدّمة المؤلّف</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علّم بالقلم، علّم الإنسان ما لم يعلم وفضّله على بقيّة الأنام بفضيلة الكرم وسلام الله التامّ الدائم الشامل وصلواته الزاكية النامية وصلوات جميع أنبيائه وأوصيائهم وجميع الصالحين والملائكة المقرّبين على نبيّه المكرّم ورسوله الخاتم، المبعوث في الأُميّين ليتلو عليهم آياته ويزكّيهم ويعلّمهم الكتاب والحكمة وإن كانوا من قبل لفي ضلال مبين، المحمود الأحمد، السراج المنير، البشير النذير، المسمّى في كتابه الكريم بمحمّد وأحمد، الموصوف بالرحمة للعالمين وعلى آله الطاهرين وعترته الحافظين لشريعته والهادين لطريقته والمبلّغين لسنّته والوارثين لجميع علومه وما نزل عليه من الأحكام والشرائع بالوحي والمفسّرين للقرآن والمبيّنين لمتشابهه والعاصمين لمحكمه، واللعن الدائم على أعدائهم أعداء الدين من اليوم إلى آخر الأيّام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فيقول العبد المحتاج إلى ربّه الكريم يوسف الصانعي ابن العالم المؤمن المتّقي المرحوم الشيخ محمّد عليّ الصانعي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هو تنقيح وتهذيب وتنظيم لما ألقيته من المباحث في جمّ غفير منالأفاضل وعدّة من الأعلام على أساس كتاب القصاص من تحرير الوسيلة لسيّدنا الأُستاذ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بذلت غاية جهدي وكمال وسعي للنظر في أدلّة مسائله والسعي في نقضها وإبرامها على قدر الطاقة وصرفت فيه أوقاتاً كثيرة في أيّام البحث وما بعدها من الأيّام، وقد طال النظر في بعض مباحثه إلى ساعة وساعتين بعد النصف من الليالي، بل قد طال النظر نادراً في بعض المسائل المهمّة كقصاص المسلم بالمؤتمن والرجل بالمرأة من دون الردّ وأمثالهما زائداً على ما صرفت فيها الوقت في بقيّة الأوقات؛ لإجالة النظر والمداقّة في الأدلّة والفحص عمّا قيل أو يمكن أن يقال إلى طلوع الفجر، والمنّة لله تعالى والتوفيق منه، فإنّه لامؤثّر في الوجود إلّا هو، وأشكره على توفيقه في النظر إلى الفقه ودراسة أحكام الإسلام الذي هو الطريق الوحيد لسعادة الناس، وأسال منه العفو عن قصور القلم والكلام، فإنّه العفوّ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ما في الكتاب من السهو والخطأ فيرجع إليّ، وما كان فيه من إصابة الحقّ والدقّة في البحث فالعمدة فيه هو من بركة ما استفدناه من محضر سيّدنا الأُستاذ وفي امتداد الجهود القيّمة العلميّة والمساعي الكبيرة الفقهيّة لكبار الفقهاء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وحشرنا الله معهم ومع مواليهم 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الله تعالى أن يجعل بذل طاقتي في البحث وكمال جهدي في الكتاب، أداءً لبعض حقوق سيّدنا الأستاذ من حقوقه الكثيرة عليّ وعلى الحوزات العلميّة في توسعة التعليم وازديادالتحقيق والتتبّع في العلوم المختلفة وقوّة الإبداع في المسائل الفقهيّة، لا سيّما شكراً لعناياته الخاصّة بي ومراحمه الكثيرة لي كأُستاذ شفيق ومعلّم رفيق وأب رحيم، فسلام الله عليه يوم ولد ويوم مات ويوم يبعث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الصانعي</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bookmarkStart w:id="20" w:name="pg9428_72131"/>
    </w:p>
    <w:p>
      <w:pPr>
        <w:pStyle w:val="Heading2"/>
        <w:numPr>
          <w:ilvl w:val="1"/>
          <w:numId w:val="1"/>
        </w:numPr>
        <w:rPr/>
      </w:pPr>
      <w:bookmarkStart w:id="21" w:name="__RefHeading___Toc5797411_2870459653"/>
      <w:bookmarkStart w:id="22" w:name="_Toc6"/>
      <w:bookmarkEnd w:id="20"/>
      <w:bookmarkEnd w:id="21"/>
      <w:r>
        <w:rPr>
          <w:rtl w:val="true"/>
        </w:rPr>
        <w:t>كتاب القصاص</w:t>
      </w:r>
      <w:bookmarkEnd w:id="2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5797413_2870459653"/>
      <w:bookmarkStart w:id="24" w:name="_Toc7"/>
      <w:bookmarkEnd w:id="23"/>
      <w:r>
        <w:rPr>
          <w:rtl w:val="true"/>
        </w:rPr>
        <w:t>اشارة</w:t>
      </w:r>
      <w:bookmarkStart w:id="25" w:name="pg9428_72132"/>
      <w:bookmarkEnd w:id="2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5797415_2870459653"/>
      <w:bookmarkStart w:id="27" w:name="_Toc8"/>
      <w:bookmarkEnd w:id="25"/>
      <w:bookmarkEnd w:id="26"/>
      <w:r>
        <w:rPr>
          <w:rtl w:val="true"/>
        </w:rPr>
        <w:t xml:space="preserve">القسم الأوّل </w:t>
      </w:r>
      <w:r>
        <w:rPr>
          <w:rtl w:val="true"/>
        </w:rPr>
        <w:t xml:space="preserve">: </w:t>
      </w:r>
      <w:r>
        <w:rPr>
          <w:rtl w:val="true"/>
        </w:rPr>
        <w:t>في قصاص النفس</w:t>
      </w:r>
      <w:bookmarkEnd w:id="27"/>
    </w:p>
    <w:p>
      <w:pPr>
        <w:pStyle w:val="BookText"/>
        <w:rPr/>
      </w:pPr>
      <w:r>
        <w:rPr>
          <w:rFonts w:ascii="Amiri" w:hAnsi="Amiri" w:eastAsia="Amiri" w:cs="Amiri"/>
          <w:color w:val="111111"/>
          <w:sz w:val="28"/>
          <w:sz w:val="28"/>
          <w:szCs w:val="28"/>
          <w:rtl w:val="true"/>
          <w:lang w:bidi="ar-SA"/>
        </w:rPr>
        <w:t>كتاب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إمّا في النفس، وإمّا فيما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قصاص النفس</w:t>
      </w:r>
    </w:p>
    <w:p>
      <w:pPr>
        <w:pStyle w:val="BookText"/>
        <w:rPr/>
      </w:pPr>
      <w:r>
        <w:rPr>
          <w:rFonts w:ascii="IRNazanin" w:hAnsi="IRNazanin" w:eastAsia="IRNazanin"/>
          <w:color w:val="111111"/>
          <w:sz w:val="28"/>
          <w:sz w:val="28"/>
          <w:szCs w:val="28"/>
          <w:rtl w:val="true"/>
          <w:lang w:bidi="fa-IR"/>
        </w:rPr>
        <w:t>والنظر فیه في الموجب، والشرائط المعتبرة فيه، وما يثبت به، وکیفیّة الاستیفاء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الكتاب عن المقابلة بالمثل بالقتل أو القطع، وفي الضرر على النفس أو الأعضاء والأطراف، وفي كتاب الديات عن المال الجابر للخسارة وللضرر عليهما أو على منافعه، المسمّى بالدية أو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هنا عن الجزاء والعقوبة، وفي الديات عن جبران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دخل المعصية والعمد في القصاص دون الدية، فموجبها الضرر بما هو ضررٌ، من دون دخل للمعصية وإن كانت موجودة في بعض مواردها، كدية الولد على الوالد فيما لو كان هو القاتل له،فالقصاص والدية يفترقان عن الآخر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كونه عقوبة وكونها جبران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اشتراطه بالعصيان دونها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ترتّب آثار الجزاء على القصاص وآثار الدين على الدية، كانتفاء الأوّل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بموت الجاني وبقاء الدية في قتل الخطأ مع موت القاتل فيما لو كانت على عهدته، فضلاً عمّا لو كانت على العاقلة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يظهر أنّه ينبغي البحث عن كلٍّ منهما منفرداً عن الآخر، كما فعله جُلّ العلماء وأعاظمهم في كتبهم القيّمة کالمقنع</w:t>
      </w:r>
      <w:r>
        <w:rPr>
          <w:rStyle w:val="FootnoteAnchor"/>
          <w:rtl w:val="true"/>
        </w:rPr>
        <w:footnoteReference w:id="2"/>
      </w:r>
      <w:r>
        <w:rPr>
          <w:rFonts w:ascii="Amiri" w:hAnsi="Amiri" w:eastAsia="Amiri" w:cs="Amiri"/>
          <w:color w:val="111111"/>
          <w:sz w:val="28"/>
          <w:sz w:val="28"/>
          <w:szCs w:val="28"/>
          <w:rtl w:val="true"/>
          <w:lang w:bidi="ar-SA"/>
        </w:rPr>
        <w:t>والمقنعة</w:t>
      </w:r>
      <w:r>
        <w:rPr>
          <w:rStyle w:val="FootnoteAnchor"/>
          <w:rtl w:val="true"/>
        </w:rPr>
        <w:footnoteReference w:id="3"/>
      </w:r>
      <w:r>
        <w:rPr>
          <w:rFonts w:ascii="IRNazanin" w:hAnsi="IRNazanin" w:eastAsia="IRNazanin"/>
          <w:color w:val="111111"/>
          <w:sz w:val="28"/>
          <w:sz w:val="28"/>
          <w:szCs w:val="28"/>
          <w:rtl w:val="true"/>
          <w:lang w:bidi="fa-IR"/>
        </w:rPr>
        <w:t>والانتصار</w:t>
      </w:r>
      <w:r>
        <w:rPr>
          <w:rStyle w:val="FootnoteAnchor"/>
          <w:rtl w:val="true"/>
        </w:rPr>
        <w:footnoteReference w:id="4"/>
      </w:r>
      <w:r>
        <w:rPr>
          <w:rFonts w:ascii="Amiri" w:hAnsi="Amiri" w:eastAsia="Amiri" w:cs="Amiri"/>
          <w:color w:val="111111"/>
          <w:sz w:val="28"/>
          <w:sz w:val="28"/>
          <w:szCs w:val="28"/>
          <w:rtl w:val="true"/>
          <w:lang w:bidi="ar-SA"/>
        </w:rPr>
        <w:t>والنهاية</w:t>
      </w:r>
      <w:r>
        <w:rPr>
          <w:rStyle w:val="FootnoteAnchor"/>
          <w:rtl w:val="true"/>
        </w:rPr>
        <w:footnoteReference w:id="5"/>
      </w:r>
      <w:r>
        <w:rPr>
          <w:rFonts w:ascii="Amiri" w:hAnsi="Amiri" w:eastAsia="Amiri" w:cs="Amiri"/>
          <w:color w:val="111111"/>
          <w:sz w:val="28"/>
          <w:sz w:val="28"/>
          <w:szCs w:val="28"/>
          <w:rtl w:val="true"/>
          <w:lang w:bidi="ar-SA"/>
        </w:rPr>
        <w:t>والوسيلة</w:t>
      </w:r>
      <w:r>
        <w:rPr>
          <w:rStyle w:val="FootnoteAnchor"/>
          <w:rtl w:val="true"/>
        </w:rPr>
        <w:footnoteReference w:id="6"/>
      </w:r>
      <w:r>
        <w:rPr>
          <w:rFonts w:ascii="IRNazanin" w:hAnsi="IRNazanin" w:eastAsia="IRNazanin"/>
          <w:color w:val="111111"/>
          <w:sz w:val="28"/>
          <w:sz w:val="28"/>
          <w:szCs w:val="28"/>
          <w:rtl w:val="true"/>
          <w:lang w:bidi="fa-IR"/>
        </w:rPr>
        <w:t>والشرائع</w:t>
      </w:r>
      <w:r>
        <w:rPr>
          <w:rStyle w:val="FootnoteAnchor"/>
          <w:rtl w:val="true"/>
        </w:rPr>
        <w:footnoteReference w:id="7"/>
      </w:r>
      <w:r>
        <w:rPr>
          <w:rFonts w:ascii="Amiri" w:hAnsi="Amiri" w:eastAsia="Amiri" w:cs="Amiri"/>
          <w:color w:val="111111"/>
          <w:sz w:val="28"/>
          <w:sz w:val="28"/>
          <w:szCs w:val="28"/>
          <w:rtl w:val="true"/>
          <w:lang w:bidi="ar-SA"/>
        </w:rPr>
        <w:t>والتحرير</w:t>
      </w:r>
      <w:r>
        <w:rPr>
          <w:rStyle w:val="FootnoteAnchor"/>
          <w:rtl w:val="true"/>
        </w:rPr>
        <w:footnoteReference w:id="8"/>
      </w:r>
      <w:r>
        <w:rPr>
          <w:rFonts w:ascii="Amiri" w:hAnsi="Amiri" w:eastAsia="Amiri" w:cs="Amiri"/>
          <w:color w:val="111111"/>
          <w:sz w:val="28"/>
          <w:sz w:val="28"/>
          <w:szCs w:val="28"/>
          <w:rtl w:val="true"/>
          <w:lang w:bidi="ar-SA"/>
        </w:rPr>
        <w:t>وغيرها، فقد عبّروا بالجنايات والديات، أو بالقصاص والديات، أو أحكام القتل والقود والدية، وأمثال ذلك ممّا يدلّ على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دلالة لكون الدية حكم القتل في بعض تلك العبائر على أنّها هي الجزاء والعقوبة؛ لعدم دلالة الدية على الأزيد من الضمان، ولتعرّضهم للعقوبة مثل التعزير والكفّارة بنفسها مضافة إليها فيما يوجبها كقتل الوالد ولده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عبارة القواعد إشعار بعدم التفاوت بينهما وأنّ الديات من العقوبات، 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القصاص، وجعل الثاني منهما في الديات</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ففي جعله رحمه الله قطبين لكتاب الجنايات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الظاهرة في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بل ظهورٌ في كونها عقوبة عنده كالقصاص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المستفاد من الدقّة في العبارة خلافه، فإنّ الدية مترتّبة على المعصية في الجرح الذي لا يقبل القصاص، وعلى غيرها كالخطأ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من جعله الدية في الجنايات أنّها حكم لها ومترتّبة عليها أيضاً كترتّب القصاص في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ذلك الحكم والترتّب في الجنايات من باب العقوبة أو الضمان فالعبارة عنه ساكتة، بل في عنوان الدية ظهور في الثاني، وفي أنّ الترتّب من باب الضمان، وأنّى لذلك بباب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مراد مثل صاحب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اشتراك الدية في الجملة مع القصاص في أصل الترتّب، لا في كيفيّته وسببه وجهته وأنّها عقوبة أم ضمان، كما لا يخفى على المتدبّر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ولنختم البحث بما في شرح الإرشاد في ذيل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الجناية إمّا على نفس أو طرف، وهي إمّا عمد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المراد بالجناية هنا أعمّ ممّا يوجب القصاص في النفس أو الطرف، بل في الأعضاء مطلقا،ً وممّا يوجب الدية كذلك فقط؛ لما يفهم من تقسيمها وبيان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ينبغي أن يراد بها ما يوجب القصاص فقط؛ لما سيأتي من كتاب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كان ينبغي تقسيمها إلى النفس والأعضاء لا إلى النفس والطرف، إلّا أن يريد بالطرف مطلق العضو</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ينبغي أن يعبّر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سيأتي من كتابالديات، كما فعل في الشرائع</w:t>
      </w:r>
      <w:r>
        <w:rPr>
          <w:rStyle w:val="FootnoteAnchor"/>
          <w:rtl w:val="true"/>
        </w:rPr>
        <w:footnoteReference w:id="10"/>
      </w:r>
      <w:r>
        <w:rPr>
          <w:rFonts w:ascii="Amiri" w:hAnsi="Amiri" w:eastAsia="Amiri" w:cs="Amiri"/>
          <w:color w:val="111111"/>
          <w:sz w:val="28"/>
          <w:sz w:val="28"/>
          <w:szCs w:val="28"/>
          <w:rtl w:val="true"/>
          <w:lang w:bidi="ar-SA"/>
        </w:rPr>
        <w:t>وغيره، 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الجناية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يجعل مقصداً في </w:t>
      </w:r>
      <w:bookmarkStart w:id="28" w:name="pg9428_72136"/>
    </w:p>
    <w:p>
      <w:pPr>
        <w:pStyle w:val="BookText"/>
        <w:rPr/>
      </w:pPr>
      <w:bookmarkEnd w:id="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القصاص وآخر في الديات، كما فعل في القواعد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p>
    <w:p>
      <w:pPr>
        <w:pStyle w:val="Heading3"/>
        <w:numPr>
          <w:ilvl w:val="2"/>
          <w:numId w:val="1"/>
        </w:numPr>
        <w:rPr/>
      </w:pPr>
      <w:bookmarkStart w:id="29" w:name="__RefHeading___Toc5797417_2870459653"/>
      <w:bookmarkStart w:id="30" w:name="_Toc9"/>
      <w:bookmarkEnd w:id="29"/>
      <w:r>
        <w:rPr>
          <w:rtl w:val="true"/>
        </w:rPr>
        <w:t>معنى القصاص</w:t>
      </w:r>
      <w:bookmarkEnd w:id="30"/>
    </w:p>
    <w:p>
      <w:pPr>
        <w:pStyle w:val="Heading4"/>
        <w:numPr>
          <w:ilvl w:val="3"/>
          <w:numId w:val="1"/>
        </w:numPr>
        <w:rPr/>
      </w:pPr>
      <w:bookmarkStart w:id="31" w:name="__RefHeading___Toc5797419_2870459653"/>
      <w:bookmarkStart w:id="32" w:name="_Toc10"/>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 xml:space="preserve">القصاص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المراجعة إلى اللغة وموارد استعمالها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بالمثل مطلقاً في نفس كان أو في مال أو في غيرهما، من دون اختصاصه فيه بالنفس، خلافاً للمصطلح منه المختصّ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المنجد ذكر له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على الذنب،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بالفاعل مثل ما فعل</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وفي المصباح المنير للفيّومي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قاصصته مقاصّة وقصاصاً من باب قاتل إذا كان لك عليه دين مثل ما له عليك، فجعلت الدين في مقابلة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اقتصاص الأثر، ثمّ غلب استعمال القصاص في قتل القاتل وجرح الجارح وقطع القاطع</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فالقصاص لما كان مفهومه اللغوي الجزاء والمعارضة على نحو المماثلة فمصاديقه مختلفة بحسب المقامات، فالمقاصّة في الدين بما ذكره الفيّومي أو بالأخذ من مال المديون بشرائطه الخاصّه، والمقاصّةوالقصاص في باب الجزاء على </w:t>
      </w:r>
      <w:bookmarkStart w:id="33" w:name="pg9428_72137"/>
    </w:p>
    <w:p>
      <w:pPr>
        <w:pStyle w:val="BookText"/>
        <w:rPr/>
      </w:pPr>
      <w:bookmarkEnd w:id="3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الضرر ببدن الإنسان الموضوع للبحث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المماثلة في الجزاء بالقود والقطع كما هو واضح، فالمفهوم للقصاص واحد والاختلاف في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فمعناه الاصطلاحي ليس معنىً خاصّاً له، بل يكون من باب تطبيق المفهوم على المصداق، فالمفهوم والمعنى لتلك المادّة واحد، وهو المماثلة من دون الفرق بين المال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والكثرة من جانب المصاديق لا المفهوم، فلا تغفل وكن على ذكر من مسألة الخلط الواقع كثيراً بين المفهوم والمصداق في شرح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 الجواهر ذكر المناسبة بين القصّ بمعنى التتبّع شيئاً فشيئاً وبين ذلك المعنى، ودونك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القِصاص بالكسر فعال من قصّ أثره إذا تتبّعه، والمراد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أثر الجناية من قتل أو قطع أو ضرب أو جرح، فكأنّ المقتصّ يتبع أثر الجاني فيفعل مثل فعله،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 الأمر فلاناً من فلان إذا اقتصّ له منه</w:t>
      </w:r>
      <w:r>
        <w:rPr>
          <w:rFonts w:eastAsia="Amiri" w:cs="Amiri" w:ascii="Amiri" w:hAnsi="Amiri"/>
          <w:color w:val="111111"/>
          <w:sz w:val="28"/>
          <w:szCs w:val="28"/>
          <w:rtl w:val="true"/>
          <w:lang w:bidi="ar-SA"/>
        </w:rPr>
        <w:t>.</w:t>
      </w:r>
      <w:r>
        <w:rPr>
          <w:rStyle w:val="FootnoteAnchor"/>
          <w:rtl w:val="true"/>
        </w:rPr>
        <w:footnoteReference w:id="15"/>
      </w:r>
    </w:p>
    <w:p>
      <w:pPr>
        <w:pStyle w:val="Heading4"/>
        <w:numPr>
          <w:ilvl w:val="3"/>
          <w:numId w:val="1"/>
        </w:numPr>
        <w:rPr/>
      </w:pPr>
      <w:bookmarkStart w:id="34" w:name="__RefHeading___Toc5797421_2870459653"/>
      <w:bookmarkStart w:id="35" w:name="_Toc11"/>
      <w:bookmarkEnd w:id="34"/>
      <w:r>
        <w:rPr>
          <w:rtl w:val="true"/>
        </w:rPr>
        <w:t>الاستدلال بالآيات على القصاص</w:t>
      </w:r>
      <w:bookmarkEnd w:id="3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الإجماع والسنّة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وآياته على قسمين،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عليه بالخصوص،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القِصَاصُ فِي القَتْلَى الحُرُّ بِالْحُرِّ وَالْعَبْدُ بِالْعَبْدِ وَالأُنْثى بِالأُنثى فَمَنْ عُفِىَ لَهُمِنْ أخِيهِ شَىْءٌ فَاتِّبَاعٌ بِالْمَعْرُوفِ وَأدَاءٌ إلَيْهِ بِإِحْسَان ذَلِكَ تَخْفِيفٌ مِنْ رَبِّكُمْ وَرَحْمَةٌ فَمَنِ اعْتَدَى بَعْدَ ذَلِكَ فَلَهُ عَذَابٌ أَلِيمٌ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وَلَكُمْ فِي القِصَاصِ حَياةٌ يَا أُولِى الاَلْبَابِ لَعَلَّكُمْ تَتَّقُونَ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 وَالجُرُوحَ قِصَاصٌ</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تَقْتُلُوا النَّفْسَ الَّتِي حَرَّمَ اللهُ إلّا بِالْحَقِّ وَمَنْ قُتِلَ مَظْلُوماً فَقَدْ جَعَلْنَا لِوَلِيِّهِ سُلْطاناً فَلَا يُسْرِفْ فِي الْقَتْلِ إنَّهُ كَانَ مَنْصُورَاً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عليه بالعموم،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سَيِّئَة سَيِّئَةٌ مِثْلُهَا فَمَنْ عَفَا وَأصْلَحَ فَأَجْرُهُ عَلَى اللهِ إنَّهُ لَايُحِبُّ الظَّالِمِينَ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وَلَمَنِ انْتَصَرَ بَعْدَ ظُلْمِهِ فَأُولَئِكَ مَا عَلَيْهِمْ مِنْ سَبِيل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عَاقَبْتُمْ فَعَاقِبُوا بِمِثْلِ مَا عُوقِبْتُم بِهِ وَلَئِنْ صَبَرْتُمْ لَهُوَ خَيْرٌ لِّلصَّابِرِينَ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 وَاتَّقُوا اللهَ وَاعْلَمُوا أنّ اللهَ مَعَ الْمُتَّقِينَ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إطلاق الآيات المؤيّدة بمذاق الشرع ولسان الكتاب والسنّة،كون </w:t>
      </w:r>
      <w:bookmarkStart w:id="36" w:name="pg9428_72139"/>
    </w:p>
    <w:p>
      <w:pPr>
        <w:pStyle w:val="BookText"/>
        <w:rPr/>
      </w:pPr>
      <w:bookmarkEnd w:id="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القصاص في مطلق الجناية على الإنسان من دون فرق بين الذكر والأُنثى، والحرّ والعبد، والمسلم والكافر في الجاني والمجنيّ عليه، كما لا فرق فيه بين مثل الأسود من الإنسان وأبيضه</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5797423_2870459653"/>
      <w:bookmarkStart w:id="38" w:name="_Toc12"/>
      <w:bookmarkEnd w:id="37"/>
      <w:r>
        <w:rPr>
          <w:rtl w:val="true"/>
        </w:rPr>
        <w:t>توهّم عدم الإطلاق في الآيات</w:t>
      </w:r>
      <w:bookmarkEnd w:id="38"/>
    </w:p>
    <w:p>
      <w:pPr>
        <w:pStyle w:val="BookText"/>
        <w:rPr/>
      </w:pPr>
      <w:r>
        <w:rPr>
          <w:rFonts w:ascii="Amiri" w:hAnsi="Amiri" w:eastAsia="Amiri" w:cs="Amiri"/>
          <w:color w:val="111111"/>
          <w:sz w:val="28"/>
          <w:sz w:val="28"/>
          <w:szCs w:val="28"/>
          <w:rtl w:val="true"/>
          <w:lang w:bidi="ar-SA"/>
        </w:rPr>
        <w:t>وتوهّم أنّ الآيات المتضمّنة للقصاص، بل آية الانتصار بنفسها غير كافية لذلك الإطلاق والشمول وعدم الفرق بين أبناء البشر في القصاص، حيث إنّ القصاص والمماثلة كان صادقاً عندهم مع التفاوت في الذكوريّة والأُنوثيّة والحريّة والعبديّة في الأزمنة السابقة عرفاً، لا سيّما في زمان النزول وعصر الجاهليّة الذي كانت تحكمه الموازين الباطلة والخرافيّة الناشئة عن الكبر والغرور والرذائل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دلالة في تلك الآيات على عدم الفرق وعلى أنّ النفس بالنفس؛ لصدق ما في الآيات من الموضوع كالقصاص ونحوه على قتل الذكر بالأُنثى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الأزمنة، فكيف التمسّك بالإطلاق؟</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 بكفاية بقيّة الآيات، لا سيّما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سَيِّئَة سَيِّئَةٌ مِثْلُهَا</w:t>
      </w:r>
      <w:r>
        <w:rPr>
          <w:rStyle w:val="FootnoteAnchor"/>
          <w:rtl w:val="true"/>
        </w:rPr>
        <w:footnoteReference w:id="2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النَّفْسَ بِالنَّفْسِ</w:t>
      </w:r>
      <w:r>
        <w:rPr>
          <w:rStyle w:val="FootnoteAnchor"/>
          <w:rtl w:val="true"/>
        </w:rPr>
        <w:footnoteReference w:id="25"/>
      </w:r>
      <w:r>
        <w:rPr>
          <w:rFonts w:ascii="Amiri" w:hAnsi="Amiri" w:eastAsia="Amiri" w:cs="Amiri"/>
          <w:color w:val="111111"/>
          <w:sz w:val="28"/>
          <w:sz w:val="28"/>
          <w:szCs w:val="28"/>
          <w:rtl w:val="true"/>
          <w:lang w:bidi="ar-SA"/>
        </w:rPr>
        <w:t>ممّا لا كلام ولا إشكال في صدقها وإطلاقها المقتضي للقصاص بين جميع أبناء البشر من دون التفاوت والتفضيل بينهم في ذلك أصلاً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وبأنّ الصدق عندهم كذلك كان مبتنياً على الباطل عندهم أيضاً؛ حيث إنّ العرف بفطرته الأصليّة معتقد بالمماثلة، وبعدم الفرق بين أبناء البشر من حيث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 والخلقة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 العرف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بلغ العلم والإدراك والفهم مرتبة عالية نسبيّاً،بحيث أصبح يطالب بالحكومة الموحّدة التي وعدها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بصدق القصاص والمماثلة على الإطلاق والشمول وعدم التفاوت في الأفراد من تلك الجهة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والمناط في الأحكام الثابتة على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تلك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وإن كان متأخّراً عن زمان النزول بالنسبة إلى بعض المصاديق، وهذا بخلاف الثابتة منها على المصاديق والقضيّة الخارجيّة، فإنّها مختصّة بالمصاديق الموجودة في زمان جعل الحكم كما لا يخفى، ويكون ذلك الصدق في تلك الأزمنة مخالفاً للآيات والأخبار الكثيرة الدالّة على التساوي وعدم التفاوت بين الناس وأبناء البشر في الحقوق الاجتماعية والإنسانية والبشرية والرادعة النافية المبطلة لذلك الفكر والنظر، فيكون باطلاً من رأس ولا محلّ له أصلاً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فهي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اتَّقُوا رَبَّكُمُ الَّذِي خَلَقَكُمْ مِنْ نَفْسٍ وَاحِدَةٍ وَخَلَقَمِنْهَا زَوْجَهَا وَبَثَّ مِنْهُمَا رِجَالاً كَثِيراً وَنِسَاءً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الأخبار، فكقوله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ربّكم واحد وإنّ أباكم واحد، كلّكم لآدم وآدم من تراب، إنّ أكرمكم عند الله أتقاكم، وليس لعربيٍّ على عجميّ فضل إلّا بالتقوى</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وهناك غيرها من الآيات والأخبار الظاهرة في أنّ التفاوت بالتقوى التي هي الفعليّة الكاملة عند الله فقط لا عند الحقوق والشرع والقانون، بل عدم التفاوت بين الأبناء من تلك الجهة من الأُمور الرفيعة الظاهرة في الإسلام، بل ومن البديهيّات فيه، وممّا يفتخر به المسلمون ويجعلونه دليلاً على حقيقة الإسلام ومطابقته للفطرة والخلوّ عن العلوّ والاستبعاد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المتّبع في موارد الاختلاف في المصاديق بين الشرع والعرف هو الشرع، فإنّه المشرّع الذي يحكم بالحقّ ويقصّه وهو خير الفاصلين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فدلالة الآيات كلّها تامّة، والإشكال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وارد جدّاً ومذبوب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الآية الأُولى من القسم الأوّل إشكال يخصّها، حيث إنّها تدلّ على التفاوت والاختلاف، وأنّ الحرّ والعبد والأُنثى لا يقتلون إلّا في قتل المماثل لا المخالف، فلا يُقتل الحرّ بالعبد ولا الرجل بالأُنثى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حجّة على التفضيل وعدم المساواة بين الأبناء من جهة الدم والحياة، ومخالفة لجميع الآيات المستدلّ بها على المساواة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مدفوعٌ بأنّه لعلّ المراد من الآية</w:t>
      </w:r>
      <w:r>
        <w:rPr>
          <w:rStyle w:val="FootnoteAnchor"/>
          <w:rtl w:val="true"/>
        </w:rPr>
        <w:footnoteReference w:id="30"/>
      </w:r>
      <w:r>
        <w:rPr>
          <w:rFonts w:ascii="Amiri" w:hAnsi="Amiri" w:eastAsia="Amiri" w:cs="Amiri"/>
          <w:color w:val="111111"/>
          <w:sz w:val="28"/>
          <w:sz w:val="28"/>
          <w:szCs w:val="28"/>
          <w:rtl w:val="true"/>
          <w:lang w:bidi="ar-SA"/>
        </w:rPr>
        <w:t xml:space="preserve">ومن تخصيص الثلاثة بالذكر بيان المساواة وردّ التفاوت والاختلاف، وأنّهم مساوون للآخرين، وأنّ القصاص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واقع إلّا على القاتل كائناً من كان، وكذا المقتول، وذلك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ناظرة إلى أنّ القصاص لابدّ من وقوعه على القاتل لا على غيره، وأنّ الحرّ إذا كان قاتلاً للحرّ فالقصاص يكون منه، والحرّ بالحرّ لا من غيره كعبده؛ بناءً على التصوّر الذي يرى المقتول دون شأن القاتل؛ لما له من الطَول على المقتول من جهة الغنى، أو الطائفة التي ينتمي إليها، أو غيرها من الأُمور الموجبة للوجاهة الاجتماعيّة، فلا يجوز قتله به، بل لابدّ من قتل عبده مثلاً بذلك الحرّ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العبد إذا كان قاتلاً للعبد فلابدّ من قصاصه لا قصاص حرّ غير قاتل؛ للقول بأنّ العبد المقتول لارتباطه بمن له طول أفضل من العبد القاتل المرتبط بمن ليس له ذلك الطَول فلابدّ، إلّا من قتل الحرّ غير القاتل من المرتبطين بمولى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الأُنثى إذا كانت قاتلة لمثلها فلابدّ لأولياءِ الدم من قتل الرجل غير القاتل عوضاً عن القاتلة؛ وفقاً للرؤية الباطلة المبتنية على أنّ لبعض النساء فضيلة على البعض الآخر، وأنّ تلك الفضيلة موجبة للتفاوت في الدم، فلابدّ من قتل الرجل في مقابل قتل ذلك البعض من النساء المفضّلات؛ لما في الرجال عموماً من الفضيلة على النساءِ، فتكون تلك الفضيلة موجبة للمساواة مع الفضيلة الخاصّة للمرأة المقتولة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ففي الآية احتمالان متقابلان، فبأحدهما يثبت التفاوت، وبالآخر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الأظهر، بل الظاهر منهما هو الثاني؛ وذلك لمخالفة الآية على الأوّل مع مذاق الشرع وسياق بقيّة الآيات، ولاستلزامه التقييد في الإطلاقات الكثيرة، وألسنتها آبية عنه كما لايخفى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موافقة الثاني لشأن النزول، ففي مجمع البيان</w:t>
      </w:r>
      <w:r>
        <w:rPr>
          <w:rFonts w:eastAsia="Amiri" w:cs="Amiri" w:ascii="Amiri" w:hAnsi="Amiri"/>
          <w:color w:val="111111"/>
          <w:sz w:val="28"/>
          <w:szCs w:val="28"/>
          <w:rtl w:val="true"/>
          <w:lang w:bidi="ar-SA"/>
        </w:rPr>
        <w:t xml:space="preserve">: </w:t>
      </w:r>
      <w:bookmarkStart w:id="39" w:name="pg9428_72143"/>
    </w:p>
    <w:p>
      <w:pPr>
        <w:pStyle w:val="BookText"/>
        <w:rPr/>
      </w:pPr>
      <w:bookmarkEnd w:id="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نزلت هذه الآية في حيّين من العرب لأحدهما طَول على الآخر، وكانوا يتزوّجون نساءهم بغير مهور، وأقسموا لنقتلنّ بالعبد منّا الحرّ منهم، وبالمرأة منّا الرجل منهم، وبالرجل منّا الرجلين منهم، وجعلوا جراحاتهم على الضعف من جراح أولئك، حتّى جاء الإسلام فأنزل الله هذه الآية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وإن أبيتَ عن ذلك واعتقدتَ عدم الظهور في الثاني فلابدّ من احتماله، فالآية ذات احتمالين، وإطلاق بقيّة الآيات محكّم، هذا ما في الكتاب</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5797425_2870459653"/>
      <w:bookmarkStart w:id="41" w:name="_Toc13"/>
      <w:bookmarkEnd w:id="40"/>
      <w:r>
        <w:rPr>
          <w:rtl w:val="true"/>
        </w:rPr>
        <w:t>الاستدلال بالروايات على القصاص</w:t>
      </w:r>
      <w:bookmarkEnd w:id="41"/>
    </w:p>
    <w:p>
      <w:pPr>
        <w:pStyle w:val="BookText"/>
        <w:rPr/>
      </w:pPr>
      <w:r>
        <w:rPr>
          <w:rFonts w:ascii="Amiri" w:hAnsi="Amiri" w:eastAsia="Amiri" w:cs="Amiri"/>
          <w:color w:val="111111"/>
          <w:sz w:val="28"/>
          <w:sz w:val="28"/>
          <w:szCs w:val="28"/>
          <w:rtl w:val="true"/>
          <w:lang w:bidi="ar-SA"/>
        </w:rPr>
        <w:t>وأمّا السنّة، فإنّها متواترة منقولة في كتب الحديث والفقه وفي أبواب مختلفة ومسائل متفرّقة وننقل ما نحتاجه في محلّه إن شاء الله تعالى، إلّا أنّه لا يخفى عليك كونها في مقام بيان خصوصيّات القصاص وفروعه بعد الفراغ عن أصل القصاص، فإطلاقها مشكلٌ، بل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الكتاب، ففيه إطلاق؛ لكونه في مقام بيان حكم أصل القصاص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ننقل حديثين من تلك الأحاديث هنا لتضمّنهما الفوائد الخاصّة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عن عبدالله بن سنان وابن بكير جميعاً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المؤمن يقتل المؤمن متعمّداً، هل له توبة؟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قتله لإيمانه فلا توبة له، وإن كان قتله لغضب أو لسببمن أمر الدنيا فإنّ توبته أن يُقاد منه، وإن لم يكن علم به انطلق إلى أولياء المقتول فأقرّ عندهم بقتل صاحبهم، فإن عفوا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فلم يقتلوه أعطاهم الدية، وأعتق نسمة، وصام شهرين متتابعين، وأطعم ستّين مسكيناً توبة إلى الله عزّ وجلّ</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عيسى الضرير،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رجلاً متعمّداً ما توبته؟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يمكّن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 أن يقتلوه،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فليعطهم الدية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 أن يعلموا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فلينظر إلى الدية فليجعلها صرراً، ثمّ لينظر مواقيت الصلاة فيلقها في دارهم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وفي التحرير في ذيل الحديث الأوّل،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الحديث فوائد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القاتل إن قتل المؤمن لإيمانه، فلا توبة له؛ لأنّه يكون قد ارتدّ؛ لأنّ قتله لإيمانه إنّما يكون على تقدير تكذيبه فيما اعتقده، ولا تقبل توبة المرتدّ عن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قتله على غير هذا الوجه قبلت توبته، وهو خلاف ما نقل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 التوبة تسليم القاتل نفسه إلى أولياءِ المقتول، فإن شاؤوا قتلوه وإن شاؤوا عفوا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كفّارة العمد هي كفّارة الجمع</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فالقتل يشتمل على حقّ لله تعالى، وهو المخالفة بارتكاب هذا الذنب العظيم، وهو يسقط بالاستغفار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حقّ للوارث، وهو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يسقط بتسليم نفسه أو الدية أو عفو الورثة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للمقتول، وهو الآلام التي أدخلها عليه بقتله، وتلك لا ينفع فيها التوبة، بل لابدّ من القصاص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قول ابن عبّاس إشارة إلى هذا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أحسن وأجاد فيما أفاد، لكن ينبغي له ذكر الخبر الثاني؛ لما فيه من فائدة خاصّة زائدة أيضاً، وهي كفاية إعطاءِ الدية مع جهل الأولياء وخوف القاتل من الإعلام، ولعلّه لم يذكره للضعف في سنده بعيسى الضرير، فإنّه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مرآة العقول في ذيل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فليعطيهم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بأن يوصل إليهم على سبيل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والصرر جمع الصرّة، والتقييد بمواقيت الصلوات؛ لوقوع مرورهم عليها لبروزهم للطهارة والذهاب إلى المساجد، وأمّا غير ذلك الوقت فيمكن أن يصيبها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أنّ وليّ الدم إن لم يعلم بالقتل لم يجب على القاتل إعلامه وتمكينه، بل يجب أن يُوصل إليه الدية، وهو خلاف ما هو المشهور من أنّ الخيار في ذلك إلى ورثة المجنيّ عليه لا إليه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خلاف 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بل ليس خلافاً له؛ لأنّ ما هو المشهور الخيار بعد المعلوميّة لا قبله ولا فيما هو المفروض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42" w:name="pg9428_72146"/>
    </w:p>
    <w:p>
      <w:pPr>
        <w:pStyle w:val="BookText"/>
        <w:rPr/>
      </w:pPr>
      <w:bookmarkEnd w:id="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الخيار للأولياء بعد الثبوت عندهم، وما في الحديث مربوط بقبل الثبوت عندهم وبما فيما بينهم وبين الله تعالى، فكم بينهما من الفرق؟</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5797427_2870459653"/>
      <w:bookmarkStart w:id="44" w:name="_Toc14"/>
      <w:bookmarkEnd w:id="43"/>
      <w:r>
        <w:rPr>
          <w:rtl w:val="true"/>
        </w:rPr>
        <w:t>القتل من أعظم الكبائر</w:t>
      </w:r>
      <w:bookmarkEnd w:id="44"/>
    </w:p>
    <w:p>
      <w:pPr>
        <w:pStyle w:val="BookText"/>
        <w:rPr/>
      </w:pPr>
      <w:r>
        <w:rPr>
          <w:rFonts w:ascii="Amiri" w:hAnsi="Amiri" w:eastAsia="Amiri" w:cs="Amiri"/>
          <w:color w:val="111111"/>
          <w:sz w:val="28"/>
          <w:sz w:val="28"/>
          <w:szCs w:val="28"/>
          <w:rtl w:val="true"/>
          <w:lang w:bidi="ar-SA"/>
        </w:rPr>
        <w:t>وعلى كلّ حال، فقتل المؤمن ظلماً من أعظم الكبائر،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وقال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وَمَنْ أَحْيَاهَا فَكَأَنَّمَا أَحْيَا النَّاسَ جَمِيعاً وَلَقَدْ جَاءَتْهُمْ رُسُلُنَا بِالْبَيِّنَاتِ ثُمَّ إِنَّ كَثِيراً مِنْهُمْ بَعْدَ ذَلِكَ فِي الأَرْضِ لَمُسْرِفُونَ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وعن عوالي اللئالي 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بقتيل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يذكر له أحد، فغضب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لو اشترك في قتله أهل السماوات والأرض، لأكبّهم الله في النار</w:t>
      </w:r>
      <w:r>
        <w:rPr>
          <w:rFonts w:eastAsia="IRNazanin" w:cs="IRNazanin"/>
          <w:color w:val="111111"/>
          <w:sz w:val="28"/>
          <w:szCs w:val="28"/>
          <w:rtl w:val="true"/>
          <w:lang w:bidi="fa-IR"/>
        </w:rPr>
        <w:t>».</w:t>
      </w:r>
      <w:r>
        <w:rPr>
          <w:rStyle w:val="FootnoteAnchor"/>
          <w:rtl w:val="true"/>
        </w:rPr>
        <w:footnoteReference w:id="3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على قتل مسلم ولوبشطر كلمة، جاء يوم القيامة وهو آيس من رحمة الله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الجنّة سافك للدم، ولا شارب الخمر، ولا مشّاءٌ بنميم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المؤمن في فسحة من دينه ما لم يصب دماً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يُوفّق قاتل المؤمن متعمّداً للتوبة</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وعن 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قَتَلَ نَفْسَاً بِغَيْرِ نَفْسٍ أو فَسَادٍ فِي الأَرْضِ فَكَأَنَّمَا قَتَلَ النَّاسَ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 النار مقعد، لو قتل الناس جميعاً لم يرد إلّا ذلك المقعد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وفي آخر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كأ‌نّما قتل الناس جميعاً فإنّما قتل واحداً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يوضع في موضع من جهنّم إليه ينتهي شدّة عذاب أهلها، لو قتل الناس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ذلك المكان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قتل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يضاعف عليه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إلى غير ذلك من النصوص المشتملة على المبالغة في أمر القتل،</w:t>
      </w:r>
      <w:r>
        <w:rPr>
          <w:rStyle w:val="FootnoteAnchor"/>
          <w:rtl w:val="true"/>
        </w:rPr>
        <w:footnoteReference w:id="44"/>
      </w:r>
      <w:r>
        <w:rPr>
          <w:rFonts w:ascii="Amiri" w:hAnsi="Amiri" w:eastAsia="Amiri" w:cs="Amiri"/>
          <w:color w:val="111111"/>
          <w:sz w:val="28"/>
          <w:sz w:val="28"/>
          <w:szCs w:val="28"/>
          <w:rtl w:val="true"/>
          <w:lang w:bidi="ar-SA"/>
        </w:rPr>
        <w:t xml:space="preserve">بلوعلى تفسير الآية </w:t>
      </w:r>
      <w:r>
        <w:rPr>
          <w:rStyle w:val="FootnoteAnchor"/>
          <w:rtl w:val="true"/>
        </w:rPr>
        <w:footnoteReference w:id="45"/>
      </w:r>
      <w:r>
        <w:rPr>
          <w:rFonts w:ascii="Amiri" w:hAnsi="Amiri" w:eastAsia="Amiri" w:cs="Amiri"/>
          <w:color w:val="111111"/>
          <w:sz w:val="28"/>
          <w:sz w:val="28"/>
          <w:szCs w:val="28"/>
          <w:rtl w:val="true"/>
          <w:lang w:bidi="ar-SA"/>
        </w:rPr>
        <w:t>المزبورة بما عرفت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الأوجه من جميع ما قيل فيها من الوجوه هو الوجه في التشبيه بالنسبة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العذاب، وأمّا الجهات الأُخرى من الاستعارة والتشبيه ففي التفاسير مذكورة، ومن أراد الاطّلاع عليها فعليه المراجعة، فإنّ الباب باب التشبيه والاستعارة والادّعاء، لا باب الحقيقة الواقعيّة، ضرورة منافاته الحسّ والعقل والعدل، وحاصله المبالغة في شأن القتل والإحياء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ينافي ذلك زيادة العقاب والثواب على من فعل المتعدّد منهما، كما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يضاعف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اتّحدوا جميعاً في وادٍ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أردنا نقله من الأخبار الدالّة على عظم حرمة القتل، وإلّا فهي أكثر من ذلك في كتب الحديث</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ثمّ إنّه قد ظهر ممّا مرّ أنّ الأصل المستفاد من الكتاب في القاتل والمقتول، القصاص بلا تفاوت واختلاف، فإنّ النفس بالنفس، وبني آدم من تراب، ولا فضل لعربي على عجمي، ولا للأبيض على الأسود، والناس كلّهم مخلوقون من ذكر وأُنثى وجُعلوا شعوباً وقبائل ليتعارفوا فقط لا لطَول بعضهم على بعض، ولا لكون ذلك موجباً لعدم قصاصهم، فإنّ أكرمهم عند الله أتقاهم، ولا يختلفون في الحقوق والدماء والأموال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السنّة لا إطلاق فيها، فإنّها ناظرة إلى بيان الخصوصيّات بعد الفراغ عن أصل القصاص كما عرفت، لكن في إطلاق الكتاب كفاية كماهو واضح</w:t>
      </w:r>
      <w:r>
        <w:rPr>
          <w:rFonts w:eastAsia="Amiri" w:cs="Amiri" w:ascii="Amiri" w:hAnsi="Amiri"/>
          <w:color w:val="111111"/>
          <w:sz w:val="28"/>
          <w:szCs w:val="28"/>
          <w:rtl w:val="true"/>
          <w:lang w:bidi="ar-SA"/>
        </w:rPr>
        <w:t xml:space="preserve">. </w:t>
      </w:r>
      <w:bookmarkStart w:id="45" w:name="pg9428_72149"/>
    </w:p>
    <w:p>
      <w:pPr>
        <w:pStyle w:val="Heading2"/>
        <w:numPr>
          <w:ilvl w:val="1"/>
          <w:numId w:val="1"/>
        </w:numPr>
        <w:rPr/>
      </w:pPr>
      <w:bookmarkStart w:id="46" w:name="__RefHeading___Toc5797429_2870459653"/>
      <w:bookmarkStart w:id="47" w:name="_Toc15"/>
      <w:bookmarkEnd w:id="45"/>
      <w:bookmarkEnd w:id="46"/>
      <w:r>
        <w:rPr>
          <w:rtl w:val="true"/>
        </w:rPr>
        <w:t>القول في الموجب</w:t>
      </w:r>
      <w:bookmarkEnd w:id="47"/>
    </w:p>
    <w:p>
      <w:pPr>
        <w:pStyle w:val="Heading3"/>
        <w:numPr>
          <w:ilvl w:val="2"/>
          <w:numId w:val="1"/>
        </w:numPr>
        <w:rPr/>
      </w:pPr>
      <w:bookmarkStart w:id="48" w:name="__RefHeading___Toc5797431_2870459653"/>
      <w:bookmarkStart w:id="49" w:name="_Toc16"/>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وهو إزهاق النفس المعصومة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مع الشرائط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إخراجها من التعلّق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والمعصومة من العصمة بمعنى المنع، فالمقتول قصاصاً أو دفاعاً غير معصوم الدم بالنسبة إلى القاتل وإن كان معصوماً بالنسبة إلى غيره، فلا يصدق على نفسه إطلاق المعصومة المنساق منه الكلّ، فقتله، بل قتل غير معصوم الدم، كالحربي والزاني المحصن والمرتدّ وكلّ من أباح الشرع قتله، غير موجبٍ للقصاص أيضاً على ما في الجواهر في نفس المقام، وفي غيره من الكتب الفقهيّة</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قتل غير معصوم الدم، كالحربي والزاني المحصن والمرتدّ وكلّ من أباح الشرع قتله فلا قصاص وإن أثم في بعض الصور، باعتبار كون قتله حدّاً مباشرته للحاكم</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القصاص في تلك الموارد عندي تبعاً للماتن</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ولموضع </w:t>
      </w:r>
      <w:bookmarkStart w:id="50" w:name="pg9428_72150"/>
    </w:p>
    <w:p>
      <w:pPr>
        <w:pStyle w:val="BookText"/>
        <w:rPr/>
      </w:pPr>
      <w:bookmarkEnd w:id="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العمد محضاً بقصد القتل بما يقتل ولو نادراً، وبقصد فعل يقتل به غالباً، وإن لم يقصد القتل به، وقد ذكرنا تفصيل الأقسام في كتاب الديات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من الجواهر،</w:t>
      </w:r>
      <w:r>
        <w:rPr>
          <w:rStyle w:val="FootnoteAnchor"/>
          <w:rtl w:val="true"/>
        </w:rPr>
        <w:footnoteReference w:id="50"/>
      </w:r>
      <w:r>
        <w:rPr>
          <w:rFonts w:ascii="Amiri" w:hAnsi="Amiri" w:eastAsia="Amiri" w:cs="Amiri"/>
          <w:color w:val="111111"/>
          <w:sz w:val="28"/>
          <w:sz w:val="28"/>
          <w:szCs w:val="28"/>
          <w:rtl w:val="true"/>
          <w:lang w:bidi="ar-SA"/>
        </w:rPr>
        <w:t>محلّ إشكال، بل الحقّ منعه؛ وذلك لعصمة تلك الأنفس لغير الحاكم والحكومة في غير الحربي، وفيه لغير حالة الحرب وزمان المحاربة، وعدم الدليل على نفي العصمة عنهم على الإطلاق، كما هو الظاهر للمتأمّل، بل ولغيره، فإنّ غاية مدلول أخبار الحدود والحروب جواز القتل للحاكم في إجرائها على المحدودين والعاصين، وللمسلم على الكافر المحارب في تلك الحالة وذلك الزمان فقط دون غيره من الكفّار، فأين الدلالة فيها على عدم عصمة أنفس هؤلاء الأفراد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فعصمة أنفسهم ثابتة وباقية على حالها لغيرهم، فقتل الغير لهم موجب للقصاص؛ قضاءً لإطلاق أدلّته</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5797433_2870459653"/>
      <w:bookmarkStart w:id="52" w:name="_Toc17"/>
      <w:bookmarkEnd w:id="51"/>
      <w:r>
        <w:rPr>
          <w:rtl w:val="true"/>
        </w:rPr>
        <w:t>العمد والخطأ في القتل</w:t>
      </w:r>
      <w:bookmarkEnd w:id="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العمد في القصاص ممّا لا كلام فيه، بل من الضروريات في فقه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بل في الإسلام، ووجهه واضح؛ حيث إنّه المتيقّن من القصاص، وحيث إنّه مع الخطأ لا يتحقّق العصيان الموجب للعقوبة بالقصاص، فإنّ القصاص عقوبة لابدّ فيها من العصيان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اعتبار العمد لا أثر له إلّا في بعض الأخبار، وإلّا فالكتاب كما أنّه خالٍ عن اعتباره بالظهور وبالتقييد اللفظي فكذلك عن الإشارة إليه باللفظ كما يظهر ذلك لمن يراجع، فالتقييد لُبيّ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مقابل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مُؤْمِناً خَطَأً فَتَحْرِيرُ رَقَبَةٍ مُؤْمِنَةٍ وَدِيَةٌ مُسَلَّمَةٌ إِلى أهْلِهِ إلّا أن يَصَّدَّقُوا</w:t>
      </w:r>
      <w:r>
        <w:rPr>
          <w:rStyle w:val="FootnoteAnchor"/>
          <w:rtl w:val="true"/>
        </w:rPr>
        <w:footnoteReference w:id="51"/>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يَقْتُلْ مُؤْمِناً مُتَعَمِّداً</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مربوط بالجزاء الأُخروي والحرمة، لا القصاص والعقوبة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فعدم جواز القصاص في موارد الشكّ في تحقّق العمد وإن كان هو الموافق لاستصحاب حرمة القتل وعدم جوازه وللاحتياط في الدماء، فإنّ القصاص هو المحتاج إلى الدليل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إطلاق الكتاب لا سيّما القسم الثاني من آياته هو القصاص في تلك الموارد، فإنّ الإطلاق محكّم حتّى يثبت خلافه، والمفروض عدم الدليل على الخلاف، وقصور أدلّه حرمة القصاص عن الشمول لتلك الموارد المشكوكة، فلا وجه لرفع اليد عنه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إطلاق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حرمةالقصاص </w:t>
      </w:r>
      <w:bookmarkStart w:id="53" w:name="pg9428_72152"/>
    </w:p>
    <w:p>
      <w:pPr>
        <w:pStyle w:val="BookText"/>
        <w:rPr/>
      </w:pPr>
      <w:bookmarkEnd w:id="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الموارد المشكوكة، لكنّ الأصل اللفظي من جهة الإطلاق المحكّم والمقدّم عليه تقدّم الدليل على الأصل وحكومته أو وروده عليه، جوازه من دون فرق في ذلك بين أسباب الشكّ وجهاته</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5797435_2870459653"/>
      <w:bookmarkStart w:id="55" w:name="_Toc18"/>
      <w:bookmarkEnd w:id="54"/>
      <w:r>
        <w:rPr>
          <w:rtl w:val="true"/>
        </w:rPr>
        <w:t>أقسام القتل</w:t>
      </w:r>
      <w:bookmarkEnd w:id="55"/>
    </w:p>
    <w:p>
      <w:pPr>
        <w:pStyle w:val="BookText"/>
        <w:rPr/>
      </w:pPr>
      <w:r>
        <w:rPr>
          <w:rFonts w:ascii="Amiri" w:hAnsi="Amiri" w:eastAsia="Amiri" w:cs="Amiri"/>
          <w:color w:val="111111"/>
          <w:sz w:val="28"/>
          <w:sz w:val="28"/>
          <w:szCs w:val="28"/>
          <w:rtl w:val="true"/>
          <w:lang w:bidi="ar-SA"/>
        </w:rPr>
        <w:t xml:space="preserve">ولنذكر هنا تفصيل صور ما أشار إليه الماتن في قتل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أحال تفصيله إلى كتاب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تتميماً للبحث فعلاً ووفاقاً لطبع البحث، وأقول مستعيناً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الصور أربعة، فإنّ القاتل إمّا أن يكون عامداً وقاصداً، وإمّا أن لا يكون كذلك، وفي كلٍّ منهما إمّا تكون الآلة ممّا يقتل بها غالباً وإمّا لا تكون كذلك، بل القتل بها نادر، فالصور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القتل بالآلة القتّالة وبما يقتل به غالباً، وكون القتل كذلك عمداً موجباً للقصاص بديهي غير محتاج إلى البيان ويكون مشمولاً ومدلولاً بالكتاب والسنّة ومتيقّناً منهما قطعاً، كيف وإن لم يكن القتل كذلك موجباً له فلا موجب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 إلّا في الآلة من حيث إنّها ممّا لا يغلب بها القتل، كالرمي بالحصاة بقصد القتل، وفيه قولان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عمد أيضاً، كما في الشرائع</w:t>
      </w:r>
      <w:r>
        <w:rPr>
          <w:rStyle w:val="FootnoteAnchor"/>
          <w:rtl w:val="true"/>
        </w:rPr>
        <w:footnoteReference w:id="53"/>
      </w:r>
      <w:r>
        <w:rPr>
          <w:rFonts w:ascii="IRNazanin" w:hAnsi="IRNazanin" w:eastAsia="IRNazanin"/>
          <w:color w:val="111111"/>
          <w:sz w:val="28"/>
          <w:sz w:val="28"/>
          <w:szCs w:val="28"/>
          <w:rtl w:val="true"/>
          <w:lang w:bidi="fa-IR"/>
        </w:rPr>
        <w:t>والنافع</w:t>
      </w:r>
      <w:r>
        <w:rPr>
          <w:rStyle w:val="FootnoteAnchor"/>
          <w:rtl w:val="true"/>
        </w:rPr>
        <w:footnoteReference w:id="54"/>
      </w:r>
      <w:r>
        <w:rPr>
          <w:rFonts w:ascii="Amiri" w:hAnsi="Amiri" w:eastAsia="Amiri" w:cs="Amiri"/>
          <w:color w:val="111111"/>
          <w:sz w:val="28"/>
          <w:sz w:val="28"/>
          <w:szCs w:val="28"/>
          <w:rtl w:val="true"/>
          <w:lang w:bidi="ar-SA"/>
        </w:rPr>
        <w:t>وكتب الفاضل،</w:t>
      </w:r>
      <w:r>
        <w:rPr>
          <w:rStyle w:val="FootnoteAnchor"/>
          <w:rtl w:val="true"/>
        </w:rPr>
        <w:footnoteReference w:id="55"/>
      </w:r>
      <w:r>
        <w:rPr>
          <w:rFonts w:ascii="IRNazanin" w:hAnsi="IRNazanin" w:eastAsia="IRNazanin"/>
          <w:color w:val="111111"/>
          <w:sz w:val="28"/>
          <w:sz w:val="28"/>
          <w:szCs w:val="28"/>
          <w:rtl w:val="true"/>
          <w:lang w:bidi="fa-IR"/>
        </w:rPr>
        <w:t xml:space="preserve">ومحتمل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w:t>
      </w:r>
      <w:r>
        <w:rPr>
          <w:rStyle w:val="FootnoteAnchor"/>
          <w:rtl w:val="true"/>
        </w:rPr>
        <w:footnoteReference w:id="56"/>
      </w:r>
      <w:r>
        <w:rPr>
          <w:rFonts w:ascii="Amiri" w:hAnsi="Amiri" w:eastAsia="Amiri" w:cs="Amiri"/>
          <w:color w:val="111111"/>
          <w:sz w:val="28"/>
          <w:sz w:val="28"/>
          <w:szCs w:val="28"/>
          <w:rtl w:val="true"/>
          <w:lang w:bidi="ar-SA"/>
        </w:rPr>
        <w:t>وصريح الفاضل المقداد في الكنز</w:t>
      </w:r>
      <w:r>
        <w:rPr>
          <w:rStyle w:val="FootnoteAnchor"/>
          <w:rtl w:val="true"/>
        </w:rPr>
        <w:footnoteReference w:id="57"/>
      </w:r>
      <w:r>
        <w:rPr>
          <w:rFonts w:ascii="Amiri" w:hAnsi="Amiri" w:eastAsia="Amiri" w:cs="Amiri"/>
          <w:color w:val="111111"/>
          <w:sz w:val="28"/>
          <w:sz w:val="28"/>
          <w:szCs w:val="28"/>
          <w:rtl w:val="true"/>
          <w:lang w:bidi="ar-SA"/>
        </w:rPr>
        <w:t>والتنقيح،</w:t>
      </w:r>
      <w:r>
        <w:rPr>
          <w:rStyle w:val="FootnoteAnchor"/>
          <w:rtl w:val="true"/>
        </w:rPr>
        <w:footnoteReference w:id="58"/>
      </w:r>
      <w:r>
        <w:rPr>
          <w:rFonts w:ascii="Amiri" w:hAnsi="Amiri" w:eastAsia="Amiri" w:cs="Amiri"/>
          <w:color w:val="111111"/>
          <w:sz w:val="28"/>
          <w:sz w:val="28"/>
          <w:szCs w:val="28"/>
          <w:rtl w:val="true"/>
          <w:lang w:bidi="ar-SA"/>
        </w:rPr>
        <w:t>وعن ابن حمزة،</w:t>
      </w:r>
      <w:r>
        <w:rPr>
          <w:rStyle w:val="FootnoteAnchor"/>
          <w:rtl w:val="true"/>
        </w:rPr>
        <w:footnoteReference w:id="59"/>
      </w:r>
      <w:r>
        <w:rPr>
          <w:rFonts w:ascii="Amiri" w:hAnsi="Amiri" w:eastAsia="Amiri" w:cs="Amiri"/>
          <w:color w:val="111111"/>
          <w:sz w:val="28"/>
          <w:sz w:val="28"/>
          <w:szCs w:val="28"/>
          <w:rtl w:val="true"/>
          <w:lang w:bidi="ar-SA"/>
        </w:rPr>
        <w:t>وهو ظاهر الغنية</w:t>
      </w:r>
      <w:r>
        <w:rPr>
          <w:rStyle w:val="FootnoteAnchor"/>
          <w:rtl w:val="true"/>
        </w:rPr>
        <w:footnoteReference w:id="60"/>
      </w:r>
      <w:r>
        <w:rPr>
          <w:rFonts w:ascii="Amiri" w:hAnsi="Amiri" w:eastAsia="Amiri" w:cs="Amiri"/>
          <w:color w:val="111111"/>
          <w:sz w:val="28"/>
          <w:sz w:val="28"/>
          <w:szCs w:val="28"/>
          <w:rtl w:val="true"/>
          <w:lang w:bidi="ar-SA"/>
        </w:rPr>
        <w:t>نافياً الخلاف عنه، وعليه الشهيد الثاني في شرحيه على اللمعة</w:t>
      </w:r>
      <w:r>
        <w:rPr>
          <w:rStyle w:val="FootnoteAnchor"/>
          <w:rtl w:val="true"/>
        </w:rPr>
        <w:footnoteReference w:id="61"/>
      </w:r>
      <w:r>
        <w:rPr>
          <w:rFonts w:ascii="IRNazanin" w:hAnsi="IRNazanin" w:eastAsia="IRNazanin"/>
          <w:color w:val="111111"/>
          <w:sz w:val="28"/>
          <w:sz w:val="28"/>
          <w:szCs w:val="28"/>
          <w:rtl w:val="true"/>
          <w:lang w:bidi="fa-IR"/>
        </w:rPr>
        <w:t>والشرائع</w:t>
      </w:r>
      <w:r>
        <w:rPr>
          <w:rStyle w:val="FootnoteAnchor"/>
          <w:rtl w:val="true"/>
        </w:rPr>
        <w:footnoteReference w:id="62"/>
      </w:r>
      <w:r>
        <w:rPr>
          <w:rFonts w:ascii="Amiri" w:hAnsi="Amiri" w:eastAsia="Amiri" w:cs="Amiri"/>
          <w:color w:val="111111"/>
          <w:sz w:val="28"/>
          <w:sz w:val="28"/>
          <w:szCs w:val="28"/>
          <w:rtl w:val="true"/>
          <w:lang w:bidi="ar-SA"/>
        </w:rPr>
        <w:t>وغيره من المتأخّرين، بل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عليه عامتهم، بل لم أجد الخلاف فيه وإن نقلوه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اللمعة</w:t>
      </w:r>
      <w:r>
        <w:rPr>
          <w:rStyle w:val="FootnoteAnchor"/>
          <w:rtl w:val="true"/>
        </w:rPr>
        <w:footnoteReference w:id="63"/>
      </w:r>
      <w:r>
        <w:rPr>
          <w:rFonts w:ascii="Amiri" w:hAnsi="Amiri" w:eastAsia="Amiri" w:cs="Amiri"/>
          <w:color w:val="111111"/>
          <w:sz w:val="28"/>
          <w:sz w:val="28"/>
          <w:szCs w:val="28"/>
          <w:rtl w:val="true"/>
          <w:lang w:bidi="ar-SA"/>
        </w:rPr>
        <w:t>التردّد فيه؛ حيث نسب ما في العبارة إلى القيل مشعراً بتمريضه أو متردّداً فيه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عمد، وفي اللثام</w:t>
      </w:r>
      <w:r>
        <w:rPr>
          <w:rStyle w:val="FootnoteAnchor"/>
          <w:rtl w:val="true"/>
        </w:rPr>
        <w:footnoteReference w:id="65"/>
      </w:r>
      <w:r>
        <w:rPr>
          <w:rFonts w:ascii="Amiri" w:hAnsi="Amiri" w:eastAsia="Amiri" w:cs="Amiri"/>
          <w:color w:val="111111"/>
          <w:sz w:val="28"/>
          <w:sz w:val="28"/>
          <w:szCs w:val="28"/>
          <w:rtl w:val="true"/>
          <w:lang w:bidi="ar-SA"/>
        </w:rPr>
        <w:t>نسبته إلى ظاهر الأكثر، إلّا أنّ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لم نتحقّقه</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فالأوّل هو الأقوى، بل المتعيّن؛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مقتضى الإطلاق والأصل اللفظي الذي مرّ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 محقّق في القتل والفعل معاً كالصورة الأُولى، ولا دخاله للآلة لغةً وعرفاً في الصدق حتّى تكون الصورة مغايرة للأُولى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وللأخبار، كصحيح عبدالرحمن بن الحجّاج،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عندنا ليقيدون بالوكزة، وإنّما الخطأ أن يريد الشيء فيصيب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فإنّ القدر المتيقّن، بل الظاهر منه ما كانت الوكزة بقصد القتل، وهي ممّا لا يُقتل بها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وصحيح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العمد كلّ ما اعتمد شيئاً فأصابه بحديدة أو بحجر أو بعصا أو بوكزة، فهذا كلّه عمد، والخطأ من اعتمد شيئاً فأصاب غيره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وفيه دلالة على أنّ المعيار في العمد القصد إلى الفعل وكفاية مطلق الآلة ولو مثل الوكزة أو العصا ممّا لا يحصل القتل بهما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ومرسل جميل،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العمد كلّ ما عمد به الضرب فعليه القود، وإنّما الخطأ أن تريد الشيء فتصيب غيره</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أوضح من صحيح الحلبي؛ للتصريح فيها بقتل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رجلاًضرب رجلاً بخزفة أو بآجرة أو بعود فمات كان عمداً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والظاهر أنّ التمثيل بالثلاثة لبيان عدم دخل الغالبيّة للآلة في صدق القتل، وأنّه صادق مع هذه الآلات غير الغالبيّة، وإن أبيتَ فالاستدلال بإطلاقها في محلّه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ومرسل ابن أبي عمير، عن بعض أصحابه،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كلّما أُريد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ففيه القود، وإنّما الخطأ أن تريد الشيء فتصيب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ودلالته بالعموم على كفاية مطلق الآلة بشرط العمد في القتل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عبدالرحمن بن الحجّاج،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الخطأ أن تريد شيئاً فتصيب غيره، فأمّا كلّ شيء قصدت إليه فأصبته فهو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ودلالته كالمرسل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الأخبار المستفيضة الدالّة على القول الأوّل عموماً كجُلّها، أو ظهوراً كصحيحي الحلبي وابن الحجّاج وخبر أبي بصير على ما ذكرناه في كيفيّة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له بوجوه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الاحتياط، ومن أنّه لما لم تكن الآلة ممّا يقتل بها عادة فاجتماع القصد معها كالقصد بلا ضرب، ومن الأخبار الأُخرى المستفيضة، مضافاً إلى النصوص الدالّة على عدم العمد بضرب الرجل بالعصا أو بالحجر بضربة واحدة فمات بها قبل أن يتكلّم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لأبي العبّاس،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أرمي الرجل بالشيء الذي لا يقتل مثله،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حصاة صغيرة فرمى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أرمي الشاة فاُصيب رجلاً،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هذاالخطأ الذي لا شكّ فيه، والعمد الذي يضرب بالشيء الذي يقتل بمثله</w:t>
      </w:r>
      <w:r>
        <w:rPr>
          <w:rFonts w:eastAsia="IRNazanin" w:cs="IRNazanin"/>
          <w:color w:val="111111"/>
          <w:sz w:val="28"/>
          <w:szCs w:val="28"/>
          <w:rtl w:val="true"/>
          <w:lang w:bidi="fa-IR"/>
        </w:rPr>
        <w:t>».</w:t>
      </w:r>
      <w:r>
        <w:rPr>
          <w:rStyle w:val="FootnoteAnchor"/>
          <w:rtl w:val="true"/>
        </w:rPr>
        <w:footnoteReference w:id="7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الخطأ شبه العمد أن تقتله بالسوط أو بالعصا أو بالحجارة، إنّ دية ذلك تغلظ، وهي مائة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أبي العبّاس وزرارة،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العمد أن يتعمّده فيقتله بما يقتل مثله، والخطأ أن يتعمّده ولا يريد قتله، يقتله بما لا يقتل مثله، والخطأ الذي لا شكّ فيه أن يتعمّد شيئاً آخر فيصيبه</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هذا، مع إمكان الجواب عن النصوص المتقدّمة بحمل العمد فيها على ما يشمل شبه العمد؛ لمقابلته بالخطأ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لهذه الأخبار على المدّعى أوّلاً، أمّا الموثّق، فإنّ الظاهر منه بالقرينة الداخليّة والخارجيّة كون مراد السائل الرمي بما لا يقتل بمثله مع عدم قصد القتل، فلا محلّ للاستفصال حتّى يكون عدمه دليلاً على الأعمّ منه ومن قصد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الداخليّة، فأخذه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الحصاة والرمي بها، حيث إنّ تعليمه العملي للرمي بقصد الضرب العدواني، فضلاً عمّا قصد به القتل بعيد عن ساحة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يكون من عباده المخلصين إن لم نقل بامتناعه، فتعليمه لابدّ وأن يكون لعدم قصد القتل، وفيه دلالة على مرادالسائل كما لا يخفى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الخارجيّة،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موثّق أبي العبّاس وزرارة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والخطأ أن يتعمّده ولا يريد قتله، يقتله بما لا يقتل مثله</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والاستدلال بذيل الموثّق،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والعمد الذي يضرب الشيء الذي يقتل بمثله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الوصف بالصلة ليس لبيان الشرطيّة، بل لبيان اللازم الواقعي لقتل العمد؛ بمعنى أنّ من يريد القتل فيقتله بما يقتل بمثله بحسب العادة، ويشهد على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موثّق أبي العبّاس وزرارة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العمد أن يتعمّده فيقتله بما يقتل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فرّع القتل بالآلة القتّالة على التعمّد، فذلك بيان للواقع والعادة لا الشرطيّة للصدق، وإلّا لم يفرّعه بالفاء ولم يجعله جزاءً، وتظهر الشهادة على ذلك أيضاً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والخطأ أن يتعمّده ولا يريد قتله، يقتله بما لا يقتل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القتل بالآلة غير القتّالة جزاءٌ للشرط لا شرطاً في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ظاهر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وجزاءً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الأمر العادي لا الشرط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جيّداً وتأ‌مّل في كلمات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تطّلع على مقاصدهم العالية وأحكامهم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 فالظاهر منه أيضاً صورة عدم قصد القتل، حيث إنّ الشباهة بالعمد في الخطأ ليست إلّا بقصد الضرب دون القتل، وإلّا فهو عمدٌ، ومع عدمها خطأٌ محضٌ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بيان شبه العمد من الخطأ الذي تغلظ ديته على دية الخطأ المحض، وهو محقّق عرفاً ولغةً مع قصد الضرب دونالقتل، فعمده في الضرب وخطأه في القتل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موثّق أبي العبّاس وزرارة، فالظاهر منه بيان العادة لا الشرط كما 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تحقيقه،</w:t>
      </w:r>
      <w:r>
        <w:rPr>
          <w:rStyle w:val="FootnoteAnchor"/>
          <w:rtl w:val="true"/>
        </w:rPr>
        <w:footnoteReference w:id="78"/>
      </w:r>
      <w:r>
        <w:rPr>
          <w:rFonts w:ascii="Amiri" w:hAnsi="Amiri" w:eastAsia="Amiri" w:cs="Amiri"/>
          <w:color w:val="111111"/>
          <w:sz w:val="28"/>
          <w:sz w:val="28"/>
          <w:szCs w:val="28"/>
          <w:rtl w:val="true"/>
          <w:lang w:bidi="ar-SA"/>
        </w:rPr>
        <w:t>فهو كسابقَيه مربوط بعدم قصد القتل، وعن محلّ البحث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أنّ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مكافئة للنصوص السابقة ثانياً؛ وذلك لما فيها من الترجيح عليها بموافقة الكتاب والشهرة وكثرة العدد وأوضحيّة الدلالة، لما فيها من القود الذي هو نصٌّ في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ولننقل عبارة الرياض؛ لما فيها من التوضيح لبعض ما ذكر، ومن الجواب عن بقيّة الوجوه، ففيه بعد بيانه للوجوه الثلاثة وإمكان الجواب عن النصوص الدالّة على القول الأوّل بحمل العمد فيها على شبه العمد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بإمكان حمل الأخبار الأخيرة على صورة عدم القصد إلى القتل، كما هو الغالب في الضرب بما لا يقتل إلّا نادراً، مع ضعف الشاهد على الحمل الأوّل بتضمّن جملة منها التصريح بالقود في العمد، وهو لا يجامع حمله على شبه العمد أو ما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لا داعي إلى هذا الحمل سوى الاحتياط الغير اللازم مراعاته بعد قيام الدليل من العمومات والنصوص الصحيحة الظاهرة على خلافه، والتعليل بعده في غاية من الضعف، سيّما في مقابلتها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والنصوص 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دلالتها جملة كما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أكثرها ضعيفة السند، والمعتبرة منها بحسبه غير مكافئة للأدلّةمن وجوه عديدة، مع مخالفة الصحيح منها وما في معناه للإجماع ظاهراً؛ لجعلهما القتل بالسيف من قسم شبه العمد مطلقاً، ولا قائل به مطلقاً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الصحيح وما في معناه للإجماع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نظره إلى المرسل عن ابن سنان على نقله السيف بدل السوط، وهو مخالفٌ لنقل الوسائل</w:t>
      </w:r>
      <w:r>
        <w:rPr>
          <w:rStyle w:val="FootnoteAnchor"/>
          <w:rtl w:val="true"/>
        </w:rPr>
        <w:footnoteReference w:id="80"/>
      </w:r>
      <w:r>
        <w:rPr>
          <w:rFonts w:ascii="Amiri" w:hAnsi="Amiri" w:eastAsia="Amiri" w:cs="Amiri"/>
          <w:color w:val="111111"/>
          <w:sz w:val="28"/>
          <w:sz w:val="28"/>
          <w:szCs w:val="28"/>
          <w:rtl w:val="true"/>
          <w:lang w:bidi="ar-SA"/>
        </w:rPr>
        <w:t>والكافي</w:t>
      </w:r>
      <w:r>
        <w:rPr>
          <w:rStyle w:val="FootnoteAnchor"/>
          <w:rtl w:val="true"/>
        </w:rPr>
        <w:footnoteReference w:id="81"/>
      </w:r>
      <w:r>
        <w:rPr>
          <w:rFonts w:ascii="Amiri" w:hAnsi="Amiri" w:eastAsia="Amiri" w:cs="Amiri"/>
          <w:color w:val="111111"/>
          <w:sz w:val="28"/>
          <w:sz w:val="28"/>
          <w:szCs w:val="28"/>
          <w:rtl w:val="true"/>
          <w:lang w:bidi="ar-SA"/>
        </w:rPr>
        <w:t>والتهذيب</w:t>
      </w:r>
      <w:r>
        <w:rPr>
          <w:rStyle w:val="FootnoteAnchor"/>
          <w:rtl w:val="true"/>
        </w:rPr>
        <w:footnoteReference w:id="82"/>
      </w:r>
      <w:r>
        <w:rPr>
          <w:rFonts w:ascii="IRNazanin" w:hAnsi="IRNazanin" w:eastAsia="IRNazanin"/>
          <w:color w:val="111111"/>
          <w:sz w:val="28"/>
          <w:sz w:val="28"/>
          <w:szCs w:val="28"/>
          <w:rtl w:val="true"/>
          <w:lang w:bidi="fa-IR"/>
        </w:rPr>
        <w:t>والاستبصار</w:t>
      </w:r>
      <w:r>
        <w:rPr>
          <w:rStyle w:val="FootnoteAnchor"/>
          <w:rtl w:val="true"/>
        </w:rPr>
        <w:footnoteReference w:id="83"/>
      </w:r>
      <w:r>
        <w:rPr>
          <w:rFonts w:ascii="Amiri" w:hAnsi="Amiri" w:eastAsia="Amiri" w:cs="Amiri"/>
          <w:color w:val="111111"/>
          <w:sz w:val="28"/>
          <w:sz w:val="28"/>
          <w:szCs w:val="28"/>
          <w:rtl w:val="true"/>
          <w:lang w:bidi="ar-SA"/>
        </w:rPr>
        <w:t>والفقيه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نعم، على صحّة نقله فالمخالفة للإجماع في محلّه، لكنّ الشأن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فيه قصد القتل ولا الآلة قتّالة، بل فيه قصد الفعل فقط، كالضرب بالحصاة الصغار والعود الخفيف ونحوهما في غير مقتل بغير قصد القتل، وفيه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عمدٌ، كما عن الشيخ في المبسوط</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إمّا مطلقاً، كما حكاه عنه جماعة،</w:t>
      </w:r>
      <w:r>
        <w:rPr>
          <w:rStyle w:val="FootnoteAnchor"/>
          <w:rtl w:val="true"/>
        </w:rPr>
        <w:footnoteReference w:id="86"/>
      </w:r>
      <w:r>
        <w:rPr>
          <w:rFonts w:ascii="Amiri" w:hAnsi="Amiri" w:eastAsia="Amiri" w:cs="Amiri"/>
          <w:color w:val="111111"/>
          <w:sz w:val="28"/>
          <w:sz w:val="28"/>
          <w:szCs w:val="28"/>
          <w:rtl w:val="true"/>
          <w:lang w:bidi="ar-SA"/>
        </w:rPr>
        <w:t>أو في الأشياء المحدّدة خاصّة، كما حكاه عنه الفاضل الأصبهاني في كشف اللثام</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خطأ شبه العمد، وهو الأشهر، كما فيالنافع</w:t>
      </w:r>
      <w:r>
        <w:rPr>
          <w:rStyle w:val="FootnoteAnchor"/>
          <w:rtl w:val="true"/>
        </w:rPr>
        <w:footnoteReference w:id="88"/>
      </w:r>
      <w:r>
        <w:rPr>
          <w:rFonts w:ascii="Amiri" w:hAnsi="Amiri" w:eastAsia="Amiri" w:cs="Amiri"/>
          <w:color w:val="111111"/>
          <w:sz w:val="28"/>
          <w:sz w:val="28"/>
          <w:szCs w:val="28"/>
          <w:rtl w:val="true"/>
          <w:lang w:bidi="ar-SA"/>
        </w:rPr>
        <w:t>والمسالك،</w:t>
      </w:r>
      <w:r>
        <w:rPr>
          <w:rStyle w:val="FootnoteAnchor"/>
          <w:rtl w:val="true"/>
        </w:rPr>
        <w:footnoteReference w:id="89"/>
      </w:r>
      <w:r>
        <w:rPr>
          <w:rFonts w:ascii="IRNazanin" w:hAnsi="IRNazanin" w:eastAsia="IRNazanin"/>
          <w:color w:val="111111"/>
          <w:sz w:val="28"/>
          <w:sz w:val="28"/>
          <w:szCs w:val="28"/>
          <w:rtl w:val="true"/>
          <w:lang w:bidi="fa-IR"/>
        </w:rPr>
        <w:t xml:space="preserve">بل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المشهور، كما في المجمع،</w:t>
      </w:r>
      <w:r>
        <w:rPr>
          <w:rStyle w:val="FootnoteAnchor"/>
          <w:rtl w:val="true"/>
        </w:rPr>
        <w:footnoteReference w:id="90"/>
      </w:r>
      <w:r>
        <w:rPr>
          <w:rFonts w:ascii="Amiri" w:hAnsi="Amiri" w:eastAsia="Amiri" w:cs="Amiri"/>
          <w:color w:val="111111"/>
          <w:sz w:val="28"/>
          <w:sz w:val="28"/>
          <w:szCs w:val="28"/>
          <w:rtl w:val="true"/>
          <w:lang w:bidi="ar-SA"/>
        </w:rPr>
        <w:t>بل لا خلاف فيه بين المتأخّرين، بل عن الغنية</w:t>
      </w:r>
      <w:r>
        <w:rPr>
          <w:rStyle w:val="FootnoteAnchor"/>
          <w:rtl w:val="true"/>
        </w:rPr>
        <w:footnoteReference w:id="91"/>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الآيات،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w:t>
      </w:r>
      <w:r>
        <w:rPr>
          <w:rFonts w:ascii="IRNazanin" w:hAnsi="IRNazanin" w:eastAsia="IRNazanin"/>
          <w:color w:val="111111"/>
          <w:sz w:val="28"/>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الحُرُّ بِالْحُرِّ</w:t>
      </w:r>
      <w:r>
        <w:rPr>
          <w:rFonts w:ascii="IRNazanin" w:hAnsi="IRNazanin" w:eastAsia="IRNazanin"/>
          <w:color w:val="111111"/>
          <w:sz w:val="28"/>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وَمَنْ قُتِلَ مَظْلُوماً فَقَدْ جَعَلْنَا لِوَلِيِّهِ سُلْطَاناً</w:t>
      </w:r>
      <w:r>
        <w:rPr>
          <w:rFonts w:ascii="IRNazanin" w:hAnsi="IRNazanin" w:eastAsia="IRNazanin"/>
          <w:color w:val="111111"/>
          <w:sz w:val="28"/>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وعموم الروايات، مثل 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العمد كلّ ما اعتمد شيئاً فأصابه بحديدة أو بحجر أو بعصا أو بوكزة فهذا كلّه عمد، والخطأ من اعتمد شيئاً فأصاب غيره</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ورواية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ضرب رجلاً بخزفة أو بآجرة أو بعود فمات كان عمداً</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ومرسلة جميل، عن بعض أصحابه،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العمد كلّ ما عمد به الضرب فعليه القود، وإنّما الخطأ أن تريد الشيء فتُصيب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 على نفسه بالقتل، قُتِل وإن لم يكن عليهبيّنة</w:t>
      </w:r>
      <w:r>
        <w:rPr>
          <w:rFonts w:eastAsia="IRNazanin" w:cs="IRNazanin"/>
          <w:color w:val="111111"/>
          <w:sz w:val="28"/>
          <w:szCs w:val="28"/>
          <w:rtl w:val="true"/>
          <w:lang w:bidi="fa-IR"/>
        </w:rPr>
        <w:t>».</w:t>
      </w:r>
      <w:r>
        <w:rPr>
          <w:rStyle w:val="FootnoteAnchor"/>
          <w:rtl w:val="true"/>
        </w:rPr>
        <w:footnoteReference w:id="9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في صحيحة عبدالرحمان بن الحجّاج،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الخطأ أن يريد شيئاً فيصيب غيره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آية السلطنة</w:t>
      </w:r>
      <w:r>
        <w:rPr>
          <w:rStyle w:val="FootnoteAnchor"/>
          <w:rtl w:val="true"/>
        </w:rPr>
        <w:footnoteReference w:id="99"/>
      </w:r>
      <w:r>
        <w:rPr>
          <w:rFonts w:ascii="Amiri" w:hAnsi="Amiri" w:eastAsia="Amiri" w:cs="Amiri"/>
          <w:color w:val="111111"/>
          <w:sz w:val="28"/>
          <w:sz w:val="28"/>
          <w:szCs w:val="28"/>
          <w:rtl w:val="true"/>
          <w:lang w:bidi="ar-SA"/>
        </w:rPr>
        <w:t xml:space="preserve">فموضوعها المقتول مظلوماً، وصدقه مع عدم القصد إلى القتل ولا إلى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الآلة القتّالة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بل ممنوعٌ، فإنّ المقتول في المورد مقتول اتّفاقاً وإن كان مضروباً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آية النفس،</w:t>
      </w:r>
      <w:r>
        <w:rPr>
          <w:rStyle w:val="FootnoteAnchor"/>
          <w:rtl w:val="true"/>
        </w:rPr>
        <w:footnoteReference w:id="100"/>
      </w:r>
      <w:r>
        <w:rPr>
          <w:rFonts w:ascii="Amiri" w:hAnsi="Amiri" w:eastAsia="Amiri" w:cs="Amiri"/>
          <w:color w:val="111111"/>
          <w:sz w:val="28"/>
          <w:sz w:val="28"/>
          <w:szCs w:val="28"/>
          <w:rtl w:val="true"/>
          <w:lang w:bidi="ar-SA"/>
        </w:rPr>
        <w:t>فمربوطة بالقصاص وهو منوط بالعمد في القتل المحلّ للكلام فكيف الاستدلال بها؟ وبذلك يظهر الإشكال في عموم الأخبار؛</w:t>
      </w:r>
      <w:r>
        <w:rPr>
          <w:rStyle w:val="FootnoteAnchor"/>
          <w:rtl w:val="true"/>
        </w:rPr>
        <w:footnoteReference w:id="101"/>
      </w:r>
      <w:r>
        <w:rPr>
          <w:rFonts w:ascii="Amiri" w:hAnsi="Amiri" w:eastAsia="Amiri" w:cs="Amiri"/>
          <w:color w:val="111111"/>
          <w:sz w:val="28"/>
          <w:sz w:val="28"/>
          <w:szCs w:val="28"/>
          <w:rtl w:val="true"/>
          <w:lang w:bidi="ar-SA"/>
        </w:rPr>
        <w:t>حيث إنّ العموم تابع للصدق، وصدق العمد في القتل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فرض كون العموم من جهة التعبّد والادّعاء فالاستدلال تامّ، لكنّ الشأن فيه، فإنّ الادّعاء مخالف للظاهر ولا يُصار إليه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الحصر، فمن المحتمل أن يكون بالنسبة إلى الخطأ المنسوب للعمد، ويشهد عليه خبر أبي العبّاس وزرارة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الدلالة في تلك الأدلّة بأجمعها ليست إلّا بالإطلاق وعلى التماميّة، فمقيّدة بالأخبارالآتية الخاصّة الدالّة على عدم كون المبحوث عنه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ما في مجمع الفائدة والبرهان</w:t>
      </w:r>
      <w:r>
        <w:rPr>
          <w:rStyle w:val="FootnoteAnchor"/>
          <w:rtl w:val="true"/>
        </w:rPr>
        <w:footnoteReference w:id="102"/>
      </w:r>
      <w:r>
        <w:rPr>
          <w:rFonts w:ascii="Amiri" w:hAnsi="Amiri" w:eastAsia="Amiri" w:cs="Amiri"/>
          <w:color w:val="111111"/>
          <w:sz w:val="28"/>
          <w:sz w:val="28"/>
          <w:szCs w:val="28"/>
          <w:rtl w:val="true"/>
          <w:lang w:bidi="ar-SA"/>
        </w:rPr>
        <w:t>من المناقشة في سند رواية أبي بصير وصحيحة الحلبي وعبدالرحمن، وإن أجاب عنها في الأخير بل الأخيرين، لكنّها للمناقشة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أبي العبّاس وزرارة،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العمد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يتعمّده فيقتله بما يقتل مثله، والخطأ أن يتعمّده ولا يريد قتله يقتله بما لا يقتل مثله، والخطأ الذي لا شكّ فيه أن يتعمّد شيئاً آخر فيصيبه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والموثّق الأوّل عن أبي العبّاس وحدة،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أرمي الرجل بالشيء الذي لا يقتل مثله،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حصاة صغيرة فرمى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أرمي الشاة فاُصيب رجلاً،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الخطأ الذي لا شكّ فيه، والعمد الذي يضرب بالشيء الذي يقتل بمثله</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والموثّق الثالث عن أبي العبّاس،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الخطأ الذي فيه الدية والكفّارة أهو أن يعتمّد ضرب رجل ولا يعتمّد قتله؟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شاة فأصاب إنساناً؟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الخطأ الذي لا شكّ فيه، عليه الدية والكفّارة</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وخبر علاء بن فضيل،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العمد الذي يضرب بالسلاح أو بالعصا لا يقلع عنه حتّى يقتل، والخطأ الذي لا يتعمّده</w:t>
      </w:r>
      <w:r>
        <w:rPr>
          <w:rFonts w:eastAsia="IRNazanin" w:cs="IRNazanin"/>
          <w:color w:val="111111"/>
          <w:sz w:val="28"/>
          <w:szCs w:val="28"/>
          <w:rtl w:val="true"/>
          <w:lang w:bidi="fa-IR"/>
        </w:rPr>
        <w:t>».</w:t>
      </w:r>
      <w:r>
        <w:rPr>
          <w:rStyle w:val="FootnoteAnchor"/>
          <w:rtl w:val="true"/>
        </w:rPr>
        <w:footnoteReference w:id="10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ومرسل يونس،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ضرب رجل رجلاً بعصا أو بحجر فمات من ضربة واحدة قبل أن يتكلّم فهو يشبه العمد، فالدية على القاتل، وإن علاه وألحّ عليه بالعصا أو بالحجارة حتّى يقتله فهو عمد يقتل به، وإن ضربه ضربة واحدة فتكلّم ثمّ مكث يوماً أو أكثر من يوم فهو شبه العمد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والأوّلان من الأحاديث نصٌّ في المطلوب، والبقيّة ظاهرة بالإطلاق كالثالث والرابع، أو بالحمل على كون الضربة الواحدة بغير القتّالة بقرينة التقييد بالموت بها وأنّه شبه العمد في الخامس، وهو مرسل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إلى الفعل دون القتل، لكن مع كون الآلة ممّا يقتل بها غالباً كالضرب بالسيف أو السهم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خلاف في كونه عمداً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لذلك بوجوهٍ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السبب مع العلم بالسببيّة قصدٌ للمسبّب كما في اللثام،</w:t>
      </w:r>
      <w:r>
        <w:rPr>
          <w:rStyle w:val="FootnoteAnchor"/>
          <w:rtl w:val="true"/>
        </w:rPr>
        <w:footnoteReference w:id="108"/>
      </w:r>
      <w:r>
        <w:rPr>
          <w:rFonts w:ascii="Amiri" w:hAnsi="Amiri" w:eastAsia="Amiri" w:cs="Amiri"/>
          <w:color w:val="111111"/>
          <w:sz w:val="28"/>
          <w:sz w:val="28"/>
          <w:szCs w:val="28"/>
          <w:rtl w:val="true"/>
          <w:lang w:bidi="ar-SA"/>
        </w:rPr>
        <w:t>أو أنّ القصد إلى الفعل المزبور كالقصد إلى القتل كما في الرياض</w:t>
      </w:r>
      <w:r>
        <w:rPr>
          <w:rStyle w:val="FootnoteAnchor"/>
          <w:rtl w:val="true"/>
        </w:rPr>
        <w:footnoteReference w:id="109"/>
      </w:r>
      <w:r>
        <w:rPr>
          <w:rFonts w:ascii="IRNazanin" w:hAnsi="IRNazanin" w:eastAsia="IRNazanin"/>
          <w:color w:val="111111"/>
          <w:sz w:val="28"/>
          <w:sz w:val="28"/>
          <w:szCs w:val="28"/>
          <w:rtl w:val="true"/>
          <w:lang w:bidi="fa-IR"/>
        </w:rPr>
        <w:t>والجواهر،</w:t>
      </w:r>
      <w:r>
        <w:rPr>
          <w:rStyle w:val="FootnoteAnchor"/>
          <w:rtl w:val="true"/>
        </w:rPr>
        <w:footnoteReference w:id="110"/>
      </w:r>
      <w:r>
        <w:rPr>
          <w:rFonts w:ascii="Amiri" w:hAnsi="Amiri" w:eastAsia="Amiri" w:cs="Amiri"/>
          <w:color w:val="111111"/>
          <w:sz w:val="28"/>
          <w:sz w:val="28"/>
          <w:szCs w:val="28"/>
          <w:rtl w:val="true"/>
          <w:lang w:bidi="ar-SA"/>
        </w:rPr>
        <w:t>والظاهر رجوعهما إلى ما في اللثام، وأنّ المقصود واحد، فإنّ التشبيه إن لم يرجع إلى الملازمة المذكورة ليس بأزيد من الادّعاء وأشبه شيءٍ بالمصادرة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المفهوم من الغنية</w:t>
      </w:r>
      <w:r>
        <w:rPr>
          <w:rStyle w:val="FootnoteAnchor"/>
          <w:rtl w:val="true"/>
        </w:rPr>
        <w:footnoteReference w:id="111"/>
      </w:r>
      <w:r>
        <w:rPr>
          <w:rFonts w:ascii="Amiri" w:hAnsi="Amiri" w:eastAsia="Amiri" w:cs="Amiri"/>
          <w:color w:val="111111"/>
          <w:sz w:val="28"/>
          <w:sz w:val="28"/>
          <w:szCs w:val="28"/>
          <w:rtl w:val="true"/>
          <w:lang w:bidi="ar-SA"/>
        </w:rPr>
        <w:t>كما في الرياض</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المعتبرة للعمد الشاملة بإطلاقها لمن قصد القتل بما يقتل به غالباً، ولمن لم يقصده مع قصده الفعل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المستفيضة المعتبرة كصحيح الحلبيوخبر أبي الصباح الكناني جميعاً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سألناه عن رجل ضرب رجلاً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بعصا فلم يقلع عنه الضرب حتّى مات، أ يدفع إلى وليّ المقتول فيقتله؟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لا يترك يعبث به، ولكن يجيز عليه بالسيف</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ومثله خبر موسى بن بكر</w:t>
      </w:r>
      <w:r>
        <w:rPr>
          <w:rStyle w:val="FootnoteAnchor"/>
          <w:rtl w:val="true"/>
        </w:rPr>
        <w:footnoteReference w:id="114"/>
      </w:r>
      <w:r>
        <w:rPr>
          <w:rFonts w:ascii="Amiri" w:hAnsi="Amiri" w:eastAsia="Amiri" w:cs="Amiri"/>
          <w:color w:val="111111"/>
          <w:sz w:val="28"/>
          <w:sz w:val="28"/>
          <w:szCs w:val="28"/>
          <w:rtl w:val="true"/>
          <w:lang w:bidi="ar-SA"/>
        </w:rPr>
        <w:t>وسليمان بن خالد</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ووجه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السؤال عن القود في الصورة الرابعة، وهي صورة عدم القصد إلى القتل بالضرب المسؤول عنه بما يقتل به غالباً، بل السؤال كالنصّ في ذلك؛ حيث إنّ تحقّق العمد مع القصد إلى القتل فيما يقتل به غالباً ممّا لا إشكال ولا كلام فيه ويكون واضحاً غير محتاج إلى السؤال، فالعناية في السؤال لابدّ وأن يكون مع عدم القصد ومربوطاً بالرابعة، فالجواب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كونها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أبيت عن ذلك الظهور ففي ترك الاستفصال كفاية، ثمّ لا يخفى عليك ما في بقيّة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الإجماع المنقول في المسألة التي فيها وجوه ثلاثة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احتمال كونه مدركيّاً، فلعلّ الإجماع على القاعدة لا دون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حجّة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الملازمة بين قصد السبب مع العلم بالسببيّة، فتكون أخصّ منالمدّعى؛ لأنّها ثابتة مع ذلك العلم دون الغفلة عنها،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بكفاية القصد الارتكازي، ولعلّه المقصود للمستدلّ، وهو كما ترى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الإطلاق في النصوص، فقد عرفتَ أنّه لبيان العمد عرفاً لا ادّعاءً، فإثباته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بإطلاقها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المستفيضة التي جُعلت وجهاً رابعاً، ففيها أنّ الظاهر كون السؤال عن وقوع القتل بالآلة الغير القتّالة، فإنّ العصا ليس منها، كما لا ينبغي الشكّ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بل المتعيّن الاستدلال بآية السلطنة،</w:t>
      </w:r>
      <w:r>
        <w:rPr>
          <w:rStyle w:val="FootnoteAnchor"/>
          <w:rtl w:val="true"/>
        </w:rPr>
        <w:footnoteReference w:id="116"/>
      </w:r>
      <w:r>
        <w:rPr>
          <w:rFonts w:ascii="Amiri" w:hAnsi="Amiri" w:eastAsia="Amiri" w:cs="Amiri"/>
          <w:color w:val="111111"/>
          <w:sz w:val="28"/>
          <w:sz w:val="28"/>
          <w:szCs w:val="28"/>
          <w:rtl w:val="true"/>
          <w:lang w:bidi="ar-SA"/>
        </w:rPr>
        <w:t xml:space="preserve">فإنّ المناط فيها القتل ظلماً المحقّق في المورد قطعاً، وعدم قصد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مضرّ؛ لعدم دخالته في مناط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 اللازم من ذلك الحكم بالقود فيما لم تكن الآلة قتّالة أيضاً، فهما مشتركان في عدم القصد والعمد إلى القتل وفي كون القتل ظلماً؛ لوضوح الفرق بينهما عرفاً، فإنّ القتل في تلك الصورة اتّفاقيّة؛ لعدم القصد وعدم الغالبيّة، دون المبحوث عنه الذي يكون الغلبة في الآلة والفعل القتل، فإنّه ليس من باب الاتّفاق بنظر العرف بل ظلم، وأيّ ظلم أشدّ من قتله بضرب السيف على عنقه ولو مع عدم قصد القتل وغفلته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جهله بكون الآلة والفعل ممّا يكون كذلك وزعمه أنّه ممّا لا يقتل به غالباً، فالظاهر عدم القود؛ لعدم العمد لا تفصيلاً ولا إجمالاً، ولعدم كون المقتول ظلماً عرفاً، بل مقتول اتّفاقاً، مثل ما لو كان القتل به واقعاً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الظاهر أنّ المانع من صدق القتل ظلماً اعتقاد القاتل بالنسبة إلى الفعل، لا الواقع منه ثبوتاً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ادّعاؤه الجهل غير مسموع، فإنّه لو سُمعت دعواه بطلت أكثر الدماء،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فالجهل مانع والأصل القصاص، لا أنّ العلم شرط حتّى يعكس الأمر ويصير الأصل عدم القصاص إلّا مع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ذكرناه، وجوه المسائل التي ذكرها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الديات من التحرير</w:t>
      </w:r>
      <w:r>
        <w:rPr>
          <w:rStyle w:val="FootnoteAnchor"/>
          <w:rtl w:val="true"/>
        </w:rPr>
        <w:footnoteReference w:id="117"/>
      </w:r>
      <w:r>
        <w:rPr>
          <w:rFonts w:ascii="Amiri" w:hAnsi="Amiri" w:eastAsia="Amiri" w:cs="Amiri"/>
          <w:color w:val="111111"/>
          <w:sz w:val="28"/>
          <w:sz w:val="28"/>
          <w:szCs w:val="28"/>
          <w:rtl w:val="true"/>
          <w:lang w:bidi="ar-SA"/>
        </w:rPr>
        <w:t>تفصيلاً لما وعده في المقام، وتلك المسائل ثمانية من المسألة الأُولى إلى الثامنة من مسائل القول في أقسام القتل،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ولزيادة التوضيح في شبه العمد والخطأ ننقل عبارة القواعد</w:t>
      </w:r>
      <w:r>
        <w:rPr>
          <w:rStyle w:val="FootnoteAnchor"/>
          <w:rtl w:val="true"/>
        </w:rPr>
        <w:footnoteReference w:id="118"/>
      </w:r>
      <w:r>
        <w:rPr>
          <w:rFonts w:ascii="Amiri" w:hAnsi="Amiri" w:eastAsia="Amiri" w:cs="Amiri"/>
          <w:color w:val="111111"/>
          <w:sz w:val="28"/>
          <w:sz w:val="28"/>
          <w:szCs w:val="28"/>
          <w:rtl w:val="true"/>
          <w:lang w:bidi="ar-SA"/>
        </w:rPr>
        <w:t>والفاضل الأصبهاني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شبيه العمد، فهو أن يكون عامداً في فعله مخطئاً في قصده؛ لأنّه لم يقصد القتل ولكن أفضى إليه فعله، مثل أن يضرب للتأديب أو يمازح به أو يعالجه الطبيب فيموت، أو يقصد ضربه بما لا يقتل غالباً بقصد العدوان فيموت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الخطأ المحض الذي ورد في الأخبار أنّه الخطأ الذي لا شبهة فيه؛ بأن يكون مخطئاً في فعله وقصده جميعاً، وهو أن يفعل فعلاً لا يريد به إصابة المقتول فضلاً عن إرادة قتله فيصيبه، مثل أن يقصد صيداً أو هدفاً أو عدوّاً أو غيره فيصيبه؛ سواء كان بآلة قتّالة غالباً أو لا، أو أن لا يقصد الفعل أصلاً، كمن يزلق رجلهفيسقط على غيره فيقتله، أو ينقلب في النوم على طفل فيقتله</w:t>
      </w:r>
      <w:r>
        <w:rPr>
          <w:rFonts w:eastAsia="Amiri" w:cs="Amiri" w:ascii="Amiri" w:hAnsi="Amiri"/>
          <w:color w:val="111111"/>
          <w:sz w:val="28"/>
          <w:szCs w:val="28"/>
          <w:rtl w:val="true"/>
          <w:lang w:bidi="ar-SA"/>
        </w:rPr>
        <w:t>.</w:t>
      </w:r>
      <w:r>
        <w:rPr>
          <w:rStyle w:val="FootnoteAnchor"/>
          <w:rtl w:val="true"/>
        </w:rPr>
        <w:footnoteReference w:id="119"/>
      </w:r>
      <w:bookmarkStart w:id="56" w:name="pg9428_72167"/>
    </w:p>
    <w:p>
      <w:pPr>
        <w:pStyle w:val="BookText"/>
        <w:rPr/>
      </w:pPr>
      <w:bookmarkEnd w:id="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مباشرة، كالذبح والخنق باليد والضرب بالسيف والسكّين والحجر الغامز والجرح في المقتل، ونحوها ممّا يصدر بفعله المباشري عرفاً، ففيه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بالتسبيب بنحو، وفيه صور نذكرها في ضمن المسائل الآتية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5797437_2870459653"/>
      <w:bookmarkStart w:id="58" w:name="_Toc19"/>
      <w:bookmarkEnd w:id="57"/>
      <w:r>
        <w:rPr>
          <w:rtl w:val="true"/>
        </w:rPr>
        <w:t>المباشرة والتسبيب في القتل</w:t>
      </w:r>
      <w:bookmarkEnd w:id="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والتسبيب وإن لم يكونا موضوعاً في الأدلّة بعنوانهما حتّى يلزم البحث عن تعريفهما وبيان مفهومهما عرفاً، بل المعيار في القصاص نسبة القتل إلى القاتل من دون فرق بين المباشرة والتسبيب، إلّا أنّ وقوعهما في كلمات الأصحاب يطلب الحاجة إلى بيان المفهوم والتعريف، وما في مثل المتن لا يزيد عن بيان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إيجاد أقرب العلل إلى الزهوق؛ أيّ المؤدّية إليه ابتداءً وبلا واسطة بين الفعل والقتل، كالضرب بالسيف على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إيجاد ما لَهُ دخل في القتل مع الواسطة، كمنعه من الطعام والشراب إلى أن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الجامع بين المباشرة والتسبيب الدخالة في القتل الموجبة لنسبة القتل إلى القاتل عرفاً، وهو المناط في القصاص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الأُمور غير الدخيلة في النسبة، كالمعدّات والمقدّمات البعيدة، فلعدم الدخالة في النسبة فلا تكون دخلية في القتل والقصاص، ووجودها كعدمها في ذلك، كما هو واضح</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حفر البئر بما هو حفر لا دخالة له أصلاً في وقوع الشخص فيهوقتله به؛ إذ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الوقوع مستند إلى علّته وهي التخطّي، بخلاف العلّة التي يستند الإزهاق إليها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بالمباشرة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بواسطة كالجراحات القاتلة بالسراية، فإنّها تولّد السراية، والسراية مولّدة للموت، أو بوسائط كالرمي المولّد للجرح المولّد للسراية المولّدة للموت، فأنّهما من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قتل العمد منوط بدخالة الفعل في القتل؛ إمّا بلا واسطة وهو المباشرة، وإمّا معها وهو التسبيب، وأمّا ما ليس فيه الدخالة في تأثير الفعل، بل يكون معِدّاً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اصطلاحاً فلا اعتبار به فيه، وهو المسمّى بالشرط في الباب على ما في الجواهر</w:t>
      </w:r>
      <w:r>
        <w:rPr>
          <w:rStyle w:val="FootnoteAnchor"/>
          <w:rtl w:val="true"/>
        </w:rPr>
        <w:footnoteReference w:id="12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لا ثمرة في البحث عن التقسيم ولا عن التعريف، بعد ما عرفتَ أنّ المناط في القصاص والدية صدق القتل عمداً وخطأً، وأنّ شيئاً من المباشرة والتسبيب ليس عنواناً للحكم في الأدلّة، وإنّما المعتبر فيها القتل عمداً وسيّئةً والمقتول ظلماً وأمثالها، فالاعتبار بصدقها دون صدقهما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لا يحصل فيه الصدق المزبور فالضمان فيه بالقصاص أو الدية لابدّ له من الدليل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المتن من ذكر الأمثلة للمباشرة والضابطة فيها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ونحوها ممّا يصدر بفعله المباشري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جدّاً، وموافق لما بيّناه شرحاً لها وللتسبيب، والزائد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صاحب القواعد</w:t>
      </w:r>
      <w:r>
        <w:rPr>
          <w:rStyle w:val="FootnoteAnchor"/>
          <w:rtl w:val="true"/>
        </w:rPr>
        <w:footnoteReference w:id="121"/>
      </w:r>
      <w:r>
        <w:rPr>
          <w:rFonts w:ascii="Amiri" w:hAnsi="Amiri" w:eastAsia="Amiri" w:cs="Amiri"/>
          <w:color w:val="111111"/>
          <w:sz w:val="28"/>
          <w:sz w:val="28"/>
          <w:szCs w:val="28"/>
          <w:rtl w:val="true"/>
          <w:lang w:bidi="ar-SA"/>
        </w:rPr>
        <w:t xml:space="preserve">وشارحها صاحب كشف اللثام؛ أي الفاضلالأصبهاني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ذكراً للأمثلة والمصاديق الخارجة عن شؤون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ما في الأمثلة من المناقشة وإن لم تكن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 فيها من دأب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 اللثام مزجاً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يضربه بمحدّد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يقطع ويدخل في البدن، كالسيف والسكّين والسنان وما في معناه ممّا يحدّد فيجرح ويقطع من الحديد والرصاص والنحاس والذهب والفضّة والزجاج والحجر والقصب والخشب، فهذا كلّه إذا جرح به جرحاً كبيراً يقتل مثله غالباً، فهو قتل عمدٍ إذا 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جرحه بأحد ما ذكر جرحاً صغيراً لا يقتل مثله غالباً، كشرطة الحجّام أو غرزه بإبرة أو شوكة، فإن كان في مقتل كالعين والفؤاد والخاصرة والصدغ وأصل الأُذن والأُنثيين والمثانة والأجدعين ونقرة النحر، فمات فهو عمدٌ أيضاً؛ فإنّه ممّا يقتل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غير مقتل، فإن كان قد بالغ في إدخالها فهو كالكبير من الجرح؛ لأنّه قد يشتدّ ألمه ويفضي إلى القتل، فإذا بالغ مبالغة كذلك فقد فعل ما يقتل غالباً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الغرز يسيراً أو جرحه بالكبير جرحاً يسيراً، كشرطة الحجّام، فإن بقي المجروح من ذلك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مريضاً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 أو حصل بسببه تشنّج أو تآكل أو ورم حتّى مات فهو عمدٌ، كما في المبسوط؛</w:t>
      </w:r>
      <w:r>
        <w:rPr>
          <w:rStyle w:val="FootnoteAnchor"/>
          <w:rtl w:val="true"/>
        </w:rPr>
        <w:footnoteReference w:id="122"/>
      </w:r>
      <w:r>
        <w:rPr>
          <w:rFonts w:ascii="Amiri" w:hAnsi="Amiri" w:eastAsia="Amiri" w:cs="Amiri"/>
          <w:color w:val="111111"/>
          <w:sz w:val="28"/>
          <w:sz w:val="28"/>
          <w:szCs w:val="28"/>
          <w:rtl w:val="true"/>
          <w:lang w:bidi="ar-SA"/>
        </w:rPr>
        <w:t>لتحقّق العلم بحصول القتل بفعله، كماإذا سرى الجرح فمات، فإنّه يوجب القصاص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فالضابط في القصاص العلم العادي بتسبّب موت المقتول من فعله المتعمّد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في الحال بغير تجدّد شيء من ذلك، فالأقرب وجوب الدية في ماله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يضربه بمثقل يقتل مثله غالباً، كاللتّ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الدبوس وهو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والمطرقة والخشبة الكبيرة والحجارة الكبيرة، أو يضربه بحجر صغير أو عصا أو يلكزه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يضربه بجميع الكفّ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بيده أو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يجر بها ذكر، أو اللكزة، أو بالحجر والعصا، واللكزة؛ أي يضربه بها في مقتل أو في حال ضعف المضروب بمرض أو صغر أو في زمن مفرط الحرّ أو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بحيث يقتله بتلك الضربة غالباً بحسب الزمان وحال المضروب ومحلّ الضرب، أو يكرّر الضرب عليه حتّى يقتله بما يقتل من العدد غالباً عدده، وهو أيضاً يختلف باختلاف الزمان وباختلاف حال المضروب، كما سمعته من عبارة المبسوط</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وكلّ ذلك يوجب القود وإن لم يقصد القتل بذلك، أو ادّعى الجهل بإفضائه إلى القتل عادة، فإنّه لو سمع منه ذلك أدّى إلى إهدار دماء المسلمين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ضربه بشيء صغير جدّاً، كالقلم والإصبع في غير مقتل، أو مسّه بالكبير من غير ضرب ولا مسّ عنيف ولم يكن بما يقتل بثقله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فعل ما لا يحتمل استناد القتل إليه عادة ولانادراً، فلا قود ولا دية؛ لأنّه لم يقتله عمداً ولا خطأً، وإنّما اتّفق موته مع فعل من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يجب القصاص بالذبح ونحوه ممّا لا يدخل في الضرب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بمحدّد أو مثقل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والخنق الذي هو كذلك</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عليك أنّه ليس في إطنابهما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ذكر الأمثلة للمباشرة، مع أنّ الفاضل ذكر الخنق تارة من أقسام المباشرة وأُخرى من التسبيب، ومثله واقع من المحقّق في الشرائع</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والإطناب كذلك وإن لم يكن فقهيّاً وراجعاً إلى محصّل بعد أنّ المدار على الضابطة، لكنّه مفيد في التسلّط على المصاديق والموضوعات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اللثام من بيان الضابط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فالضابط في القصاص العلم العادي بتسبّب موت المقتول من فعله المتعمّد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وفي الجواهر من قبوله بأنّه موافق لما ذكره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سمعته من الضابط المزبور في القصاص موافق لما ذكرناه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 هو ذلك التسبّب بضميمة قصد القتل، أو كون القتل ممّا يقتل به غالباً، لا مطلقاً كما بيّنّاه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ذلك عدم الفرق في موت المقتول بالغرزة اليسيرة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كشرطة الحجّام، وبين ما صار ضمناً ثمّ مات، أو مات في الحال؛ لاستناد القتل فيهما إلى الفعل المتعمّد به، فكيف تفصيله بينهما تبعاً للمتن؛ أي القواعد؟</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وفي المسالك التصريح بالإشكال في مسألة الضرب بما لا يقتل به غالباً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يخلو من إشكال</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لكنّ الظاهر من المسالك واللثام والجواهر الاستدلال على الفرق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سراية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الجرح بمثل شرطة الحجّام مع المرض المتولّد منه بمنزلة سبب واحد، وهو ممّا يقتل به غالباً وإن كان الجرح ممّا لا يقتل به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الجواهر من قوله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الوجه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كون الجميع عمداً؛ لما عرفته من الصدق العرفي من غير اعتبار قصد القتل ولا كون الشيء ممّا يقتل مثله غالباً؛ إذ ذاك عمدٌ إلى القتل لا قتله عامداً، والعنوان في الأدلّة الثاني الذي تشهد له النصوص السابقة، لا الأوّل الذي وإن شهدت له النصوص الأُخر في الجملة، إلّا أنّه لا جابر لها، لكن خرج عن ذلك صورة عدم تعقّب المرض للنصوص المزبورة وبقيت هي تحت الضابط ولو لعدم انجبار تلك النصوص بالنسبة إلى هذه الصورة المؤيّدة بنصوص سراية الجرح الغير القاتل مثله، والاتّفاق ظاهر هنا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 الوجوه ما لا يخفى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السراية بالجرح ليس على الإطلاق، بل فيه التفصيل المطابق للقاعدة، فإن كان الجرح الساري ممّا يقتل به ففيه القود ويكون عمداً، وإلّا فلا، فليس في الأصل حكم على خلاف القواعد،فضلاً عن الفرع ودلالة الفحوى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منه التنزيل والادّعاء فليس ذلك بأزيد من الادّعاء، وإن كان المراد منه الصيرورة والمنزلة بنظر العرف،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ذلك بتفصيل كما لا يخفى، بل بيان لمصاديق الجرح مع المرض من أنّهما قد يكونان ممّا يقتل به غالباً وقد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من التفصيل الذي في القواعد؟</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بل وفي الشرائع على أحد الاحتمالين في المراد من المشبّه 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ضربه دون ذلك فأعقبه مرضاً ومات فالبحث كالأوّل</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وفي المسالك في شرح العبارة،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فالبحث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فصّله سابقاً في الصورة الأُولى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حبس نفسه يسيراً لا يقتل مثله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القصاص إن قصد القتل، أو الدية إن لم يقصد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الحكم هنا أنّ الضرب المعقّب للمرض عمدٌ إن قصد به القتل، ويوجب الدية إن لم يقصد، لا أنّه عمدٌ مطلقاً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التفسير وإن وافق الظاهر من الحكم، إلّا أنّه غير مراد للمصنّف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حكمه وحكم غيره في خصوص هذه المسألة بكونه عمداً مطلقاً، والعلّامة</w:t>
      </w:r>
      <w:r>
        <w:rPr>
          <w:rStyle w:val="FootnoteAnchor"/>
          <w:rtl w:val="true"/>
        </w:rPr>
        <w:footnoteReference w:id="133"/>
      </w:r>
      <w:r>
        <w:rPr>
          <w:rFonts w:ascii="Amiri" w:hAnsi="Amiri" w:eastAsia="Amiri" w:cs="Amiri"/>
          <w:color w:val="111111"/>
          <w:sz w:val="28"/>
          <w:sz w:val="28"/>
          <w:szCs w:val="28"/>
          <w:rtl w:val="true"/>
          <w:lang w:bidi="ar-SA"/>
        </w:rPr>
        <w:t>فرض هذه المسألة على وجه لا يحتملسوى ذلك، وإن كانت عبارة المصنّف لقرب المسألة الأُخرى محتملة احتمالاً مرجوحاً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المستفاد من كلامه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وفي مسألة القتل بما لا يقتل به غالباً مع عدم قصد القتل به أيضاً، أنّ المناط والأصل في القصاص وما هو العنوان في أدلّته القتل عمداً وقتله عامداً، لا العمد إلى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صادق في جميع صور القتل مع قصد الفعل وإن لم يكن معه قصد القتل ولا كون الآلة قتّالة وممّا يقتل بها غالباً دون الثاني، فإنّه غير صادقٍ مع عدم القصد ولو رجاءً وارتكازاً كما في الآلة الغالبيّة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المقتول مظلوماً والقتل ظلماً وسيئةً،</w:t>
      </w:r>
      <w:r>
        <w:rPr>
          <w:rStyle w:val="FootnoteAnchor"/>
          <w:rtl w:val="true"/>
        </w:rPr>
        <w:footnoteReference w:id="135"/>
      </w:r>
      <w:r>
        <w:rPr>
          <w:rFonts w:ascii="Amiri" w:hAnsi="Amiri" w:eastAsia="Amiri" w:cs="Amiri"/>
          <w:color w:val="111111"/>
          <w:sz w:val="28"/>
          <w:sz w:val="28"/>
          <w:szCs w:val="28"/>
          <w:rtl w:val="true"/>
          <w:lang w:bidi="ar-SA"/>
        </w:rPr>
        <w:t>وهو غير صادقٍ هنا، ولا في المسألة السابقة؛ أي مسألة القتل بما لا يقتل به غالباً، مع عدم قصد القتل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مناطيّة العمد ودخالته في القصاص قد عرفت عدم الدلالة عليها في الكتاب، وأنّ آياته مطلقة من دون تعرّض للعمد أصلاً، لا بالنحو الأوّل ولا الثاني، وما في السنّة ليس بأزيد عن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فالحقّ في المسألة عدم القود مطلقاً، لا مع الضمن ولا بدونه؛ لعدم كون الفعل مقصوداً به القتل، ولا كونه ممّا يقتل به غالباً، ولا كون المقتول مقتولاً ظلماً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مضروب كذلك عرفاً ومقتول بالضمن أو بالاتّفاق عندهم، لا بالظلم الذي هو العمدة والأصلعندنا في القصاص، كما مرّ بيانه</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الضارب والقاتل كذلك التعزير والدية، كما لا يخفى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رماه بسهم أو بندقة فمات، فهو عمدٌ عليه القود ولو لم يقصد القتل به، وكذا لو خنقه بحبل ولم يزح عنه حتّى مات، أو غمسه في ماء ونحوه ومنعه عن الخروج حتّى مات، أو جعل رأسه في جراب النورة حتّى مات، إلى غير ذلك من الأسباب التي انفرد الجاني في التسبيب المتلف، فهي من العمد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أصل المسألة واضح ممّا مرّ، وهو نسبة القتل عمداً، وكون المقتول مظلوماً والقتل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تلك الأسباب والموارد من العمد الموجب للقصاص وإن لم يقصد به القتل كما في المتن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يقصد القتل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من المسألة الخامسة أنّه لكون الأسباب ممّا يقتل بها غالباً حتّى في السهم والبندقة، لا لغيره من قصد القتل ولو رجاءً أو من كونه عمداً تعبّداً، بل هو الظاهر من بيانه الضابطة لقتل العمد في المسألة الأُولى إن لم يكن نصّاً في ذلك أيضاً، وهو الحقّ الحقيق بالتصديق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فما في الشرائع</w:t>
      </w:r>
      <w:r>
        <w:rPr>
          <w:rStyle w:val="FootnoteAnchor"/>
          <w:rtl w:val="true"/>
        </w:rPr>
        <w:footnoteReference w:id="137"/>
      </w:r>
      <w:r>
        <w:rPr>
          <w:rFonts w:ascii="Amiri" w:hAnsi="Amiri" w:eastAsia="Amiri" w:cs="Amiri"/>
          <w:color w:val="111111"/>
          <w:sz w:val="28"/>
          <w:sz w:val="28"/>
          <w:szCs w:val="28"/>
          <w:rtl w:val="true"/>
          <w:lang w:bidi="ar-SA"/>
        </w:rPr>
        <w:t>من التعليل للقصاص في تلك الموارد بالقصد إلى القتل بها غالباً الراجع إلى حجّية الغلبة في القصد، كما هو الظاهر منه أو إلى الرجاء أو التعبّد، ففيه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تعليل الجواهر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سمعته من صدق القتل عمداً وإن لم يقصد به، بل وإن قصد عدمه فاتّفق القتل، بل لو أراد برميه غير المقتل فأصاب المقتل، فإنّ ذلك كلّه من العمد الموجب للقصاص؛ لما عرفته، ولا يردالتأديب ونحوه ممّا لم يكن عادياً فيه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خرج من ذلك الصورة المزبورة خاصّة؛ للأدلّة المذكورة</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الخنق وما بعده لو أخرجه منقطع النفس، أو غير منقطع لكن متردّد النفس، فمات من أثر ما فعل به، فهو عمدٌ 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به أحد المذكورات بمقدار لا يقتل مثله غالباً لمثله، ثمّ أرسله فمات بسببه، فإن قصد ولو رجاء القتل به ففيه القصاص، وإلّا فالدية، وكذا لو داس بطنه بما لا يقتل به غالباً، أو عصر خصيته فمات، أو أرسله منقطع القوّة فمات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كفاية القتل عمداً وإن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المناط العمد في القتل أو كون المقتول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بيانه وتحقيقه</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القصد ولا كون الفعل ممّا يقتل به غالباً، لا يصدق شيء من العنوانين الموجبين للقصاص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القود في منقطع النفس واضح، وأمّا في غير المنقطع مع تردّد النفس وموته من أثر ما فعل به؛ فلكونه عمداً أيضاً، وكونه مثل الموت مع الخنق ومقارناً للاشتراك في كون الفعل ممّا يقتل به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في ذيل المسائل السابقة يظهر وجه الأحكام في هذهالمسألة والمسائل الآتية إلى المسألة الثالثة والثلاثين من الباب، وأنّ المناط نسبة القتل والعمد فيه وكون المقتول مظلوماً، وما في تلك المسائل ليس إلّا بياناً للمصاديق وبيان النسبة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أنّه مع كون المقتول مظلوماً، القصاص ثابت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w:t>
      </w:r>
      <w:r>
        <w:rPr>
          <w:rFonts w:ascii="IRNazanin" w:hAnsi="IRNazanin" w:eastAsia="IRNazanin"/>
          <w:color w:val="111111"/>
          <w:sz w:val="28"/>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 xml:space="preserve">وإن كان العمد في القتل أو كون القتل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الطرف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 أو صغر أو كبر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به ما ذكر في المسألة السابقة، فالظاهر أنّ فيه القصاص ولو لم يقصد القتل مع علمه بضعفه، وإلّا ففيه التفصيل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ضربه بعصا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يقلع عنه حتّى مات، أو ضربه مكرّراً ما لا يتحمّله مثله بالنسبة إلى بدنه ككونه ضعيفاً أو صغيراً، أو بالنسبة إلى الضرب الوارد ككون الضارب قويّاً، أو بالنسبة إلى الزمان كفصل البرودة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فهو عمد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عمداً مشكوكاً وغير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ذلك وتدبّر فيه واغتنمه، فإنّه دقيق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مع ذلك نبحث في بعض المسائل منها؛ لما فيه من الكلام والبحث اللائق بالذكر، ونحيل البقيّة إلى ما في المسائل السابقة وإلى ما ذكرناه من المناط، ونسأل الله تعالى أن يجعل مستقبلنا خيراً ممّا فينا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ما تقدّم في ذيل المسألة الخامسة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القصاص في المسألة كون الفعل مع الخصوصيّات المفروضة فيها ممّا يقتل به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ما فيها من النصوص المختصّة بالفرع الأوّل، وهو الضرب بالعصا مع عدم القلع إلى أن يموت، كمرسل يونس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ضرب رجل رجلاً بعصا أو بحجرٍ فمات من ضربة واحدة قبل أن يتكلّم فهو يشبه العمد، فالدية على القاتل، وإن علاه وألحّ عليه بالعصا أو بالحجارة حتّى يقتله فهو عمدٌ يقتل به، وإن ضربه ضربة واحدة فتكلّم ثمّ مكث يوماً أو أكثر من يوم فهو شبه العمد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ضربه بما لا يوجب القتل، فأعقبه مرضاً بسببه ومات به، فالظاهر أنّه مع عدم قصد القتل لا يكون عمداً ولا قود، ومع قصده 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وصحيح أبي الصباح الكناني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عن رجل ضرب رجلاً بعصا فلم يقلع عنه الضرب حتّى مات، أ يُدفع إلى وليّ المقتول فيقتله؟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ولكن لا يُترك يعبث به، ولكن يجيز عليه بالسيف</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وخبر العلاء بن فضيل،</w:t>
      </w:r>
      <w:r>
        <w:rPr>
          <w:rStyle w:val="FootnoteAnchor"/>
          <w:rtl w:val="true"/>
        </w:rPr>
        <w:footnoteReference w:id="143"/>
      </w:r>
      <w:r>
        <w:rPr>
          <w:rFonts w:ascii="Amiri" w:hAnsi="Amiri" w:eastAsia="Amiri" w:cs="Amiri"/>
          <w:color w:val="111111"/>
          <w:sz w:val="28"/>
          <w:sz w:val="28"/>
          <w:szCs w:val="28"/>
          <w:rtl w:val="true"/>
          <w:lang w:bidi="ar-SA"/>
        </w:rPr>
        <w:t>وخبر موسى بن بكر،</w:t>
      </w:r>
      <w:r>
        <w:rPr>
          <w:rStyle w:val="FootnoteAnchor"/>
          <w:rtl w:val="true"/>
        </w:rPr>
        <w:footnoteReference w:id="144"/>
      </w:r>
      <w:r>
        <w:rPr>
          <w:rFonts w:ascii="IRNazanin" w:hAnsi="IRNazanin" w:eastAsia="IRNazanin"/>
          <w:color w:val="111111"/>
          <w:sz w:val="28"/>
          <w:sz w:val="28"/>
          <w:szCs w:val="28"/>
          <w:rtl w:val="true"/>
          <w:lang w:bidi="fa-IR"/>
        </w:rPr>
        <w:t>وخبر سلمان بن خالد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الظهور أنّ المعتبر في القصاص عند الماتن، كما يظهر من المسألة الأُولى وبعض مسائل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القتل أو فعل ما يقتل به غالباً، وليس في المفروض شيء منهما، وإنّما المفروض حدوث القتل من المرض المتحقّق عقيب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المرض ليس من فعل الضارب، وإن كان سبباً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المختار من كفاية القتل ظلماً فيه، فقد مرّ منّا في تفصيل الصور في المسألة الأولى عدم كون المقتول كذلك مقتولاً ظلماً أيضاً، وإنّما هو مضروبٌ كذلك عرفاً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والتعبير بالظهور لا الإرسال المسلّم كغيره من الموارد، إنّما هو للوجوه الثلاثة المستدلّ بها التي عرفتَ عدم تماميّتها مفصّلاً في ذيل المسألة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منعه عن الطعام أو الشراب مدّة لا يحتمل لمثله البقاء، فهو عمدٌ وإن لم يقصد القتل، وإن كان مدّة يتحمّل مثله عادة ولا يموت به، لكن اتّفق الموت، أو أعقبه بسببه مرض فمات، ففيه التفصيل بين كون القتل مقصوداً ولو رجاءً أو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طرحه في النار فعجز عن الخروج حتّى مات، أو منعه عنه حتّى مات، قتل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صريح القواعد</w:t>
      </w:r>
      <w:r>
        <w:rPr>
          <w:rStyle w:val="FootnoteAnchor"/>
          <w:rtl w:val="true"/>
        </w:rPr>
        <w:footnoteReference w:id="147"/>
      </w:r>
      <w:r>
        <w:rPr>
          <w:rFonts w:ascii="IRNazanin" w:hAnsi="IRNazanin" w:eastAsia="IRNazanin"/>
          <w:color w:val="111111"/>
          <w:sz w:val="28"/>
          <w:sz w:val="28"/>
          <w:szCs w:val="28"/>
          <w:rtl w:val="true"/>
          <w:lang w:bidi="fa-IR"/>
        </w:rPr>
        <w:t>وشرحه اللثام</w:t>
      </w:r>
      <w:r>
        <w:rPr>
          <w:rStyle w:val="FootnoteAnchor"/>
          <w:rtl w:val="true"/>
        </w:rPr>
        <w:footnoteReference w:id="148"/>
      </w:r>
      <w:r>
        <w:rPr>
          <w:rFonts w:ascii="Amiri" w:hAnsi="Amiri" w:eastAsia="Amiri" w:cs="Amiri"/>
          <w:color w:val="111111"/>
          <w:sz w:val="28"/>
          <w:sz w:val="28"/>
          <w:szCs w:val="28"/>
          <w:rtl w:val="true"/>
          <w:lang w:bidi="ar-SA"/>
        </w:rPr>
        <w:t>والتحرير</w:t>
      </w:r>
      <w:r>
        <w:rPr>
          <w:rStyle w:val="FootnoteAnchor"/>
          <w:rtl w:val="true"/>
        </w:rPr>
        <w:footnoteReference w:id="149"/>
      </w:r>
      <w:r>
        <w:rPr>
          <w:rFonts w:ascii="Amiri" w:hAnsi="Amiri" w:eastAsia="Amiri" w:cs="Amiri"/>
          <w:color w:val="111111"/>
          <w:sz w:val="28"/>
          <w:sz w:val="28"/>
          <w:szCs w:val="28"/>
          <w:rtl w:val="true"/>
          <w:lang w:bidi="ar-SA"/>
        </w:rPr>
        <w:t>ومحكيّ المبسوط</w:t>
      </w:r>
      <w:r>
        <w:rPr>
          <w:rStyle w:val="FootnoteAnchor"/>
          <w:rtl w:val="true"/>
        </w:rPr>
        <w:footnoteReference w:id="150"/>
      </w:r>
      <w:r>
        <w:rPr>
          <w:rFonts w:ascii="Amiri" w:hAnsi="Amiri" w:eastAsia="Amiri" w:cs="Amiri"/>
          <w:color w:val="111111"/>
          <w:sz w:val="28"/>
          <w:sz w:val="28"/>
          <w:szCs w:val="28"/>
          <w:rtl w:val="true"/>
          <w:lang w:bidi="ar-SA"/>
        </w:rPr>
        <w:t>الحكم بالقصاص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المنع عمداً وإن لم يقصد القتل؛ لكونه ممّا يقتل به غالباً، ولا يخفى أنّ عدم التحمّل لمثله البقاء مختلف بحسب حال الأشخاص صحةً ومرضاً، وشبعاً وجوعاً، وريّاً وعطشاً، وغيرها من الحالات، هذا في المدّة التي لا يحتمل لمثله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المدّة القابلة للتحمّل فتفصيل المتن في محلّه، ووجهه ظاهر، لكن مع تقييد المرض بكونه غير قابل للمعالجة، أو قابلاً لها لكنّ المانع منعه عنها أيضاً، وإلّا فمع كون المرض قابلاً لها ولم يعالج المرض ليموت فالظاهر كونه شريكاً مع المانع في القتل؛ لدخالة المنع وعدم المعالجة في الموت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القصد أو كون الفعل ممّا يقتل به غالباً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يخرج منها عمداً وتخاذلاً فلا 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دية قتل، وعليه دية جناية الإلقاء في النار، ولو لم يظهر الحال واحتمل الأمران لا يثبت قود ولا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مع عدم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وجهل الفاعل بالسببيّة فالظاهر الدية والتعزير دون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القصاص؛ فلعدم نسبة العمد في القتل أو القتل عمداً إليه عرفاً، فضلاً عن كون قتله له ظلماً، وعن كون المقتول ممّن قُتِل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الدية، فلكون الملقي في النار قاتلاً وإن لم يكن قاتلاً عمداً، والدية تابعة لنسبة أصل القتل وإن كان القتل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لا يبطل دم امرءٍ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التعزير، فوجهه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القود والدية إنّما يكون لأنّ الموت إنّما حصل بلبثه، وهو مستند إليه لا إلى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شك في التخاذل وعجزه للشكّ في تمكّنه وعدمه؛ بأن احتمل عدم تمكنّه أصلاً للشكّ في التمكّن، أو احتمل حصول الذهول أو الضعف عن الخروج وإن كان قادراً عليه، ففي الشرائع</w:t>
      </w:r>
      <w:r>
        <w:rPr>
          <w:rStyle w:val="FootnoteAnchor"/>
          <w:rtl w:val="true"/>
        </w:rPr>
        <w:footnoteReference w:id="151"/>
      </w:r>
      <w:r>
        <w:rPr>
          <w:rFonts w:ascii="Amiri" w:hAnsi="Amiri" w:eastAsia="Amiri" w:cs="Amiri"/>
          <w:color w:val="111111"/>
          <w:sz w:val="28"/>
          <w:sz w:val="28"/>
          <w:szCs w:val="28"/>
          <w:rtl w:val="true"/>
          <w:lang w:bidi="ar-SA"/>
        </w:rPr>
        <w:t>والتحرير</w:t>
      </w:r>
      <w:r>
        <w:rPr>
          <w:rStyle w:val="FootnoteAnchor"/>
          <w:rtl w:val="true"/>
        </w:rPr>
        <w:footnoteReference w:id="152"/>
      </w:r>
      <w:r>
        <w:rPr>
          <w:rFonts w:ascii="IRNazanin" w:hAnsi="IRNazanin" w:eastAsia="IRNazanin"/>
          <w:color w:val="111111"/>
          <w:sz w:val="28"/>
          <w:sz w:val="28"/>
          <w:szCs w:val="28"/>
          <w:rtl w:val="true"/>
          <w:lang w:bidi="fa-IR"/>
        </w:rPr>
        <w:t>والإرشاد</w:t>
      </w:r>
      <w:r>
        <w:rPr>
          <w:rStyle w:val="FootnoteAnchor"/>
          <w:rtl w:val="true"/>
        </w:rPr>
        <w:footnoteReference w:id="153"/>
      </w:r>
      <w:r>
        <w:rPr>
          <w:rFonts w:ascii="Amiri" w:hAnsi="Amiri" w:eastAsia="Amiri" w:cs="Amiri"/>
          <w:color w:val="111111"/>
          <w:sz w:val="28"/>
          <w:sz w:val="28"/>
          <w:szCs w:val="28"/>
          <w:rtl w:val="true"/>
          <w:lang w:bidi="ar-SA"/>
        </w:rPr>
        <w:t>والتلخيص</w:t>
      </w:r>
      <w:r>
        <w:rPr>
          <w:rStyle w:val="FootnoteAnchor"/>
          <w:rtl w:val="true"/>
        </w:rPr>
        <w:footnoteReference w:id="154"/>
      </w:r>
      <w:r>
        <w:rPr>
          <w:rFonts w:ascii="Amiri" w:hAnsi="Amiri" w:eastAsia="Amiri" w:cs="Amiri"/>
          <w:color w:val="111111"/>
          <w:sz w:val="28"/>
          <w:sz w:val="28"/>
          <w:szCs w:val="28"/>
          <w:rtl w:val="true"/>
          <w:lang w:bidi="ar-SA"/>
        </w:rPr>
        <w:t>ثبوت القصاص، حيث إنّ السبب المهلك معلومٌ والدفع مجهولٌ وإن كان موثوقاً به؛ لما مرّ من حصول الظهوروالدهشة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لوجود السبب المقتضي للضمان وهو الإلقاء، مع الشكّ في المسقط وهو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القدرة على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التهاون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الحكم بثبوت أصل القدرة ما لم يعلم التخاذل عن الخروج؛ لاحتمال أن يعرض له ما يوجب العجز من دهش أو تحيّر أو تشنّج أعضائه ونحو ذلك</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وعلى كلّ حالٍ، فمقتضى الجميع ثبوت القصاص، ولكن عن الخلاف</w:t>
      </w:r>
      <w:r>
        <w:rPr>
          <w:rStyle w:val="FootnoteAnchor"/>
          <w:rtl w:val="true"/>
        </w:rPr>
        <w:footnoteReference w:id="156"/>
      </w:r>
      <w:r>
        <w:rPr>
          <w:rFonts w:ascii="Amiri" w:hAnsi="Amiri" w:eastAsia="Amiri" w:cs="Amiri"/>
          <w:color w:val="111111"/>
          <w:sz w:val="28"/>
          <w:sz w:val="28"/>
          <w:szCs w:val="28"/>
          <w:rtl w:val="true"/>
          <w:lang w:bidi="ar-SA"/>
        </w:rPr>
        <w:t>القطع بعدمه، بل هو ظاهر القواعد أو صريحه أيضاً،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تركه في نار يتمكّن من التخلّص منها لقلّتها، أو لكونه في طرفها يمكن الخروج بأدنى حركة فلم يخرج، فلا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الضمان إشكال، أقربه السقوط إن علم منه أنّه ترك الخروج تخاذلاً، ولو لم يعلم ضمنه وإن قدر على الخروج؛ لأنّ النار قد ترعبه وتدهشه وتشنّج أعضاءه بالملاقاة، فلا يظفر بوجه المخلّص</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ومن هنا قال في كشف اللثام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هذه العبارة تُعطي القطع بعدم القصاص مطلقاً، وهو موافق للخلاف، والتردّد في سقوط الدية، ثمّ استقرابه إذا علم الإهمال تخاذلاً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ومبنى الوجهين على تعارض ظاهِرَين وأصلين، فإنّ الظاهِر من حال الإنسان أنّه لا يتخاذلعن الخروج حتّى يحترق، وظاهر النار المفروضة سهولة الخروج عنها، وأنّه لا يحترق بها إلّا من تعمّد اللبث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ألقاه في البحر ونحوه فعجز عن الخروج حتّى مات، أو منعه عنه حتّى مات، قتل به، ومع عدم خروجه عمداً وتخاذلاً أو الشكّ في ذلك فحكمه كالمسألة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اعتقد أنّه قادر على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أهل فنّ السباحة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 ثمّ تبيّن الخلاف، ولم يقدر الملقي على نجاته، لم يكن 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والأصل براءة الذمّة، والأصل عدم الشركة في الجناية، والاحتياط يقوّي ما في الكتاب</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ثبوت القصاص مطلقاً، حيث إنّ كون السبب في مثل الإلقاء في النار المحتمل فيها حصول الدهشة والتشنّج والذهول ممّا يقتل به غالباً ممّا يساعده العرف، فيكون القتل عمداً وإن لم يقصد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كان ذلك الاحتمال فيه ضعيفاً من حيث الشخص أو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السبب كذلك عرفاً، فالعمد فيه دائر مدار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الدية مع عدم القصد، فالظاهر عدمه؛ لعدم ثبوت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 الجواهر من أنّ مبنى المسألة على تحقّق صدق قتله فإن حصل ففيه القصاص، ما ذكرناه، أي صدق القتل عمداً،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سقوطهما</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فليس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بالديه، وعليه يتّحد ما قلناه مع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مراده من الصدق الصدق في النسبة،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يحصل الصدق في النسبة مع الشكّ؟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ما تقدّم في ذيل المسألة الخامسة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فصده ومنعه عن شدّه فنزف الدم ومات فعليه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فصده وتركه، فإن كان قادراً على الشدّ فتركه تعمّداً وتخاذلاً حتّى مات، فلا قود ولا دية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السبب في قتله بما يوجب القتل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شرائع الإسلام</w:t>
      </w:r>
      <w:r>
        <w:rPr>
          <w:rStyle w:val="FootnoteAnchor"/>
          <w:rtl w:val="true"/>
        </w:rPr>
        <w:footnoteReference w:id="160"/>
      </w:r>
      <w:r>
        <w:rPr>
          <w:rFonts w:ascii="Amiri" w:hAnsi="Amiri" w:eastAsia="Amiri" w:cs="Amiri"/>
          <w:color w:val="111111"/>
          <w:sz w:val="28"/>
          <w:sz w:val="28"/>
          <w:szCs w:val="28"/>
          <w:rtl w:val="true"/>
          <w:lang w:bidi="ar-SA"/>
        </w:rPr>
        <w:t>وعن التحرير</w:t>
      </w:r>
      <w:r>
        <w:rPr>
          <w:rStyle w:val="FootnoteAnchor"/>
          <w:rtl w:val="true"/>
        </w:rPr>
        <w:footnoteReference w:id="161"/>
      </w:r>
      <w:r>
        <w:rPr>
          <w:rFonts w:ascii="IRNazanin" w:hAnsi="IRNazanin" w:eastAsia="IRNazanin"/>
          <w:color w:val="111111"/>
          <w:sz w:val="28"/>
          <w:sz w:val="28"/>
          <w:szCs w:val="28"/>
          <w:rtl w:val="true"/>
          <w:lang w:bidi="fa-IR"/>
        </w:rPr>
        <w:t>‌والإرشاد</w:t>
      </w:r>
      <w:r>
        <w:rPr>
          <w:rStyle w:val="FootnoteAnchor"/>
          <w:rtl w:val="true"/>
        </w:rPr>
        <w:footnoteReference w:id="162"/>
      </w:r>
      <w:r>
        <w:rPr>
          <w:rFonts w:ascii="Amiri" w:hAnsi="Amiri" w:eastAsia="Amiri" w:cs="Amiri"/>
          <w:color w:val="111111"/>
          <w:sz w:val="28"/>
          <w:sz w:val="28"/>
          <w:szCs w:val="28"/>
          <w:rtl w:val="true"/>
          <w:lang w:bidi="ar-SA"/>
        </w:rPr>
        <w:t>والتلخيص،</w:t>
      </w:r>
      <w:r>
        <w:rPr>
          <w:rStyle w:val="FootnoteAnchor"/>
          <w:rtl w:val="true"/>
        </w:rPr>
        <w:footnoteReference w:id="163"/>
      </w:r>
      <w:r>
        <w:rPr>
          <w:rFonts w:ascii="Amiri" w:hAnsi="Amiri" w:eastAsia="Amiri" w:cs="Amiri"/>
          <w:color w:val="111111"/>
          <w:sz w:val="28"/>
          <w:sz w:val="28"/>
          <w:szCs w:val="28"/>
          <w:rtl w:val="true"/>
          <w:lang w:bidi="ar-SA"/>
        </w:rPr>
        <w:t>لكن في القواعد</w:t>
      </w:r>
      <w:r>
        <w:rPr>
          <w:rStyle w:val="FootnoteAnchor"/>
          <w:rtl w:val="true"/>
        </w:rPr>
        <w:footnoteReference w:id="164"/>
      </w:r>
      <w:r>
        <w:rPr>
          <w:rFonts w:ascii="Amiri" w:hAnsi="Amiri" w:eastAsia="Amiri" w:cs="Amiri"/>
          <w:color w:val="111111"/>
          <w:sz w:val="28"/>
          <w:sz w:val="28"/>
          <w:szCs w:val="28"/>
          <w:rtl w:val="true"/>
          <w:lang w:bidi="ar-SA"/>
        </w:rPr>
        <w:t>الإشكال فيه، وفي كشف اللثام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استناد الموت إلى تفريطه، وكون الفصد غير مهلك عادة، وأصل عدم وجوب الشدّ على الفصّاد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استناده إلى سراية الجرح، فهو كغيره من الجراحات التي يهمل المجروح مداواتها</w:t>
      </w:r>
      <w:r>
        <w:rPr>
          <w:rFonts w:eastAsia="IRNazanin" w:cs="IRNazanin"/>
          <w:color w:val="111111"/>
          <w:sz w:val="28"/>
          <w:szCs w:val="28"/>
          <w:rtl w:val="true"/>
          <w:lang w:bidi="fa-IR"/>
        </w:rPr>
        <w:t>.</w:t>
      </w:r>
      <w:r>
        <w:rPr>
          <w:rStyle w:val="FootnoteAnchor"/>
          <w:rtl w:val="true"/>
        </w:rPr>
        <w:footnoteReference w:id="16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الفصد قد يكون عدواناً وقد يكون علاجاً؛ ففي الأوّل، إن كان بقصد القتل أو كان المتعارف في الفصد من دون الشدّ الموت، فهما عمدٌ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ومحض عدم شدّ المفصود وإن كان بقصد نزف الدم وموته فغير موجب لخروج الآلة عن الآلية، ولا لمنع قصد القتل من كونه عمداً؛ حيث إنّ الفصّاد أوجد السبب لذلك وإيجاد المفصود المانع وإن كان واجباً له إلّا أنّه غير رافع للصدق عرفاً؛ لكون المقتول مقتولاًظلماً، فتكون سراية الجرح الحاصل من الفصد كسراية غيره من الجراحات التي يهمل المجروح مداواتها الموجبة للقود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دية الفصد،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قادراً فإن علم الجاني ذلك فعليه القود، ولو لم يعلم فإن فصده بقصد القتل ولو رجاءً فمات فعليه القود ظاهراً، وإن لم يقصده، بل فصده برجاء شدّه فليس عليه القود، وعليه دية شبه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ألقى نفسه من علوّ على إنسان عمداً، فإن كان ذلك ممّا يقتل به غالباً؛ ولو لضعف الملقى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لكبر أو صغر أو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w:t>
      </w:r>
    </w:p>
    <w:p>
      <w:pPr>
        <w:pStyle w:val="BookText"/>
        <w:rPr/>
      </w:pPr>
      <w:r>
        <w:rPr>
          <w:rFonts w:ascii="Amiri" w:hAnsi="Amiri" w:eastAsia="Amiri" w:cs="Amiri"/>
          <w:color w:val="111111"/>
          <w:sz w:val="28"/>
          <w:sz w:val="28"/>
          <w:szCs w:val="28"/>
          <w:rtl w:val="true"/>
          <w:lang w:bidi="ar-SA"/>
        </w:rPr>
        <w:t>واحتمال الفرق بين الفصد وترك المفصود الشدّ، وبين ترك المداواة في الجرح الساري بالقود في الثاني دون الأوّل، باعتبار أنّ الفصد بنفسه غير قاتل وإنّما الذي قتله خروج الدم، فهو كاللبث في النار في استناد الموت إلى أمر لم يكن من فعل الجاني ولا من آثاره، بخلاف سراية الجرح نفسه التي هي من آثار الجرح وإن ترك المداواة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ما لا يخفى، فإنّ الموت في الجرح كالفصد مستند أيضاً إلى تركه المداواة، فإنّ سبب الموت لم يكن نفس الجرح، بل السراية الحادثة القابلة للدفع بالمداواة، كما هو كذلك في النزف والفصد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فحكمه حكم الطبيب إن كان حاذقاً في فصده، فمع التقصير ضامن دون عدمه، بل مع تقصيره بترك الشدّ مع لزوم الشدّ عليه يكون حكمه حكم العدوان في إيجابه القصاص؛ لما ذكر من الآلية، كما أنّه على القول بضمان الطبيب مطلقاً هو ضامن أيضاً مطلقاً ولو مع عدم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لم يكن الفصد بأمر الطبيب وإلّا فهو المحكوم بالضمان أو القصاص دون الفصّاد؛ لأقوائيّة السبب عن المباشر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الأصل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الفعل آلة للقتل، ومرّ كفاية الآلية له في القود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قصد القتل به ولو رجاءً فكذلك هو عمد 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يقصد فهو شبه عمد،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جميع التقادير دم الجاني هدر،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عثر فوقع على غيره فمات فلا شيء عليه لا ديةً ولا قوداً،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شيء على الذي وقع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واضح، فإنّ العمد ومظلوميّة المقتول محقّق مع الرجاء، كتحقّقه مع الجزم واليقين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قاتلاً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القصد إلى الفعل، فضلاً عن القتل، فلا نسبة للقتل إليه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ولصحيح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وقع على رجل فقتله؟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شيء</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وصحيح ابن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يسقط على الرجل فيقتله؟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قتله القصاص فلا دية له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وخبر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وقع على رجل من فوق البيت فمات أحدهما؟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الأعلى شيء ولا على الأسفل شيء</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للواقع إذا مات؛ لعدم إرتباط قتله به أصلاً، فإنّ الوقوع أمر صادر من الواقع، والذي وقع عليه ليس بأزيد من المحلّ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العثر من دون اختيار، وأمّا العثر معه، مثل من يعلم أنّ في سيره وفعله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اللازم الذي له مندوحة يعثر غالباً، والغالب في أمثال ذلك العثر القتل، فإن عثر كذلك ومات المعثور عليه فالقصاص غير بعيد؛ لأنّه مقتول ظلماً، والنفس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جواز الفعل والسير، وأمّا مع المنع والحرمة فالقصاص أوضح، فإنّ القتل قتل عمد عرفاً؛ لكفاية سبق الاحتمال والفعل برجاء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ألقاه غيره قاصداً للأسفل أن يقتله قيّد الدافع به، وبالواقع إن كان الوقوع ممّا يقتل الواقع غالباً أو قصد قتله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قصد قتله وحده بالدفع، أو كان الوقوع ممّا يقتل غالباً ولم يقصد إيقاعه على الأسفل، ضمن دية الأسفل وقيّد بالواقع؛ قضاءً للقواعد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في صحيح ابن رئاب وعبدالله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دفع رجلاً على رجل فقتله؟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الدية على الذي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الرجل فقتله لأولياء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ويرجع المدفوع بالدية على الذي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أصاب المدفوع شيء فهو على الدافع أيضاً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فالدلالة والظهور في كون الضمان على الواقع والاستقرار على الدافع، وذلك مخالف للقواعد؛ لعدم التقصير والدخالة له في ذلك، فإنّه كالحجر الملقى لقتل الغير عمداً شبه الخطأ</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فالفرق بين المقام وبين تعاقب الأيادي واضح، فللأيادي دخالة ولوبجعل اليد، فإنّه موجب لضمان اليد وإن كان استقرار الضمان على الأخير، وفي كشف اللثام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محمول على أنّه لم يعلم إلّا وقوعه، ولم يعلم تعمّده ولا دفع غيره له</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ولكنّه كما ترى، ضرورة صراحة الخبر في خلافه أوّلاً، وعدم وجوب الدية على الوجه المزبور بعد التسليم ثانياً، خصوصاً بعد ما سمعته منه من عدم شيء عليه مع الوقوع لا عن عمد، وهذا منه؛ لأنّ الفرض كونه مدفوعاً للغير، فالوجه الرجوع بالدية على الدافع خصوصاً بعد معلوميّة مثل ذلك في المال، بل ذكروا في كتاب الغصب أنّ الضمان من أوّل وهلة على المكرِه دون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أتلف هو المال ولكن بالإكراه، وليس هو كقاعدة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هنا كذلك تعبّداً، أو أنّ ذلك مفروض فيما كان للواقع اختيارٌ وإرادةٌ في ذلك، فالضمان عليه لذلك المقدار من الدخل، كما أنّ الاستقرار على الواقع، لأنّه السبب بل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 الاستفصال في الجواب وإن كان مقتضياً للأعمّ منه، بل ظاهر السؤال الاختصاص بما لا دخالة للواقع، إلّا أنّ الحمل والتوجيه لا يخلو عن المخالفة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الحمل فليس في الرواية التعبّد والمخالفة للقواعد كما لا يخفى، لكنّ الشأن في صحّة الحمل كذلك وعدمها لكونه مخالفاً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على كون صلة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كما في أصل النسخةعلى ما في الوسائل</w:t>
      </w:r>
      <w:r>
        <w:rPr>
          <w:rStyle w:val="FootnoteAnchor"/>
          <w:rtl w:val="true"/>
        </w:rPr>
        <w:footnoteReference w:id="171"/>
      </w:r>
      <w:r>
        <w:rPr>
          <w:rFonts w:ascii="Amiri" w:hAnsi="Amiri" w:eastAsia="Amiri" w:cs="Amiri"/>
          <w:color w:val="111111"/>
          <w:sz w:val="28"/>
          <w:sz w:val="28"/>
          <w:szCs w:val="28"/>
          <w:rtl w:val="true"/>
          <w:lang w:bidi="ar-SA"/>
        </w:rPr>
        <w:t xml:space="preserve">فلابدّ من قرائته على المبنيّ للمفعول كما لا يخفى، وهذا بخلاف كون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نسخة البدل فإنّه مبنيّ للفاعل</w:t>
      </w:r>
      <w:r>
        <w:rPr>
          <w:rFonts w:eastAsia="Amiri" w:cs="Amiri" w:ascii="Amiri" w:hAnsi="Amiri"/>
          <w:color w:val="111111"/>
          <w:sz w:val="28"/>
          <w:szCs w:val="28"/>
          <w:rtl w:val="true"/>
          <w:lang w:bidi="ar-SA"/>
        </w:rPr>
        <w:t xml:space="preserve">. </w:t>
      </w:r>
      <w:bookmarkStart w:id="59" w:name="pg9428_72188"/>
    </w:p>
    <w:p>
      <w:pPr>
        <w:pStyle w:val="BookText"/>
        <w:rPr/>
      </w:pPr>
      <w:bookmarkEnd w:id="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سحره فقتل وعلم سببيّة سحره له، فهو عمد إن أراد بذلك قتله، وإلّا فليس بعمد بل شبهه؛ من غير فرق بين القول بأنّ للسحر واقعيّة أو لا، ولو كان مثل هذا السحر قاتلاً نوعاً، يكون عمداً ولو لم يقصد القتل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5797439_2870459653"/>
      <w:bookmarkStart w:id="61" w:name="_Toc20"/>
      <w:bookmarkEnd w:id="60"/>
      <w:r>
        <w:rPr>
          <w:rtl w:val="true"/>
        </w:rPr>
        <w:t>حقيقة السحر</w:t>
      </w:r>
      <w:bookmarkEnd w:id="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الفقهاء في أنّ السحر هل له حقيقة مؤثّرة في المسحور بحيث يموت منه ويتأثّر به فيما يقصده الساحر، أم هو مجرّد كلام ولا تأثير له أصلاً، فذهب بعضهم إلى الأوّل، وآخرون إلى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 القائلون بالأوّل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فَيَتَعَلَّمُونَ مِنْهُمَا مَا يُفَرِّقُونَ بِهِ بَيْنَ الْمَرْءِ وَزَوْجِهِ وَمَا هُمْ بِضَارِّينَ بِهِ مِنْ أَحَدٍ إلّا بِإِذْنِ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أسند القرآن التفريق إليه وذمّهم على تعلّم ما يفرّقون به بين المرء وزوجه، فلو لم يكن له تأثير لم يتوجّه إليهم الذمّ؛ ولأنّ تأثيره أمر وجداني شائع بين الخلق كثيراً قديماً وحديثاً، وفي الأخبار ما يدلّ على وقوعه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سُحِرَ حتّى كان يُخيّلُ إليه أنّه فعل شيئاً ولم يفعله، وفيه نزلت المعوّذتان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والقائلون بالثاني استدلّوا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يُخَيَّلُ إلَيْهِ مِنْ سِحْرِهِمْ أنَّهَا تَسْعَى</w:t>
      </w:r>
      <w:r>
        <w:rPr>
          <w:rFonts w:ascii="IRNazanin" w:hAnsi="IRNazanin" w:eastAsia="IRNazanin"/>
          <w:color w:val="111111"/>
          <w:sz w:val="28"/>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هُمْ بِضَارِّينَ بِهِ مِنْ أَحَدٍ إلّا بِإِذْنِ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تأثيره لو كان بالإضرار فلابدّ من إذنه تعالى وفقاً للآية،</w:t>
      </w:r>
      <w:r>
        <w:rPr>
          <w:rStyle w:val="FootnoteAnchor"/>
          <w:rtl w:val="true"/>
        </w:rPr>
        <w:footnoteReference w:id="175"/>
      </w:r>
      <w:r>
        <w:rPr>
          <w:rFonts w:ascii="Amiri" w:hAnsi="Amiri" w:eastAsia="Amiri" w:cs="Amiri"/>
          <w:color w:val="111111"/>
          <w:sz w:val="28"/>
          <w:sz w:val="28"/>
          <w:szCs w:val="28"/>
          <w:rtl w:val="true"/>
          <w:lang w:bidi="ar-SA"/>
        </w:rPr>
        <w:t>وإذنه تعالى ممتنع؛ لاستلزامه القبيح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وأقوى القولين بل الحقّ منهما هو الأوّل؛ لما عرفت من الأدلّة وغيرها ممّا يظهر لمن يراجع البحار</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وما استدلّ به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الأوّل منه على الخلاف أدلّ، بل دليل عليه من جهة الظهور في تأثير السحر في الخيال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إذن تكوينيّ لازم في جميع الأعمال والأفعال، فإنّه لا مؤثّر في الوجود إلّا الله، فيكون محقّقاً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قبح فيه من جهة الاختيار في الفعل كجميع المعاصي، فإنّ تأثيرها وتحقّقها ليس إلّا بإذن الله تعالى، فإنّه مسبّب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القبح في إذنه تعالى كذلك يكون من جهة ما في المعاصي من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أصل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أنّه لو سحره فمات لم يوجب قصاصاً ولا ديةً على القول الثاني؛ لعدم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قيام البيّنة عليه أو الإقرار به؛ لأنّهما على أمرٍ محال غير قابل للتحقّق على 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الأوّل فالكلام يقع في إثباته،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الإقرار مثبت له فكذلك البيّنة؛ لما في السحر من أعمال وأسباب وجوديّة قابلة للعلم كبقيّة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على القول بتحقّقه، فإنّ قيام البيّنة عليه واضح حتّى على الخيالي منه فضلاً عن الخارجي؛ لكونه مسبّباً عن العمل والسبب ولو مثل الشعبذة، فلا فرق بين البيّنة والإقرار في الإثبات إلّا في كفاية الإمكان فيالثاني دون الأوّل، فلابدّ فيه من الوقوع كما لا يخفى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كما أنّ أصل القتل به قابل للإثبات بهما فكذلك أنواعه من العمد والخطأ، فإن أقرّ مع القتل؛ بأنّ سحره ممّا يقتل به غالباً فقد أقرّ بالعمد، وإن قال</w:t>
      </w:r>
      <w:r>
        <w:rPr>
          <w:rFonts w:eastAsia="Amiri" w:cs="Amiri" w:ascii="Amiri" w:hAnsi="Amiri"/>
          <w:color w:val="111111"/>
          <w:sz w:val="28"/>
          <w:szCs w:val="28"/>
          <w:rtl w:val="true"/>
          <w:lang w:bidi="ar-SA"/>
        </w:rPr>
        <w:t xml:space="preserve">: </w:t>
      </w:r>
      <w:bookmarkStart w:id="62" w:name="pg9428_72190"/>
    </w:p>
    <w:p>
      <w:pPr>
        <w:pStyle w:val="BookText"/>
        <w:rPr/>
      </w:pPr>
      <w:bookmarkEnd w:id="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عليه عمداً فسرت فمات، فإن كانت الجناية ممّا تسري غالباً فهو عمد، أو قصد بها الموت فسرت فمات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كانت ممّا لا تسري ولا تقتل غالباً، ولم يقصد الجاني القتل، ففيه إشكال، بل الأقرب عدم القتل بها وثبوت دية شبه العمد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أضاف إليه قصد قتله فهو عمد أيضاً، وإلّا فهو شبيه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أخطأت من اسم غيره إلى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إقرار بالخطأ، فيلزمه حكم ما أقرّ به، ولكن في صورة الخطأ لا يلزم إقراره العاقلة، بل تجب الدية في ماله؛ قضاءً للدية 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صدّقوه أخذناهم بإقرارهم</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5797441_2870459653"/>
      <w:bookmarkStart w:id="64" w:name="_Toc21"/>
      <w:bookmarkEnd w:id="63"/>
      <w:r>
        <w:rPr>
          <w:rtl w:val="true"/>
        </w:rPr>
        <w:t>السراية في الجناية العمديّة</w:t>
      </w:r>
      <w:bookmarkEnd w:id="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المسألة هو الموافق للأُصول والقواعد، ولا إشكال ولا كلام في القود وكونه عمداً فيما كانت الجناية مسرية غالباً أو قصد بها الموت، وإنّما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الثالثة، ففي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سرت جناية العمد على طرف إلى النفس ثبت القصاص في النفس اتفاقاً كما هو الظاهر، وإطلاقهم يشمل كلّ جراحة قصد بها القتل أم لا، كانت ممّا يسري غالباً أو لا، فلو قطع إصبعه عمداً لا بقصد القتل فسرت إلى نفسه قُتل الجارح، ولكن فيه نظر</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السراية عن جناية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ظاهره عدمالفرق في إيجاب السراية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أصل الجناية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كونها ممّا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يوجبها غالباً أو يوجب القتل كذلك وعدمه، ولا بين أن يقصد بذلك القتل وعدمه، وبهذا المفهوم صرّح العلّامة في القواعد و‌التحرير،</w:t>
      </w:r>
      <w:r>
        <w:rPr>
          <w:rStyle w:val="FootnoteAnchor"/>
          <w:rtl w:val="true"/>
        </w:rPr>
        <w:footnoteReference w:id="178"/>
      </w:r>
      <w:r>
        <w:rPr>
          <w:rFonts w:ascii="Amiri" w:hAnsi="Amiri" w:eastAsia="Amiri" w:cs="Amiri"/>
          <w:color w:val="111111"/>
          <w:sz w:val="28"/>
          <w:sz w:val="28"/>
          <w:szCs w:val="28"/>
          <w:rtl w:val="true"/>
          <w:lang w:bidi="ar-SA"/>
        </w:rPr>
        <w:t>وتمشية هذا الإطلاق على قاعدة العمد السابقة لا يخلو من إشكال</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ووجه الإشكال ظاهر؛ لعدم القصد إلى القتل ولا غلبة الجناية في السراية أو القتل، بل وليس المقتول كذلك مظلوماً، فكيف القود والقصاص؟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ثبوت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الجاني ضامناً للجرح ابتداءً وسرايةً والموت منتسب إليه وإلى جرحه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القول بالقود في الموت بما يقتل به نادراً من دون قصد القتل على ما مرّ في تفصيل الأقسام للعمد في المسألة الأُولى، لابدّ من القول بالقود هنا أيضاً، فإنّه من موارده وأفراده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في مثل الشرائع</w:t>
      </w:r>
      <w:r>
        <w:rPr>
          <w:rStyle w:val="FootnoteAnchor"/>
          <w:rtl w:val="true"/>
        </w:rPr>
        <w:footnoteReference w:id="180"/>
      </w:r>
      <w:r>
        <w:rPr>
          <w:rFonts w:ascii="Amiri" w:hAnsi="Amiri" w:eastAsia="Amiri" w:cs="Amiri"/>
          <w:color w:val="111111"/>
          <w:sz w:val="28"/>
          <w:sz w:val="28"/>
          <w:szCs w:val="28"/>
          <w:rtl w:val="true"/>
          <w:lang w:bidi="ar-SA"/>
        </w:rPr>
        <w:t>في المسألة موجّه، لكنّ الشأن في تماميّة ذلك المبنى، وقد عرفتَ عدم التماميّة، وأنّ الأشهر بل المشهور أنّه ليس بعمد، بل عن الغنية</w:t>
      </w:r>
      <w:r>
        <w:rPr>
          <w:rStyle w:val="FootnoteAnchor"/>
          <w:rtl w:val="true"/>
        </w:rPr>
        <w:footnoteReference w:id="181"/>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 بعد نقل ما مرّ</w:t>
      </w:r>
      <w:r>
        <w:rPr>
          <w:rStyle w:val="FootnoteAnchor"/>
          <w:rtl w:val="true"/>
        </w:rPr>
        <w:footnoteReference w:id="182"/>
      </w:r>
      <w:r>
        <w:rPr>
          <w:rFonts w:ascii="Amiri" w:hAnsi="Amiri" w:eastAsia="Amiri" w:cs="Amiri"/>
          <w:color w:val="111111"/>
          <w:sz w:val="28"/>
          <w:sz w:val="28"/>
          <w:szCs w:val="28"/>
          <w:rtl w:val="true"/>
          <w:lang w:bidi="ar-SA"/>
        </w:rPr>
        <w:t>عن عبارة المسالك،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ما يستفاد منه ذلك وإن كان الإنصاف عدم خلوّهعن النظر أيضاً</w:t>
      </w:r>
      <w:r>
        <w:rPr>
          <w:rFonts w:eastAsia="Amiri" w:cs="Amiri" w:ascii="Amiri" w:hAnsi="Amiri"/>
          <w:color w:val="111111"/>
          <w:sz w:val="28"/>
          <w:szCs w:val="28"/>
          <w:rtl w:val="true"/>
          <w:lang w:bidi="ar-SA"/>
        </w:rPr>
        <w:t>.</w:t>
      </w:r>
      <w:r>
        <w:rPr>
          <w:rStyle w:val="FootnoteAnchor"/>
          <w:rtl w:val="true"/>
        </w:rPr>
        <w:footnoteReference w:id="183"/>
      </w:r>
      <w:bookmarkStart w:id="65" w:name="pg9428_72192"/>
    </w:p>
    <w:p>
      <w:pPr>
        <w:pStyle w:val="BookText"/>
        <w:rPr/>
      </w:pPr>
      <w:bookmarkEnd w:id="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له طعاماً مسموماً بما يقتل مثله غالباً أو قصد قتله به، فلو لم يعلم الحال فأكل ومات، فعليه القود، ولا أثر لمباشرة المجنيّ عليه، وكذا الحال لو كان المجنيّ عليه غير مميّز؛ سواء خلطه بطعام نفسه وقدّم إليه أو أهداه أو خلطه بطعام الآكل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مضى منه هو ما ذكره وجهاً للقصاص وتحقّق العمد مع عدم القصد إلى القتل وعدم الغلبة للآلة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ذلك لكان المتّجه فيه القصاص؛ لصدق القتل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ونظره فيه راجع إلى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العمدة في تنزيل إطلاق النصوص المزبورة على ذلك الشهرة المحقّقة والمحكيّة والإجماع المحكيّ، ولولا ذلك لكان المتّجه فيه القصاص؛ لصدق القتل عمداً على معنى حصوله على جهة القصد إلى الفعل عدواناً الذي حصل به القتل وإن كان ممّا يقتل نادراً؛ إذ ليس في شيء من الأدلّة العمد إلى القتل، بل ولا العرف يساعد عليه، فإنّه لا ريب في صدق القتل عمداً على من ضرب رجلاً عادياً غير قاصد للقتل أو قاصداً عدمه فاتّفق ترتّب القتل على ضربه العادي منه المتعمد له</w:t>
      </w:r>
      <w:r>
        <w:rPr>
          <w:rFonts w:eastAsia="Amiri" w:cs="Amiri" w:ascii="Amiri" w:hAnsi="Amiri"/>
          <w:color w:val="111111"/>
          <w:sz w:val="28"/>
          <w:szCs w:val="28"/>
          <w:rtl w:val="true"/>
          <w:lang w:bidi="ar-SA"/>
        </w:rPr>
        <w:t>.</w:t>
      </w:r>
      <w:r>
        <w:rPr>
          <w:rStyle w:val="FootnoteAnchor"/>
          <w:rtl w:val="true"/>
        </w:rPr>
        <w:footnoteReference w:id="184"/>
      </w:r>
    </w:p>
    <w:p>
      <w:pPr>
        <w:pStyle w:val="Heading3"/>
        <w:numPr>
          <w:ilvl w:val="2"/>
          <w:numId w:val="1"/>
        </w:numPr>
        <w:rPr/>
      </w:pPr>
      <w:bookmarkStart w:id="66" w:name="__RefHeading___Toc5797443_2870459653"/>
      <w:bookmarkStart w:id="67" w:name="_Toc22"/>
      <w:bookmarkEnd w:id="66"/>
      <w:r>
        <w:rPr>
          <w:rtl w:val="true"/>
        </w:rPr>
        <w:t>التسبيب في القتل</w:t>
      </w:r>
      <w:bookmarkEnd w:id="6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في المسائل السابقة إلى هنا من مسائل التسبيب كان من انفراد الجاني بالتسبيب، ومن هذه المسألة السادسة عشر إلى الثالثة والثلاثين يكون في اشتراك الجاني كذلك مع المجنيّ عليه، كما أنّ ما فيالرابعة والعشرين إلى الحادية والثلاثين مربوط باشتراكه مع الحيوان، والمسألة الثانية والثلاثين وكذا الثالثة </w:t>
      </w:r>
      <w:bookmarkStart w:id="68" w:name="pg9428_72193"/>
    </w:p>
    <w:p>
      <w:pPr>
        <w:pStyle w:val="BookText"/>
        <w:rPr/>
      </w:pPr>
      <w:bookmarkEnd w:id="6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والثلاثين من مسائل اشتراك الجاني كذلك، أي بالتسبيب مع إنسان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وللجاني بالتسبيب أقسام أربعة، ذكرها صاحب القواعد</w:t>
      </w:r>
      <w:r>
        <w:rPr>
          <w:rStyle w:val="FootnoteAnchor"/>
          <w:rtl w:val="true"/>
        </w:rPr>
        <w:footnoteReference w:id="185"/>
      </w:r>
      <w:r>
        <w:rPr>
          <w:rFonts w:ascii="Amiri" w:hAnsi="Amiri" w:eastAsia="Amiri" w:cs="Amiri"/>
          <w:color w:val="111111"/>
          <w:sz w:val="28"/>
          <w:sz w:val="28"/>
          <w:szCs w:val="28"/>
          <w:rtl w:val="true"/>
          <w:lang w:bidi="ar-SA"/>
        </w:rPr>
        <w:t>في مطالب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في المتن يخالفه في ترتيب الأقسام، والأمر في التقسيم والترتيب وغيرهما من الأُمور الفنيّة وأُمور الفهرسة سهلة المؤونة في الفقه، إنّما المهمّ نفس المسائل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للطعام المسموم وإن كان له السببيّة في الجملة، لكنّ المقتول شريكه في القتل، وينبغي في البحث عن هذه المسألة وما يتلوها إلى المسألة الحادية والعشرين اتّباع صاحبي اللثام</w:t>
      </w:r>
      <w:r>
        <w:rPr>
          <w:rStyle w:val="FootnoteAnchor"/>
          <w:rtl w:val="true"/>
        </w:rPr>
        <w:footnoteReference w:id="186"/>
      </w:r>
      <w:r>
        <w:rPr>
          <w:rFonts w:ascii="IRNazanin" w:hAnsi="IRNazanin" w:eastAsia="IRNazanin"/>
          <w:color w:val="111111"/>
          <w:sz w:val="28"/>
          <w:sz w:val="28"/>
          <w:szCs w:val="28"/>
          <w:rtl w:val="true"/>
          <w:lang w:bidi="fa-IR"/>
        </w:rPr>
        <w:t xml:space="preserve">والجواهر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حيث جعلا الكلام في مسألة التقديم في التقديم والمناولة تارة، وفي الوضع والجعل أُخرى، وفي حكم الاختلاف ثالثة، وفي الخطأ رابعة، فالكلام يتمّ في مسائل أربعة، وبه يظهر حال مسائل المتن</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5797445_2870459653"/>
      <w:bookmarkStart w:id="70" w:name="_Toc23"/>
      <w:bookmarkEnd w:id="69"/>
      <w:r>
        <w:rPr>
          <w:rtl w:val="true"/>
        </w:rPr>
        <w:t>القتل بالطعام المسموم</w:t>
      </w:r>
      <w:bookmarkEnd w:id="7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إليه طعاماً مسموماً بما يقتل مثله غالباً أو قصد القتل به في الأكل، فإن علم الآكل بالسمّ وكان مميّزاً فلا قود ولا دية بلا خلاف ولا إشكال؛ لكونه هو القاتل نفسه بمباشرته عالماً بالحال لا المقدّم، وتقديمهوإن كان مؤثّراً في الجملة لكنّ تأثيره شرطيّة كمناولته السكّين لمن ذبح نفسه بها عالماً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وقع من مثل الإمام الحسن والإمام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الإقدام على الطعام المسموم، فمن المحتمل كون دخالة العلم في النهي عن الإلقاء في التهلكة وفي قتل النفس على نحو الموضوعيّة، وخروج العلم من الغيب عن الموضوع واختصاصه بالعلم العادّي، فإنّ اختيار الموضوع بيد الشارع فلا حرمة على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وإن كان مخالفاً لظاهر الأدلّة، واقتضائه الطريقيّة للعلم كسائر الموارد المثبتة للحكم على ذات الموضوع، إلّا أنّ العصمة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ذلك الاحتمال؛ دفعاً لما ينافي العصمة، وفي محض الاحتمال ثبوتاً كفاية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كون الإقدام منهما لمصلحة الإسلام والمسلمين، كالشهادة والجهاد أو غيرهما من الوجوه المذكورة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يعلم الآكل بالحال فأكل فمات، فللوليّ القود عندنا؛ لأنّ المباشرة هنا ضعفت بالغرور، وينسب القتل إلى السبب، أي 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قتله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إنّ المقدّم عرّضه لأكل الطعام ولم يُعلمه بكون الطعام مسموماً، ألا ترى أنّه لو أعلمه أنّ فيه السمّ لم يختر شربه ولا أكله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ذلك بين ما لو خلطه بطعام نفسه وقدّمه إليه، أو أهداه إليه، أو خلطه بطعام الآكل ولم يعلم، أو بطعام أجنبيّ وندبه إليه من غير شعور أحد من الآكل والأجنبيّ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الأجنبيّ وشارك في التقديم كان شريكاً في الجناية، فما عن الشافعي من قوله بنفي القود مع عدم العلم ترجيحاً للمباشرة التي عرفت سقوطها بالغرور واضح الضعف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وفي مجمع الفائدة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قدّم شخص إلى غيره طعاماً مسموماً فأكله ذلك الغير عالماً بالسمّ وكونه قاتلاً، لا شيء على المقدّم من القصاص والدية؛ لأنّه السبب القويّ بل المباشر، فهو القاتل لنفسه لا غير، وإن جهل أحدهما يكون المقدّم قاتل عمد، فعليه القصاص مع علمه بهما، والدية عليه مع جهله بأحدهما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وفي الجواهر الإيراد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 كون المقدّم قاتل عمد مع فرض علم المتناول بأنّ في الطعام شيئاً قاتلاً ولكن لم يعلم أنّه سمّ، ضرورة عدم مدخليّة جهله بالسمّ في إقدامه على قتل نفسه، بل قد يشك في ذلك لو علم بأنّ فيه سمّاً خاصّة، حيث إنّه أقدم على ما يحتمل فيه القتل</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وما ذكره رحمه الله من المنع في محلّه،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بالسمّ مستلزمة عادة للجهل بأنّ في الطعام شيئاً قاتلاً، وبأنّ السمّ في الطعام هو الغالب القاتل دون غيره لندرته جدّاً، فكلامه منصرف إلى الغالب، فلا منع ولا نقض كما لا يخفى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ضعف ما في الجواهر من الإشكال في إطلاق ثبوت الدية على المقدّم مع جهله بأحدهما، إذ من أفراده ما لو علم بكونه قاتلاً ولكن لم يعلم بأنّه سمٌّ فإنّ المتّجه فيه القصاص لا الدية، ووجه الضعفما مرّ في عكسه من </w:t>
      </w:r>
      <w:bookmarkStart w:id="71" w:name="pg9428_72196"/>
    </w:p>
    <w:p>
      <w:pPr>
        <w:pStyle w:val="BookText"/>
        <w:rPr/>
      </w:pPr>
      <w:bookmarkEnd w:id="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ذلك الفرد من إطلاق كلامه وانصرافه إلى غيره لندرته إن لم نقل بعدم تحقّقه، فالكلام منصرف إلى المتعارف، فالجهالة بالسمّ مع العلم بأنّ الطعام قاتل كعكسه من الجهالة بأنّه قاتل مع العلم بأنّ فيه السمّ، كلاهما خارجان عن إطلاق كلامه بانصراف الكلام إلى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أورده عليه قبل ذلك بمنع ثبوت الدية على المقدّم الجاهل فيما لو كان واضع السمّ غيره، للأصل، وأولويّة المباشرة مع التساوي، وبعد ذلك بثبوت القصاص على المقدّم مع كونه عالماً بالسمّ دون كونه قاتلاً فيما قصد القتل به، أو أعقب مرضاً أدّى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خارجان عن محلّ البحث؛ لأنّ الظاهر كون السبب في جهل المقدّم ما هو السبب في جهل الآكل، وهو الجهل من حيث السمّ في الطعام، لا من جهة الواضع ولا غيرها من الجهات حتّى يرد النقض 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ولأنّ الجهل المبحوث عنه ما هو السبب لعدم العمد بما هو جهل، ففرضه مع شيء يوجب العمد كقصد القتل، والنقض بثبوت القصاص معه خروج عن محلّ البحث أيضاً</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5797447_2870459653"/>
      <w:bookmarkStart w:id="73" w:name="_Toc24"/>
      <w:bookmarkEnd w:id="72"/>
      <w:r>
        <w:rPr>
          <w:rtl w:val="true"/>
        </w:rPr>
        <w:t>القتل بالسمّ</w:t>
      </w:r>
      <w:bookmarkEnd w:id="73"/>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بالسمّ والمشاركة لكن لا بنحو المناولة والتقديم، بل مثل جعله في طعام صاحب المنزل وأكله من غير شعور واطّلاع، وفيه احتمالات ثلاثة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القود على السبب والجاعل، كما اختاره الشيخ في الخلاف</w:t>
      </w:r>
      <w:r>
        <w:rPr>
          <w:rStyle w:val="FootnoteAnchor"/>
          <w:rtl w:val="true"/>
        </w:rPr>
        <w:footnoteReference w:id="190"/>
      </w:r>
      <w:r>
        <w:rPr>
          <w:rFonts w:ascii="IRNazanin" w:hAnsi="IRNazanin" w:eastAsia="IRNazanin"/>
          <w:color w:val="111111"/>
          <w:sz w:val="28"/>
          <w:sz w:val="28"/>
          <w:szCs w:val="28"/>
          <w:rtl w:val="true"/>
          <w:lang w:bidi="fa-IR"/>
        </w:rPr>
        <w:t>والمبسوط،</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المسالك</w:t>
      </w:r>
      <w:r>
        <w:rPr>
          <w:rStyle w:val="FootnoteAnchor"/>
          <w:rtl w:val="true"/>
        </w:rPr>
        <w:footnoteReference w:id="192"/>
      </w:r>
      <w:r>
        <w:rPr>
          <w:rFonts w:ascii="Amiri" w:hAnsi="Amiri" w:eastAsia="Amiri" w:cs="Amiri"/>
          <w:color w:val="111111"/>
          <w:sz w:val="28"/>
          <w:sz w:val="28"/>
          <w:szCs w:val="28"/>
          <w:rtl w:val="true"/>
          <w:lang w:bidi="ar-SA"/>
        </w:rPr>
        <w:t>على أنّه الأشهر؛ لضعف المباشرة بالغرور وأقوائيّة السبب، ولصدق القتل عامداً لغةً وعرفاً، بل لعلّه نحو التقديم الذي ليس إلجاءً وإنّما هو داعٍ للأكل، والطريق المتعارف في القتل بالسمّ الذي هو كالآلة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عليه دون القود، حيث إنّه لم يَلجئه إلى الأكل ولم يكن مقدّماً فيلزمه القصاص، ووجوب الدية عليه لنسبة القتل إليه وكونه 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من رأس، وهو قول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والمتعيّن من الاحتمالات، بل الأقوى منها الأوّل؛ لما عرفت من الوجه، والقود ليس دائراً مدار الإلجاء أو التقديم حتّى ينتفي بانتفائه، بل هو دائر مدار صدق القتل مظلوماً، وأقوائيّة السبب عن المباشر الموجب لصدق النسبة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الظاهر عدم الفرق من حيث العمد والنسبة بين التقديم وبين الجعل في منزله وأكله مع جهله، فكما يلزم القود في الأوّل فكذا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علم الآكل فلا ضمان على المقدّم فضلاً عن الجاعل، 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هنا كلام لا يخلو نقله من فائدة وزيادة توضيح للمسألة،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جعل شخص سمّاً في طعام صاحب المنزل فأكله،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القصاص فإنّه قتل نفساً بالتسبيب وهو موجب للقصاص،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بالدية؛ لأنّه أكل بنفسه طعام نفسه فلا يلزم على الغير، إذ صدق القاتل عمداً عليه غير ظاهر، ولكن لما صار سبباً للقتلفي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لدم امرءٍ مسلم من شيءٍ، ولما لم يلزم القود للشكّ في كونه قاتلاً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الدية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عدم شيء أصلاً؛ لأنّه ما فعل إلّا إلقاء السمّ وهو غير قاتل ولا سبب موجب، لعدم الإلجاء، وهذا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التفصيل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إن كان الملقي عالماً بأنّه سمّ قاتل وأكل الآكل جاهلاً بذلك فعليه القصاص؛ لأنّه تعمّد القتل أو ما يؤول إليه غالباً؛ لأنّ إلقاءه مع عدم مانع أكله بمنزلة فعل السبب، ولأنّه لو لم يكن مثل هذا موجباً للزم منه وجود قتل كثير مع عدم القصاص يلزم عدم القود في مقدّم الطعام المسموم أيضاً، إذ لا إلجاء هنا أيضاً كذلك، وكذا في أمثال ذلك وهو ظاهر، وفتح للفساد والقتل الكثير، وهو مناف لحكمة شرع القصاص،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أكل عالماً لا شيء عليه وأنّ</w:t>
      </w:r>
      <w:r>
        <w:rPr>
          <w:rStyle w:val="FootnoteAnchor"/>
          <w:rtl w:val="true"/>
        </w:rPr>
        <w:footnoteReference w:id="193"/>
      </w:r>
      <w:r>
        <w:rPr>
          <w:rFonts w:ascii="Amiri" w:hAnsi="Amiri" w:eastAsia="Amiri" w:cs="Amiri"/>
          <w:color w:val="111111"/>
          <w:sz w:val="28"/>
          <w:sz w:val="28"/>
          <w:szCs w:val="28"/>
          <w:rtl w:val="true"/>
          <w:lang w:bidi="ar-SA"/>
        </w:rPr>
        <w:t>الآكل هو القاتل نفسه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فعل جاهلاً فعليه الدية؛ لعدم قصد القتل ولا إلى موجبه التامّ ولو نادراً، فلا يكون عامداً مع ثبوت عدم إبطال دم امرءٍ، وعدم اعتبار القصد والعمد في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أنّ ما يدلّ عليه ما ذكره من اللازم الباطل؛ لعدم القصاص فيما كان الملقي عالماً والآكل جاهلاً، من عدم القود في مقدّم الطعام المسموم أيضاً، وهو عدم الفرق بين جعل السمّ في الطعام وبين تقديم الطعام المسموم، أمرٌ متين وتامّ جدّاً، فإنّ المناط فيهما واحد، ولقدأجاد فيما أفاد</w:t>
      </w:r>
      <w:r>
        <w:rPr>
          <w:rFonts w:eastAsia="Amiri" w:cs="Amiri" w:ascii="Amiri" w:hAnsi="Amiri"/>
          <w:color w:val="111111"/>
          <w:sz w:val="28"/>
          <w:szCs w:val="28"/>
          <w:rtl w:val="true"/>
          <w:lang w:bidi="ar-SA"/>
        </w:rPr>
        <w:t xml:space="preserve">. </w:t>
      </w:r>
      <w:bookmarkStart w:id="74" w:name="pg9428_72199"/>
    </w:p>
    <w:p>
      <w:pPr>
        <w:pStyle w:val="BookText"/>
        <w:rPr/>
      </w:pPr>
      <w:bookmarkEnd w:id="7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5797449_2870459653"/>
      <w:bookmarkStart w:id="76" w:name="_Toc25"/>
      <w:bookmarkEnd w:id="75"/>
      <w:r>
        <w:rPr>
          <w:rtl w:val="true"/>
        </w:rPr>
        <w:t>الاختلاف في القتل بالجعل أو التقديم</w:t>
      </w:r>
      <w:bookmarkEnd w:id="76"/>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الاختلاف بين الجاعل أو المقدّم مع وليّ الدم في الجنس أو المقدار فالقول قوله، وعلى الوليّ البيّنة؛ لأنّه المدّعي ويكون قوله مخالفاً لأصالة البراءة عن القصاص والدية، فإن قامت وثبت أنّه ممّا يقتل به غالباً فادّعى الجهل بأنّه كذلك ففي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احتمل القود؛ لأنّ السمّ من جنس ما يقتل غالباً فأشبه ما لو جرحه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أنّه يموت منه، وعدمه لجواز خفائه، فكان شبهةً في سقوط القود، فتجب الدية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وأقوى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أي عدمه، لكن بشرط كون جواز الخفاء على حدّ الشبهة الموجبة للاحتياط والتخفيف، كما هو الظاهر من عبارة التحرير أيضاً؛ لما فيها من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لا 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محض جواز الخفاء له أعمّ من تلك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المعلوم عدم اعتناء العقلاء، بل لعلّ بناؤهم على عدمه فيما كان جواز الخفاء والشبهة ضعيفاً في حقّه جدّاً من جهة الشخص أو الزمان أو المكان، أو غير ذلك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لابدّ من كون الاحتمال عقلائيّاً لا عقليّاً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اللثام من اشتراطه الأقوائيّة بما إذا حصلت الشبهة، حيث قال بعد نقل عبارة التحرير</w:t>
      </w:r>
      <w:r>
        <w:rPr>
          <w:rFonts w:eastAsia="Amiri" w:cs="Amiri" w:ascii="Amiri" w:hAnsi="Amiri"/>
          <w:color w:val="111111"/>
          <w:sz w:val="28"/>
          <w:szCs w:val="28"/>
          <w:rtl w:val="true"/>
          <w:lang w:bidi="ar-SA"/>
        </w:rPr>
        <w:t xml:space="preserve">: </w:t>
      </w:r>
      <w:bookmarkStart w:id="77" w:name="pg9428_72200"/>
    </w:p>
    <w:p>
      <w:pPr>
        <w:pStyle w:val="BookText"/>
        <w:rPr/>
      </w:pPr>
      <w:bookmarkEnd w:id="7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الثاني إذا حصلت الشبهة،</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إنّما يكون لما في عبارته المنقولة من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 فإنّ الاشتراط في أقوائيّة الثاني من الاحتمالين في عبارته لازم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الواو كما فيما عندنا من نسخة التحرير،</w:t>
      </w:r>
      <w:r>
        <w:rPr>
          <w:rStyle w:val="FootnoteAnchor"/>
          <w:rtl w:val="true"/>
        </w:rPr>
        <w:footnoteReference w:id="197"/>
      </w:r>
      <w:r>
        <w:rPr>
          <w:rFonts w:ascii="Amiri" w:hAnsi="Amiri" w:eastAsia="Amiri" w:cs="Amiri"/>
          <w:color w:val="111111"/>
          <w:sz w:val="28"/>
          <w:sz w:val="28"/>
          <w:szCs w:val="28"/>
          <w:rtl w:val="true"/>
          <w:lang w:bidi="ar-SA"/>
        </w:rPr>
        <w:t>فالاشتراط 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الجواهر من الاعتراض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الأقوى الأوّل بعد فرض ثبوت العمد إلى القتل منه؛ لعموم النَّفْسَ بِالنَّفْسِ</w:t>
      </w:r>
      <w:r>
        <w:rPr>
          <w:rFonts w:ascii="IRNazanin" w:hAnsi="IRNazanin" w:eastAsia="IRNazanin"/>
          <w:color w:val="111111"/>
          <w:sz w:val="28"/>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وصدق القتل عمداً وغير ذلك</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أنّ ذلك الفرض محلّ البحث فهو كما ترى؛ لأنّه غيره، وإن كان مراده كون محلّ البحث مثله، ففيه أنّه أوّل الكلام</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5797451_2870459653"/>
      <w:bookmarkStart w:id="79" w:name="_Toc26"/>
      <w:bookmarkEnd w:id="78"/>
      <w:r>
        <w:rPr>
          <w:rtl w:val="true"/>
        </w:rPr>
        <w:t>الخطأ في تقديم السمّ</w:t>
      </w:r>
      <w:bookmarkEnd w:id="79"/>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في التقديم كما لو قصد بالتقديم قتل غير الآكل، بأن قدّم إليه بظنّ أنّه الغير؛ لكونه في ظلمة أو من وراء حجاب أو نحو ذلك، ففي القواعد</w:t>
      </w:r>
      <w:r>
        <w:rPr>
          <w:rStyle w:val="FootnoteAnchor"/>
          <w:rtl w:val="true"/>
        </w:rPr>
        <w:footnoteReference w:id="20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خطأ وعليه الدية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القصاص، وقضاءً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إليه طعاماً مسموماً مع علم الآكل بأنّ فيه سمّاً قاتلاً، فأكل متعمّداً وعن اختيار، فلا قود ولا دية، ولو قال كذباً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سمّاً غير قاتل وفيه علاج لكذا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 فمات، فعليه القود،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فأكله، فلا قود ولا 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قدّم إليه طعاماً فيه سمّ غير قاتل غالباً، فإن قصد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عمد لو جهل الآكل، ولو لم يقصد القتل فلا 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إليه المسموم بتخيّل أنّه مهدور الدم فبان الخلاف، لم يكن قتل عمد ولا قود فيه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سُلْطَاناً فَلَا يُسْرِفْ فِي الْقَتْلِ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القتل ظلماً وإن لم يكن متعلّقاً بالأكل، إلّا أنّ انجراره إلى قتله كافٍ في الصدق عرفاً، فإنّه ظالم في قتله وهو مظلوم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إلغاء الخصوصيّة غير بعيدة، حيث إنّ الخاطئ والعامد مشتركان في قصد المعصية والقتل المحرّم، وفي تحقّق المعصية والقتل منهما، وإنّما الاختلاف في تطابق القصد وعدمه الخارج عن الاختيار، فمناط القصاص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سوء النيّة بنيّة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في مثل هذا الخطأ كالعمد، من دون فرق بينهما في ذلك أصلاً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راجع إلى دخالة الأمر الذي لا يكون اختياريّاً، وهو مطابقة القصد مع المقصود وعدم مطابقته معه في القصاص وعدمه، وهو كما ترى مع تحقّق الظلم والعصيان المناطللقصاص فيهما على السواء</w:t>
      </w:r>
      <w:r>
        <w:rPr>
          <w:rFonts w:eastAsia="Amiri" w:cs="Amiri" w:ascii="Amiri" w:hAnsi="Amiri"/>
          <w:color w:val="111111"/>
          <w:sz w:val="28"/>
          <w:szCs w:val="28"/>
          <w:rtl w:val="true"/>
          <w:lang w:bidi="ar-SA"/>
        </w:rPr>
        <w:t xml:space="preserve">. </w:t>
      </w:r>
      <w:bookmarkStart w:id="80" w:name="pg9428_72202"/>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لوجعل السمّ في طعام صاحب المنزل، فأكله صاحب المنزل من غير علم به فمات، فعليه القود لو كان ذلك بقصد قتل صاحب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جعله بقصد قتل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فأكله صاحب المنزل فلا قود، بل الظاهر أنّه لا دية أيضاً، ولو علم أنّ صاحب المنزل يأكل منه فالظاهر أنّ عليه القود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بيته طعام مسموم، فدخل شخص بلا إذنه فأكل ومات، فلا قود ولا 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دعاه إلى داره لا لأكل الطعام فأكله بلا إذن منه وعدواناً فلا قود</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5797453_2870459653"/>
      <w:bookmarkStart w:id="82" w:name="_Toc27"/>
      <w:bookmarkEnd w:id="81"/>
      <w:r>
        <w:rPr>
          <w:rtl w:val="true"/>
        </w:rPr>
        <w:t>الدخول في البيت وأكل السمّ فيه</w:t>
      </w:r>
      <w:bookmarkEnd w:id="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القود والدية مع الدخول من دون الإذن؛ لعدم نسبة المباشرة ولا التسبيب لا في قتله ولا في أكله لصاحب البيت، حيث إنّ المقتول هو المباشر في أكل السمّ وفي قتل نفسه اختياراً، فلو لم يدخل البيت لم يقتل، فلا دخالة مؤثّرة لصاحب البيت في قتله، وإنّما يكون عمله عملاً جائزاً لنفسه، والآكل هو المتعدّي بدخول دار غيره والأكل من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هو قاتل نفسه، حيث إنّ له أن لا يدخل البيت، بل كان ممنوعاً؛ لكونه عدواناً وظلماً، بل لا ضمان لصاحب البيت والطعام أيضاً إن كان الآكل متعدّياً بأن لم يكن مأذوناً في أكله وإن كان مأذوناً في الدخول لعين ما ذكر قبيل ذلك، حيث إنّه مباشر في قتل نفسه ويكون هو المتعدّي في الأكل مثل المتعدّي في الدخول، فلو لم يأكل لم يقتل، وصاحب البيت لم يكن داعياً ومؤثّراً في أكله حتّى يكون سبباً أقوى من المباشر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وجه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دعاه إلى داره لا لأكل الطعام</w:t>
      </w:r>
      <w:r>
        <w:rPr>
          <w:rFonts w:eastAsia="Amiri" w:cs="Amiri" w:ascii="Amiri" w:hAnsi="Amiri"/>
          <w:color w:val="111111"/>
          <w:sz w:val="28"/>
          <w:szCs w:val="28"/>
          <w:rtl w:val="true"/>
          <w:lang w:bidi="ar-SA"/>
        </w:rPr>
        <w:t xml:space="preserve">...». </w:t>
      </w:r>
      <w:bookmarkStart w:id="83" w:name="pg9428_72203"/>
    </w:p>
    <w:p>
      <w:pPr>
        <w:pStyle w:val="BookText"/>
        <w:rPr/>
      </w:pPr>
      <w:bookmarkEnd w:id="8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إن كان الأكل غير عادي ومأذوناً في أكله فعليه الدية مع عدم قصد القتل؛ لجهله بوجود السمّ في الطعام، ولكون القتل منسوباً إليه وكونه دخيلاً فيه ولو من جهة الإذن، فإنّ السبب أقوى من المباشر؛ لضعف المباشرة بالغرور والجهل، ومحض النسبة مع كون الآلة أو الفعل بما يقتل به غالباً كافية في الدية، وأمّا مع قصده القتل فالقصاص، حيث إنّ كون الإذْن كالتقديم غير بعيد</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5797455_2870459653"/>
      <w:bookmarkStart w:id="85" w:name="_Toc28"/>
      <w:bookmarkEnd w:id="84"/>
      <w:r>
        <w:rPr>
          <w:rtl w:val="true"/>
        </w:rPr>
        <w:t>السموم القاتلة من غير أكل وشرب</w:t>
      </w:r>
      <w:bookmarkEnd w:id="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الطعام المسموم غيره من السموم القاتلة بغير الأكل والشرب، كمسموميّة المكان والمحيط أو الوسائل والأدوات، وغيرها ممّا يوجب الموت سريعاً أو بطيئاً بعد مدّة غالباً، فحكم ذلك المكان أو العامل بتلك الآلات والوسائل والمواد السامّة حكم الطعام المسموم، فالداعي لهما إلى المكان وإلى العمل بها كالمستأجر وصاحب العمل إن كان عالماً بذلك وكان المقتول جاهلاً، فعلى مثل 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القود؛ لضعف المباشرة بالغرور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المقتول عالماً فلا ضمان على السبب، عالماً كان أو جاهلاً؛ لإقدامه على قتل نفسه، وضعف السبب بعلم المباشر، فيكون كمن أعطاه الغير سكّيناً فقتل نفسه به متعمّداً، فلا ضمان على المعطي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جاهلين فلا ضمان على السبب، مع اشتراكه المباشر في الجهل وعدم الغرور</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5797457_2870459653"/>
      <w:bookmarkStart w:id="87" w:name="_Toc29"/>
      <w:bookmarkEnd w:id="86"/>
      <w:r>
        <w:rPr>
          <w:rtl w:val="true"/>
        </w:rPr>
        <w:t>شكّ السبب في السمّية</w:t>
      </w:r>
      <w:bookmarkEnd w:id="8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المستأجر وصاحب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شاكّاً ومردّداً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حفر بئراً ممّا يقتل بوقوعه فيها، ودعا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يسقط فيها بمجيئه، فجاء فسقط ومات، فعليه القود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البئر في غير طريقه ودعاه لا على وجه يسقط فيها، فذهب الجائي على غير الطريق فوقع فيها، لا قود ولا 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السمّية فضمانه بالديه ممّا لا ينبغي الإشكال فيه؛ لأقوائيّة السبب على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الضمان بالقصاص، فمحلّ إشكال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w:t>
      </w:r>
      <w:r>
        <w:rPr>
          <w:rStyle w:val="FootnoteAnchor"/>
          <w:rtl w:val="true"/>
        </w:rPr>
        <w:footnoteReference w:id="202"/>
      </w:r>
      <w:r>
        <w:rPr>
          <w:rFonts w:ascii="Amiri" w:hAnsi="Amiri" w:eastAsia="Amiri" w:cs="Amiri"/>
          <w:color w:val="111111"/>
          <w:sz w:val="28"/>
          <w:sz w:val="28"/>
          <w:szCs w:val="28"/>
          <w:rtl w:val="true"/>
          <w:lang w:bidi="ar-SA"/>
        </w:rPr>
        <w:t>فهذا مقتول بظلم السبب باعتبار عدم إعلامه الاحتمال والترديد في السمّية ممّا يحتمل كونه داعياً لترك المباشر العمل والمباشرة، ومن عدم قصد القتل وعدم إحراز القابليّة في الوسيلة والآلة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التفصيل بأنّه مع إحراز ترك المباشرة لو أخبره السبب بالاحتمال، بحيث كان الاحتمال له موجباً للترك وعدم المباشرة، فعلى السبب القود؛ لأنّ عدم الإعلام من جانب السبب هو المنشأ، فالمباشرة ضعيفة بهذا المقدار من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لا يكون أقوى من المباشر مع أنّ في تركه الإعلام تمام الدخل على المفروض، كما أنّ مع إحراز عدم التأثير للإعلام على تحقّقه، وأنّ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يترك ذلك المحلّ ولم يكن معتنياً بذلك الاحتمال لضعفه عنده أو لجهة أُخرى، فلا قود على السبب؛ لعدم الأقوائيّةوعدم الغرور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عدم القود مع عدم إحراز شيء من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لأقوائيّة السبب وضعف المباشرة بالجهل والغرور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نسبة القتل إلى الداعي، وعدم دخالته فيه عرفاً لا سبباً ولا </w:t>
      </w:r>
      <w:bookmarkStart w:id="88" w:name="pg9428_72205"/>
    </w:p>
    <w:p>
      <w:pPr>
        <w:pStyle w:val="BookText"/>
        <w:rPr/>
      </w:pPr>
      <w:bookmarkEnd w:id="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جرحه فداوى نفسه بدواء سمّي مجهّز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يستند القتل إليه لا إلى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قود في النفس، وفي الجرح قصاص إن كان ممّا يوجبه، وإلّا فأرش الجناية، ولو لم يكن مجهّزاً لكن اتّفق القتل به وبالجرح معاً، سقط ما قابل فعل المجروح، فللوليّ قتل الجارح بعد ردّ نصف 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مباشرة، فالداعي بما أنّه أجنبيٌّ عن النسبة فأجنبيّ عن الضمان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أنّ عدم الضمان على الداعي في هذا الفرع إنّما هو بما هو داعٍ على ذلك الوجه، وإلّا فبالنسبة إلى الحافر فضمانه دائر مدار عدم الإنذار والحذر اللازم المتعارف، فإنّ مع الإنذار أقوائيّة السبب منتفية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أعذر من حذر</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ولا فرق في ضمان الحافر وعدمه بين كونه هو الداعي أو غيره، وبين كون الحفر للحافر جائزاً أم حراماً من جهة أنّ المناط السببيّة والدخالة المرتفعة بالإنذار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5797459_2870459653"/>
      <w:bookmarkStart w:id="90" w:name="_Toc30"/>
      <w:bookmarkEnd w:id="89"/>
      <w:r>
        <w:rPr>
          <w:rtl w:val="true"/>
        </w:rPr>
        <w:t>تداوي المجروح بدواء سمّي</w:t>
      </w:r>
      <w:bookmarkEnd w:id="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المسألة أنّ لها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الجرح الأوّل متلفاً مستقلاً من دون تأثير للدواء في القتل أصلاً، فالجارح هو القاتل وعليه القود مع قصده القتل جزماً أو رجاءً، أو مع كون الفعل ممّا يقتل به غالباً، وعليه الدية مع عدمهما،والوجه فيها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الدواء قاتلاً مستقلاً عكس السابقة، مثل المداواة بدواءٍ سمّي مجهّز، بحيث يستند القتل إليه، ففي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جارح، والقاتل هو المقتول فلا دية له، ولوليّه القصاص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الجرح إن كان الجرح يوجب القصاص، وإلّا كان له أرش الجراحة</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وصريحه كصريح غيره عدم ضمان النفس على الجارح وإنّ ما عليه ضمان الجرح فقط، من دون تعرّضهم للإشكال فيه أصلاً، بل أرسلوه إرسال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إن كان مع سبق العلم بسمّية الدواءِ وكونه مجهّزاً وقاتلاً، فعدم القود والدية على الجارح في محلّه، لكنّه بعيدٌ، بل مخالفٌ لظاهر المداواة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 الجهل بذلك، فكان التداوي بذلك السمّ كالتداوي بغيره من الأدوية، ففي عدم الضمان على الجارح قضاءً لمباشرة المقتول إشكال بل منع؛ لضعف المباشرة بالجهل، والمعالجة والتداوي به إنّما يكون مسبّباً عن جرح الجارح، فإنّه إن لم يجرح لم يحصل التداوي المنجر إلى القتل، فالسبب أقوى من المباشر، وضمان القتل منسوب إليه لا إلى المقتول، كالضمان في أكل الطعام المسموم للجاهل على المناول والمقدّم العالم، فلا فرق بينهما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فيما لم يكن الجرح لقلّته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يتعارف فيه التداوي بأن كان التداوي خارجاً عن المتعارف، فالحقّ فيه عدم الضمان على السبب؛ لقوّة المباشر وضعف السبب بعدم التعارف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فقصاص الجارح والسبب أو ضمانه بالدية تابع لموضوعهوموجبه من العمد في القتل وكون التداوي ممّا يقتل به غالباً، أو احتمال القتل ورجائه ممّا يكون عمداً وموجباً للقود، ومن عدم العمد الموجب للدية، ولا يخفى أنّ قصد السبب قصد للمسبّب من حيث الضمان وكيفيّته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القتل إليهما، وبما أنّ الجناية بينهما بالسواء مع عدم ضمان الجاني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قابل فعل المجروح وهو نصف الدية كما في نظائره، فيقتصّ من الجاني بعد ردّ نصف الدية عليه، كما في القواعد</w:t>
      </w:r>
      <w:r>
        <w:rPr>
          <w:rStyle w:val="FootnoteAnchor"/>
          <w:rtl w:val="true"/>
        </w:rPr>
        <w:footnoteReference w:id="205"/>
      </w:r>
      <w:r>
        <w:rPr>
          <w:rFonts w:ascii="IRNazanin" w:hAnsi="IRNazanin" w:eastAsia="IRNazanin"/>
          <w:color w:val="111111"/>
          <w:sz w:val="28"/>
          <w:sz w:val="28"/>
          <w:szCs w:val="28"/>
          <w:rtl w:val="true"/>
          <w:lang w:bidi="fa-IR"/>
        </w:rPr>
        <w:t>والشرائع</w:t>
      </w:r>
      <w:r>
        <w:rPr>
          <w:rStyle w:val="FootnoteAnchor"/>
          <w:rtl w:val="true"/>
        </w:rPr>
        <w:footnoteReference w:id="206"/>
      </w:r>
      <w:r>
        <w:rPr>
          <w:rFonts w:ascii="Amiri" w:hAnsi="Amiri" w:eastAsia="Amiri" w:cs="Amiri"/>
          <w:color w:val="111111"/>
          <w:sz w:val="28"/>
          <w:sz w:val="28"/>
          <w:szCs w:val="28"/>
          <w:rtl w:val="true"/>
          <w:lang w:bidi="ar-SA"/>
        </w:rPr>
        <w:t>والمتن، مع تصريحهما بعدم الفرق بين كون الدواء ممّا يغلب معه السلامة أو يغلب معه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العامّة قول بنفي القصاص مطلقاً؛</w:t>
      </w:r>
      <w:r>
        <w:rPr>
          <w:rStyle w:val="FootnoteAnchor"/>
          <w:rtl w:val="true"/>
        </w:rPr>
        <w:footnoteReference w:id="207"/>
      </w:r>
      <w:r>
        <w:rPr>
          <w:rFonts w:ascii="Amiri" w:hAnsi="Amiri" w:eastAsia="Amiri" w:cs="Amiri"/>
          <w:color w:val="111111"/>
          <w:sz w:val="28"/>
          <w:sz w:val="28"/>
          <w:szCs w:val="28"/>
          <w:rtl w:val="true"/>
          <w:lang w:bidi="ar-SA"/>
        </w:rPr>
        <w:t>لأنّ أحد الجنايتين غير مضمونة، وآخر بنفي القصاص إذا كان الغالب مع السمّ السلامة؛ لحصول الموت من عمد وخطأ شبيه به، ولا ريب في 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ممّا مرّ</w:t>
      </w:r>
      <w:r>
        <w:rPr>
          <w:rStyle w:val="FootnoteAnchor"/>
          <w:rtl w:val="true"/>
        </w:rPr>
        <w:footnoteReference w:id="208"/>
      </w:r>
      <w:r>
        <w:rPr>
          <w:rFonts w:ascii="Amiri" w:hAnsi="Amiri" w:eastAsia="Amiri" w:cs="Amiri"/>
          <w:color w:val="111111"/>
          <w:sz w:val="28"/>
          <w:sz w:val="28"/>
          <w:szCs w:val="28"/>
          <w:rtl w:val="true"/>
          <w:lang w:bidi="ar-SA"/>
        </w:rPr>
        <w:t>أنّ مقتضى اشتراط الجناية بالعلم بكونها سبباً للقتل إناطة اشتراك الجناية بينهما بعلم المجروح بكون الدواء ممّا يحصل معه التلف، أمّا مع عدم العلم بذلك بأن كان التداوي به كالتداوي ببقيّة الأدوية، فتكون نسبة القتل إلى الجارح أقوى من المباشر والمقتول ولو بالنسبة إلى النصف، فلا اشتراك في القتل كما مرّ بيانه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الاستناد من أنّه على الشركة أو على استقلال الجرح أو التداوي، فمقتضى القاعدة فيه براءة الجارح، للشكّ في ضمانه، وذلك لاحتمال كون التداوي مستقلاً في القتل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للضمان حتّى معاستقلال التداوي في القتل، فالضمان مطلقاً بالنسبة إلى النصف على الجارح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91" w:name="pg9428_72208"/>
    </w:p>
    <w:p>
      <w:pPr>
        <w:pStyle w:val="BookText"/>
        <w:rPr/>
      </w:pPr>
      <w:bookmarkEnd w:id="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ألقاه في مسبعة كزبية الأسد ونحوه فقتله السباع، فهو قتل عمد 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5797461_2870459653"/>
      <w:bookmarkStart w:id="93" w:name="_Toc31"/>
      <w:bookmarkEnd w:id="92"/>
      <w:r>
        <w:rPr>
          <w:rtl w:val="true"/>
        </w:rPr>
        <w:t>الإلقاء في المسبعة</w:t>
      </w:r>
      <w:bookmarkEnd w:id="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من القود وجهه واضح ومطابق للقواعد والأُصول، لكن في الشرائع والقواعد نفي القود وإثبات الدية، ففي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كتفه وألقاه في أرض مسبعة فافترسه الأسد اتّفاقاً فلا قود، وفيه الدية</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ومثله القواعد</w:t>
      </w:r>
      <w:r>
        <w:rPr>
          <w:rFonts w:eastAsia="IRNazanin" w:cs="IRNazanin"/>
          <w:color w:val="111111"/>
          <w:sz w:val="28"/>
          <w:szCs w:val="28"/>
          <w:rtl w:val="true"/>
          <w:lang w:bidi="fa-IR"/>
        </w:rPr>
        <w:t>.</w:t>
      </w:r>
      <w:r>
        <w:rPr>
          <w:rStyle w:val="FootnoteAnchor"/>
          <w:rtl w:val="true"/>
        </w:rPr>
        <w:footnoteReference w:id="211"/>
      </w:r>
      <w:r>
        <w:rPr>
          <w:rFonts w:ascii="Amiri" w:hAnsi="Amiri" w:eastAsia="Amiri" w:cs="Amiri"/>
          <w:color w:val="111111"/>
          <w:sz w:val="28"/>
          <w:sz w:val="28"/>
          <w:szCs w:val="28"/>
          <w:rtl w:val="true"/>
          <w:lang w:bidi="ar-SA"/>
        </w:rPr>
        <w:t>وفي المسالك التعليل لذلك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لم يكن عليه القود؛ لأنّ فعل السبع يقع باختياره، وطبعه يختلف في ذلك اختلافاً كثيراً، فليس الإلقاء في أرضه ممّا يقتل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تجب الدية؛ لكونه سبباً في القتل</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وفي اللثام التعليل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الإلقاءَ المذكور ليس ممّا يغلب أداؤه إلى الافتراس، وعليه الدية للتسبيب</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ولعلّ نظره في عدم الغلبة على ما في المسالك من الاختيار واختلاف الطبع</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ففيهما ما ترى، فإنّ الإلقاء متكتّفاً في الأرض المسبعة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سباع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يقتل به غالباً كما لا يخفى، وعدم وجود السبع في زمان الإلقاء مع الكثرة في حوالي المحلّ وتردّدهم في الأرض وما حولها ممّا لا يضرّ بالغلبة، بل الظاهر القود في الإلقاء متكتّفاً على الأرض المحتمل فيها مجيء السباع؛ لعدم انفكاك الاحتمال من الرجاء، بل لعلّ في محض الاحتمال كفاية للقصاص؛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w:t>
      </w:r>
      <w:r>
        <w:rPr>
          <w:rFonts w:ascii="IRNazanin" w:hAnsi="IRNazanin" w:eastAsia="IRNazanin"/>
          <w:color w:val="111111"/>
          <w:sz w:val="28"/>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‌النَّفْسَ بِالنَّفْسِ</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r>
        <w:rPr>
          <w:rFonts w:ascii="Amiri" w:hAnsi="Amiri" w:eastAsia="Amiri" w:cs="Amiri"/>
          <w:color w:val="111111"/>
          <w:sz w:val="28"/>
          <w:sz w:val="28"/>
          <w:szCs w:val="28"/>
          <w:rtl w:val="true"/>
          <w:lang w:bidi="ar-SA"/>
        </w:rPr>
        <w:t>هذا، مع النقض على المسالك بما لو ألقاه إلى السبع فافترسه ففيه القصاص، مع أنّ اللازم من تعليله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بعبارة المجمع في المقام ففيها زيادة توضيح لما ذكرناه وإن كانت لا تخلو من تشويش في الجملة،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ألقى شخص إنساناً مربوط اليدين في محلّ السبع ولم يكن السبع حاضراً فأكله السبع اتّفاقاً، لزمه الدية لا القود؛ لأنّه ما قصد القتل، ولا فعلاً قاتلاً غالباً، فلا عمد وقد تلف نفس بسببه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القود أيضاً، فإنّه قتل نفساً بالتسبيب فيدلّ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عليه، وهو بعيد إذا لم يكن قاصداً للقتل وإلقائه</w:t>
      </w:r>
      <w:r>
        <w:rPr>
          <w:rStyle w:val="FootnoteAnchor"/>
          <w:rtl w:val="true"/>
        </w:rPr>
        <w:footnoteReference w:id="216"/>
      </w:r>
      <w:r>
        <w:rPr>
          <w:rFonts w:ascii="Amiri" w:hAnsi="Amiri" w:eastAsia="Amiri" w:cs="Amiri"/>
          <w:color w:val="111111"/>
          <w:sz w:val="28"/>
          <w:sz w:val="28"/>
          <w:szCs w:val="28"/>
          <w:rtl w:val="true"/>
          <w:lang w:bidi="ar-SA"/>
        </w:rPr>
        <w:t xml:space="preserve">في فم السبع، وإلّا فليس ببعيد، فإنّ إلقاء المربوط في محلّ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مجيؤه إليه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قصد قتله، بل ولو ثبت عدم قصده فإنّ فعله موجب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التأ‌مّل في ذلك، وهوفرع التأ‌مّل في معنى العمد، </w:t>
      </w:r>
    </w:p>
    <w:p>
      <w:pPr>
        <w:pStyle w:val="BookText"/>
        <w:rPr/>
      </w:pPr>
      <w:r>
        <w:rPr>
          <w:rFonts w:ascii="Amiri" w:hAnsi="Amiri" w:eastAsia="Amiri" w:cs="Amiri"/>
          <w:color w:val="111111"/>
          <w:sz w:val="28"/>
          <w:sz w:val="28"/>
          <w:szCs w:val="28"/>
          <w:rtl w:val="true"/>
          <w:lang w:bidi="ar-SA"/>
        </w:rPr>
        <w:t>وكذا لو ألقاه إلى أسد ضارّ فافترسه؛ إذا لم يمكنه الاعتصام منه بنحو ولو بالفرار،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أمكنه ذلك وترك تخاذلاً وتعمّداً لا قود ولا 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الأسد ضارياً فألقاه لا بقصد القتل فاتّفق أنّه قتله، لم يكن من العمد،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ألقاه برجاء قتله فقتله فهو عمد، 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جهل حال الأسد فألقاه عنده فقتله فهو عمد إن قصد قتله، بل الظاهر ذلك لو لم يقصده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ألقاه في أرض مسبعة متكتّفاً، فمع علمه بتردّد السباع عنده فهو قتل عمد بلا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العمد مع احتمال ذلك وإلقائه بقصد</w:t>
      </w:r>
    </w:p>
    <w:p>
      <w:pPr>
        <w:pStyle w:val="BookText"/>
        <w:rPr/>
      </w:pPr>
      <w:r>
        <w:rPr>
          <w:rFonts w:ascii="Amiri" w:hAnsi="Amiri" w:eastAsia="Amiri" w:cs="Amiri"/>
          <w:color w:val="111111"/>
          <w:sz w:val="28"/>
          <w:sz w:val="28"/>
          <w:szCs w:val="28"/>
          <w:rtl w:val="true"/>
          <w:lang w:bidi="ar-SA"/>
        </w:rPr>
        <w:t>وقد مرّ، فتذكّر</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القصاص فيه ظاهر ممّا مرّ</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القود والدية كون المقتول هو المباشر في قتل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الدية؛ لئلّا يبطل دم امرءٍ مسلم، فإنّه شبيه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الرجاء قصد القتل كالجزم، والفرق بينهما في الجزم والتردّد، فتشمله أدلّة القصاص وقتل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يعلم حكم ما ذكره أخيراً، وهو ما لو جهل حال الأسد فألقاه عنده فقتله فهو عمد مع قصد القتل، بل الظاهر ذلك لو لم يقصده، حيث إنّ الإلقاء إلى السبع ممّا يقتل به غالباً عرفاً وهو عمد، إلّا أن يحرز عدم عضّه وعدم كونه ضارياًكالأرنب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كذلك عرفاً، فلا قود لكن عليه الدية؛ للضمان والسببيّة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الإلقاء في الأرض كذلك ممّا يقتل به غالباً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الافتراس ولو رجاءً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علمه أو اطمئنانه بأنّه لا يتردّد السباع فاتّفق ذلك لا يكون من العمد،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ثبوت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ألقاه عند السبع فعضّه بما لا يقتل به، لكن سرى فمات، فهو عمد عليه القود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أنهشه حيّة لها سمّ قاتل؛ بأن أخذها وألقمها شيئاً من بدنه، فهو قتل عمد عليه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طرح عليه حيّة قاتلة فنهشته فهلك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جمع بينه وبينها في مضيق لا يمكنه الفرار، أو جمع بينها وبين من لا يقدر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كمرض أو صغر أو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w:t>
      </w:r>
      <w:r>
        <w:rPr>
          <w:rStyle w:val="FootnoteAnchor"/>
          <w:rtl w:val="true"/>
        </w:rPr>
        <w:footnoteReference w:id="219"/>
      </w:r>
      <w:r>
        <w:rPr>
          <w:rFonts w:ascii="Amiri" w:hAnsi="Amiri" w:eastAsia="Amiri" w:cs="Amiri"/>
          <w:color w:val="111111"/>
          <w:sz w:val="28"/>
          <w:sz w:val="28"/>
          <w:szCs w:val="28"/>
          <w:rtl w:val="true"/>
          <w:lang w:bidi="ar-SA"/>
        </w:rPr>
        <w:t>من كفاية رجاء القتل في العمد والقصاص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العمد، وما في معناه ممّا يوجب القود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فيه للسببيّة والضمان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الإلقاء عنده ممّا يقتل به غالباً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الفعل في جميعها ونظائرها ممّا يقتل به غالباً، خلافاً لما عن العامّة من الفرق بين الجمع مع الحيّة والجمع مع السبع بعدم القود في الأوّل؛ لأنّها تهرب من الإنسان دون السبع، وهو ظاهر المبسوط،</w:t>
      </w:r>
      <w:r>
        <w:rPr>
          <w:rStyle w:val="FootnoteAnchor"/>
          <w:rtl w:val="true"/>
        </w:rPr>
        <w:footnoteReference w:id="220"/>
      </w:r>
      <w:r>
        <w:rPr>
          <w:rFonts w:ascii="Amiri" w:hAnsi="Amiri" w:eastAsia="Amiri" w:cs="Amiri"/>
          <w:color w:val="111111"/>
          <w:sz w:val="28"/>
          <w:sz w:val="28"/>
          <w:szCs w:val="28"/>
          <w:rtl w:val="true"/>
          <w:lang w:bidi="ar-SA"/>
        </w:rPr>
        <w:t>وقد أشار في التحرير إلى احتماله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فالأشبه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يعني القود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تسليم هرب الحيّة فنفس الجمع في المضيق معها ممّايقتل به غالباً للخوف من الحيّة، بل محض رؤية الحيّة ولو في البرّ والمكان الوسيع موجب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أغرى به كلباً عقوراً قاتلاً غالباً فقتله فعليه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قصد القتل به ولو لم يكن قاتلاً غالباً، أو لم يعلم حاله، وقصد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فهو 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ألقاه إلى الحوت فالتقمه فعليه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ألقاه في البحر ليقتله فالتقمه الحوت بعد الوصول إلى البحر، فعليه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من قصده القتل بالتقام الحوت، بل كان قصده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ألقاه في البحر، وقبل وصوله إليه وقع على حجر ونحوه فقتل، فعليه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التقمه الحوت قبل</w:t>
      </w:r>
    </w:p>
    <w:p>
      <w:pPr>
        <w:pStyle w:val="BookText"/>
        <w:rPr/>
      </w:pPr>
      <w:r>
        <w:rPr>
          <w:rFonts w:ascii="Amiri" w:hAnsi="Amiri" w:eastAsia="Amiri" w:cs="Amiri"/>
          <w:color w:val="111111"/>
          <w:sz w:val="28"/>
          <w:sz w:val="28"/>
          <w:szCs w:val="28"/>
          <w:rtl w:val="true"/>
          <w:lang w:bidi="ar-SA"/>
        </w:rPr>
        <w:t>للخوف غالباً، فكيف في المضيق ومع عدم إمكان الفرار؟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الفعل ممّا يقتل به غالباً، ولكون القتل ظلماً على المقتول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لوصوله قبله إلى المهلك وهو البحر، 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الإلقاء في البحر من الأفعال المهلكة، فالقتل به بعد تحقّق ذلك الفعل عمد مطلقاً وإن كان القتل بسبب آخر كالتقام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قضاءً لإطلاق النَّفسَ بالنَّفْسِ</w:t>
      </w:r>
      <w:r>
        <w:rPr>
          <w:rFonts w:ascii="IRNazanin" w:hAnsi="IRNazanin" w:eastAsia="IRNazanin"/>
          <w:color w:val="111111"/>
          <w:sz w:val="28"/>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ولإطلاق ما دلّ على كفاية الآلة القتّالة في القود والعمد، ولكفاية قصد القتل في العمد مطلقاً وإن لم يتحقّق الفعل الخاصّ المقصود به القتل كما لا يخفى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هذه الصورة بالحكم بالدية وبين ما بعدها من التقامه الحوت من الحكم بالقود محلّ تأ‌مّل بل منع، والظاهر القود فيهما كما يظهر ممّا نبيّنه فيه، فإنّ الفعل فيهما ممّا يقتل به غالباً مع أنّ القتل فيهما ظلمعلى المقتول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مورد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ما لم يقصد بإلقائه البحر القتل، وكان الملقى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ممّن لا يقتل به عادة؛ لكونه سائحاً وعالماً بالسباحة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وصوله إليه فالظاهر أنّ عليه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الخلاف</w:t>
      </w:r>
      <w:r>
        <w:rPr>
          <w:rStyle w:val="FootnoteAnchor"/>
          <w:rtl w:val="true"/>
        </w:rPr>
        <w:footnoteReference w:id="223"/>
      </w:r>
      <w:r>
        <w:rPr>
          <w:rFonts w:ascii="IRNazanin" w:hAnsi="IRNazanin" w:eastAsia="IRNazanin"/>
          <w:color w:val="111111"/>
          <w:sz w:val="28"/>
          <w:sz w:val="28"/>
          <w:szCs w:val="28"/>
          <w:rtl w:val="true"/>
          <w:lang w:bidi="fa-IR"/>
        </w:rPr>
        <w:t>والمبسوط</w:t>
      </w:r>
      <w:r>
        <w:rPr>
          <w:rStyle w:val="FootnoteAnchor"/>
          <w:rtl w:val="true"/>
        </w:rPr>
        <w:footnoteReference w:id="224"/>
      </w:r>
      <w:r>
        <w:rPr>
          <w:rFonts w:ascii="IRNazanin" w:hAnsi="IRNazanin" w:eastAsia="IRNazanin"/>
          <w:color w:val="111111"/>
          <w:sz w:val="28"/>
          <w:sz w:val="28"/>
          <w:szCs w:val="28"/>
          <w:rtl w:val="true"/>
          <w:lang w:bidi="fa-IR"/>
        </w:rPr>
        <w:t>والمختلف</w:t>
      </w:r>
      <w:r>
        <w:rPr>
          <w:rStyle w:val="FootnoteAnchor"/>
          <w:rtl w:val="true"/>
        </w:rPr>
        <w:footnoteReference w:id="225"/>
      </w:r>
      <w:r>
        <w:rPr>
          <w:rFonts w:ascii="Amiri" w:hAnsi="Amiri" w:eastAsia="Amiri" w:cs="Amiri"/>
          <w:color w:val="111111"/>
          <w:sz w:val="28"/>
          <w:sz w:val="28"/>
          <w:szCs w:val="28"/>
          <w:rtl w:val="true"/>
          <w:lang w:bidi="ar-SA"/>
        </w:rPr>
        <w:t>والمهذّب</w:t>
      </w:r>
      <w:r>
        <w:rPr>
          <w:rStyle w:val="FootnoteAnchor"/>
          <w:rtl w:val="true"/>
        </w:rPr>
        <w:footnoteReference w:id="226"/>
      </w:r>
      <w:r>
        <w:rPr>
          <w:rFonts w:ascii="Amiri" w:hAnsi="Amiri" w:eastAsia="Amiri" w:cs="Amiri"/>
          <w:color w:val="111111"/>
          <w:sz w:val="28"/>
          <w:sz w:val="28"/>
          <w:szCs w:val="28"/>
          <w:rtl w:val="true"/>
          <w:lang w:bidi="ar-SA"/>
        </w:rPr>
        <w:t>وغاية المراد؛</w:t>
      </w:r>
      <w:r>
        <w:rPr>
          <w:rStyle w:val="FootnoteAnchor"/>
          <w:rtl w:val="true"/>
        </w:rPr>
        <w:footnoteReference w:id="227"/>
      </w:r>
      <w:r>
        <w:rPr>
          <w:rFonts w:ascii="Amiri" w:hAnsi="Amiri" w:eastAsia="Amiri" w:cs="Amiri"/>
          <w:color w:val="111111"/>
          <w:sz w:val="28"/>
          <w:sz w:val="28"/>
          <w:szCs w:val="28"/>
          <w:rtl w:val="true"/>
          <w:lang w:bidi="ar-SA"/>
        </w:rPr>
        <w:t>لأنّه أهلكه بالإلقاء، والإلقاء في البحر إتلاف عادة، فلو لم يأخذه الحوت يهلك بالغرق، فكأنّه ابتعله بعد الغرق، فهو كنصل منصوبٌ في عمق البئر، وفي اللثام مزجاً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إشكال ينشأ من تلفه بسبب غير مقصود للملقي، كما لو رمى به من شاهق فاستقبله غيره بالسيف فقدّه، وهو خيرة الشرائع</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الإشكال مذبوبٌ بأنّ الملقي ظالم في قتله عرفاً، فإنّه إن لم يجرء ولم يفعل الإلقاء فلم يقتل، فيكون المقتول مظلوماً وتشمله الآية وَمَنْ قُتِلَ مَظْلُوماً فَقَدْ جَعَلْنا لِولِيِّهِ سُلْطَاناً</w:t>
      </w:r>
      <w:r>
        <w:rPr>
          <w:rStyle w:val="FootnoteAnchor"/>
          <w:rtl w:val="true"/>
        </w:rPr>
        <w:footnoteReference w:id="230"/>
      </w:r>
      <w:r>
        <w:rPr>
          <w:rFonts w:ascii="Amiri" w:hAnsi="Amiri" w:eastAsia="Amiri" w:cs="Amiri"/>
          <w:color w:val="111111"/>
          <w:sz w:val="28"/>
          <w:sz w:val="28"/>
          <w:szCs w:val="28"/>
          <w:rtl w:val="true"/>
          <w:lang w:bidi="ar-SA"/>
        </w:rPr>
        <w:t>ولا اعتبار معه بالقصد والعمد كما اخترناه، هذا، مع صدق القاتل عمداً على مثله، فضلاً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w:t>
      </w:r>
      <w:r>
        <w:rPr>
          <w:rStyle w:val="FootnoteAnchor"/>
          <w:rtl w:val="true"/>
        </w:rPr>
        <w:footnoteReference w:id="231"/>
      </w:r>
      <w:r>
        <w:rPr>
          <w:rFonts w:ascii="Amiri" w:hAnsi="Amiri" w:eastAsia="Amiri" w:cs="Amiri"/>
          <w:color w:val="111111"/>
          <w:sz w:val="28"/>
          <w:sz w:val="28"/>
          <w:szCs w:val="28"/>
          <w:rtl w:val="true"/>
          <w:lang w:bidi="ar-SA"/>
        </w:rPr>
        <w:t>‌ونحوه ممّا لا إشكال في شموله لمثل ذلك الذي هو في الحقيقة كما لو وصل إلى البحر فالتقمه الحوت بعد وصوله، الذي صرّح فيالقواعد</w:t>
      </w:r>
      <w:r>
        <w:rPr>
          <w:rStyle w:val="FootnoteAnchor"/>
          <w:rtl w:val="true"/>
        </w:rPr>
        <w:footnoteReference w:id="232"/>
      </w:r>
      <w:r>
        <w:rPr>
          <w:rFonts w:ascii="Amiri" w:hAnsi="Amiri" w:eastAsia="Amiri" w:cs="Amiri"/>
          <w:color w:val="111111"/>
          <w:sz w:val="28"/>
          <w:sz w:val="28"/>
          <w:szCs w:val="28"/>
          <w:rtl w:val="true"/>
          <w:lang w:bidi="ar-SA"/>
        </w:rPr>
        <w:t xml:space="preserve">بكونه عمداً لوصوله قبله إلى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جرحه ثمّ عضّه سبع وسرتا فعليه القود، لكن مع ردّ نصف الدية، ولو صالح الوليّ على الدية فعليه نصفها، إلّا أن يكون سبب عضّ السبع هو الجارح، فعليه القود، ومع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تمام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جرحه ثمّ عضّه سبع ثمّ نهشته حيّة فعليه القود مع ردّ ثلثي الدية، ولو صالح بها فعليه ثلثها،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 يظهر الحال في جميع موارد اشتراك الحيوان مع الإنسان في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حفر بئراً ووقع فيها شخص بدفع ثالث فالقاتل الدافع لا الحافر، وكذا لو ألقاه من شاهق وقبل وصوله إلى الأرض ضربه آخر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فقدّه نصفين، أو ألقاه في البحر وبعد وقوعه فيه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حياته المستقرّة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آخر، فإنّ القاتل هو الضارب لا المُلقي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المهلك وإن استشكل في هذه الصورة، بل لعلّ التلف بالإلقاء إلى البحر من أفراده ذلك وإن كان الغالب منها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فرق بين المورد وبين ما شبّهه به من الرمي من شاهق، فإنّ القادّ في الرمي مباشر وظالم فعليه القود، والرامي وإن كان ظالماً أيضاً لكنّه غير قاتل عرفاً، غاية الأمر أنّه سبب مقصّر عليه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التباني معه يكون شريكاً في القتل، وأنّى ذلك بما نحن فيه ممّا لا يصحّ الحكم على المباشر الحيوان وممّا ينسب العرف القتل عن ظلم إلى الملقي فقط</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ألقاه في ماء قليل لا يغرق فأكله سبع لوقوعه فيه أو التقمه حوتأو تمساح، فعليه الدية للتسبيب لا القود؛ لعدم العمد إلى القتل، وعدم كون الفعل ممّا يقتل به غالباً، وعدم كونه مقتولاً ظلماً عرفاً، بل غاية الأمر حكمهم بأنّه ملقى في الماء ظلماً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أمسكه شخص وقتله آخر وكان ثالث عيناً لهم، فالقود على القاتل لا الممسك، لكنّ الممسك يحبس أبداً حتّى يموت في الحبس،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المتن من حكمي القاتل والمُمْسِك ثابت بلا خلاف أجده في شيءٍ منهما، بل في الخلاف</w:t>
      </w:r>
      <w:r>
        <w:rPr>
          <w:rStyle w:val="FootnoteAnchor"/>
          <w:rtl w:val="true"/>
        </w:rPr>
        <w:footnoteReference w:id="233"/>
      </w:r>
      <w:r>
        <w:rPr>
          <w:rFonts w:ascii="Amiri" w:hAnsi="Amiri" w:eastAsia="Amiri" w:cs="Amiri"/>
          <w:color w:val="111111"/>
          <w:sz w:val="28"/>
          <w:sz w:val="28"/>
          <w:szCs w:val="28"/>
          <w:rtl w:val="true"/>
          <w:lang w:bidi="ar-SA"/>
        </w:rPr>
        <w:t>وعن الغنية</w:t>
      </w:r>
      <w:r>
        <w:rPr>
          <w:rStyle w:val="FootnoteAnchor"/>
          <w:rtl w:val="true"/>
        </w:rPr>
        <w:footnoteReference w:id="234"/>
      </w:r>
      <w:r>
        <w:rPr>
          <w:rFonts w:ascii="Amiri" w:hAnsi="Amiri" w:eastAsia="Amiri" w:cs="Amiri"/>
          <w:color w:val="111111"/>
          <w:sz w:val="28"/>
          <w:sz w:val="28"/>
          <w:szCs w:val="28"/>
          <w:rtl w:val="true"/>
          <w:lang w:bidi="ar-SA"/>
        </w:rPr>
        <w:t>الإجماع عليه؛ لما استفيض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رجلين أمسك أحدهما وقتل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القاتل ويُحبس الآخر حتّى يموت غمّاً كما حبسه حتّى مات غمّاً</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شدّ على رجل ليقتله والرجل فارٌّ منه فاستقبله رجل آخر فأمسكه عليه حتّى جاء الرجل فقتله، فقتل الرجل الذي قتله، وقضى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الآخر الذي أمسكه عليه أن يطرح في السجن أبداً حتّى يموت فيه، لأنّه أمسكه على الموت</w:t>
      </w:r>
      <w:r>
        <w:rPr>
          <w:rFonts w:eastAsia="IRNazanin" w:cs="IRNazanin"/>
          <w:color w:val="111111"/>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وغيرهما من النصوص</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على الممسك عقوبة زائدة على الحبس وإن اختارها المقنعة،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ينهك بالعقوبة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في عدم ذكرها في الأخبار المبيّنة لحكمه من الظهور والدلالة على العدم، لئلّا يلزم تأخير البيان عن الحاجة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الأخبار في مقام بيان حكم المُمْسِك وجزائه دلالة </w:t>
      </w:r>
    </w:p>
    <w:p>
      <w:pPr>
        <w:pStyle w:val="BookText"/>
        <w:rPr/>
      </w:pPr>
      <w:r>
        <w:rPr>
          <w:rFonts w:ascii="Amiri" w:hAnsi="Amiri" w:eastAsia="Amiri" w:cs="Amiri"/>
          <w:color w:val="111111"/>
          <w:sz w:val="28"/>
          <w:sz w:val="28"/>
          <w:szCs w:val="28"/>
          <w:rtl w:val="true"/>
          <w:lang w:bidi="ar-SA"/>
        </w:rPr>
        <w:t>والربيئة تسمل عيناه بميل محمىً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فعليّة على عدم عقوبة زائدة على الحبس وأنّ عقوبته منحصرة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والاستدلال عليها بخبر أبي المقدام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به، فضرب جنبيه، وحبسه في السجن، ووقع على رأسه يحبس عمره، ويضرب في كلّ سنة خمسين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ascii="Amiri" w:hAnsi="Amiri" w:eastAsia="Amiri" w:cs="Amiri"/>
          <w:color w:val="111111"/>
          <w:sz w:val="28"/>
          <w:sz w:val="28"/>
          <w:szCs w:val="28"/>
          <w:rtl w:val="true"/>
          <w:lang w:bidi="ar-SA"/>
        </w:rPr>
        <w:t>غير تامّ سنداً بالإرسال قبل محمّد بن الفضيل، وبالاشتراك فيه بين الثقة وغيرها، وبعدم ثبوت وثاقة عمرو بن أبي المقدام، وبالإعراض عنه على تماميّة السند؛ لعدم الفتوى به حتّى من المقنعة، فما عنه الإنهاك بالعقوبة لا العقوبة الخاصّة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الفتوى به ليس إلّا من جهة الإعراض على تماميّة السند، وإلّا فالحديث ممّا نقله المشايخ الثلاثة في الكافي</w:t>
      </w:r>
      <w:r>
        <w:rPr>
          <w:rStyle w:val="FootnoteAnchor"/>
          <w:rtl w:val="true"/>
        </w:rPr>
        <w:footnoteReference w:id="240"/>
      </w:r>
      <w:r>
        <w:rPr>
          <w:rFonts w:ascii="Amiri" w:hAnsi="Amiri" w:eastAsia="Amiri" w:cs="Amiri"/>
          <w:color w:val="111111"/>
          <w:sz w:val="28"/>
          <w:sz w:val="28"/>
          <w:szCs w:val="28"/>
          <w:rtl w:val="true"/>
          <w:lang w:bidi="ar-SA"/>
        </w:rPr>
        <w:t>والفقيه</w:t>
      </w:r>
      <w:r>
        <w:rPr>
          <w:rStyle w:val="FootnoteAnchor"/>
          <w:rtl w:val="true"/>
        </w:rPr>
        <w:footnoteReference w:id="241"/>
      </w:r>
      <w:r>
        <w:rPr>
          <w:rFonts w:ascii="Amiri" w:hAnsi="Amiri" w:eastAsia="Amiri" w:cs="Amiri"/>
          <w:color w:val="111111"/>
          <w:sz w:val="28"/>
          <w:sz w:val="28"/>
          <w:szCs w:val="28"/>
          <w:rtl w:val="true"/>
          <w:lang w:bidi="ar-SA"/>
        </w:rPr>
        <w:t>والتهذيب،</w:t>
      </w:r>
      <w:r>
        <w:rPr>
          <w:rStyle w:val="FootnoteAnchor"/>
          <w:rtl w:val="true"/>
        </w:rPr>
        <w:footnoteReference w:id="242"/>
      </w:r>
      <w:r>
        <w:rPr>
          <w:rFonts w:ascii="Amiri" w:hAnsi="Amiri" w:eastAsia="Amiri" w:cs="Amiri"/>
          <w:color w:val="111111"/>
          <w:sz w:val="28"/>
          <w:sz w:val="28"/>
          <w:szCs w:val="28"/>
          <w:rtl w:val="true"/>
          <w:lang w:bidi="ar-SA"/>
        </w:rPr>
        <w:t>وليس من الأحاديث النادرة ليحتمل كون عدم العمل للندرة لا للإعراض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لكونه قضيّة شخصيّة، والعقوبة الزائدة لعلّها من جهة الإطراق بالليل وعدم رجوع الذي يكون مورداً للسؤال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على ما يظهر من الخلاف،</w:t>
      </w:r>
      <w:r>
        <w:rPr>
          <w:rStyle w:val="FootnoteAnchor"/>
          <w:rtl w:val="true"/>
        </w:rPr>
        <w:footnoteReference w:id="243"/>
      </w:r>
      <w:r>
        <w:rPr>
          <w:rFonts w:ascii="IRNazanin" w:hAnsi="IRNazanin" w:eastAsia="IRNazanin"/>
          <w:color w:val="111111"/>
          <w:sz w:val="28"/>
          <w:sz w:val="28"/>
          <w:szCs w:val="28"/>
          <w:rtl w:val="true"/>
          <w:lang w:bidi="fa-IR"/>
        </w:rPr>
        <w:t xml:space="preserve">ولموثّق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المعتضد بعمل الأصحاب، 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مقطوعٌ بهفي كلامهم،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ثلاثة نفر رفعوا إلى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منهم أمسك رجلاً، وأقبل الآخر فقتله،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 يراهم، فقضى في صاحب الرؤية</w:t>
      </w:r>
      <w:r>
        <w:rPr>
          <w:rStyle w:val="FootnoteAnchor"/>
          <w:rtl w:val="true"/>
        </w:rPr>
        <w:footnoteReference w:id="244"/>
      </w:r>
      <w:r>
        <w:rPr>
          <w:rFonts w:ascii="Amiri" w:hAnsi="Amiri" w:eastAsia="Amiri" w:cs="Amiri"/>
          <w:color w:val="111111"/>
          <w:sz w:val="28"/>
          <w:sz w:val="28"/>
          <w:szCs w:val="28"/>
          <w:rtl w:val="true"/>
          <w:lang w:bidi="ar-SA"/>
        </w:rPr>
        <w:t>أن تسمل عيناه، وفي الذي أمسك أن يسجن حتّى يموت كما أمسكه، وقضى في الذي قتل أن يقتل</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وفي مجمع الفائدة والبرهان الإيراد على الرواية بعد قبول دلالتها على الأحكام الثلاثة بالضعف في السند، لكنّه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أنّها معمولة </w:t>
      </w:r>
      <w:r>
        <w:rPr>
          <w:rStyle w:val="FootnoteAnchor"/>
          <w:rtl w:val="true"/>
        </w:rPr>
        <w:footnoteReference w:id="246"/>
      </w:r>
      <w:r>
        <w:rPr>
          <w:rFonts w:ascii="Amiri" w:hAnsi="Amiri" w:eastAsia="Amiri" w:cs="Amiri"/>
          <w:color w:val="111111"/>
          <w:sz w:val="28"/>
          <w:sz w:val="28"/>
          <w:szCs w:val="28"/>
          <w:rtl w:val="true"/>
          <w:lang w:bidi="ar-SA"/>
        </w:rPr>
        <w:t>ومشتملة على ما اشتمل عليه الصحيحة المتقدّمة</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ولكنّ الأصل عدم عقوبة على الناظر، وما فعل ما يوجبها بحسب الظاهر، فالحكم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سمل عين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مجمعاً عليه فهو محلّ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ولعلّ أمره بالتأ‌مّل لمكان العمل، فإنّها معمولٌ بها كما صرّح به، فضعفها بالعمل منجبرٌ، كما أنّه على المختار من كونها موثّقة، فالأمر أوضح</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حجّة على كلّ الثلاثة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فإنّ من البعيد وجودبناء العقلاء على حجّية خبر الواحد الثقة لإثبات مثل سمل عين الناظر بمثل رواية واحدة، وهي موثّقة السكوني في المسألة، ومع عدم ذكرٍ لذلك الحكم في بقيّة روايات المسألة، والاكتفاء فيها بحبس الآمر وقتل القاتل، ومع أنّ مقتضى القاعدة </w:t>
      </w:r>
      <w:bookmarkStart w:id="94" w:name="pg9428_72218"/>
    </w:p>
    <w:p>
      <w:pPr>
        <w:pStyle w:val="BookText"/>
        <w:rPr/>
      </w:pPr>
      <w:bookmarkEnd w:id="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القتل فالقود على المباشر إذا كان بالغاً عاقلاً، دون المكره وإن أوعده على القتل، ويحبس الآمر به أبداً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المكره مجنوناً أو طفلاً غير مميّز فالقصاص على المكره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أمر شخص طفلاً مميّزاً بالقتل فقتله ليس على واحد منهما القود، والدية على عاقلة الطفل، ولو أكرهه على ذلك فهل على الرجل المكره القود أو الحبس أبداً؟ الأحوط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إجرار حكم الشركة في القتل على الناظر؛ قضاءً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إثبات مثل هذه الأحكام الصعبة، مع مخالفتها للقواعد، ومع كونها في رواية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موثّقة معمولاً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بل ممنوع؛ للشكّ في بناء العقلاء إن لم نقل بعدمه على العمل بمثلها في مثل تلك الأحكام، فالمتّبع هو القواعد الشرعيّة والعقلائيّة المعتبرة</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5797463_2870459653"/>
      <w:bookmarkStart w:id="96" w:name="_Toc32"/>
      <w:bookmarkEnd w:id="95"/>
      <w:r>
        <w:rPr>
          <w:rtl w:val="true"/>
        </w:rPr>
        <w:t>الإكراه في القتل</w:t>
      </w:r>
      <w:bookmarkEnd w:id="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المسألة أربع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إكراه الكامل كاملاً آخر على القتل، وحكمه على ما في المتن و‌الخلاف</w:t>
      </w:r>
      <w:r>
        <w:rPr>
          <w:rStyle w:val="FootnoteAnchor"/>
          <w:rtl w:val="true"/>
        </w:rPr>
        <w:footnoteReference w:id="249"/>
      </w:r>
      <w:r>
        <w:rPr>
          <w:rFonts w:ascii="IRNazanin" w:hAnsi="IRNazanin" w:eastAsia="IRNazanin"/>
          <w:color w:val="111111"/>
          <w:sz w:val="28"/>
          <w:sz w:val="28"/>
          <w:szCs w:val="28"/>
          <w:rtl w:val="true"/>
          <w:lang w:bidi="fa-IR"/>
        </w:rPr>
        <w:t>والمبسوط</w:t>
      </w:r>
      <w:r>
        <w:rPr>
          <w:rStyle w:val="FootnoteAnchor"/>
          <w:rtl w:val="true"/>
        </w:rPr>
        <w:footnoteReference w:id="250"/>
      </w:r>
      <w:r>
        <w:rPr>
          <w:rFonts w:ascii="IRNazanin" w:hAnsi="IRNazanin" w:eastAsia="IRNazanin"/>
          <w:color w:val="111111"/>
          <w:sz w:val="28"/>
          <w:sz w:val="28"/>
          <w:szCs w:val="28"/>
          <w:rtl w:val="true"/>
          <w:lang w:bidi="fa-IR"/>
        </w:rPr>
        <w:t>والشرائع</w:t>
      </w:r>
      <w:r>
        <w:rPr>
          <w:rStyle w:val="FootnoteAnchor"/>
          <w:rtl w:val="true"/>
        </w:rPr>
        <w:footnoteReference w:id="251"/>
      </w:r>
      <w:r>
        <w:rPr>
          <w:rFonts w:ascii="IRNazanin" w:hAnsi="IRNazanin" w:eastAsia="IRNazanin"/>
          <w:color w:val="111111"/>
          <w:sz w:val="28"/>
          <w:sz w:val="28"/>
          <w:szCs w:val="28"/>
          <w:rtl w:val="true"/>
          <w:lang w:bidi="fa-IR"/>
        </w:rPr>
        <w:t>والقواعد</w:t>
      </w:r>
      <w:r>
        <w:rPr>
          <w:rStyle w:val="FootnoteAnchor"/>
          <w:rtl w:val="true"/>
        </w:rPr>
        <w:footnoteReference w:id="252"/>
      </w:r>
      <w:r>
        <w:rPr>
          <w:rFonts w:ascii="Amiri" w:hAnsi="Amiri" w:eastAsia="Amiri" w:cs="Amiri"/>
          <w:color w:val="111111"/>
          <w:sz w:val="28"/>
          <w:sz w:val="28"/>
          <w:szCs w:val="28"/>
          <w:rtl w:val="true"/>
          <w:lang w:bidi="ar-SA"/>
        </w:rPr>
        <w:t>وغيرها من كتب الأصحاب كون القود والقصاص على المكره المباشر للقتل دون المكرِه المُلجئ السبب، خلافاً للعامّة، فإنّ لهم أقوالاً أُخرى متفاوتة مع قولالإماميّة، فالمسألة من المسائل الخلافيّة بيننا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الخلاف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أكره الأمير غيره على قتل من لا يجب قتله،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قتلته وإلّا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له قتله بلا خلاف، فإن خالف وقتل، فإنّ القود على المباشر دون المُلجئ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العامّة، قال في الاستدلال على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3"/>
      </w:r>
      <w:r>
        <w:rPr>
          <w:rFonts w:ascii="Amiri" w:hAnsi="Amiri" w:eastAsia="Amiri" w:cs="Amiri"/>
          <w:color w:val="111111"/>
          <w:sz w:val="28"/>
          <w:sz w:val="28"/>
          <w:szCs w:val="28"/>
          <w:rtl w:val="true"/>
          <w:lang w:bidi="ar-SA"/>
        </w:rPr>
        <w:t>وهذا قُتل مظلوماً، وعليه إجماع الصحابة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ومعولنا على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بِالْحُرِّ وَالْعَبْدُ بِالْعَبْدِ وَالأُنْثَى بالأُنْثَى</w:t>
      </w:r>
      <w:r>
        <w:rPr>
          <w:rFonts w:ascii="IRNazanin" w:hAnsi="IRNazanin" w:eastAsia="IRNazanin"/>
          <w:color w:val="111111"/>
          <w:sz w:val="28"/>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وعلى إجماع الفرقه</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 فإنّه يولّد في المكره داعية القتل غالباً، والقصاص عندنا على المباشر خاصّةً دون الآمر؛ لأنّه قتَلَ 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لاستبقاء نفسه، فأشبه ما لو قتله في المخمصة ليأكله، ولو وجبت الدية كانت على المباشر أيضاً، فلا يتحقّق الإكراه في القتل عندنا</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أكرهه على القتل بأن توعّده الظالم القادر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يقتله، فالحكم فيه عندنا نصّاً وفتوىً بل الإجماعبقسميه عليه، أنّ القصاص على المباشر الكامل دون الآمر المكرِه، بل ولا دية، 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كفّارة</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وفي الشرائع</w:t>
      </w:r>
      <w:r>
        <w:rPr>
          <w:rStyle w:val="FootnoteAnchor"/>
          <w:rtl w:val="true"/>
        </w:rPr>
        <w:footnoteReference w:id="258"/>
      </w:r>
      <w:r>
        <w:rPr>
          <w:rFonts w:ascii="Amiri" w:hAnsi="Amiri" w:eastAsia="Amiri" w:cs="Amiri"/>
          <w:color w:val="111111"/>
          <w:sz w:val="28"/>
          <w:sz w:val="28"/>
          <w:szCs w:val="28"/>
          <w:rtl w:val="true"/>
          <w:lang w:bidi="ar-SA"/>
        </w:rPr>
        <w:t>إرسال الحكم والفتوى كذلك إرسال المسلّم، فالمسألة عندهم إجماعيّة، بل كالمسلّمات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العامّة، فأقوالهم فيه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نفى عنهما القود والدية،</w:t>
      </w:r>
      <w:r>
        <w:rPr>
          <w:rStyle w:val="FootnoteAnchor"/>
          <w:rtl w:val="true"/>
        </w:rPr>
        <w:footnoteReference w:id="259"/>
      </w:r>
      <w:r>
        <w:rPr>
          <w:rFonts w:ascii="Amiri" w:hAnsi="Amiri" w:eastAsia="Amiri" w:cs="Amiri"/>
          <w:color w:val="111111"/>
          <w:sz w:val="28"/>
          <w:sz w:val="28"/>
          <w:szCs w:val="28"/>
          <w:rtl w:val="true"/>
          <w:lang w:bidi="ar-SA"/>
        </w:rPr>
        <w:t xml:space="preserve">ومنهم من أوجب القود على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w:t>
      </w:r>
      <w:r>
        <w:rPr>
          <w:rStyle w:val="FootnoteAnchor"/>
          <w:rtl w:val="true"/>
        </w:rPr>
        <w:footnoteReference w:id="260"/>
      </w:r>
      <w:r>
        <w:rPr>
          <w:rFonts w:ascii="Amiri" w:hAnsi="Amiri" w:eastAsia="Amiri" w:cs="Amiri"/>
          <w:color w:val="111111"/>
          <w:sz w:val="28"/>
          <w:sz w:val="28"/>
          <w:szCs w:val="28"/>
          <w:rtl w:val="true"/>
          <w:lang w:bidi="ar-SA"/>
        </w:rPr>
        <w:t>وللشافعي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اشتراكهما في الجناية، فعليهما القصاص وعند العفو الدية نصفين،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القود على المكرِه وعلى المباشر نصف الدية، وعند العفو على المكرِه أيضاً نصف الدية</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الأقوال في المسألة من الخاصّة والعامّة، والأقوى منها كون القود على المكرِه والملجئ وحده دون المباشر والمكرَه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لأقوائيّته عنه بالإلجاءِ والوعيد بالقتل، والقود على السبب الأقوى كما لا يخفى، ولرفع الإكراه، فالقتل الواقع من المباشر المضطرّ إليه لإلجاءِ الغير وإكراهه مرفوعٌ ادّعاءً، فلا حرمة لذلك القتل ولا قود ولا دية ولا غيرها من الآثار، ورفع الإكراه وانتفاءِ حكمه ليس لخصوص حديث الرفع حتّى يشكل باختصاصه برفع المؤاخذة لا جميع الآثار، وإن كان الإشكال غيروارد، حيث إنّ العموم أنسب بل هو المناسب، بل هو المناسب في رفع الحقيقة ادّعاءً كما حقّقناه في محلّه، بل لذلك الحديث وللقاعدة </w:t>
      </w:r>
      <w:bookmarkStart w:id="97" w:name="pg9428_72221"/>
    </w:p>
    <w:p>
      <w:pPr>
        <w:pStyle w:val="BookText"/>
        <w:rPr/>
      </w:pPr>
      <w:bookmarkEnd w:id="9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المستفادة من الأخبار الكثيرة الواردة في أبواب مختلفة الدالّة على عدم الحكم له، مثل الإكراه على الطلاق والعتق واليمين وغيرها، ومع عدم القود والدية على المباشر، فلابدّ إلّا من الحكم على المكرِه والمُلجئ بهما؛ قضاءً لأقوائيّة السبب، ولئلّا يبطل دم امرءٍ مسلمٍ</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5797465_2870459653"/>
      <w:bookmarkStart w:id="99" w:name="_Toc33"/>
      <w:bookmarkEnd w:id="98"/>
      <w:r>
        <w:rPr>
          <w:rtl w:val="true"/>
        </w:rPr>
        <w:t>الاستدلال على كون القود على المكره المباشر</w:t>
      </w:r>
      <w:bookmarkEnd w:id="99"/>
    </w:p>
    <w:p>
      <w:pPr>
        <w:pStyle w:val="BookText"/>
        <w:rPr/>
      </w:pPr>
      <w:r>
        <w:rPr>
          <w:rFonts w:ascii="Amiri" w:hAnsi="Amiri" w:eastAsia="Amiri" w:cs="Amiri"/>
          <w:color w:val="111111"/>
          <w:sz w:val="28"/>
          <w:sz w:val="28"/>
          <w:szCs w:val="28"/>
          <w:rtl w:val="true"/>
          <w:lang w:bidi="ar-SA"/>
        </w:rPr>
        <w:t>وكيف كان، فما يستدلّ به على مذهب الإماميّة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عدم التقيّة مع بلوغها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صحيح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التقيّة ليحقن بها الدم، فإذا بلغ الدم فليس تقيّة</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ومثله موثّق أبي حمزة الثمالي،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التقيّة الدم</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وفي مرسل الصدوق في الهداية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تارك التقيّة كتارك الصلاة لكنت صادقاً، والتقيّة في كلّ شيء حتّى يبلغ الدم، فإذا بلغ الدم فلا تقيّة</w:t>
      </w:r>
      <w:r>
        <w:rPr>
          <w:rFonts w:eastAsia="IRNazanin" w:cs="IRNazanin"/>
          <w:color w:val="111111"/>
          <w:sz w:val="28"/>
          <w:szCs w:val="28"/>
          <w:rtl w:val="true"/>
          <w:lang w:bidi="fa-IR"/>
        </w:rPr>
        <w:t>».</w:t>
      </w:r>
      <w:r>
        <w:rPr>
          <w:rStyle w:val="FootnoteAnchor"/>
          <w:rtl w:val="true"/>
        </w:rPr>
        <w:footnoteReference w:id="26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والتقيّة إمّا عامّة ومحمولة على معناها اللغوي؛ أي التجنّب والتحفّظ من كلّ سوء أوجبت ضرورة وعذراً، كما يظهر من سيّدنا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التقيّة،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يظهر من مجموع ما ورد فيها أنّها على أقسام؛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كسائر الأعذار والضرورات، فرخصت للضرورة والاضطرار، ويدخل فيها التقيّة الإكراهيّة التي لم نتعرّض لها هاهنا، وفصلّنا حولها في الرسالة المعمولة في المكاسب المحرّمة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واستشهد عليه بما في الأخبار،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يضطرّ إليه ابن آدم، فقد أحلّه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ومثل ما ورد في شأن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وَقَلْبُهُ مُطْمَئنٌ بِالْإِيمَانِ</w:t>
      </w:r>
      <w:r>
        <w:rPr>
          <w:rStyle w:val="FootnoteAnchor"/>
          <w:rtl w:val="true"/>
        </w:rPr>
        <w:footnoteReference w:id="269"/>
      </w:r>
      <w:r>
        <w:rPr>
          <w:rFonts w:ascii="Amiri" w:hAnsi="Amiri" w:eastAsia="Amiri" w:cs="Amiri"/>
          <w:color w:val="111111"/>
          <w:sz w:val="28"/>
          <w:sz w:val="28"/>
          <w:szCs w:val="28"/>
          <w:rtl w:val="true"/>
          <w:lang w:bidi="ar-SA"/>
        </w:rPr>
        <w:t>في عمّار، ومثل غيرها من الواردة في أخبار التقيّة، فعليه وجه الاستدلال واضحٌ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خاصّة بالتحفّظ من السوء الحاصل من المخالفين للمذهب، كما هو المعروف في معناه، فعليه الاستدلال بالأولويّة، فإنّ الدم إذا لم يكن إهراقه جائزاً مع التقيّة التي هي دين الله،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وأنّهالمجعول؛ حفظاً للمذهب، لئلّا يذهب مذهب الحقّ، فعدم جوازه مع الإكراه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أخبار استثناء التقيّة في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ما في كلامهم من الاستدلال للقصاص على المباشر بعدم استباحة الدم بالإكراه، فلا أقوائيّة للسبب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المكرِه المُلجئ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القصاص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السبب والمباشر هنا متعادلان، وإنّما القصاص على المباشر فقط في المورد؛ لجهات خاصّة به، كالإجماع والأخبار وآية النفس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على هذا الوجه بأنّ التقيّة لما كانت مجعولة لحقن الدم، على ما في تلك الأخبار المستدلّ بها، فعدمها مع عدم الحقن وإهراق الدم موافقٌ للاعتبار، وهذا بخلاف الإكراه الذي لم يكن لذلك، بل كان رفعه للإمتنان على الأُمّة، فالفرق موجودٌ والقياس ممنوعٌ ولو على نحو الأولويّة؛ لأنّها مع الخصوصيّة غير 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مذبوبٌ بأنّ المذكور في تلك الأخبار إشارة إلى أصل الجعل ومبدئه لا إلى العلّة والحكمة؛ حيث إنّ التقيّة مجعولة ديناً وحفظاً للمذهب وسهولة على الملّة وضرورة واضطراراً، كما يظهر من أخبارها ومن التأ‌مّل في الواقع منها في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فالفرق غير فارق؛ لأنّ الدم مبدء له للجعل لا منشأ ومناط وعلّة منحصرة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 الغير رفعاً لتوعيد المكرِه بالقتل دفع ضرر عن نفسه بإيقاعه على الغير، وهو قبيحٌ عقلاً وغير جائز شرعاً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أمر رجلاً بقتل 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به الذي قتله، ويحبس الآمر بقتله فيالحبس حتّى يموت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الاستدلال بها لابدّ وأن يكون بالشمول للمفروض بترك الاستفصال،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يستفصل من كون المأمور مكرَهاً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 مكرَه، وأنّ المكرِه الآمر هل كان ممّن توعّد بالقتل أو بما دونه؟</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النَّفْسَ بِالنَّفْسِ</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تتكافؤ دماؤهم، فلا يجوز قتل الغير لحفظ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الوجوه مناقشة وإشكال، ولا شيء منها قابل للاستدلال والاحتجاج به في مقابل القواعد والأُصول الشرعيّة المعتبرة النافذة والاعتبارات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مختصّ بغير المفروض، حيث إنّ الدم المانع من التقيّة موجودٌ معها أيضاً، لكون التوعيد به، فترك التقيّة غير موجب لعدم الدم؛ لتحقّقه بالنسبة إلى نفس المكرَه من جانب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فنفي التقيّة منتفية بانتفاء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التقيّة في الحديث معلولٌ لعدم الدم وحفظاً للدم والنفس، ومع فرض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دم 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منفيّ؛ قضاءً للعلّيّة، فالحديث لمكان العلّيّة مختصٌّ بغير التوعيد بالقتل، وتوهّم اختصاص الدم بدم الغير، كما ترى، فإنّه مخالف لإطلاق العلّيّة، بل لظاهرها؛ لعدم كون الدم المطلق عليه علّة، بل العلّة الدم المقيّد المحتاج إلى القيد المباين للمطلق</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مناط الحكم أهمّيّة الدم والنفس، فعلى الخصوصيّة تكونالخصوصيّة ملغاة بالفحوى وبالإلغاءِ العرفي؛ لعدم الفرق بين دماء الأفراد في الأهمّيّة عندهم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أنّه على عدم الإطلاق في الدم فالاستدلال بالحديث غير تامّ أيضاً؛ لاحتمال الانصراف إلى المتعارف في التقيّة في تلك الأزمنة من الإكراه والتقيّة بالتوعيد بغير القتل من الضرر بالمال أو العرض أو النفس، فإنّ التوعيد بالقتل في تلك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زماننا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تلك الأخبار غير مقيّدة لإطلاق أدلّة الإكراه؛ لعدم شمولها لهذه الصورة حتّى تكون مقيّدة له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مفروض البحث ليس من ذلك الباب، بل من باب عدم تحمّل الضرر على الغير بالضرر على النفس، وهو أمرٌ جائز، فإنّ الضرر في مفروض البحث متوجّه من أوّل الأمر إلى الثالث، والمكرِه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قتله بتوعيد الغير عليه، فالمكرَه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قتله الثالث ليس بموقع ضرر نفسه على الغير؛ لعدم توجّه الضرر من المُلجئ إليه من أوّل الأمر، بل منه متوجّه إلى الثالث بدواً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المكره عليه موجبٌ لكونه موقعاً لضرر الثالث على نفسه، عكس إيقاع ضرر النفس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دفع ضرر المتوجّه إلى النفس بالإيقاع على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كجريه السيل الوارد في بيته على بيت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وحرام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دفع الضرر المتوجّه إلى الغير بتوجيهه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كدفع السيل عن بيت الغير لحفظه إلى بيت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واجب، وقتل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المقصود للمكرِه مع التوعيد عليه بقتل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باب ترك تحمّل ضرر قتله الغير بإيقاعه علىنفسه، وهو غير واجب، لا من باب إيقاع ضرر نفسه على الغير حتّى يكون قبيحاً ومحرّماً كما لا يخفى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بالصحيحة كما عرفت موقوف على ترك الاستفصال،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عدم المحلّ له لما بين الإكراه والأمر من المباينة مفهوماً، فالاتحّاد الموجب للسؤال لابدّ وأن يكون من جهة المصداق، فإنّ الإكراه وإن كان أخصّ مطلقاً من الأمر بحبسه، لكنّ المتعارف انفراد كلّ واحد منهما عن الآخر في السؤال والجواب والمكالمات، ولذلك كان البحث في الكتب الفقهيّة عن كلّ واحد منهما مستقلاً، فإنّ لكلٍّ منهما عناية خاصّة، فالعناية في الأمر إليه وإلى الآمر القانوني أو الاجتماعي الأعمّ من المشروع وغير المشروع، وفي الكراهة إلى حيث الإكراه والإجبار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موقع للاستفصال أصلاً كما لا يخفى،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الأمر حيثيّة استلزام تخلّفه العقوبة قانوناً وعقلاءً حقيقة، أو ناشئاً من جهة سوء استخدام الآمر سلطته وحاكميّته، فالعقوبة في الأمر تدخل في العقوبات المجعولة في الشرع والقانون والحكومة، أو ناشئاً من سوء مُعاقبة المتخلّف بما يضرّه من الأُمور الاستخداميّة وغيرها، وحيثيّة الإكراه حيثيّة التوعيد بإضرار المُلجئ على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يده واختياره الشخصي من التوعيد إضراراً في المال أو في العرض وغيرهما من دون ارتباطه بالحكومة والقانون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ما في موثّقة إسحاق بن عمّار والسكوني في أمر المولى عبده بالقتل من قتل السيّد وسجن العبد،</w:t>
      </w:r>
      <w:r>
        <w:rPr>
          <w:rStyle w:val="FootnoteAnchor"/>
          <w:rtl w:val="true"/>
        </w:rPr>
        <w:footnoteReference w:id="273"/>
      </w:r>
      <w:r>
        <w:rPr>
          <w:rFonts w:ascii="Amiri" w:hAnsi="Amiri" w:eastAsia="Amiri" w:cs="Amiri"/>
          <w:color w:val="111111"/>
          <w:sz w:val="28"/>
          <w:sz w:val="28"/>
          <w:szCs w:val="28"/>
          <w:rtl w:val="true"/>
          <w:lang w:bidi="ar-SA"/>
        </w:rPr>
        <w:t>بل وفي الشرائع ما يؤذن بتوقّفه فيحبس الآمر وإن جزم بقتل المكرَه المباشر، فقد جاء هناك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أكرهه على القتل فالقصاص على المباشر دون الآمر ولا يتحقّق الإكراه في القتل ويتحقّق فيما عداه، وفي رواية عليّ بن رئاب</w:t>
      </w:r>
      <w:r>
        <w:rPr>
          <w:rStyle w:val="FootnoteAnchor"/>
          <w:rtl w:val="true"/>
        </w:rPr>
        <w:footnoteReference w:id="274"/>
      </w:r>
      <w:r>
        <w:rPr>
          <w:rFonts w:ascii="Amiri" w:hAnsi="Amiri" w:eastAsia="Amiri" w:cs="Amiri"/>
          <w:color w:val="111111"/>
          <w:sz w:val="28"/>
          <w:sz w:val="28"/>
          <w:szCs w:val="28"/>
          <w:rtl w:val="true"/>
          <w:lang w:bidi="ar-SA"/>
        </w:rPr>
        <w:t>يحبس الآمر بقتله حتّى يموت</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وفي المسالك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ونسبة المصنّف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الرواية يؤذن بالتوقّف فيه، ولا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الرواية</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هذا كلّه، مع أنّه لا يبعد أن يكون السؤال في الصحيحة عمّا يتّفق من أمر بعض من الأفراد بعضاً آخر بالقتل حقداً وحسداً وجنايةً وبُغضاً على المقتول، مع اشتراكهم في تلك الرذائل الأخلاقيّة والدواعي المؤدّية إلى القتل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مخالفة ذلك الآمر مستتبعة ومتعقّبة للجزاء والعقوبة القانونية، ولا الناشئة من سوء استخدام الآمر سلطته ووجاهته ومقامه، ولا للضرر الشخصي المتوعّد به، بل مخالفته مخالفة لتلك الدواعي المشتركة، ومخالفة في قتله المحبوب للمأمور وللآمر معاً، فهذا النحو من الآمرمفارق مع غيره من الأوامر في الجزاء والعقوبة أوّلاً، وفي داعي الامتثال ثانياً، فإنّ الداعي في غيره هو الخوف من العقوبة القانونيّة أو الضرر المتوعّد عليه من جهة الإكراه، أو من جهة سوء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الاستفادة من السلطة القانونيّة دونه فإنّه البغض والتواطؤ على القتل، وفي الآمر ثالثاً، فإنّ الآمر في غيره له القدرة والآمرية دونه فليس في آمره تلك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يكون الآمر في هذا القسم محرّكاً للمأمور ودافعاً له فيه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اقتله فعليّ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بينكم رجل يقتل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يظهر للمطّلع على ما بين الناس وعداوة بعضهم لبعض، لا سيّما العداوة الطائفيّة والتعصبيّة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الصحيحة مربوطة بأمر عرفي خارجيٍّ بين الناس، ولا ارتباط لها بالأمر مع القدرة، فضلاً عن صورة الإكراه، وإن أبيتَ عن ظهور الرواية في هذا، فلا أقلّ من الاحتمال المبطل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جيّداً فإنّه ممّا ينبغي التدبّر فيه؛ لتزداد المعرفة في محاسن كلامهم وحسن الاتّباع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كلام في كون المراد من الآية</w:t>
      </w:r>
      <w:r>
        <w:rPr>
          <w:rStyle w:val="FootnoteAnchor"/>
          <w:rtl w:val="true"/>
        </w:rPr>
        <w:footnoteReference w:id="277"/>
      </w:r>
      <w:r>
        <w:rPr>
          <w:rFonts w:ascii="Amiri" w:hAnsi="Amiri" w:eastAsia="Amiri" w:cs="Amiri"/>
          <w:color w:val="111111"/>
          <w:sz w:val="28"/>
          <w:sz w:val="28"/>
          <w:szCs w:val="28"/>
          <w:rtl w:val="true"/>
          <w:lang w:bidi="ar-SA"/>
        </w:rPr>
        <w:t xml:space="preserve">قصاص القاتل وأنّ نفس القاتل بنفس المقتول؛ ولا بحث فيه من حيث الكبرى أصلاً، وإنّما الكلام في المسألة في الصغرى من أنّ القاتل المباشر، لمباشرته أو السبب أي الملجئ المكرِه لأقوائيّته، فإنّ ثبوت القصاص على السبب الأقوى من مسلّمات الفقه في القصاص وفي غيره من الضمانات، والقائل بكون القصاص على الملجئ المكرِه قائل بأقوائيّته في القتل من المباشر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القائل عامل بالآية كغيره من القائلين بقصاص المباشر كمالا يخفى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مقتضى الآية في المقام هو مقتضاها في كلّ ما كان السبب أقوى، ولا إشكال عندهم في قصاص السبب الأقوى دون المباشر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أنّ الأصل في هذا الإجماع هو ما نقله الشيخ في الخلاف، كونه في مسألة اجتهاديّة فلا يكون حجّة، فإنّ الإجماع حجّة حيث ما ليس للعقل إليه سبيل ولا للنقل فيه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ولننقل عبارة الخلاف بأجمعها؛ لما فيها من الفائدة، ومن الشهادة على عدم البُعد في كونه إجماعاً حدسيّاً لا حسيّاً، وعبارة المبسوط أيضاً؛ لما فيها من الإشعار أو الظهور على كون المسألة اتّفاقيّة، بل هي ممّا لا 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أكره الأمير غيره على قتل من لا يجب قتله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قتلته وإلّا قتلتك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يحلّ له قتله بلا خلاف، فإن خالف وقتل فإنّ القود على المباشر دون الملجئ، وفرض الفقهاء ذلك في الإمام والمتغلّب مثل الخوارج وغيرهم، والخلاف في الإمام والأمير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عليهما القود كأنّهما باشرا قتله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عفی الأولياء فعلى كلّ واحد منهما نصف الدية والكفّارة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المُلجئ وحده القود، وعلى المكرَه نصف الدية، فإن عفی عن الإمام فعليه نصف الدية، وعلى كلّ واحد منهما الكفّارة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يختلف مذهبه أنّ الدية عليهما نصفان وعلى كلّ واحد منهما الكفّارة، وأنّ على الإمام القود، وهل على المكرهالقود؟ على قولين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أبو‌حنيفة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القود على المكرِه وحده، ولا ضمان على المكرَه من قود، ولا دية ولا كفّارة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قود على الإمام ولا على المكرَه؛ أمّا المكرَه فلأنّه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مُلجأ، وأمّا الإمام فلأنّه ما باشر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w:t>
      </w:r>
      <w:r>
        <w:rPr>
          <w:rFonts w:ascii="IRNazanin" w:hAnsi="IRNazanin" w:eastAsia="IRNazanin"/>
          <w:color w:val="111111"/>
          <w:sz w:val="28"/>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وهذا قُتِل مظلوماً، وعليه إجماع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رجلين شهدا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رجل بالسرقة، فقطعه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أتياه بآخر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سرق وأخطأنا على الأوّل فردّ شهادتهما على الثاني،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علمت أنّكما تعمّدتما على الأوّل لقطعتكما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فموضع الدلالة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بالقصاص على مَن ألجأ الحاكم إلى القطع بالشهادة مع قدرة الحاكم على الامتناع من قتله بأن يعزل نفسه عن النظر، والمكرَه أغلظ حالاً من الحاكم، فإنّه مُلجأ إليه على وجه لا يمكنه إلّا قتله خوفاً على نفسه، فإذا كان على الشاهد القود فبأن يكون على المكرَه أولى وأحرى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دليلٌ الشافعي، وليس فيه دلالة؛ لأنّه قياسٌ، ونحن لا نقول به، ومعوّلنا على الآية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الحُرُّ بِالْحُرِّ وَالْعَبْدُ بِالْعَبْدِ والأُنْثَى بِالأُنثَى</w:t>
      </w:r>
      <w:r>
        <w:rPr>
          <w:rFonts w:ascii="IRNazanin" w:hAnsi="IRNazanin" w:eastAsia="IRNazanin"/>
          <w:color w:val="111111"/>
          <w:sz w:val="28"/>
          <w:sz w:val="28"/>
          <w:szCs w:val="28"/>
          <w:rtl w:val="true"/>
          <w:lang w:bidi="fa-IR"/>
        </w:rPr>
        <w:t>،</w:t>
      </w:r>
      <w:r>
        <w:rPr>
          <w:rStyle w:val="FootnoteAnchor"/>
          <w:rtl w:val="true"/>
        </w:rPr>
        <w:footnoteReference w:id="279"/>
      </w:r>
      <w:r>
        <w:rPr>
          <w:rFonts w:ascii="Amiri" w:hAnsi="Amiri" w:eastAsia="Amiri" w:cs="Amiri"/>
          <w:color w:val="111111"/>
          <w:sz w:val="28"/>
          <w:sz w:val="28"/>
          <w:szCs w:val="28"/>
          <w:rtl w:val="true"/>
          <w:lang w:bidi="ar-SA"/>
        </w:rPr>
        <w:t>وعلى إجماع الفرقة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وأيضاً روى عثمان بن عفان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دم امرءٍ مسلم إلّا بإحدى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بعد إيمان، أو زناً بعد إحصان، أو قتل نفس بغير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قتل نفساً بغيرنفس، فيجب أن يحلّ دمه</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أكرهه على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قتلته، وإلّا قتلتك لم يحلّ له قتله وإن كان خائفاً على نفسه؛ لأنّ قتل المؤمن لا يُستباح بالإكراه على قتله، فإن خالفه وقتل فقد أتى كبيرة بقتل نفس 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الضمان فعندنا أنّ القود على القاتل، وعند قوم منهم،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وعلى الآمر القود، كأنّهما باشرا قتله واشتركا فيه</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ولا يخفى أنّ عبارة الخلاف وإن كانت ظاهرة في الإجماع، إلّا أنّ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المتأخّر عن الخلاف تأليفاً، كما يظهر من قوله في مقدّمة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أذكر أسماءَ المخالفين في المسألة لئلّا يطول به الكتاب، وقد ذكرت ذلك في مسائل الخلاف مستوفاً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إن لم يكن قرينة على وحدة المراد وأنّ ذلك مقتضى المذهب فلا أقلّ من احتمالها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ظهور الإجماع في اتّفاق الكلّ وإن كان أقوى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ظاهرة في المذهب ومثله، إلّا أنّ تأخر المبسوط عن الخلاف موجب للتصرّف في عبارة الخلاف أو لإجمالها، فنقل الشيخ الاتّفاق غير ثابت علی أيّ حالٍ أوّلاً، وأنّ المظنون كون الإجماع حدسيّاً ثانياً، لا لماذكره الشيخ الأعظم في الإجماع في المقصد الثاني من كتابه المسمّى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من كون الأصل في الإجماعات المنقوله كونها حدسيّة لما قال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المتتبّع في الإجماعات المنقولة يحصل له القطع من تراكم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أمارات كثيرة باستناد دعوى الناقلين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أرادوا به اتّفاق علماء جميع الأعصار، كما هو الغالب في إجماعات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الحدس الحاصل من حسن الظنّ بجماعة ممّن تقدّم على الناقل، أو من الانتقال من الملزوم إلى لازمه مع ثبوت الملازمة باجتهاد الناقل واعتقاده</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لما حقّقناه من عدم التماميّة، بل لما في مثل هذا الإجماع من خصوصيّة مسبوقيّته وملحوقيّته بالآية المتّفق دلالتها على القصاص، واستدلاله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الادّعاء في المبسوط أيضاً بقاعدة اتّفاقيّة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قتل المؤمن لا يستباح بالإكراه على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عدم التعرّض للمسألة في المتون الفقهيّة التي بأيدينا من كتاب الجوامع الفقهية فضلاً عن ادّعاء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الوجوه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الشهادة والقرينة على أنّ مثل ذلك الإجماع حدسي لا حسي، وكون الإجماع دون الأدلّة الاجتهادية لا فوقها ولو احتمالاً ثالثاً، فإنّ الإجماع حجيّته موقوفة على إحراز عدم الاستناد إلى الأدلّة الموجودة التي بأيدينا كما هو واضح، ومع كون المسألة مصبّ الآية والرواية، الإحراز مشكل بل ممنوع، هذا كلّه في الإجماع، وفي كلامه في الخلاف موارد للنقض والإيراد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الشافعي وردّه عليه بعدم الدلالة وأنّه قياس</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الدلالة بالأولويّة وتنقيح المناط، حيث استدلّ بأنّ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أغلظ حالاً من المكرَه؛ لما له من القدرة على الامتناع بعدوله عن النظر، دون المكرَه فإنّه ملجأ على وجه لا يمكنه إلّا قتله خوفاً على نفسه، فإذا لم يكن القصاص على الحاكم فعلى المُلْجَأ والمكرَه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بإلغاء الخصوصيّة المعتبرة في الفقه، وأنّى ذلك بالقياس المطرود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لعلّه هو قياس اسماً، لكنّه غير مضرّ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تعويله واعتماده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بالحُرِّ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ليست في مقام بيان أصل القصاص، بل في مقام بيان الكيفيّة باعتبار الاتّحاد في النوع وأنّ الحرّ بالحرّ، فلا يُقتل الحرّ بقتل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مقام بيان عدم قتل غير القاتل بدلاً عنه كما استظهرناه من الآية، فالتعويل والتمسك بإطلاقها على ما 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وكان الأولى بل المتيقّن التعويل على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w:t>
      </w:r>
      <w:r>
        <w:rPr>
          <w:rStyle w:val="FootnoteAnchor"/>
          <w:rtl w:val="true"/>
        </w:rPr>
        <w:footnoteReference w:id="285"/>
      </w:r>
      <w:r>
        <w:rPr>
          <w:rFonts w:ascii="IRNazanin" w:hAnsi="IRNazanin" w:eastAsia="IRNazanin"/>
          <w:color w:val="111111"/>
          <w:sz w:val="28"/>
          <w:sz w:val="28"/>
          <w:szCs w:val="28"/>
          <w:rtl w:val="true"/>
          <w:lang w:bidi="fa-IR"/>
        </w:rPr>
        <w:t>ومثل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جَزَاءُ سَيِّئَة سَيِّئَةٌ مِثْلُهَا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استدلاله بالنبويّ، وأنّ المكرَه المباشر للقتل هو القاتل للنفس، فيجب أن يحلّ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القاتل هو المكرِه المُلجئ؛ لأنّه السبب الأقوى، فالمورد كغيرهمن موارد الأقوائيّة، فالقتل منتسب عرفاً إلى السبب الأقوى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منه تساوي المسلمين من حيث الدم، ويُقتل القاتل كائناً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كان، ودمه ليس بأحمر من الآخر حتّى لا يقتل به، وقتل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المباشر غير مخالف له، بل يكون موافقاً له كمال الموافقة، فإنّه القاتل عرفاً لا المباشر كما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المناقشة والإشكال على الوجوه المستدلّة بها على كون القود على المكره المباشر، وقد عرفت المناقشة في كلّها، كما قد عرفت أنّ مقتضى التحقيق كون الإكراه على القتل مع التوعيد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بقتل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رافعاً للقود والدية عليه كالإكراه على غيره من الأُمور الموجبة للضمان والجزاء، وفقاً لقاعدة الإكراه وحديث الرفع، فلا قود على المباشر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القود والدية على السبب المكرِه المُلجئ قضاءً لقاعدة أقوائيّة السبب على المباشر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حديث الرفع حديث امتنان، فرفع الإكراه عن المباشر مخالف للامتنان على الثالث وهو المقتول، لاستلزامه جواز قتله للمكرَه أي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بالنقض بالإكراه بما دون القتل مع التوعيد به أو بما دونه، بل والإكراه بجميع حقوق الناس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وبالحلّ بأنّ الامتنان لعلّه من جهة التسعة ومجموعها، لا كلّ واحد منها مستقلاً، فإنّ رفع الجميع من مختصّات الأُمّة، وإلّا فبعضها كان مرفوعاً من الاُمم السابقة أيضاً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الامتنان على تسليم كونه لكلّ واحد منها بالخصوص لما كان عن الأُمّة لا عن الشخص، فلابدّ من رعايته لا رعاية الشخص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والرعاية على الأُمّة موجودة؛ لأنّ الثالث مشمول للرفع معفرض صيرورته مباشراً مكرَهاً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الحديث كما أنّه جارٍٍ في حقوق الله فكذلك في حقوق الناس، ولا منافاة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الامتنان والرفع في حقوق الناس؛ لما ذكرناه من الوجوه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على المنافاة لابدّ من الاختصاص بحقوق الله، وهو كما ترى لإيجابه خروج المورد للنزول في آية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w:t>
      </w:r>
      <w:r>
        <w:rPr>
          <w:rFonts w:ascii="IRNazanin" w:hAnsi="IRNazanin" w:eastAsia="IRNazanin"/>
          <w:color w:val="111111"/>
          <w:sz w:val="28"/>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وهو قضيّة عمّار</w:t>
      </w:r>
      <w:r>
        <w:rPr>
          <w:rStyle w:val="FootnoteAnchor"/>
          <w:rtl w:val="true"/>
        </w:rPr>
        <w:footnoteReference w:id="288"/>
      </w:r>
      <w:r>
        <w:rPr>
          <w:rFonts w:ascii="IRNazanin" w:hAnsi="IRNazanin" w:eastAsia="IRNazanin"/>
          <w:color w:val="111111"/>
          <w:sz w:val="28"/>
          <w:sz w:val="28"/>
          <w:szCs w:val="28"/>
          <w:rtl w:val="true"/>
          <w:lang w:bidi="fa-IR"/>
        </w:rPr>
        <w:t xml:space="preserve">التي كانت في حقّ الناس وحقّ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ولاستدلال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بالحديث</w:t>
      </w:r>
      <w:r>
        <w:rPr>
          <w:rStyle w:val="FootnoteAnchor"/>
          <w:rtl w:val="true"/>
        </w:rPr>
        <w:footnoteReference w:id="289"/>
      </w:r>
      <w:r>
        <w:rPr>
          <w:rFonts w:ascii="Amiri" w:hAnsi="Amiri" w:eastAsia="Amiri" w:cs="Amiri"/>
          <w:color w:val="111111"/>
          <w:sz w:val="28"/>
          <w:sz w:val="28"/>
          <w:szCs w:val="28"/>
          <w:rtl w:val="true"/>
          <w:lang w:bidi="ar-SA"/>
        </w:rPr>
        <w:t>في الإكراه على الحلف بالطلاق والعتاق وصدقة ما يملك، فإنّه كان من ذلك القبيل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لا إشكال في عموميّة الحديث كما يظهر من مراجعة الموارد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في المتن وغيره من حبس الآمر في المسألة، المراد منه المكره، فالدليل عليه 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رجلأمر رجلاً بقتل 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به الذي قتله، ويحبس الآمر بقتله في الحبس حتّى يموت</w:t>
      </w:r>
      <w:r>
        <w:rPr>
          <w:rFonts w:eastAsia="IRNazanin" w:cs="IRNazanin"/>
          <w:color w:val="111111"/>
          <w:sz w:val="28"/>
          <w:szCs w:val="28"/>
          <w:rtl w:val="true"/>
          <w:lang w:bidi="fa-IR"/>
        </w:rPr>
        <w:t>».</w:t>
      </w:r>
      <w:r>
        <w:rPr>
          <w:rStyle w:val="FootnoteAnchor"/>
          <w:rtl w:val="true"/>
        </w:rPr>
        <w:footnoteReference w:id="290"/>
      </w:r>
      <w:bookmarkStart w:id="100" w:name="pg9428_72236"/>
    </w:p>
    <w:p>
      <w:pPr>
        <w:pStyle w:val="BookText"/>
        <w:rPr/>
      </w:pPr>
      <w:bookmarkEnd w:id="10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بالعمل بها بعد صحّتها وعمل غير واحد من الأصحاب بها، فما عساه يظهر من المتن من التوقّف في ذلك في غير محلّه</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وقد مضى الكلام منّا فيها مفصّلاً وأنّها مربوطة بغير الإكراه، بل الظاهر كونها مربوطة بالأوامر العاديّة ممّا لا تكون إطاعتها واجبة على المأمور لا قانوناً ولا سلطة، والعمل بها في موردها لازم؛ لأنّها صحيحة وحجّة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الكلام بما لا مزيد عليه أنّ على المكره القود والدية، وأنّه القاتل من دون شيء على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كالمكره على غير القتل من سائر الأُمور</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5797467_2870459653"/>
      <w:bookmarkStart w:id="102" w:name="_Toc34"/>
      <w:bookmarkEnd w:id="101"/>
      <w:r>
        <w:rPr>
          <w:rtl w:val="true"/>
        </w:rPr>
        <w:t>الإكراه بالقتل بالتوعيد بغير القتل</w:t>
      </w:r>
      <w:bookmarkEnd w:id="10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الإكراه على القتل بالتوعيد بالقتل، وأمّا الإكراه عليه مع التوعيد بغيره من الضرر والحرج بالمال أو النفس أو العرض ممّا هو دون القتل، فلابدّ فيه من التفصيل بين ما كان المتوعّد عليه موجباً لضعف المباشرة عقلاً وعقلاءً، ولكون المباشر عندهم غير قاتل وغير مختار من العظم والشدّة على فرض تحقّقه، وبين ما لم يكن المتوعّد عليه كذلك، كما هو الغالب، بل الدائم، فكان المباشر والسبب متعادلين بالقود على السبب دون المباشر في الأوّل؛ لعدم الاختيار له، فلا يكون قاتلاً ولا مكرهاً كما لايخفى، فإنّ الاختيار بمعنى الإرادة في مقابل الإلجاء </w:t>
      </w:r>
      <w:bookmarkStart w:id="103" w:name="pg9428_72237"/>
    </w:p>
    <w:p>
      <w:pPr>
        <w:pStyle w:val="BookText"/>
        <w:rPr/>
      </w:pPr>
      <w:bookmarkEnd w:id="1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الموجبة لعدمها معتبر في المشتقّات ومباديها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على السبب؛ فلأقوائيّته، ولنسبة القتل إليه وحده في الفرض دون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المباشر دون السبب في الثاني؛ للأصل، ولعدم أقوائيّته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على المباشر؛ فلعدم الإكراه في الدم نصاً 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الإكراه على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دون القتل هي المتيقّن من النصّ، بل هي المتعيّن منه كما مرّ تحقيقه، ومع الشكّ في كون الإكراه من أيّ القسمين منهما، فلابدّ من الدية والتعزير قضاءً للعلم الإجمالي في القاتل واحتياطاً 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شكّ الأولياء والحكومة، وأمّا مسألة ادّعاء كلٍّ منهما ما ينفعه ويضرّ الآخر فعلٰى مدّعيه الإثبات</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5797469_2870459653"/>
      <w:bookmarkStart w:id="105" w:name="_Toc35"/>
      <w:bookmarkEnd w:id="104"/>
      <w:r>
        <w:rPr>
          <w:rtl w:val="true"/>
        </w:rPr>
        <w:t>الإكراه والاضطرار في سقط الجنين</w:t>
      </w:r>
      <w:bookmarkEnd w:id="105"/>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الدم المانع للتقيّة بين كونه دم صغير أو كبير، بل أو دم جنين بعد ولوج الروح وكمال الخلقة الذي ديته دية النفس؛ قضاءً لإطلاق الدم في أخباره فإنّه شامل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والإنصراف إلى الكبير أو إليه وإلى الصغير بدويّ لا يعبأ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فكما أنّ استثناء التقيّه في الدم على المختار لم تكن شاملة للإكراه على القتل بالتوعيد بقتل 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فكذلك لا تكون شاملة للإكراه على سقط الجنين بعد ولوج الروح بالتوعيد على قتله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ممّا ذكرناه يظهر حكم الاضطرار إلى سقط الجنين؛ لأنّ التقيّة أعمّ من الحاصلة منها بالإكراه أو الاضطرار كما مرّ بيانه، فاضطرار الحامل إليه إن كان قبل الولوج وقبل مضيّ أربعة أشهر، فلا ينبغي الكلام في مسوغيّته وكونه رافعاً لحرمة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السقط كرافعيّته لبقيّة المحرّمات، والتقيّة غير بالغة الدم حتّى تكون منفيّة ومقيّدة أدلّتها لإطلاق أدلّة قواعد نفي الحرج ورفع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 الولوج وبعده بما دون الموت مثل اضطرارها إلى المعالجة ورفع المشقّة، ليس برافع لحرمة ذلك السقط؛ لعدم التقيّة في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اضطرارها بالموت، مثل أنّها كانت مريضة وبحاجة إلى المعالجة المتوقّفة على سقط الجنين بالآلة أو باستعمال الدواء أو الإغماء أو التزريق، وغيرها الموجبة للسقط تبعاً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القول بشمول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بلغت التقيّة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المورد من تزاحم الدمين، فلا ينبغي الإشكال في عدم جواز المعالجة للحامل؛ لاستلزامها الدم، ولا تقيّة مع بلوغها الدم، فيكون المقام مثل مقام الإكراه على القتل بالتوعيد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ذهابهم إلى عدم الجواز، وأنّ القود على المباشر دون السبب المُلجئ؛ لعدم الإكراه في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على المختار من انصراف الحديث عن مثل مورد الإكراه على القتل مع التوعيد بالقتل وتزاحم القتلين، فاللازم منه القول بالجواز في الموارد أيضاً؛ قضاءً لإطلاق رفع الاضطرار ونفي الحرج، لكنّ الشأن في المحذور المختصّ بأمثال المورد، وهو كون المعالجة مستلزمةً لدفع الضرر عن النفس بإلقائه وتحميله على الغير، وهو محرّم حتّى فيما دون القتل من الضرر فضلاً عنه، فكما لا يجوز للمضطرّ إلى الأكل قتل الغير والأكل من لحمه فكذلك المقام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الدمان متساويان، فكيف يحكم بأولويّة أحدهما وأحمريّتهعلى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بالفرق بين الحامل والحمل وغيره من موارد تلك الحرمة، حيث إنّ الضرر في الحمل واصل إلى الغير بدفع الضرر عن نفس الحامل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إيصال إليه، فالمورد مثل دفع السيل والماء الكثير عن بيته إلى الشارع والطريق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الواصل إلى بيت الجار، ولا قبح للدفع كذلك عقلاً ولا حرمة شرعاً حتّى مع العلم بوصول الماء إلى ذلك البيت، فإنّ دفع الضرر عن الغير بالتحمّل كما لا يكون واجباً حدوثاً فكذلك بقاءً، والدافع غير متصرّف في مال الغير؛ ليكون الدفع حراماً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والحامل بالمعالجة تدفع الضرر والحرج عن نفسها بأكلها الدواء أو التزريق وأمثالهما من دون تصرّف ودخالة في الحمل، وقتله بالتبع يكون من باب وصول الضرر إليه لا الإيصال، فكما أنّ إخراج الماء لمثل من يخرج السيل من بيته مع علمه بأنّه يدخل من الشارع إلى بيت غيره، له جائز لعدم الإيصال، وأنّ الدخول في ذلك البيت ليس من تقصير المُخرِج بل لابدّ منه، والمخرج عامل بوظيفته والدخول من باب الوصول الذي لابدّ منه، فكذلك السقط في المورد حرفاً بحرف ونعلاً بنعل وحذواً بحذو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قتل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إخراجه من الرحم الموجب 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الضرر من باب الإيصال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حتّى تعرف أنّ ما ذكرناه من الوجه في مثل الدواء والمعالجة به غير جارٍ في القتل بالإخراج الذي هو قتل الولد مباشرةً؛ لأنّه على أيّ حال يكون من باب قتل الغير لحفظ النفس، وهو غير جائز؛ لانجراره إلى إفداء الغير لحفظ نفسه، ومسألة كون الولد من الأجزاءِ كلام شعري لا فقهي ولا يُعبأ به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ذكر تامٌّ في غير قتل الحمل مباشرةً من بقيّة الأنحاء في مقام المعالجة، ولا يخفى عليك أنّ محلّ البحث ما يكون طريق المعالجةمنحصراً بما يوجب قتل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الولد، وإلّا فمع عدم الانحصار وعدم التوقّف فلابدّ من حفظ الولد ولو بإخراجه من الرحم؛ لعدم التوقّف والاضطرار كما هو ظاهر، بل لابدّ من الحفظ حتّى فيما لم يُرجَ بقاؤه؛ لحرمة القتل مطلقاً، فإنّ قتل مَنْ لا يمكنه العيش أكثر من ساعة واحدة حرام وموجب للقصاص أيضاً كقتل غيره من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ظهر ممّا ذكرناه أنّ ما في الجواهر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كانا معاً حيّيْن وخُشِي على كلٍّ منهما، فالظاهر الصبر إلى أن يقضي الله تعالى، ولا ترجيح شرعاً، والأُمور الاعتباريّة من غير دليل شرعي لا يلتفت إليها، والله ورسوله أعلم</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الظاهر في الصبر مطلقاً حتّى فيما كانت حياة الأُمّ متوقّفة على إسقاط الحمل وعلى سبيل المعالجة لابدّ فيه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حياة الأُمّ إن كانت متوقّفة على قتل الولد بإسقاطه أو إخراجه، فما في الجواهر من الصبر إلى القضاء من الله تعالى لعدم الترجيح هو الحقّ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التوقّف بغير ذلك ممّا يُوجب قتل الحمل والولد قهراً، فالظاهر تقديم الأُمّ ومعالجتها؛ لما مرّ من قصور ما دلّ على استثناء الدم في التقيّة من الشمول لمثل المورد، كما أنّ مثل المورد إنّما يكون من باب وصول الضرر إلى الغير لا إيصاله الضرر وإلقائه إليه حتّى يكون قبيحاً ومحرّماً وممنوعاً من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فيما لو خشي على كلٍّ منهما، وأمّا لو خشي عليهما مع عدم المعالجة، فالحكم بالجواز مع عدم قتل الحمل مباشرةً أوضح من السابق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استلزام المعالجة قتله مباشرةً كالإسقاط والإخراج، فالجواز غير بعيد؛ لما في المعالجة من الترجيح لحياة أحدهما وهو الأُمّ، وترجيح حياة أحدهما ولو بقتل الآخر على موتهما موافق لمذاق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موت الولد متحقّق على أيّ حالٍ ولابدّ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بقتله معالجةً للأُمّ، وإمّا بموتهما معاً مع عدم المعالجة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غير مسوّغ للقتل، ألا ترى أنّهم أفتوا بالقصاص في قتل المشرف على الموت الذي تكون له حياة وإن كان لم يعش إلّا دقائق قليلة إن لم يُقتل، مع أنّ هذا الوجه الأخير جار فيه أيضاً، فالعمدة في الاستدلال الدرائي والاجتهادي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الاستدلال الروائي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من الدرائي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أدلّة الاضطرار، وانصراف استثناء التقيّة إلى ما كانت التقيّة إلى قتل الغير ممّن يعيش بحسب العادة كما هو الغالب دون المعلوم موته بعد دقايق أو ساعات قليلة ممّا يكون نادراً، فالاستثناء عنه منصرف</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كان الاضطرار إلى قتل الولد من ناحية الحامل، وأمّا إن كان من ناحية الحمل، مثل كونه موجباً لموت الحامل بنفسه، أو لما فيه من مرض مسر مثلاً، فالظاهر جواز إسقاطه وإخراجه فضلاً عن تداويها بما يوجب موته؛ قضاءً لوجوب حفظ النفس عليها وكون الحمل منشأً لموتها، فإخراجه وإسقاطه جائز، وليس دفعه إلقاءً لضرر نفسه على الغير حتّى يكون محرّماً وقبيحاً، بل لما يكون الحمل بنفسه ضرراً وحرجاً علىالحامل فدفعه دفع نفس الضرر، والمورد مثل دفع السائح في البحرِ المتمسّكَ به لنجاة نفسه، فهو جائز مطلقاً وإن كان موجباً لغرقه وموته مع توقّف حفظ نفسه عليه، ولا ينبغي الإشكال في ذلك</w:t>
      </w:r>
      <w:r>
        <w:rPr>
          <w:rFonts w:eastAsia="Amiri" w:cs="Amiri" w:ascii="Amiri" w:hAnsi="Amiri"/>
          <w:color w:val="111111"/>
          <w:sz w:val="28"/>
          <w:szCs w:val="28"/>
          <w:rtl w:val="true"/>
          <w:lang w:bidi="ar-SA"/>
        </w:rPr>
        <w:t xml:space="preserve">. </w:t>
      </w:r>
      <w:bookmarkStart w:id="106" w:name="pg9428_72242"/>
    </w:p>
    <w:p>
      <w:pPr>
        <w:pStyle w:val="BookText"/>
        <w:rPr/>
      </w:pPr>
      <w:bookmarkEnd w:id="10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الكلام في الصورة الأُولى من مسألة الإكراه على القتل، وهو كون المكرِه والمكرَه كاملين حُرّين، وهو الأصل في الإكراه المورد للبحث، ولا يخفى عليك أنّ ما ذكرناه من مسألة الاضطرار كان من باب الاستطراد</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5797471_2870459653"/>
      <w:bookmarkStart w:id="108" w:name="_Toc36"/>
      <w:bookmarkEnd w:id="107"/>
      <w:r>
        <w:rPr>
          <w:rtl w:val="true"/>
        </w:rPr>
        <w:t>إكراه غير المميّز على القتل</w:t>
      </w:r>
      <w:bookmarkEnd w:id="108"/>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المباشر المقهور على القتل غير مميّز كالطفل غير المميّز أو المجنون، فالقصاص على المكرِه المُلجئ بلا خلاف ولا إشكال؛ لأنّهما بالنسبة إليه كالآلة في نسبة القتل، والسبب أقوى من المباشر قطعاً، لا لخصوص ما اخترناه في أصل المسألة حتّى يقال مبنائي، بل له ولعدم الإدراك والتمييز فيهما، ولذلك يكون القصاص على الآمر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غير المميّز ليس بمكرَه، بل يكون مأموراً على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لو أمره بسرقة فسرق لا قطع على السيّد، هلّا قلتم مثله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بينهما من وجهين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القود يجب بالقتل بالمباشرة وبالسبب، فجاز أن يجب القود بالأمر؛ لأنّه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القطع في السرقة،فإنّه لا يجب إلّا مباشرة، ولا يجب بالسبب، فلهذا لم يكن هذا السبب ممّا يجب به القطع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القود لما دخلت النيابة في استيفائه جاز أن يجب القود بالاستنابة فيه</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عدم القطع على السيّد لو أمرهما بالسرقة؛ لوضوح الفرق بعدم صدق السرقة عليه بالأمر بخلاف صدق القتل الذي يحصل بالمباشرة والتسبيب</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ولا يخفى عليك ما في هذه 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في المبسوط من الوجهين ففي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بأزيد من الادّعاء والمصادرة أوّلاً، وعموميّة قاعدة الأقوائيّة ثانياً، فإنّها قاعدة عقلائيّة ممضاة شرعاً وليست بأزيد من النسبة الموجبة لترتّب الحكم على الفاعل، ولذلك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في السرقة القطع أيضاً كما سيأتي نقله من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منهما فضعفه أظهر من أن يُبيّن، فإنّ حاصله كون جواز النيابة في القصاص من جانب الوليّ للدم موجباً لجواز النيابة في قصاص القاتل بقتل غير القاتل وهو السبب، وتلك النيابة للمسروق منه غير جائزة، فكذلك في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ترى المباينة بين النيابتين والملازمة، فإنّ إحدى النيابتين في استيفاء الحقّ والأُخرى في التجاوز عن الحقّ، فكيف الملازمة؟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هذا الاعتبار ممّا لا أصل له أوّلاً، وليس بأزيد من الاعتبار على الصحّة ثانياً</w:t>
      </w:r>
      <w:r>
        <w:rPr>
          <w:rFonts w:eastAsia="Amiri" w:cs="Amiri" w:ascii="Amiri" w:hAnsi="Amiri"/>
          <w:color w:val="111111"/>
          <w:sz w:val="28"/>
          <w:szCs w:val="28"/>
          <w:rtl w:val="true"/>
          <w:lang w:bidi="ar-SA"/>
        </w:rPr>
        <w:t xml:space="preserve">. </w:t>
      </w:r>
      <w:bookmarkStart w:id="109" w:name="pg9428_72244"/>
    </w:p>
    <w:p>
      <w:pPr>
        <w:pStyle w:val="BookText"/>
        <w:rPr/>
      </w:pPr>
      <w:bookmarkEnd w:id="10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في الجواهر</w:t>
      </w:r>
      <w:r>
        <w:rPr>
          <w:rStyle w:val="FootnoteAnchor"/>
          <w:rtl w:val="true"/>
        </w:rPr>
        <w:footnoteReference w:id="296"/>
      </w:r>
      <w:r>
        <w:rPr>
          <w:rFonts w:ascii="Amiri" w:hAnsi="Amiri" w:eastAsia="Amiri" w:cs="Amiri"/>
          <w:color w:val="111111"/>
          <w:sz w:val="28"/>
          <w:sz w:val="28"/>
          <w:szCs w:val="28"/>
          <w:rtl w:val="true"/>
          <w:lang w:bidi="ar-SA"/>
        </w:rPr>
        <w:t>فليس بأزيد من وجه الأوّل، وفيه ما فيه فلا 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الذي يسهّل الأمر أنّ النقض بالسرقة وجوابه بما في المبسوط بالوجهين كلّه عن العامّة كما في المبسوط، وإلّا فالخاصّة قائلون بأنّ العبد آلة للسيّد كالسيف مطلقاً في قتل كان أو في سرقة، ففي آخر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فصل الفقهاء، والذي رواه أصحابنا أنّ العبد آلته كالسيف والسكّين مطلقاً، فلا يحتاج إلى ما ذكروه</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ثمّ إنّه لا فرق في غير المميّز المقهور بين أن يكون حرّاً وعبداً للآمر أو لغيره؛ لأنّه كالآلة على أيّ حال</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5797473_2870459653"/>
      <w:bookmarkStart w:id="111" w:name="_Toc37"/>
      <w:bookmarkEnd w:id="110"/>
      <w:r>
        <w:rPr>
          <w:rtl w:val="true"/>
        </w:rPr>
        <w:t>إكراه غير البالغ المميّز على القتل</w:t>
      </w:r>
      <w:bookmarkEnd w:id="111"/>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المقهور عارفاً مميّزاً غير بالغ وهو حرّ، فعلى شرطيّة البلوغ في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قود على واحد منهما، كما في الشرائع</w:t>
      </w:r>
      <w:r>
        <w:rPr>
          <w:rStyle w:val="FootnoteAnchor"/>
          <w:rtl w:val="true"/>
        </w:rPr>
        <w:footnoteReference w:id="298"/>
      </w:r>
      <w:r>
        <w:rPr>
          <w:rFonts w:ascii="IRNazanin" w:hAnsi="IRNazanin" w:eastAsia="IRNazanin"/>
          <w:color w:val="111111"/>
          <w:sz w:val="28"/>
          <w:sz w:val="28"/>
          <w:szCs w:val="28"/>
          <w:rtl w:val="true"/>
          <w:lang w:bidi="fa-IR"/>
        </w:rPr>
        <w:t>والقواعد</w:t>
      </w:r>
      <w:r>
        <w:rPr>
          <w:rStyle w:val="FootnoteAnchor"/>
          <w:rtl w:val="true"/>
        </w:rPr>
        <w:footnoteReference w:id="299"/>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المقهور؛ لعدم البلوغ، وأمّا على القاهر؛ فلعدم كون المباشر آلةله، وفيهما أيضاً أنّ الدية على عاقلة المباشر، ووجهه أنّ عمد الصبيّ خطأ تتحمّله العاقلة، وهذا على المشهور في الإكراه، وأنّه لا تقيّة في الدم في محلّه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على المختار فيه، فالقود على القاهر لإكراهه، وعليه حتّى على المشهور في الإكراه وأنّه لا تقيّة في الدم، فلا فرق بين المقهور المميّز غير البالغ مع البالغ في تحقّق الإكراه وأقوائيّة السبب، كما أنّ عليه وعلى عاقلة المباشر الدية؛ لكون القصاص على المكرِه القاهر، القاتل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منافاة ما في الشرائع والقواعد من نفي القود منهما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 يا أُولِى الألْبَابِ</w:t>
      </w:r>
      <w:r>
        <w:rPr>
          <w:rStyle w:val="FootnoteAnchor"/>
          <w:rtl w:val="true"/>
        </w:rPr>
        <w:footnoteReference w:id="300"/>
      </w:r>
      <w:r>
        <w:rPr>
          <w:rFonts w:ascii="Amiri" w:hAnsi="Amiri" w:eastAsia="Amiri" w:cs="Amiri"/>
          <w:color w:val="111111"/>
          <w:sz w:val="28"/>
          <w:sz w:val="28"/>
          <w:szCs w:val="28"/>
          <w:rtl w:val="true"/>
          <w:lang w:bidi="ar-SA"/>
        </w:rPr>
        <w:t>فالقصاص مجعول للحياة، ومنعاً من القتل، ومع عدم القصاص لا من القاهر ولا المقهور المميّز، والاكتفاء بأخذ الدية من العاقلة يكثر القتل للمريدين له، فإنّهم يقهرون غير البالغ المميّز على ذلك، وذلك منافٍ لعلّة القصاص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عدم شرطيّة البلوغ والاكتفاء بالبلوغ عشراً أو بلوغه خمسة أشبار أو كونه مراهقاً، فحكمه حكم البالغ، ولا فرق بينهما أصلاً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وقع من البحث في ذلك في الشرائع والقواعد ففي غير محلّه كما لا يخفى، حيث إنّ ما فيهما من البحث بحث صغروي، كما يظهر للمراجع إليهما، محلّه كتاب الحجر وعلائم البلوغ</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المقهور مميّزاً غير بالغ وهو عبد، فالذي تقتضيه أُصول المذهب وقواعده أنّ حكمه نحو ما ذكرناه في الحرّ، فإن كان مكرَهاً كان القصاص على المكرِه الذي هو أقوى من المباشر، وإلّافتتعلّق الجناية برقبته، ولا قود عليه؛ لأنّ الفرض عدم بلوغه، ولا على الآمر؛ لعدم مباشرته ولا إكراهه، وليست هي حينئذٍ إلّا كغيرها من جناية الخطأ الصادرة منه بالغاً</w:t>
      </w:r>
      <w:r>
        <w:rPr>
          <w:rFonts w:eastAsia="Amiri" w:cs="Amiri" w:ascii="Amiri" w:hAnsi="Amiri"/>
          <w:color w:val="111111"/>
          <w:sz w:val="28"/>
          <w:szCs w:val="28"/>
          <w:rtl w:val="true"/>
          <w:lang w:bidi="ar-SA"/>
        </w:rPr>
        <w:t xml:space="preserve">. </w:t>
      </w:r>
      <w:bookmarkStart w:id="112" w:name="pg9428_72246"/>
    </w:p>
    <w:p>
      <w:pPr>
        <w:pStyle w:val="BookText"/>
        <w:rPr/>
      </w:pPr>
      <w:bookmarkEnd w:id="1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بالغ عاقل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اقتلني وإلّا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القتل، ولا ترفع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حمل عليه بعد عدم إطاعته ليقتله جاز قتله دفاعاً، بل وجب، ولا 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قتله بمجرّد الإيعاد كان آثماً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عليه القود؟ فيه إشكال وإن كان الأرجح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5797475_2870459653"/>
      <w:bookmarkStart w:id="114" w:name="_Toc38"/>
      <w:bookmarkEnd w:id="113"/>
      <w:r>
        <w:rPr>
          <w:rtl w:val="true"/>
        </w:rPr>
        <w:t>الإذن والأمر على القتل</w:t>
      </w:r>
      <w:bookmarkEnd w:id="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الإشكال، وعدم الخلاف عندهم في عدم جواز القتل وحرمته له؛ لأنّ الإذن غير رافع للحرمة الحاصلة من نهي المالك الحقيقي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ظاهر، فإنّ دم المدفوع هدر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w:t>
      </w:r>
      <w:r>
        <w:rPr>
          <w:rStyle w:val="FootnoteAnchor"/>
          <w:rtl w:val="true"/>
        </w:rPr>
        <w:footnoteReference w:id="301"/>
      </w:r>
      <w:r>
        <w:rPr>
          <w:rFonts w:ascii="IRNazanin" w:hAnsi="IRNazanin" w:eastAsia="IRNazanin"/>
          <w:color w:val="111111"/>
          <w:sz w:val="28"/>
          <w:sz w:val="28"/>
          <w:szCs w:val="28"/>
          <w:rtl w:val="true"/>
          <w:lang w:bidi="fa-IR"/>
        </w:rPr>
        <w:t>من حرمته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قصاص عليه، كما في الشرائع</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وعن الشيخ في المبسوط على المحكيّ عنه في الجواهر،</w:t>
      </w:r>
      <w:r>
        <w:rPr>
          <w:rStyle w:val="FootnoteAnchor"/>
          <w:rtl w:val="true"/>
        </w:rPr>
        <w:footnoteReference w:id="303"/>
      </w:r>
      <w:r>
        <w:rPr>
          <w:rFonts w:ascii="Amiri" w:hAnsi="Amiri" w:eastAsia="Amiri" w:cs="Amiri"/>
          <w:color w:val="111111"/>
          <w:sz w:val="28"/>
          <w:sz w:val="28"/>
          <w:szCs w:val="28"/>
          <w:rtl w:val="true"/>
          <w:lang w:bidi="ar-SA"/>
        </w:rPr>
        <w:t>وعن الفاضل في التلخيص</w:t>
      </w:r>
      <w:r>
        <w:rPr>
          <w:rStyle w:val="FootnoteAnchor"/>
          <w:rtl w:val="true"/>
        </w:rPr>
        <w:footnoteReference w:id="304"/>
      </w:r>
      <w:r>
        <w:rPr>
          <w:rFonts w:ascii="IRNazanin" w:hAnsi="IRNazanin" w:eastAsia="IRNazanin"/>
          <w:color w:val="111111"/>
          <w:sz w:val="28"/>
          <w:sz w:val="28"/>
          <w:szCs w:val="28"/>
          <w:rtl w:val="true"/>
          <w:lang w:bidi="fa-IR"/>
        </w:rPr>
        <w:t>والإرشاد</w:t>
      </w:r>
      <w:r>
        <w:rPr>
          <w:rFonts w:eastAsia="IRNazanin" w:cs="IRNazanin"/>
          <w:color w:val="111111"/>
          <w:sz w:val="28"/>
          <w:szCs w:val="28"/>
          <w:rtl w:val="true"/>
          <w:lang w:bidi="fa-IR"/>
        </w:rPr>
        <w:t>.</w:t>
      </w:r>
      <w:r>
        <w:rPr>
          <w:rStyle w:val="FootnoteAnchor"/>
          <w:rtl w:val="true"/>
        </w:rPr>
        <w:footnoteReference w:id="30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المسالك</w:t>
      </w:r>
      <w:r>
        <w:rPr>
          <w:rStyle w:val="FootnoteAnchor"/>
          <w:rtl w:val="true"/>
        </w:rPr>
        <w:footnoteReference w:id="306"/>
      </w:r>
      <w:r>
        <w:rPr>
          <w:rFonts w:ascii="Amiri" w:hAnsi="Amiri" w:eastAsia="Amiri" w:cs="Amiri"/>
          <w:color w:val="111111"/>
          <w:sz w:val="28"/>
          <w:sz w:val="28"/>
          <w:szCs w:val="28"/>
          <w:rtl w:val="true"/>
          <w:lang w:bidi="ar-SA"/>
        </w:rPr>
        <w:t xml:space="preserve">أنّه الأشهر؛ لأنّه أسقط حقّه بالإذن، فلا سلطةللوارث،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ينقدح عدم الدية حينئذٍ التي تنتقل من الميّت ولو في آخر جزء من حياته إلى الوارث لا ابتداءً؛ بدليل نفوذ وصاياه وقضاء ديونه منها، وإذا كانت للوارث ابتداءً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يناقش في أصل سقوط القصاص بكون الإذن غير مبيح فلا يرتفع به العدوان،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 زيداً وإلّا قتلتك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فيدخل في عموم أدلّة القصاص، نحو ما لو أكره على قتل الغير، اللهمّ إلّا أن يشكّ في شمول أدلّة القصاص بل والدية لمثله، والأصل البراءة، ولا أقلّ من أن يكون ذلك شبهة يسقط بها قتله؛ بناءً على أنّه كالحدود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عليك ما في الجميع، إلّا أن يندرج في الدفاع، فيتّجه حينئذٍ سقوط القصاص والدية والإثم</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وما في المسالك،</w:t>
      </w:r>
      <w:r>
        <w:rPr>
          <w:rStyle w:val="FootnoteAnchor"/>
          <w:rtl w:val="true"/>
        </w:rPr>
        <w:footnoteReference w:id="308"/>
      </w:r>
      <w:r>
        <w:rPr>
          <w:rFonts w:ascii="Amiri" w:hAnsi="Amiri" w:eastAsia="Amiri" w:cs="Amiri"/>
          <w:color w:val="111111"/>
          <w:sz w:val="28"/>
          <w:sz w:val="28"/>
          <w:szCs w:val="28"/>
          <w:rtl w:val="true"/>
          <w:lang w:bidi="ar-SA"/>
        </w:rPr>
        <w:t>فيه مواضع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الحياة للإنسان ليس بيده بحيث يقبل الإسقاط، فإنّ قتل النفس حرام وَلاَ تَقْتُلُوا أَنْفُسَكُمْ إِنَّ اللهَ كَانَ بِكُمْ رَحِيماً</w:t>
      </w:r>
      <w:r>
        <w:rPr>
          <w:rStyle w:val="FootnoteAnchor"/>
          <w:rtl w:val="true"/>
        </w:rPr>
        <w:footnoteReference w:id="309"/>
      </w:r>
      <w:r>
        <w:rPr>
          <w:rFonts w:ascii="Amiri" w:hAnsi="Amiri" w:eastAsia="Amiri" w:cs="Amiri"/>
          <w:color w:val="111111"/>
          <w:sz w:val="28"/>
          <w:sz w:val="28"/>
          <w:szCs w:val="28"/>
          <w:rtl w:val="true"/>
          <w:lang w:bidi="ar-SA"/>
        </w:rPr>
        <w:t>فكيف يكون إذنه فيه موجباً لنفي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 أن تقول بالملازمة العرفيّة بين حرمة الإذن وعدم تأثيره في سقوط القصاص، وأنّ بينهما المنافاة عرفاً، والشارع لا يحمي ناقض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في الجواهر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قتل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بعض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من انقداح عدم الدية أيضاً للوارث؛ بناءً على انتقالها من الميت إليهم، لا ابتداءً من دون الانتقال إليه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سقوط القصاص لم يبقَ وجه للدية؛ لأنّها فرع عدم القصاص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والتراضي مع الجاني، وبعد السقوط لا محلّ لها في العمد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فرق في الانقداح بين المبنيين من الانتقال من الميّت أو الانتقال ابتداءً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تسليم الابتناء فعدم الدية تابع للنفوذ من الثلث؛ لكون الباب باب الوصيّة بحسب الحقيقة، لعدم تنجّز الحقّ للميّت في حياته، بل مشروط بما بعد موته، فنفوذه للجاني منوط بكون الدية دون ثلث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أبيت عن تسليم كونه وصيّة وكان عندك محلاً للإشكال، فلا أقلّ من الاحتياط فيما كانت الدية زائدة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والتحقيق على المختار في الإكراه جواز القتل، ويكون المورد مثل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 زيداً وإلّا قتلتك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أنّ قتل المقهور زيداً كان جائزاً ولا قصاص ولا دية عليه؛ قضاءً لرفع الإكراه، فكذلك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التوعيد بما دون القتل، كالضرب وغيره، فعلى القاتل القصاص؛ لعدم التقيّة في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الكامل للناقص ذلك لم يكن قصاص؛ لنقصه لا لقوله، والدية على البحث السابق</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عليك أنّ تعليله على مبناه، وإلّا فعلى المختار، العلّة في الناقص كالكامل هو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التعليل تامّ فيما كان المتوعّد عليهدون القتل، وممّا ذكرناه في هذا الفرع يظهر حكم الفرعين التاليين في الجواهر على المبنيين؛ من العكس ومن كونهما ناقصين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الآمر المكرِه هو الوارث للمقتول كان له القصاص؛ لعموم الأدلّة، ولا يسقط حقّه بإكراهه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المختار من القصاص على المكرِه، فلا ولاية له فيه أصلاً؛ لأنّه القاتل عمداً بحسب الحقيقة وعليه القود، وإنّما الولاية لغيره أو لمن بعده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المشهور، فالظاهر أيضاً عدم الولاية له؛ قضاءً للانصراف، فإنّ الولاية كما أنّها لما في القصاص من الحياة فكذلك للتشفّي أيضاً، ولا وجه للتشفّي في المكرَه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ولاية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الكفّارة، فليست عليه على المشهور؛ لعدم كونه قاتلاً، ولذلك لا قود عليه، أمّا على المختار، فإنّه القاتل وعليه القصاص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المنع عن الإرث، فعلى المختار واضحٌ، وهو ممنوعٌ منه؛ لأنّه القاتل بحكم أقوائيّة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المشهور، ففي اللثام والقواعد مزجاً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ويمنع من الميراث على إشكال من التهمة وضعف المباشر في الجملة، ومن الأصل وعدم صدق القاتل عليه</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عجيبٌ من صاحب اللثام، فهو مع مخالفته في الإرث للقواعد في كون السبب للقتل كالمباشر وأنّه الوارث؛ قضاءً لأدلّة الإرث، كيف جعلالأمر عليه مشكلاً مع أنّ المكرِه ليس سبباً أقوى على مبناهم؟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 xml:space="preserve">. </w:t>
      </w:r>
      <w:bookmarkStart w:id="115" w:name="pg9428_72250"/>
    </w:p>
    <w:p>
      <w:pPr>
        <w:pStyle w:val="BookText"/>
        <w:rPr/>
      </w:pPr>
      <w:bookmarkEnd w:id="115"/>
      <w:r>
        <w:rPr>
          <w:rFonts w:ascii="Amiri" w:hAnsi="Amiri" w:eastAsia="Amiri" w:cs="Amiri"/>
          <w:color w:val="111111"/>
          <w:sz w:val="28"/>
          <w:sz w:val="28"/>
          <w:szCs w:val="28"/>
          <w:rtl w:val="true"/>
          <w:lang w:bidi="ar-SA"/>
        </w:rPr>
        <w:t>كما لا يبعد عدم الدية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المأمور عاقلاً مميّزاً فلا شيء على الآمر، بل الظاهر أنّه لو أكرهه على ذلك فكذلك، ويحتمل الحبس أبداً؛ لإكراهه فيما صدق الإكراه،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 نفسك وإلّا قتلتك شرّ قتلة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دية عليه؛ لما مرّ وجهه في الإشكال الثاني على كلمات المسالك، فراجعه</w:t>
      </w:r>
      <w:r>
        <w:rPr>
          <w:rFonts w:eastAsia="Amiri" w:cs="Amiri" w:ascii="Amiri" w:hAnsi="Amiri"/>
          <w:color w:val="111111"/>
          <w:sz w:val="28"/>
          <w:szCs w:val="28"/>
          <w:rtl w:val="true"/>
          <w:lang w:bidi="ar-SA"/>
        </w:rPr>
        <w:t>.</w:t>
      </w:r>
      <w:r>
        <w:rPr>
          <w:rStyle w:val="FootnoteAnchor"/>
          <w:rtl w:val="true"/>
        </w:rPr>
        <w:footnoteReference w:id="313"/>
      </w:r>
    </w:p>
    <w:p>
      <w:pPr>
        <w:pStyle w:val="Heading3"/>
        <w:numPr>
          <w:ilvl w:val="2"/>
          <w:numId w:val="1"/>
        </w:numPr>
        <w:rPr/>
      </w:pPr>
      <w:bookmarkStart w:id="116" w:name="__RefHeading___Toc5797477_2870459653"/>
      <w:bookmarkStart w:id="117" w:name="_Toc39"/>
      <w:bookmarkEnd w:id="116"/>
      <w:r>
        <w:rPr>
          <w:rtl w:val="true"/>
        </w:rPr>
        <w:t>الإكراه على قتل نفسه</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المسألة من أمره بقتل نفسه؛ بأن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مع فرض كونهما كاملين أو غير كاملين، أو أحدهما كامل دون الآخر، والمراد من الكمال التمييز فما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كانا كاملين فلا قود ولا دية على الآمر؛ لأنّ المأمور هو المباشر لقتل نفسه، وليس السبب الآمر بأقوى مع فرض عدم الإكراه من رأس، ولا الإكراه بما دون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فرض الإكراه بالقتل بأن يقول الآمر للمأمور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 نفسك وإلّا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تحقّق الإكراه والاضطرار؛ لعدم الفرق بين الإكراه بقتله نفسه أو بقتله الغير مع التوعيد فيهما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المشهور من عدم الإكراه في القتل ولو مع التوعيد به فلا إكراه هنا أيضاً؛ لعدم الفرق بينهما من تلك الجهة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تحقّق إكراه العاقل هنا إشكالٌ</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الجواهر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أنّه لا معنى للاضطرار إلى قتل نفسه خوفاً من قتله، لكن في المسالك</w:t>
      </w:r>
      <w:r>
        <w:rPr>
          <w:rStyle w:val="FootnoteAnchor"/>
          <w:rtl w:val="true"/>
        </w:rPr>
        <w:footnoteReference w:id="315"/>
      </w:r>
      <w:r>
        <w:rPr>
          <w:rFonts w:ascii="Amiri" w:hAnsi="Amiri" w:eastAsia="Amiri" w:cs="Amiri"/>
          <w:color w:val="111111"/>
          <w:sz w:val="28"/>
          <w:sz w:val="28"/>
          <w:szCs w:val="28"/>
          <w:rtl w:val="true"/>
          <w:lang w:bidi="ar-SA"/>
        </w:rPr>
        <w:t>وكشف اللثام</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نعم، لو كان التخويف بنوع من القتل أصعب من النوع الذي قتل به نفسه فدفعه به اتّجه حينئذٍ تحقّق الإكراه، وترتّب القصاص حينئذٍ على المكرِه الذي هو أقوى من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بأنّ ذلك لا يقتضي جواز قتله لنفسه المنهيّ عنه، فلا حكم لإكراهه المزبور، وحينئذٍ يكون المباشر أقوى من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الجواز باعتبار شدّة الأمر المتوعّد به منافٍ لإطلاق دليل المنع، وإلّا لجاز للعالم بأنّه يموت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نفسه بالأسهل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أنّ إشكال الشرايع وجهه غير بيّن ولا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يكون محلاً للإشكال مع عدم إشكاله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عدم الإكراه في القتل؟ وما في الجواهر وجهٌ لعدم جريانه أيضاً لا بيان المنشأ للإشكال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ناشٍ من عدمه في القتل مطلقاً؛ لإطلاق الدليل،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بلغت التقيّة الدم فلا تقيّة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8"/>
      </w:r>
      <w:r>
        <w:rPr>
          <w:rFonts w:ascii="Amiri" w:hAnsi="Amiri" w:eastAsia="Amiri" w:cs="Amiri"/>
          <w:color w:val="111111"/>
          <w:sz w:val="28"/>
          <w:sz w:val="28"/>
          <w:szCs w:val="28"/>
          <w:rtl w:val="true"/>
          <w:lang w:bidi="ar-SA"/>
        </w:rPr>
        <w:t xml:space="preserve">ومن انصراف ذلك الدليل إلىقتل الغير، كما لا يخفى عليك أيضاً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على المختار يجوز له قتل نفسه وإن لم يكن بين القتلين تفاوت أصلاً، فضلاً عمّا لو كان التخويف بنوع أصعب من النوع الذي قتل به نفسه، كما في المسالك واللثام،</w:t>
      </w:r>
      <w:r>
        <w:rPr>
          <w:rStyle w:val="FootnoteAnchor"/>
          <w:rtl w:val="true"/>
        </w:rPr>
        <w:footnoteReference w:id="319"/>
      </w:r>
      <w:r>
        <w:rPr>
          <w:rFonts w:ascii="Amiri" w:hAnsi="Amiri" w:eastAsia="Amiri" w:cs="Amiri"/>
          <w:color w:val="111111"/>
          <w:sz w:val="28"/>
          <w:sz w:val="28"/>
          <w:szCs w:val="28"/>
          <w:rtl w:val="true"/>
          <w:lang w:bidi="ar-SA"/>
        </w:rPr>
        <w:t>ولقد أجادا فيما ذكراه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الجواهر</w:t>
      </w:r>
      <w:r>
        <w:rPr>
          <w:rStyle w:val="FootnoteAnchor"/>
          <w:rtl w:val="true"/>
        </w:rPr>
        <w:footnoteReference w:id="320"/>
      </w:r>
      <w:r>
        <w:rPr>
          <w:rFonts w:ascii="Amiri" w:hAnsi="Amiri" w:eastAsia="Amiri" w:cs="Amiri"/>
          <w:color w:val="111111"/>
          <w:sz w:val="28"/>
          <w:sz w:val="28"/>
          <w:szCs w:val="28"/>
          <w:rtl w:val="true"/>
          <w:lang w:bidi="ar-SA"/>
        </w:rPr>
        <w:t>من منافاة احتمال الجواز باعتبار شدّة الأمر المتوعّد به مع إطلاق دليل المنع،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الإطلاق، فإنّ العمدة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أنْفُسَكُم إِنَّ اللهَ كَانَ بِكُمْ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يَفْعَلْ ذَلِكَ عُدْوَاناً وَظُلْماً فَسَوْفَ نُصْلِيهِ نَاراً وَكَانَ ذَلِكَ عَلَى اللهِ يَسِيراً</w:t>
      </w:r>
      <w:r>
        <w:rPr>
          <w:rFonts w:ascii="IRNazanin" w:hAnsi="IRNazanin" w:eastAsia="IRNazanin"/>
          <w:color w:val="111111"/>
          <w:sz w:val="28"/>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والتعليل في الأوّل تعليل للنهي؛ بمعنى أنّ نهيه تعالى وتحريمه إنّما هو لكونه بِكُمْ رَحِيماً</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تخصيص للحرمة بالعدوان والظلم، فالقاتل نفسه كان إقدامه دفعاً لقتله الأصعب وليس قتله ظلماً، مقتضاه عدم الحرمة والجواز في كلّ ما كان قتله نفسه أسهل من القتل والموت الحاصل من غير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يجوز للعالم المشرف على الموت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نفسه بالأسهل من ذلك، ولعلّه أشار 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التوجّه إلى الآيتين يسهّل الأمر في قتله نفسه فيما كان في يد العدوّ ويريد قتله بنحو أصعب، أو يريد الضغط عليه بشدّة وبصورة غير قابلة للتحمّل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الحرمة مشروطة بتحقّق العدوان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وكن على ذكر من الآيتين في فروع المسألة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الإكراه بما دون النفس، فلو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 يد هذا وإلّا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قطعها وليس عليه 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القصاص على المكره،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أمره من دون إكراه فقطعها فالقصاص على المباشر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أكرهه على قطع</w:t>
      </w:r>
    </w:p>
    <w:p>
      <w:pPr>
        <w:pStyle w:val="BookText"/>
        <w:rPr/>
      </w:pPr>
      <w:r>
        <w:rPr>
          <w:rFonts w:ascii="Amiri" w:hAnsi="Amiri" w:eastAsia="Amiri" w:cs="Amiri"/>
          <w:color w:val="111111"/>
          <w:sz w:val="28"/>
          <w:sz w:val="28"/>
          <w:szCs w:val="28"/>
          <w:rtl w:val="true"/>
          <w:lang w:bidi="ar-SA"/>
        </w:rPr>
        <w:t>هذا كلّه في الكاملين، وأمّا إن كانا ناقصين بلا تخويف من الآمر فلا شيء على الآمر، لا على نفسه ولا على عاقلته، كما هو أوضح من أن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تخويفه، بحيث المأمور مضطرّاً إلى ذلك بقدر إدراكه وتمييزه الناقص فالدية على عاقلة الآمر؛ نظراً لأقوائيّة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في الصورتين يظهر حكم الثالثة، وهي صورة الاختلاف، ونترك البحث عنها ونحيله إلى ذلك الظهور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الإكراه وعدم كون القطع عدوانيّاً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يصحّ الإكراه فيما دون النفس؛ لعموم دليله المقتصر في تخصيصه على المتيقّن الذي هو النفس،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 يد هذا وإلّا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قطعها؛ دفعاً لإتلاف نفسه بما ليس إتلافاً، فلا قصاص حينئذٍ عليه؛ لعدم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هوعلى المكرِه الذي هو أقوى حينئذٍ من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القواعد</w:t>
      </w:r>
      <w:r>
        <w:rPr>
          <w:rStyle w:val="FootnoteAnchor"/>
          <w:rtl w:val="true"/>
        </w:rPr>
        <w:footnoteReference w:id="322"/>
      </w:r>
      <w:r>
        <w:rPr>
          <w:rFonts w:ascii="Amiri" w:hAnsi="Amiri" w:eastAsia="Amiri" w:cs="Amiri"/>
          <w:color w:val="111111"/>
          <w:sz w:val="28"/>
          <w:sz w:val="28"/>
          <w:szCs w:val="28"/>
          <w:rtl w:val="true"/>
          <w:lang w:bidi="ar-SA"/>
        </w:rPr>
        <w:t>الإشكال فيه من ذلك ومن عدم المباشرة، فتجب عليه الدية دون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وجوبها ليس إلّا لقوّة السببعلى المباشرة، وهو مقتض للقصاص دونها، كما هو واضح</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لأقوائيّة السبب وضعف المباشرة بالإكراه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ظاهر، إلّا أن يكون الأمر من الآمر القانوني الذي يكون تخلّفه موجباً </w:t>
      </w:r>
    </w:p>
    <w:p>
      <w:pPr>
        <w:pStyle w:val="BookText"/>
        <w:rPr/>
      </w:pPr>
      <w:r>
        <w:rPr>
          <w:rFonts w:ascii="Amiri" w:hAnsi="Amiri" w:eastAsia="Amiri" w:cs="Amiri"/>
          <w:color w:val="111111"/>
          <w:sz w:val="28"/>
          <w:sz w:val="28"/>
          <w:szCs w:val="28"/>
          <w:rtl w:val="true"/>
          <w:lang w:bidi="ar-SA"/>
        </w:rPr>
        <w:t>إحدى اليدين فاختار إحداهما، أو قطع يد أحد الرجلين فاختار أحدهما، فليس عليه شيء، وإنّما القصاص على المكره الآمر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أكرهه على صعود شاهق فزلق رجله وسقط فمات، فالظاهر أنّ عليه الدية لا القصاص، بل الظاهر أنّ الأمر كذلك لو كان مثل الصعود موجباً للسقوط غالباً على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للعقوبة من جهة القانون أو من جهة ظلمه، فالظاهر كون القصاص على الآمر؛ لأقوائية السبب بإنجرار التخلّف عن الأمر بالعقوبة، وضعف المباشرة؛ بالاضطرار والخوف فإنّه رافع لجميع الآثار إلّا في الدم؛ لعدم التقيّة فيه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الفرع الأوّل من الفروع الثلاثة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اقطع يد هذا أو هذا وإلّا قتلتك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فاختار المكرَه أحدهما، ففي القصاص على المباشر إشكال ينشأ من تحقّق الإكراه على الآمر المردّد بينهما، والأمر بالكلّي وإن لم يكن أمراً بجزئي من جزئيّاته تكليفاً كان أو إكراهاً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مخلص للمكره إلّا بأحدهما، فأ‌يّهما أقربه أتى فهو مكره عليه، كما أنّ المكلّف بأيّ جزئي أتى من جزئيّات الواجب أتى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عدم الإكراه على التعيين، فبأ‌يّهما أتى صدق أنّه غير 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كما في التحرير،</w:t>
      </w:r>
      <w:r>
        <w:rPr>
          <w:rStyle w:val="FootnoteAnchor"/>
          <w:rtl w:val="true"/>
        </w:rPr>
        <w:footnoteReference w:id="324"/>
      </w:r>
      <w:r>
        <w:rPr>
          <w:rFonts w:ascii="Amiri" w:hAnsi="Amiri" w:eastAsia="Amiri" w:cs="Amiri"/>
          <w:color w:val="111111"/>
          <w:sz w:val="28"/>
          <w:sz w:val="28"/>
          <w:szCs w:val="28"/>
          <w:rtl w:val="true"/>
          <w:lang w:bidi="ar-SA"/>
        </w:rPr>
        <w:t>وقوّى فيه القصاص علىالآمر</w:t>
      </w:r>
      <w:r>
        <w:rPr>
          <w:rFonts w:eastAsia="Amiri" w:cs="Amiri" w:ascii="Amiri" w:hAnsi="Amiri"/>
          <w:color w:val="111111"/>
          <w:sz w:val="28"/>
          <w:szCs w:val="28"/>
          <w:rtl w:val="true"/>
          <w:lang w:bidi="ar-SA"/>
        </w:rPr>
        <w:t>.</w:t>
      </w:r>
      <w:r>
        <w:rPr>
          <w:rStyle w:val="FootnoteAnchor"/>
          <w:rtl w:val="true"/>
        </w:rPr>
        <w:footnoteReference w:id="32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اللثام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أكرهه على صعود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فزلق رجله ومات وجب الضمان على المكرِه، وهل عليه القصاص أو الدية؟ استقرب الدية في التحرير</w:t>
      </w:r>
      <w:r>
        <w:rPr>
          <w:rStyle w:val="FootnoteAnchor"/>
          <w:rtl w:val="true"/>
        </w:rPr>
        <w:footnoteReference w:id="326"/>
      </w:r>
      <w:r>
        <w:rPr>
          <w:rFonts w:ascii="Amiri" w:hAnsi="Amiri" w:eastAsia="Amiri" w:cs="Amiri"/>
          <w:color w:val="111111"/>
          <w:sz w:val="28"/>
          <w:sz w:val="28"/>
          <w:szCs w:val="28"/>
          <w:rtl w:val="true"/>
          <w:lang w:bidi="ar-SA"/>
        </w:rPr>
        <w:t>واستشكل في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أنّه إن كان الغالب في مثل هذا الإنسان إذا صعد مثل تلك الشجرة السقوط، والغالب في السقوط الموت، فالإكراه عليه كالإكراه على تناول السمّ، وإلّا فإن لم يقصد به القتل فلا إشكال في سقوط القصاص عنه، وإن قصد فبناءً على ما تقدّم عليه القصاص، ويحتمل الفرق بين فعل ما يقتل نادراً والإكراه عليه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وجه احتمال الفرق لا بيّن ولا مبيّن، بل الظاهر عدم الفرق، فإنّ القصد سبب للعمد في أيّ فعل كان أو في الإكراه عليه، فالمكرِه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المباشر في النسبة، فكيف الفرق؟</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ذكرناه ونقلناه من اللثام يظهر أنّ ما في المتن من الإشكال في القصاص في الصعود الموجب للسقوط في غير محلّه؛ لأنّه إن كان الغالب في مثل هذا الإنسان إذا صعد مثل تلك الشجرة السقوط غالباً والموت معه غالباً، فالإكراه عليه كالإكراه على تناول ما يقتل بمثله غالباً، فالضمان بالقصاص على السبب؛ لأقوائيّته، ولكون الفعل ممّا يقتل به غالباً على المفروض، وإلّا فإن لم يقصد به القتل فلا إشكال في عدم القصاص عنه، كما أ نّه مع قصده القتل عليه القصاص، ووجهه ظاهر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اثنان بما يوجب قتلاً كالارتداد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شهد أربعة بما يوجب رجماً كالزنا، ثمّ ثبت أنّهم شهدوا زوراً بعد إجراء الحدّ أو القصاص لم يضمن الحاكم ولا المأمور من قبله في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القود على الشهود زوراً مع ردّ الدية على حساب الشهود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التقصير منهما، وضعف المباشرة في المجرى بجهله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عليه النصوص والأخبار، ففي مرسل ابن محبوب،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أربعة شهدوا على رجل محصن بالزنا، ثمّ رجع أحدهم بعد ما قتل الرجل،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وهمت، ضرب الحدّ وغرم الدية،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 قتل</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وفي خبر مسمع،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في أربعة شهدوا على رجل أنّهم رأوه مع امرأة يجامعها، فيرجم، ثمّ يرجع واحد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يغرم ربع الدية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عليّ، فإن رجع اثنان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علينا، غرما نصف الدية، وإن رجعوا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علينا، غرموا الدية، وإن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بالزور، قتلوا جميعاً</w:t>
      </w:r>
      <w:r>
        <w:rPr>
          <w:rFonts w:eastAsia="IRNazanin" w:cs="IRNazanin"/>
          <w:color w:val="111111"/>
          <w:sz w:val="28"/>
          <w:szCs w:val="28"/>
          <w:rtl w:val="true"/>
          <w:lang w:bidi="fa-IR"/>
        </w:rPr>
        <w:t>».</w:t>
      </w:r>
      <w:r>
        <w:rPr>
          <w:rStyle w:val="FootnoteAnchor"/>
          <w:rtl w:val="true"/>
        </w:rPr>
        <w:footnoteReference w:id="32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خبر الفتح بن يزيد الجرجاني،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فيأربعة شهدوا على رجل أنّه زنى فرجم، ثمّ رجعوا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يلزمون الدية، وإن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p>
    <w:p>
      <w:pPr>
        <w:pStyle w:val="BookText"/>
        <w:rPr/>
      </w:pPr>
      <w:r>
        <w:rPr>
          <w:rFonts w:ascii="Amiri" w:hAnsi="Amiri" w:eastAsia="Amiri" w:cs="Amiri"/>
          <w:color w:val="111111"/>
          <w:sz w:val="28"/>
          <w:sz w:val="28"/>
          <w:szCs w:val="28"/>
          <w:rtl w:val="true"/>
          <w:lang w:bidi="ar-SA"/>
        </w:rPr>
        <w:t>ولو طلب الوليّ القصاص كذباً وشهد الشهود زوراً، فهل القود عليهم جميعاً، أو على الوليّ، أو على الشهود؟ وجوه، أقربها 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تعمّدنا، قتل أيّ الأربعة شاءَ وليّ المقتول وردّ الثلاثة ثلاثة أرباع الدية إلى أولياء المقتول الثاني، ويُجلد الثلاثة كلّ واحد منهم ثمانين جلدة، وإن شاء وليّ المقتول أن يقتلهم ردّ ثلاث ديات على أولياء الشهود الأربعة ويجلدون ثمانين كلّ واحد منهم، ثمّ يقتلهم الإمام</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القود على الشهود والوليّ جميعاً هو كون الوليّ والشهود شركاء في الدم، ووجه كونه على الوليّ الطالب أقربيّة الطلب إلى المباشرة من الشهادة، ووجه كونه على الشهود كون الشهادة أقرب وأقوى من المباشرة في المباشر وكذا من الطلب للوليّ، وأنّها السبب في سببيّة الطلب، فإن لم تكن الشهادة لم يكن الطلب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الوجوه في المسألة، وأقربها كما في المتن الأخير، فإنّ ما في الوجه الأوّل من كونهم شركاء في الدم ليس بأزيد من ادّعاء، وعدم تماميته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الثاني من الأقربيّة،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دخيلة في القصاص، وإنّما الدخيل النسبة والمباشرة وأقوائيّة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والأقوائيّة للشهادة، بل كونها سبباً للطلب أيضاً ممّا لا يقربه الشكّ</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الوليّ بزور الشهود وباشر القصاص، كان القصاص عليه دون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عليه فصيّره في حكم المذبوح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يبقى له حياة مستقرّة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فذبحه آخر فالقود على الأوّل، وهو القاتل عمداً، وعلى الثاني دية الجناية على الميّت، ولو جنى عليه وكانت حياته مستقرّة فذبحه آخر فالقود على الثاني،</w:t>
      </w:r>
    </w:p>
    <w:p>
      <w:pPr>
        <w:pStyle w:val="BookText"/>
        <w:rPr/>
      </w:pPr>
      <w:r>
        <w:rPr>
          <w:rFonts w:ascii="Amiri" w:hAnsi="Amiri" w:eastAsia="Amiri" w:cs="Amiri"/>
          <w:color w:val="111111"/>
          <w:sz w:val="28"/>
          <w:sz w:val="28"/>
          <w:szCs w:val="28"/>
          <w:rtl w:val="true"/>
          <w:lang w:bidi="ar-SA"/>
        </w:rPr>
        <w:t>الشهود؛ لقصده إلى القتل العدواني من غير غرور، فهو أقوى من السبب ولو لم يباشره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أمر نائب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أو الخاصّ بقتل من ثبت قتله بالبيّنة، وهو يعلم فسق الشهود، ففي القواعد</w:t>
      </w:r>
      <w:r>
        <w:rPr>
          <w:rStyle w:val="FootnoteAnchor"/>
          <w:rtl w:val="true"/>
        </w:rPr>
        <w:footnoteReference w:id="331"/>
      </w:r>
      <w:r>
        <w:rPr>
          <w:rFonts w:ascii="Amiri" w:hAnsi="Amiri" w:eastAsia="Amiri" w:cs="Amiri"/>
          <w:color w:val="111111"/>
          <w:sz w:val="28"/>
          <w:sz w:val="28"/>
          <w:szCs w:val="28"/>
          <w:rtl w:val="true"/>
          <w:lang w:bidi="ar-SA"/>
        </w:rPr>
        <w:t>وشرحها للأصبهاني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شبهة في حقّه من حيث إنّ مخالفة السلطان الحقّ تثير فتنةً عظيمةً، ومن كون القتل ظلماً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اعترف بعلمه فعليه القصاص، إلّا أن يعتذر بتلك الشبهة، فيدرأ عنه، ويثبت الدية</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للعالم بفسقها إعلام الحاكم بذلك، فإن قبل وردّ الحكم فبها، وإلّا فعليه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على الحاكم رفع التكليف عنه وإرجاع الأمر إلى غيره، فإن فعل مع ذلك فعليه القصاص بلا إشكال؛ لكون قتله ظلماً وعدواناً كما هو واضح</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فيهما من أنّ مخالفة السلطان تثير فتنة عظيمة،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معإعلام العذر الموجّه لا تثير فتنةً، فضلاً عن الفتنة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كيف تكون الشبهة دارئة عن القصاص، مع أنّه حقّ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الأوّل حكم الجرح قصاصاً أو أرشاً؛ سواء كان الجرح ممّا لا يقتل مثله أو يقتل غالباً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جرحه اثنان، فاندمل جراحة أحدهما، وسرت الأُخرى فمات،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 في المتن يظهر حكم قتل المريض المشرف على الموت، فإنّ القاتل ضامن قتله قوداً أو دية، إلّا أن لا تكون له حياة مستقرّة، كما فيما كانت حياته بحركة كحركة المذبوح، فلا قود؛ لعدم صدق القتل عرفاً، أو لانصراف أدلّته عن مثله، وعليه ضمان الجرح على الميّت؛ لأنّه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قتل مريضاً مشرفاً وجب القود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وهو كذلك؛ لصدق القتل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بقيت له حياة مستقرّة لصدق القتل، والفرق بينه وبين مَنْ جنى عليه جناية لم يبق له حياة مستقرّة وقوع جنايتين مضمونتين عليه، وإنّما يوجب القصاص على أدخلهما في تلف النفس؛ لأنّ المريض ربّما انتهى إلى مثل تلك الحالة ثمّ برئ للاشتراك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يصلح ضميمةً إلى ما قلنا</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المفروض عدم استقرار الحياة على نحو ما عرفت، لا وجه لاحتمال البرء مع تلك الحال،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كان الفعلينمرتّبين واقعين على الطول، وأمّا لو فعلا معاً وكان فعل كلٍّ منهما مزهقاً فهما معاً قاتلان، وكذا لو لم يكونا مزهقين ولكن مات بهما، ولو كان أحدهما المزهق دون الآخر فهو القاتل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من اندملت جراحته دية الجراحة أو قصاصها، وعلى الثاني القود، فهل يقتل بعد ردّ دية الجرح المندمل أم يقتل بلا ردّ؟ فيه إشكال؛ وإن كان الأقرب عدم الردّ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أحد يده من الزند وآخر من المرفق فمات، فإن كان قطع الأوّل بنحو بقيت سرايته بعد قطع الثاني، كما لو كانت الآلة مسمومة وسرى السمّ في الدم، وهلك به وبالقطع الثاني، كان القود عليهما، كما أنّه لو كان القتل مستنداً إلى السمّ القاتل في القطع، ولم يكن في القطع سراية، كان الأوّل قاتلاً، فالقود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الأقربيّة الاندمال وكون النفس بالنفس على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القاتل، كما أنّ القود عليهما في الفرع السابق على ذلك؛ لاشتراكهما في القتل من جهة الهلاكة بالسمّ وبالقطع الثاني، والاشتراك في مثل هذا ممّا لا كلام ولا إشكال فيه، وإنّما الكلام والإشكال في الاشتراك إنّما يكون فيما إذا دخلت الأُولى في الثانية، كما لو قطع أحدهما يده من الكوع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ذراعه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الشرائع</w:t>
      </w:r>
      <w:r>
        <w:rPr>
          <w:rStyle w:val="FootnoteAnchor"/>
          <w:rtl w:val="true"/>
        </w:rPr>
        <w:footnoteReference w:id="335"/>
      </w:r>
      <w:r>
        <w:rPr>
          <w:rFonts w:ascii="Amiri" w:hAnsi="Amiri" w:eastAsia="Amiri" w:cs="Amiri"/>
          <w:color w:val="111111"/>
          <w:sz w:val="28"/>
          <w:sz w:val="28"/>
          <w:szCs w:val="28"/>
          <w:rtl w:val="true"/>
          <w:lang w:bidi="ar-SA"/>
        </w:rPr>
        <w:t>تعرّضه للمسألة في الصورة السادسة من صور الاشتراك وذهابه إلى قتلهما به؛ لأنّ سراية الأوّل لم تنقطع بالثاني بشياع ألمه قبل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والاحتمال الآخر المقابل لذلك اختصاص القصاص بالثاني؛ لانقطاع سراية الجرح الأوّل بالثاني، لدخوله في ضمنه، والألمالسابق لم يبلغ حدّ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يلحق الأوّل حكم جنايته خاصّة نحو ما لو جرحه شخص وأزهق نفسه آخر</w:t>
      </w:r>
      <w:r>
        <w:rPr>
          <w:rFonts w:eastAsia="Amiri" w:cs="Amiri" w:ascii="Amiri" w:hAnsi="Amiri"/>
          <w:color w:val="111111"/>
          <w:sz w:val="28"/>
          <w:szCs w:val="28"/>
          <w:rtl w:val="true"/>
          <w:lang w:bidi="ar-SA"/>
        </w:rPr>
        <w:t xml:space="preserve">. </w:t>
      </w:r>
      <w:bookmarkStart w:id="118" w:name="pg9428_72261"/>
    </w:p>
    <w:p>
      <w:pPr>
        <w:pStyle w:val="BookText"/>
        <w:rPr/>
      </w:pPr>
      <w:bookmarkEnd w:id="118"/>
      <w:r>
        <w:rPr>
          <w:rFonts w:ascii="Amiri" w:hAnsi="Amiri" w:eastAsia="Amiri" w:cs="Amiri"/>
          <w:color w:val="111111"/>
          <w:sz w:val="28"/>
          <w:sz w:val="28"/>
          <w:szCs w:val="28"/>
          <w:rtl w:val="true"/>
          <w:lang w:bidi="ar-SA"/>
        </w:rPr>
        <w:t>وإذا كان سراية القطع الأوّل انقطع بقطع الثاني كان الثاني قاتلاً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عليه بقوله مزجاً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ما نحن فيه ليس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قطع واحد يده وقتله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السراية انقطعت بالتعجيل للإزهاق، بخلاف القطع من المرفق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الروح معه باقية، والألم الحادث على النفس والأعضاء الرئيسة باق من الجنايتين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الفرق أنّ الجرحين إن كان إهلاكهما بالسراية كالقطعين والاجافتين فالقود عليهما، وإلّا بل كان أحدهما القتل والآخر الجراحة السارية فالقود على القاتل، وعلى الجارح الآخر القصاص في الطرف أو ديته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ولا يخفى أنّ البحث كذلك ليس فقهيّاً، بل موضوعيّاً محضاً، ولابدّ فيه من مراجعة أهل الخبرة وغير ذلك من القرائن ونتركه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فقه المسألة، فكما في المتن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علم الحال، وأمّا مع الشكّ في سراية الأُولى فليس على جارحها إلّا ضمان الجناية؛ لكونه معلوماً ومتيقّناً لا ضمان القتل، فإنّه مشكوك مع أنّ باب الدماء باب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فإنّ سراية الأوّل صار منقطعاً بقطع الثاني، فكان الثاني هو القاتل فقط</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5797479_2870459653"/>
      <w:bookmarkStart w:id="120" w:name="_Toc40"/>
      <w:bookmarkEnd w:id="119"/>
      <w:r>
        <w:rPr>
          <w:rtl w:val="true"/>
        </w:rPr>
        <w:t>الشركة في الجناية بالجرح والسراية</w:t>
      </w:r>
      <w:bookmarkEnd w:id="12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جرحه اثنان كلّ واحد منهما جرحاً فمات، فادّعى أحدهما اندمال جرحه وصدّقه الوليّ، نفذ على نفسه، فليس للوليّ قصاصه منجهة الاشتراك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القتل، فإنّه إقرار على نفسه، ولم ينفذ على الآخر بحيث لا يكون مستحقّاً لنصف الدية في قصاصه؛ لكونه إقراراً على الغير، ولكونه متّهماً في ذلك بأنّه يحاول أخذ دية الجرح من الجارح والدية من الآخر، والمتّهم في التصديق إقراره غير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الجارح الآخر منكر، فيكون القول قوله مع اليمين؛ لمطابقة قوله مع أصالة عدم الاندمال، فلا يتسلّط الوليّ عليه بالقصاص مجاناً ولا بالدية تماماً على انفراده بالقتل، وإنّما يتسلّط عليه بقدر سهمه من الدية؛ بناءً على سراية الجرحين، فيأخذه خاصّة منه، أو يردّه عليه ويقتصّ منه بعد يمينه بأنّ الجرح الآخر ما اندمل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أن يأخذ من المقرّ له إلّا أرش جناية ما صدّقه عليه من الجرح غير الساري، أو يقتصّ منه في خصوص ذلك العضو، كما هو واضح، وبه صرّح في القواعد</w:t>
      </w:r>
      <w:r>
        <w:rPr>
          <w:rStyle w:val="FootnoteAnchor"/>
          <w:rtl w:val="true"/>
        </w:rPr>
        <w:footnoteReference w:id="337"/>
      </w:r>
      <w:r>
        <w:rPr>
          <w:rFonts w:ascii="Amiri" w:hAnsi="Amiri" w:eastAsia="Amiri" w:cs="Amiri"/>
          <w:color w:val="111111"/>
          <w:sz w:val="28"/>
          <w:sz w:val="28"/>
          <w:szCs w:val="28"/>
          <w:rtl w:val="true"/>
          <w:lang w:bidi="ar-SA"/>
        </w:rPr>
        <w:t>وكشف اللثام</w:t>
      </w:r>
      <w:r>
        <w:rPr>
          <w:rStyle w:val="FootnoteAnchor"/>
          <w:rtl w:val="true"/>
        </w:rPr>
        <w:footnoteReference w:id="33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فيما سمعته من التهمة بأنّه لا يتمّ بناءً على دفع عوض المندمل إلى المقتصّ منه دون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الدية تامّة أو القصاص للوليّ مضافاً إلى ما يأخذه من عوض المندمل، اتّجه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يفرّق بين القصاص والدية، فيدفع عوض المندمل إلى المقتصّ منه إن أُريد القصاص، وأمّا إذا أُريد الدية فلا يدفع إليه شيء، بل تؤخذ منه تامّة، مضافاً إلى عوض المندمل، وحينئذٍ تتّجه التهمة المزبورة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الفرق نظرٌ بل منعٌ، والاعتماد على أصالة عدم الاندمال مثبت؛ لأنّ الأثر الشرعي مرتّب على السراية الملازم لعدم الاندمال لا على نفسه بلا </w:t>
      </w:r>
      <w:bookmarkStart w:id="121" w:name="pg9428_72263"/>
    </w:p>
    <w:p>
      <w:pPr>
        <w:pStyle w:val="BookText"/>
        <w:rPr/>
      </w:pPr>
      <w:bookmarkEnd w:id="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الجاني في الفرض المتقدّم واحداً، دخل دية الطرف في دية النفس على تأ‌مّل في بعض الفروض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يدخل قصاص الطرف في قصاص</w:t>
      </w:r>
    </w:p>
    <w:p>
      <w:pPr>
        <w:pStyle w:val="BookText"/>
        <w:rPr/>
      </w:pPr>
      <w:r>
        <w:rPr>
          <w:rFonts w:ascii="Amiri" w:hAnsi="Amiri" w:eastAsia="Amiri" w:cs="Amiri"/>
          <w:color w:val="111111"/>
          <w:sz w:val="28"/>
          <w:sz w:val="28"/>
          <w:szCs w:val="28"/>
          <w:rtl w:val="true"/>
          <w:lang w:bidi="ar-SA"/>
        </w:rPr>
        <w:t>واسطة، فالعمدة في الوجه هو الأوّل؛ أي عدم نفوذ إقرار الوليّ في حقّ الغير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تصديق الوليّ، وأمّا لو صدّقه الشريك دون الوليّ نفذ في حقّه دون الوليّ، وفي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له المطالبة بشيء من الدية إذا أُريد الاقتصاص منه، ولا الامتناع من كمال الدية إذا طولب به</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وهو مبنيٌّ على عدم مطالبته بدية المندمل، والأمر سهلٌ</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5797481_2870459653"/>
      <w:bookmarkStart w:id="123" w:name="_Toc41"/>
      <w:bookmarkEnd w:id="122"/>
      <w:r>
        <w:rPr>
          <w:rtl w:val="true"/>
        </w:rPr>
        <w:t>تداخل دية وقصاص الطرف في النفس وعدمها</w:t>
      </w:r>
      <w:bookmarkEnd w:id="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المسألة السابقة ما إذا كان هناك جانيان، وأمّا إذا كان جانٍ واحد ففي الشرائع</w:t>
      </w:r>
      <w:r>
        <w:rPr>
          <w:rStyle w:val="FootnoteAnchor"/>
          <w:rtl w:val="true"/>
        </w:rPr>
        <w:footnoteReference w:id="340"/>
      </w:r>
      <w:r>
        <w:rPr>
          <w:rFonts w:ascii="IRNazanin" w:hAnsi="IRNazanin" w:eastAsia="IRNazanin"/>
          <w:color w:val="111111"/>
          <w:sz w:val="28"/>
          <w:sz w:val="28"/>
          <w:szCs w:val="28"/>
          <w:rtl w:val="true"/>
          <w:lang w:bidi="fa-IR"/>
        </w:rPr>
        <w:t>والقواعد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دخلت دية الطرف في دية النفس إجماعاً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اللثام</w:t>
      </w:r>
      <w:r>
        <w:rPr>
          <w:rStyle w:val="FootnoteAnchor"/>
          <w:rtl w:val="true"/>
        </w:rPr>
        <w:footnoteReference w:id="342"/>
      </w:r>
      <w:r>
        <w:rPr>
          <w:rFonts w:ascii="IRNazanin" w:hAnsi="IRNazanin" w:eastAsia="IRNazanin"/>
          <w:color w:val="111111"/>
          <w:sz w:val="28"/>
          <w:sz w:val="28"/>
          <w:szCs w:val="28"/>
          <w:rtl w:val="true"/>
          <w:lang w:bidi="fa-IR"/>
        </w:rPr>
        <w:t>والجواهر</w:t>
      </w:r>
      <w:r>
        <w:rPr>
          <w:rStyle w:val="FootnoteAnchor"/>
          <w:rtl w:val="true"/>
        </w:rPr>
        <w:footnoteReference w:id="343"/>
      </w:r>
      <w:r>
        <w:rPr>
          <w:rFonts w:ascii="Amiri" w:hAnsi="Amiri" w:eastAsia="Amiri" w:cs="Amiri"/>
          <w:color w:val="111111"/>
          <w:sz w:val="28"/>
          <w:sz w:val="28"/>
          <w:szCs w:val="28"/>
          <w:rtl w:val="true"/>
          <w:lang w:bidi="ar-SA"/>
        </w:rPr>
        <w:t xml:space="preserve">التقييد بالثابتة بالأصالة، مثل ما لو كان الجاني أباً للمجنيّ عليه، أو كان مسلماً والمجنيّ عليه كافراً على القول بعدمالقصاص في مثله، وأمّا الثابتة بالصلح مع إطلاق الصلح عليها عوضاً عن القصاص ففيها </w:t>
      </w:r>
    </w:p>
    <w:p>
      <w:pPr>
        <w:pStyle w:val="BookText"/>
        <w:rPr/>
      </w:pPr>
      <w:r>
        <w:rPr>
          <w:rFonts w:ascii="Amiri" w:hAnsi="Amiri" w:eastAsia="Amiri" w:cs="Amiri"/>
          <w:color w:val="111111"/>
          <w:sz w:val="28"/>
          <w:sz w:val="28"/>
          <w:szCs w:val="28"/>
          <w:rtl w:val="true"/>
          <w:lang w:bidi="ar-SA"/>
        </w:rPr>
        <w:t>النفس مطلقاً، أو لا مطلقاً، أو يدخل إذا كانت الجناية أو الجنايات بضربة واحدة، فلو ضربه ففقئت عيناه وشجّ رأسه فمات دخل قصاص الطرف في قصاص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الجنايات بضربات عديدة لم يدخل في قصاصها، أو يفرّق بين ما كانت الجنايات العديدة متوالية، كمن أخذ سيفاً وقطّع الرجل إرباً إرباً حتّى مات، فيدخل قصاصها في قصاص النفس، وبين ما إذا كانت متفرّقة، كمن قطع يده في يوم، وقطع رجله في يوم آخر وهكذا إلى أن مات، فلم يدخل قصاصها في قصاصها؟ وجوه، لا يبعد أوجهيّة الأخير، والمسألة بعد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عدم التداخل لو كان التفريق بوجهٍ اندمل بعض الجراحات، فمن قطع يد رجل فلم يمت واندملت جراحتها، ثمّ قطع رجله فاندملت ثمّ قتله، يقتصّ منه ثمّ يقتل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الخلاف الآتي في القصاص، وأيضاً من التردّد في دخول ذلك في إطلاق القول بدخول الدية في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قصاص الطرف في قصاص النفس، أم لا؟ فيه أقوال ثلاثة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الدخول مطلقاً، كما في الجامع،</w:t>
      </w:r>
      <w:r>
        <w:rPr>
          <w:rStyle w:val="FootnoteAnchor"/>
          <w:rtl w:val="true"/>
        </w:rPr>
        <w:footnoteReference w:id="344"/>
      </w:r>
      <w:r>
        <w:rPr>
          <w:rFonts w:ascii="Amiri" w:hAnsi="Amiri" w:eastAsia="Amiri" w:cs="Amiri"/>
          <w:color w:val="111111"/>
          <w:sz w:val="28"/>
          <w:sz w:val="28"/>
          <w:szCs w:val="28"/>
          <w:rtl w:val="true"/>
          <w:lang w:bidi="ar-SA"/>
        </w:rPr>
        <w:t>وموضع آخر من الكتابين المبسوط</w:t>
      </w:r>
      <w:r>
        <w:rPr>
          <w:rStyle w:val="FootnoteAnchor"/>
          <w:rtl w:val="true"/>
        </w:rPr>
        <w:footnoteReference w:id="345"/>
      </w:r>
      <w:r>
        <w:rPr>
          <w:rFonts w:ascii="IRNazanin" w:hAnsi="IRNazanin" w:eastAsia="IRNazanin"/>
          <w:color w:val="111111"/>
          <w:sz w:val="28"/>
          <w:sz w:val="28"/>
          <w:szCs w:val="28"/>
          <w:rtl w:val="true"/>
          <w:lang w:bidi="fa-IR"/>
        </w:rPr>
        <w:t>والخلاف،</w:t>
      </w:r>
      <w:r>
        <w:rPr>
          <w:rStyle w:val="FootnoteAnchor"/>
          <w:rtl w:val="true"/>
        </w:rPr>
        <w:footnoteReference w:id="346"/>
      </w:r>
      <w:r>
        <w:rPr>
          <w:rFonts w:ascii="Amiri" w:hAnsi="Amiri" w:eastAsia="Amiri" w:cs="Amiri"/>
          <w:color w:val="111111"/>
          <w:sz w:val="28"/>
          <w:sz w:val="28"/>
          <w:szCs w:val="28"/>
          <w:rtl w:val="true"/>
          <w:lang w:bidi="ar-SA"/>
        </w:rPr>
        <w:t>بل هو خيرة السرائر</w:t>
      </w:r>
      <w:r>
        <w:rPr>
          <w:rStyle w:val="FootnoteAnchor"/>
          <w:rtl w:val="true"/>
        </w:rPr>
        <w:footnoteReference w:id="347"/>
      </w:r>
      <w:r>
        <w:rPr>
          <w:rFonts w:ascii="Amiri" w:hAnsi="Amiri" w:eastAsia="Amiri" w:cs="Amiri"/>
          <w:color w:val="111111"/>
          <w:sz w:val="28"/>
          <w:sz w:val="28"/>
          <w:szCs w:val="28"/>
          <w:rtl w:val="true"/>
          <w:lang w:bidi="ar-SA"/>
        </w:rPr>
        <w:t>ونكت النهاية،</w:t>
      </w:r>
      <w:r>
        <w:rPr>
          <w:rStyle w:val="FootnoteAnchor"/>
          <w:rtl w:val="true"/>
        </w:rPr>
        <w:footnoteReference w:id="348"/>
      </w:r>
      <w:r>
        <w:rPr>
          <w:rFonts w:ascii="Amiri" w:hAnsi="Amiri" w:eastAsia="Amiri" w:cs="Amiri"/>
          <w:color w:val="111111"/>
          <w:sz w:val="28"/>
          <w:sz w:val="28"/>
          <w:szCs w:val="28"/>
          <w:rtl w:val="true"/>
          <w:lang w:bidi="ar-SA"/>
        </w:rPr>
        <w:t>وعنالغنية</w:t>
      </w:r>
      <w:r>
        <w:rPr>
          <w:rStyle w:val="FootnoteAnchor"/>
          <w:rtl w:val="true"/>
        </w:rPr>
        <w:footnoteReference w:id="349"/>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بالدخول مطلقاً، كما في التبصرة،</w:t>
      </w:r>
      <w:r>
        <w:rPr>
          <w:rStyle w:val="FootnoteAnchor"/>
          <w:rtl w:val="true"/>
        </w:rPr>
        <w:footnoteReference w:id="350"/>
      </w:r>
      <w:r>
        <w:rPr>
          <w:rFonts w:ascii="Amiri" w:hAnsi="Amiri" w:eastAsia="Amiri" w:cs="Amiri"/>
          <w:color w:val="111111"/>
          <w:sz w:val="28"/>
          <w:sz w:val="28"/>
          <w:szCs w:val="28"/>
          <w:rtl w:val="true"/>
          <w:lang w:bidi="ar-SA"/>
        </w:rPr>
        <w:t>وفي موضع من المبسوط</w:t>
      </w:r>
      <w:r>
        <w:rPr>
          <w:rStyle w:val="FootnoteAnchor"/>
          <w:rtl w:val="true"/>
        </w:rPr>
        <w:footnoteReference w:id="351"/>
      </w:r>
      <w:r>
        <w:rPr>
          <w:rFonts w:ascii="IRNazanin" w:hAnsi="IRNazanin" w:eastAsia="IRNazanin"/>
          <w:color w:val="111111"/>
          <w:sz w:val="28"/>
          <w:sz w:val="28"/>
          <w:szCs w:val="28"/>
          <w:rtl w:val="true"/>
          <w:lang w:bidi="fa-IR"/>
        </w:rPr>
        <w:t>والخلاف</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بالدخول مع كونهما عن ضربة واحدة وعدمه مع التعدّد والتفرّق، كما عن النهاية</w:t>
      </w:r>
      <w:r>
        <w:rPr>
          <w:rStyle w:val="FootnoteAnchor"/>
          <w:rtl w:val="true"/>
        </w:rPr>
        <w:footnoteReference w:id="353"/>
      </w:r>
      <w:r>
        <w:rPr>
          <w:rFonts w:ascii="Amiri" w:hAnsi="Amiri" w:eastAsia="Amiri" w:cs="Amiri"/>
          <w:color w:val="111111"/>
          <w:sz w:val="28"/>
          <w:sz w:val="28"/>
          <w:szCs w:val="28"/>
          <w:rtl w:val="true"/>
          <w:lang w:bidi="ar-SA"/>
        </w:rPr>
        <w:t>والتحرير</w:t>
      </w:r>
      <w:r>
        <w:rPr>
          <w:rStyle w:val="FootnoteAnchor"/>
          <w:rtl w:val="true"/>
        </w:rPr>
        <w:footnoteReference w:id="354"/>
      </w:r>
      <w:r>
        <w:rPr>
          <w:rFonts w:ascii="IRNazanin" w:hAnsi="IRNazanin" w:eastAsia="IRNazanin"/>
          <w:color w:val="111111"/>
          <w:sz w:val="28"/>
          <w:sz w:val="28"/>
          <w:szCs w:val="28"/>
          <w:rtl w:val="true"/>
          <w:lang w:bidi="fa-IR"/>
        </w:rPr>
        <w:t>والإرشاد</w:t>
      </w:r>
      <w:r>
        <w:rPr>
          <w:rStyle w:val="FootnoteAnchor"/>
          <w:rtl w:val="true"/>
        </w:rPr>
        <w:footnoteReference w:id="355"/>
      </w:r>
      <w:r>
        <w:rPr>
          <w:rFonts w:ascii="Amiri" w:hAnsi="Amiri" w:eastAsia="Amiri" w:cs="Amiri"/>
          <w:color w:val="111111"/>
          <w:sz w:val="28"/>
          <w:sz w:val="28"/>
          <w:szCs w:val="28"/>
          <w:rtl w:val="true"/>
          <w:lang w:bidi="ar-SA"/>
        </w:rPr>
        <w:t>والتلخيص</w:t>
      </w:r>
      <w:r>
        <w:rPr>
          <w:rStyle w:val="FootnoteAnchor"/>
          <w:rtl w:val="true"/>
        </w:rPr>
        <w:footnoteReference w:id="356"/>
      </w:r>
      <w:r>
        <w:rPr>
          <w:rFonts w:ascii="Amiri" w:hAnsi="Amiri" w:eastAsia="Amiri" w:cs="Amiri"/>
          <w:color w:val="111111"/>
          <w:sz w:val="28"/>
          <w:sz w:val="28"/>
          <w:szCs w:val="28"/>
          <w:rtl w:val="true"/>
          <w:lang w:bidi="ar-SA"/>
        </w:rPr>
        <w:t>والمسالك</w:t>
      </w:r>
      <w:r>
        <w:rPr>
          <w:rStyle w:val="FootnoteAnchor"/>
          <w:rtl w:val="true"/>
        </w:rPr>
        <w:footnoteReference w:id="357"/>
      </w:r>
      <w:r>
        <w:rPr>
          <w:rFonts w:ascii="Amiri" w:hAnsi="Amiri" w:eastAsia="Amiri" w:cs="Amiri"/>
          <w:color w:val="111111"/>
          <w:sz w:val="28"/>
          <w:sz w:val="28"/>
          <w:szCs w:val="28"/>
          <w:rtl w:val="true"/>
          <w:lang w:bidi="ar-SA"/>
        </w:rPr>
        <w:t>والروضة،</w:t>
      </w:r>
      <w:r>
        <w:rPr>
          <w:rStyle w:val="FootnoteAnchor"/>
          <w:rtl w:val="true"/>
        </w:rPr>
        <w:footnoteReference w:id="358"/>
      </w:r>
      <w:r>
        <w:rPr>
          <w:rFonts w:ascii="Amiri" w:hAnsi="Amiri" w:eastAsia="Amiri" w:cs="Amiri"/>
          <w:color w:val="111111"/>
          <w:sz w:val="28"/>
          <w:sz w:val="28"/>
          <w:szCs w:val="28"/>
          <w:rtl w:val="true"/>
          <w:lang w:bidi="ar-SA"/>
        </w:rPr>
        <w:t>بل نسبه في الأخير إلى أكثر المتأخّرين، فهذه هي الأقوال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المتن لسيّدنا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البعد من أوجهيّة الأخير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خارج عن البحث، حيث إنّ الظاهر كون الحكم بالتداخل مع التعدّد والتوالي، وعدم الفصل من جهة السراية، ومن جهة كون عدم الفصل أمارة عرفيّة على عدم الفرق بين الضربات في القتل والسراية، وأنّى يكون ذلك تفصيلاً في محلّ البحث وهو التداخل مع التعدّد وعدم السرايه؟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في الجواهر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غير منضبط</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اضطراب فتوى الشيخ في المسألة، حتّى أنّه اضطرب كلامه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كلّ واحد من كتابيه الخلاف</w:t>
      </w:r>
      <w:r>
        <w:rPr>
          <w:rStyle w:val="FootnoteAnchor"/>
          <w:rtl w:val="true"/>
        </w:rPr>
        <w:footnoteReference w:id="360"/>
      </w:r>
      <w:r>
        <w:rPr>
          <w:rFonts w:ascii="IRNazanin" w:hAnsi="IRNazanin" w:eastAsia="IRNazanin"/>
          <w:color w:val="111111"/>
          <w:sz w:val="28"/>
          <w:sz w:val="28"/>
          <w:szCs w:val="28"/>
          <w:rtl w:val="true"/>
          <w:lang w:bidi="fa-IR"/>
        </w:rPr>
        <w:t>والمبسوط،</w:t>
      </w:r>
      <w:r>
        <w:rPr>
          <w:rStyle w:val="FootnoteAnchor"/>
          <w:rtl w:val="true"/>
        </w:rPr>
        <w:footnoteReference w:id="361"/>
      </w:r>
      <w:r>
        <w:rPr>
          <w:rFonts w:ascii="Amiri" w:hAnsi="Amiri" w:eastAsia="Amiri" w:cs="Amiri"/>
          <w:color w:val="111111"/>
          <w:sz w:val="28"/>
          <w:sz w:val="28"/>
          <w:szCs w:val="28"/>
          <w:rtl w:val="true"/>
          <w:lang w:bidi="ar-SA"/>
        </w:rPr>
        <w:t>مضافاً إلى اضطرابه في كتبه، كما لا يخفى عليك أيضاً أنّ مقتضى الأصل في المسألة التداخل، حيث إنّ ضمان النفس معلوم وضمان الطرف غير معلوم فيكون مرفوعاً، والأصل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يتراءى في كلماتهم من التمسّك باستصحاب الضمان، وعدم التداخل مع التعدّد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ثبوت الضمان للطرف مع تعقّبه بضمان النفس مشكوك وغير معلوم من أوّل الأمر؛ لعدم الدليل على ذلك كما هو المفروض، فإنّ الكلام في الأصل العملي في المسألة، فما المتيقّن حتّى يتمسّك لبقائه باستصحاب البقاء، واستصحاب عدم الرافع والمانع؟ وأنّ موضع البحث ما كانت الجناية في الطرف غير مسرية، وأنّ القتل واقع بسببه، وإلّا فالتداخل مع السراية واضحة، بل خارجة عن محلّ البحث موضوعاً كما هو واضح</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وكيف كان، فقد استُدِلّ للتداخل مطلقاً بصحيحة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رجلاً بعمود فسطاط على رأسه ضربة واحدة فأجافه حتّى وصلت الضربة إلى الدماغ فذهب عقله؟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المضروب لا يعقل منها الصلاة، ولا يعقل ما قال ولا ما قيل له، فإنّه ينتظر به سنة، فإن مات فيما بينه وبين السنة اُقيد به ضاربه، وإن لم يمت فيما بينه وبين السنة ولم يرجع إليه عقله اُغرم ضاربه الدية فيماله لذهاب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عليه في الشجّة شيئاً؟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لأنّه إنّما ضربه ضربة واحدة فجنت الضربة جنايتين فألزمته أغلظ الجنايتين وهي الدية، ولو كان ضربه ضربتين فجنت الضربتان جنايتين لألزمته جناية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جنتا كائناً ما كانتا، إلّا أن يكون فيهما الموت</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ودلالتها في مواضعها الثلاثة تكون ظاهرة غنيّة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 أصحابنا رووا</w:t>
      </w:r>
      <w:r>
        <w:rPr>
          <w:rStyle w:val="FootnoteAnchor"/>
          <w:rtl w:val="true"/>
        </w:rPr>
        <w:footnoteReference w:id="363"/>
      </w:r>
      <w:r>
        <w:rPr>
          <w:rFonts w:ascii="Amiri" w:hAnsi="Amiri" w:eastAsia="Amiri" w:cs="Amiri"/>
          <w:color w:val="111111"/>
          <w:sz w:val="28"/>
          <w:sz w:val="28"/>
          <w:szCs w:val="28"/>
          <w:rtl w:val="true"/>
          <w:lang w:bidi="ar-SA"/>
        </w:rPr>
        <w:t>أنّه إذا مثّل إنسان بغيره فقتله، فلم يكن له غير القتل، وليس له التمثيل بصاحبه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دلالتها على التداخل واضحة ولا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على الصحيحة بما في نكت النهاية</w:t>
      </w:r>
      <w:r>
        <w:rPr>
          <w:rStyle w:val="FootnoteAnchor"/>
          <w:rtl w:val="true"/>
        </w:rPr>
        <w:footnoteReference w:id="365"/>
      </w:r>
      <w:r>
        <w:rPr>
          <w:rFonts w:ascii="IRNazanin" w:hAnsi="IRNazanin" w:eastAsia="IRNazanin"/>
          <w:color w:val="111111"/>
          <w:sz w:val="28"/>
          <w:sz w:val="28"/>
          <w:szCs w:val="28"/>
          <w:rtl w:val="true"/>
          <w:lang w:bidi="fa-IR"/>
        </w:rPr>
        <w:t xml:space="preserve">من معارضتها برواية إبراهيم بن عمرو، بل صحيحته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ضرب رجلاً بعصا فذهب سمعه وبصره ولسانه وعقله وفرجه وانقطع جماعه وهو حيّ، بستّ ديات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المعارضة في مفروض المسألة غير واضح، بل خلافه ظاهر؛ للاختلاف بينهما في الموضوع، فالمعارضة منتفية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يكون وجهه أن ليس ذلك إلّا لتعدّد الجنايات وإن كانت الضربة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واحدة، ولا فرق بين حال الحياة والموت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التعارض على ذلك باطل واضح؛ لاستلزامه الاجتهاد في مقابل النصّ، والصحيحة والفتوى قائمان على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معارضة خبر إبراهيم موقوفة على دلالتها الالتزاميّة المبتنية على عدم الفرق، والصحيحة دالّة على الفرق فكيف التعارض؟</w:t>
      </w:r>
    </w:p>
    <w:p>
      <w:pPr>
        <w:pStyle w:val="BookText"/>
        <w:rPr/>
      </w:pPr>
      <w:r>
        <w:rPr>
          <w:rFonts w:ascii="Amiri" w:hAnsi="Amiri" w:eastAsia="Amiri" w:cs="Amiri"/>
          <w:color w:val="111111"/>
          <w:sz w:val="28"/>
          <w:sz w:val="28"/>
          <w:szCs w:val="28"/>
          <w:rtl w:val="true"/>
          <w:lang w:bidi="ar-SA"/>
        </w:rPr>
        <w:t>وما في الجواهر من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يمكن حمل الصحيح المزبور على الموت بالسراية من الضربات المتعدّدة، فإنّه يدخل قصاص الطرف في قصاص النفس حينئذٍ، ولعلّ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يكون فيهما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ذلك، أو لا يأبى الحمل عليه خصوصاً بعد الالتفات إلى ما في غيره</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الحمل مخالف للإطلاق، وظهور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الحمل كما ترى؛ لأنّ المراد منهما تحقّق جناية الموت زائدة على الجناية الأُخرى فيهما أو فيها، وهذا أعمّ من الحمل،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لا السببيّة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التداخل مطلقاً بعموم أدلّة القصاص من الكتاب والسنّة،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 بِمِثْلِ مَا اعْتَدَى عَلَيْكُمْ</w:t>
      </w:r>
      <w:r>
        <w:rPr>
          <w:rFonts w:ascii="IRNazanin" w:hAnsi="IRNazanin" w:eastAsia="IRNazanin"/>
          <w:color w:val="111111"/>
          <w:sz w:val="28"/>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مضافاً إلى استصحاب الحالة السابقة على فرض عدم الإطلاق في تلك الأدلّة،والشكّ في تحقّق الرافع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المحلّ لهما مع الصحيحة ومع رواية ابن قيس المستدلّ بها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التفصيل بتقديم الدليل على الأصل، وتخصيص العمومات بالنصّ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التفصيل، فدليله رواية محمّد بن قيس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فَقأَ عيني رجل وقطع أُذنيه، ثمّ قتله،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فرّق ذلك اقتصّ منه ثمّ يُقتل، وإن كان ضربه ضربة واحدة ضربت عنقه ولم يقتصّ منه</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وحسنة حفص بن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على رأسه فذهب سمعه وبصره واعتقل لسانه، ثمّ مات؟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ضربه ضربةً بعد ضربة اقتصّ منه ثمّ قُتِل، وإن كان أصابه هذا من ضربة واحدة قُتِل ولم يقتصّ منه</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لكنّها ظاهرة في السراية التي ليست هي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الجواهر من تصحيحه الاستدلال بها ولو مع الظهور في السراية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الجواب فيه شامل لصورة المسألة</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مفيد؛ لعدم الإطلاق في الجواب، بل مختصّ بصورةالسؤال، لمكان ضمير الغائب وهو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إلى الرجل المسؤول عنه ممّن يكون قتله بالسراية من الجناية على الطرف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الحسنة، وأمّا الرواية، فضعيفة باشتراك ابن قيس بين الثقة وغيره،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 بأنّها صحيحة إليه واشتراكه مجبور بابن أبي عمير المجمع على تصحيح ما يصحّ عنه الراوي عنه ولو بواسطة محمّد بن أبي حمزة، وباعتضاد ما فيها من الحكم الأوّل بما مرّ دليلاً للقول بعدم التداخل، ومن الحكم الثاني بأنّه ما جنى عليه عرفاً إلّا جناية واحدة، فيكون قتله خاصّة اعتداءً بما اعتدى، واقتصاص الزائد تعدّياً خارجاً، وبدلالة ما في صحيح أبي عبيدة الحذّاء، فقد ورد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عليه في الشجّة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لأنّه إنّما ضرب ضربة واحدة</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ينبغي القطع بالتداخل مع اتّحاد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لاتّفاق النصوص عليه وأكثر الفتاوى مع عدم منافاة العمومات لها كما مضى، وعلى تقديرها فلتكن بها مخصّصة، فإنّ الخاصّ مقدّم على العامّ وإن كان أظهر، فضلاً عن العكس كما في المقام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التداخل وعدمه مع التعدّد، فعلى حجّيّة رواية ابن قيس لما ذكر من وجود ابن أبي عمير من أصحاب الإجماع في السند واعتضاد مضمونها بما مرّ، لابدّ إلّا من القول بعدم التداخل، فإنّ الرواية أخصّ من الصحيحة</w:t>
      </w:r>
      <w:r>
        <w:rPr>
          <w:rStyle w:val="FootnoteAnchor"/>
          <w:rtl w:val="true"/>
        </w:rPr>
        <w:footnoteReference w:id="373"/>
      </w:r>
      <w:r>
        <w:rPr>
          <w:rFonts w:ascii="Amiri" w:hAnsi="Amiri" w:eastAsia="Amiri" w:cs="Amiri"/>
          <w:color w:val="111111"/>
          <w:sz w:val="28"/>
          <w:sz w:val="28"/>
          <w:szCs w:val="28"/>
          <w:rtl w:val="true"/>
          <w:lang w:bidi="ar-SA"/>
        </w:rPr>
        <w:t xml:space="preserve">المستدلّة بها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للتداخل الشاملة للسراية وغيرها فتكون مخصّصة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مرّ من احتمال اختصاصها بالسراية وإن لم يكن تامّاً، وذكرنا أنّ الصحيحة مطلقة، كما أنّه على حملها على الضربات المتكرّرة المتوالية، مع القول بأنّ فيها الأماريّة على السراية أو القول بانصراف أدلّة قصاص الأطراف عن مثل ذلك، فعليه يكون ما في الصحيحة بياناً للمنصرف عنه، فلا منافاة بينها وبين العمومات والإطلاقات، لابدّ إلّا من القول بعدم التداخل أيضاً للعمومات والإطلاقات، مضافاً إلى الاستصحاب المؤ‌يّد بالرواية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حمل الصحيحة على أحد الوجهين غير بعيد، فالتفصيل بين الضربات بالتداخل مع التوالي وعدمه مع الانفصال أيضاً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الأصل عدم التداخل، فمع الشكّ في التوالي الموجب للأماريّة أو للانصراف لابدّ من قصاص الطرف زائداً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ذكرناه أنّ ما في المتن من التفصيل ونفي البعد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الرياض</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التداخل مع التعدّد، والأقرب فيه العدم؛ لتعدّد ما يدلّ عليه خصوصاً وعموماً، كتاباً وسنةً، مضافاً إلى الاستصحاب كما تقدّم، والتأيّد بالاعتبار قطعاً، كما نبّه عليه بعض أصحابنا فقال 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بُعد؛ إذ يلزم أن لوقطع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ثمّ يده الأُخرى في سنة، ثمّ رجله في سنة، وأُخرى في أُخرى، ثمّ قتله في سنة، لم يلزمه إلّا القود أو دية النفس، فينبغي اشتراط اتّحاد الوقت أو تقاربها، ولكنّه غير منضبط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اثنان فما زاد في قتل واحد اقتصّ منهم إذا أراد الوليّ، فيردّ عليهم ما فضل من دية المقتول، فيأخذ كلّ واحد ما فضل عن ديته، فلو قتله اثنان وأراد القصاص يؤدّي لكلّ منهما نصف دية القتل، ولو كانوا ثلاثة فلكلّ ثلثا ديته وهكذا، وللوليّ أن يقتصّ من بعضهم، ويردّ الباقون المتروكون دية جنايتهم إلى الذي اقتصّ منه، ثمّ لو فضل للمقتول أو المقتولين فضل عمّا ردّه شركاؤهم قام الوليّ به، ويردّه إليهم، كما لو كان الشركاء ثلاثة فاقتصّ من اثنين، فيردّ المتروك دية جنايته، وهي الثلث إليهما، ويردّ الوليّ البقيّة إليهما، وهي دية كاملة، فيكون لكلّ</w:t>
      </w:r>
    </w:p>
    <w:p>
      <w:pPr>
        <w:pStyle w:val="BookText"/>
        <w:rPr/>
      </w:pPr>
      <w:r>
        <w:rPr>
          <w:rFonts w:ascii="Amiri" w:hAnsi="Amiri" w:eastAsia="Amiri" w:cs="Amiri"/>
          <w:color w:val="111111"/>
          <w:sz w:val="28"/>
          <w:sz w:val="28"/>
          <w:szCs w:val="28"/>
          <w:rtl w:val="true"/>
          <w:lang w:bidi="ar-SA"/>
        </w:rPr>
        <w:t xml:space="preserve">وهو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للآيات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جميع ذلك الصحيح الواحد، مع أنّه عارضه الماتن في نكت النهاية</w:t>
      </w:r>
      <w:r>
        <w:rPr>
          <w:rStyle w:val="FootnoteAnchor"/>
          <w:rtl w:val="true"/>
        </w:rPr>
        <w:footnoteReference w:id="374"/>
      </w:r>
      <w:r>
        <w:rPr>
          <w:rFonts w:ascii="IRNazanin" w:hAnsi="IRNazanin" w:eastAsia="IRNazanin"/>
          <w:color w:val="111111"/>
          <w:sz w:val="28"/>
          <w:sz w:val="28"/>
          <w:szCs w:val="28"/>
          <w:rtl w:val="true"/>
          <w:lang w:bidi="fa-IR"/>
        </w:rPr>
        <w:t>بالخبر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ضرب رجلاً بعصا فذهب سمعه وبصره ولسانه وعقله وفرجه وانقطع جماعه وهو حيٌّ بست ديات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ولكن وجه المعارضة في مفروض المسألة غير واضحة</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الجميع ليس بأزيد من العمومات والإطلاقات، ومن خصوص رواية ابن قيس، ومن الاستصحاب، مضافاً إلى تلك الأدلّة، ومن البعد وعدم الانضباط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الصحيح وحده قابل للمعارضة مع الجميع؛ لكفاية الصحيح الواحد الخاصّ في تخصيص العمومات وإن كانت أزيد من العشرة وما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والبعد بعدم الانضباط غير مضرّ؛ لأنّ الأصل عدم التداخل</w:t>
      </w:r>
      <w:r>
        <w:rPr>
          <w:rFonts w:eastAsia="Amiri" w:cs="Amiri" w:ascii="Amiri" w:hAnsi="Amiri"/>
          <w:color w:val="111111"/>
          <w:sz w:val="28"/>
          <w:szCs w:val="28"/>
          <w:rtl w:val="true"/>
          <w:lang w:bidi="ar-SA"/>
        </w:rPr>
        <w:t xml:space="preserve">. </w:t>
      </w:r>
      <w:bookmarkStart w:id="124" w:name="pg9428_72273"/>
    </w:p>
    <w:p>
      <w:pPr>
        <w:pStyle w:val="BookText"/>
        <w:rPr/>
      </w:pPr>
      <w:bookmarkEnd w:id="124"/>
      <w:r>
        <w:rPr>
          <w:rFonts w:ascii="Amiri" w:hAnsi="Amiri" w:eastAsia="Amiri" w:cs="Amiri"/>
          <w:color w:val="111111"/>
          <w:sz w:val="28"/>
          <w:sz w:val="28"/>
          <w:szCs w:val="28"/>
          <w:rtl w:val="true"/>
          <w:lang w:bidi="ar-SA"/>
        </w:rPr>
        <w:t>واحد ثلثا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5797483_2870459653"/>
      <w:bookmarkStart w:id="126" w:name="_Toc42"/>
      <w:bookmarkEnd w:id="125"/>
      <w:r>
        <w:rPr>
          <w:rtl w:val="true"/>
        </w:rPr>
        <w:t>حكم الاشتراك في القتل</w:t>
      </w:r>
      <w:bookmarkEnd w:id="1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 شيء من ذلك، بل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بقسميه عليه، مضافاً إلى المعلوميّة كون شرع القصاص لحقن الدماء، فلو لم يجب عند الاشتراك لاتّخذ ذريعةً إلى سفكها</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والدليل على ما في المتن من الأحكام التي لا إشكال فيها ولا خلاف مضافاً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منضمّة إلى عموم أدلّة القصاص، وإلى عدم الخلاف، بل والإجماع بقسميه كما مرّ، وإلى الاعتبار والنصوص المستفيضة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قتلوا رجلاً؟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أولياؤه قتلوهم جميعاً وغرموا تسع ديات، وإن شاؤوا تخيّروا رجلاً فقتلوه وأدّى التسعة الباقون إلى أهل المقتول الأخير عُشْر الدية كلّ رجل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الوالي بعدُ يلي أدّبهم وحبسهم</w:t>
      </w:r>
      <w:r>
        <w:rPr>
          <w:rFonts w:eastAsia="IRNazanin" w:cs="IRNazanin"/>
          <w:color w:val="111111"/>
          <w:sz w:val="28"/>
          <w:szCs w:val="28"/>
          <w:rtl w:val="true"/>
          <w:lang w:bidi="fa-IR"/>
        </w:rPr>
        <w:t>».</w:t>
      </w:r>
      <w:r>
        <w:rPr>
          <w:rStyle w:val="FootnoteAnchor"/>
          <w:rtl w:val="true"/>
        </w:rPr>
        <w:footnoteReference w:id="37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عشرة اشتركوافي قتل 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يخيّر أهل المقتول، فأ‌يّهم شاؤوا قتلوا، ويرجع أولياؤه على الباقين بتسعة أعشار الدية</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بانضمام صحيح داود بن سرحان</w:t>
      </w:r>
      <w:r>
        <w:rPr>
          <w:rStyle w:val="FootnoteAnchor"/>
          <w:rtl w:val="true"/>
        </w:rPr>
        <w:footnoteReference w:id="380"/>
      </w:r>
      <w:r>
        <w:rPr>
          <w:rFonts w:ascii="Amiri" w:hAnsi="Amiri" w:eastAsia="Amiri" w:cs="Amiri"/>
          <w:color w:val="111111"/>
          <w:sz w:val="28"/>
          <w:sz w:val="28"/>
          <w:szCs w:val="28"/>
          <w:rtl w:val="true"/>
          <w:lang w:bidi="ar-SA"/>
        </w:rPr>
        <w:t>حجّة على كلّ المسألة، كما أنّ في صحيح داود وحده دلالة على الكلّ أيضاً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مسكان،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الرجلان والثلاثة رجلاً، فإن أرادوا قتلهم ترادّوا فضل الديات، فإن قَبِل أولياؤه الدية كانت عليهما، وإلّا أخذوا دية صاحبهم</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وهو أيضاً مثل صحيح داود في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عليّ بن جعفر، عن أخيه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مماليك اجتمعوا على قتل حرّ ما حالهم؟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وسألته عن قوم أحرار اجتمعوا على قتل مملوك ما حالهم؟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یؤدّون قيمته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ويعارض الأخبار ما في الصحيح عن أبي العبّاس البقباق وغيره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العدّة على قتل رجل واحد حكم الوالي أن يقتل أ‌يّهم شاؤوا، وليس لهم أن يقتلوا أكثر من واحد،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w:t>
      </w:r>
      <w:r>
        <w:rPr>
          <w:rFonts w:ascii="IRNazanin" w:hAnsi="IRNazanin" w:eastAsia="IRNazanin"/>
          <w:color w:val="111111"/>
          <w:sz w:val="28"/>
          <w:sz w:val="28"/>
          <w:szCs w:val="28"/>
          <w:rtl w:val="true"/>
          <w:lang w:bidi="fa-IR"/>
        </w:rPr>
        <w:t>،</w:t>
      </w:r>
      <w:r>
        <w:rPr>
          <w:rStyle w:val="FootnoteAnchor"/>
          <w:rtl w:val="true"/>
        </w:rPr>
        <w:footnoteReference w:id="383"/>
      </w:r>
      <w:r>
        <w:rPr>
          <w:rFonts w:ascii="Amiri" w:hAnsi="Amiri" w:eastAsia="Amiri" w:cs="Amiri"/>
          <w:color w:val="111111"/>
          <w:sz w:val="28"/>
          <w:sz w:val="28"/>
          <w:szCs w:val="28"/>
          <w:rtl w:val="true"/>
          <w:lang w:bidi="ar-SA"/>
        </w:rPr>
        <w:t>وإذا قتل ثلاثةٌ واحداً خُيّر الوالي أيّ الثلاثة شاء أن يقتل ويضمن الآخران ثلثي الدية لورثة المقتول</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شاذّ قاصر عن معارضة غيره من وجوه، فليُحمل على الندب أو التقيّة أو غيرهما</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على التقيّة، أو على ما مرّ من التفصيل وهو أنّ لهم قتل ما زاد على واحد إذا أدّوا ما بقي من الدية، وإلّا فلهم قتل واحد فقط، ويحتمل الكراهة</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مراد الجواهر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في الوسائل عن الشيخ منالتفصيل، ولا يخفى أنّ الحمل كذلك مع أنّه غير بعيد؛ لكونه من باب حمل ما في صحيح البقباق من الإطلاق في نفي القتل عن الزائد على الواحد على صورة عدم أداء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تتحقّق الشركة في القتل؛ بأن يفعل كلّ منهم ما يقتل لو انفرد، كأن أخذوه جميعاً فألقوه في النار أو البحر أو من شاهق، أو جرحوه بجراحات كلّ واحدة منها قاتلة لو انفردت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تتحقّق بما يكون له الشركة في السراية مع قصد</w:t>
      </w:r>
    </w:p>
    <w:p>
      <w:pPr>
        <w:pStyle w:val="BookText"/>
        <w:rPr/>
      </w:pPr>
      <w:r>
        <w:rPr>
          <w:rFonts w:ascii="Amiri" w:hAnsi="Amiri" w:eastAsia="Amiri" w:cs="Amiri"/>
          <w:color w:val="111111"/>
          <w:sz w:val="28"/>
          <w:sz w:val="28"/>
          <w:szCs w:val="28"/>
          <w:rtl w:val="true"/>
          <w:lang w:bidi="ar-SA"/>
        </w:rPr>
        <w:t>دية الزائد، عنه على ورثة الآخر، فالحمل يكون من حمل المطلق على المقيّد، موجبٌ لنفي التعارض من رأس، فلا حاجة معه إلى ما ذكر من الترجيح أو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الصحيح قاصر عن المعارضة؛ لشهرة تلك الأخبار عملاً ولكثرتها وأصحيّة سندها ومخالفتها مع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في الجواهر من الحمل على الندب غير تامّ؛ لما في الصحيح من التعليل والاستدلال بالآية حيث إنّ الإسراف في القتل منهيٌّ ومحرّم بلا إشكال، كما أنّ ما في الوسائل</w:t>
      </w:r>
      <w:r>
        <w:rPr>
          <w:rStyle w:val="FootnoteAnchor"/>
          <w:rtl w:val="true"/>
        </w:rPr>
        <w:footnoteReference w:id="387"/>
      </w:r>
      <w:r>
        <w:rPr>
          <w:rFonts w:ascii="Amiri" w:hAnsi="Amiri" w:eastAsia="Amiri" w:cs="Amiri"/>
          <w:color w:val="111111"/>
          <w:sz w:val="28"/>
          <w:sz w:val="28"/>
          <w:szCs w:val="28"/>
          <w:rtl w:val="true"/>
          <w:lang w:bidi="ar-SA"/>
        </w:rPr>
        <w:t>من الحمل على الكراهة، بل الحمل على التقيّة أيضاً غير وجيه، حيث إنّ التقيّة اضطرار وضرورة، والضرورة تتقدّر بقدرها، والضرورة والاضطرار مرتفعان ببيان أصل الحكم وبالنهي عن قتل الزائد، فالاستدلال بالآية زائد غير مضطرٍّ إليه وغير مناسب مع التقيّة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وترجيح الصحيح على تلك الأخبار؛ لموافقته مع الكتاب المستدلّ به في الصحيح، حيث إنّ قتل الزائد عن الواحد إسراف، منهيّ عنه، غير تامّ، للشكّ في صدق الإسراف مع ردّ الزائد عن دية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 أنّ الاستدلال في الصحيح بالآية كافٍ في الموافقة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معارضة الصحيح كما يكون معارضاً مع بقيّة الأخبار في أصل مضمونه، فكذلك في استدلاله 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bookmarkStart w:id="127" w:name="pg9428_72277"/>
    </w:p>
    <w:p>
      <w:pPr>
        <w:pStyle w:val="BookText"/>
        <w:rPr/>
      </w:pPr>
      <w:bookmarkEnd w:id="127"/>
      <w:r>
        <w:rPr>
          <w:rFonts w:ascii="Amiri" w:hAnsi="Amiri" w:eastAsia="Amiri" w:cs="Amiri"/>
          <w:color w:val="111111"/>
          <w:sz w:val="28"/>
          <w:sz w:val="28"/>
          <w:szCs w:val="28"/>
          <w:rtl w:val="true"/>
          <w:lang w:bidi="ar-SA"/>
        </w:rPr>
        <w:t>الجناية، فلو اجتمع عليه عدّة، فجرحه كلّ واحد بما لا يقتل منفرداً، لكن سرت الجميع فمات، فعليهم القود بنحو 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یعتبر التساوي في عدد الجنایة، فلو ضربه أحدهم ضربة والآخر ضربات والثالث أکثر وهکذا، فمات بالجمیع، فالقصاص علیهم بالسواء، والدیة علیهم</w:t>
      </w:r>
    </w:p>
    <w:p>
      <w:pPr>
        <w:pStyle w:val="Heading3"/>
        <w:numPr>
          <w:ilvl w:val="2"/>
          <w:numId w:val="1"/>
        </w:numPr>
        <w:rPr/>
      </w:pPr>
      <w:bookmarkStart w:id="128" w:name="__RefHeading___Toc5797485_2870459653"/>
      <w:bookmarkStart w:id="129" w:name="_Toc43"/>
      <w:bookmarkEnd w:id="128"/>
      <w:r>
        <w:rPr>
          <w:rtl w:val="true"/>
        </w:rPr>
        <w:t>فيما تتحقّق به الشركة في القتل</w:t>
      </w:r>
      <w:bookmarkEnd w:id="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المسألة من الصور الثلاث كلّها مشتركة في تحقّق الشركة في القتل وفي نسبة القتل إليهم، ولكن في الأُولى والثانية تكون الشركة على نحو المباشرة، وفي الثالثة على نحو السببيّة، إذ فعل كلٍّ منهم سبب للقتل من حيث السراية عن جرح الجميع، فلو لم يكن من أحدهم جرح لم يتحقّق الموت، ولم تكن سراية البقيّة موجبة لقتله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جمع على واحد وضربه كلّ واحد سوطاً فمات وجب القصاص على الجميع بلا فرق بين ضارب السوط الأوّل وضارب الأخير؛ لاستواء الكلّ في سببيّة الموت، إذ كما أنّه لو اكتفى الأوّل لم يمت فلو لم يكن الأوّل لم يمت بالأخير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العامّة قول بأنّه لا قصاص، وآخر إذا وقع منهم اتّفاقاً دون ما إذا تواطؤوا عليه، وهما معاً كما ترى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 في ثبوت القصاص على الجميع لو فرض ترتّب الأسواط، وكان موته من السوط الأخير، بل ينبغي الجزم بعدمه لو فرض كونه على وجه يسند إليه الموت نحو إسناده في الجرح الذي يحصل به الموت دونسرايته للمجروح سابقاً، وبالجملة المدار على صدق الاشتراك والاتّحاد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سواء، وکذا لا یعتبر التساوي في جنس الجنایة، فلو جرحه أحدهما جائفة والآخر موضحة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جرحه أحدهما وضربة الآخر، یقتصّ منهما سواء، والدیة علیهما کذلك بعد کون السرایة من فعلهما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اثنان أو جماعة في الجناية على الأطراف، يقتصّ منهم كما يقتصّ في النفس، فلو اجتمع رجلان على قطع يد رجل، فإن أحبّ أن يقطعهما أدّى إليهما دية يد يقتسمانها ثمّ يقطعهما، وإن أحبّ أخذ منهما دية يد، وإن قطع يد أحدهما ردّ الذي لم يقطع يده على الذي قطعت يده ربع الدية، وعلى هذا القياس اشتراك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التساوي في العدد ولا في النوع، وجود التساوي في نسبة القتل وفي صدق القاتل، فيشمله إطلاق أدلّة الاشتراك في القتل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الاقتصاص من الجماعة في الأطراف كالاقتصاص منهم في النفس على نحو ما في المتن بلا خلاف ولا إشكال فيه؛ لفحوى ما مرّ</w:t>
      </w:r>
      <w:r>
        <w:rPr>
          <w:rStyle w:val="FootnoteAnchor"/>
          <w:rtl w:val="true"/>
        </w:rPr>
        <w:footnoteReference w:id="388"/>
      </w:r>
      <w:r>
        <w:rPr>
          <w:rFonts w:ascii="IRNazanin" w:hAnsi="IRNazanin" w:eastAsia="IRNazanin"/>
          <w:color w:val="111111"/>
          <w:sz w:val="28"/>
          <w:sz w:val="28"/>
          <w:szCs w:val="28"/>
          <w:rtl w:val="true"/>
          <w:lang w:bidi="fa-IR"/>
        </w:rPr>
        <w:t xml:space="preserve">في الاشتراك في القتل، ولصحيح أبي مريم الأنصاري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رجلين اجتمعا على قطع يد 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أحبّ أن يقطعهما أدّى إليهما دية يد فاقتسما ثمّ يقطعهما، وإن أحبّ أخذ منهما دية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قطع يد أحدهما ردّ الذي لم تقطع يده على الذي قطعت يده ربع الدية</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فيها يحصل باشتراكهم في الفعل الواحد المقتضي للقطع؛ بأن يكرهوا شخصاً على قطع اليد، أو يضعوا خنجراً على يده واعتمدوا عليه أجمع حتّى 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انفرد كلّ على قطع جزء من يده فلا قطع في يدهما، وكذا لو جعل أحدهما آلته فوق يده والآخر تحتها، فقطع كلّ جزء منها حتّى وصل الآلتان وقطعت اليد، فلا شركة ولا قطع، بل كلّ جنى جناية منفردة، وعليه القصاص أو الدية في جنايته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في قتل رجل امرأتان قتلتا به من غير ردّ شيء، ولو كنّ أكثر فللوليّ قتلهنّ وردّ فاضل ديته يقسّم عليهنّ بالسويّة، فإن كنّ ثلاثاً وأراد قتلهنّ ردّ عليهنّ دية امرأة، وهي بينهنّ بالسويّة، وإن كنّ أربعاً فدية امرأتين كذلك وهكذا، وإن قتل بعضهنّ ردّ البعض الآخر ما فضل من جنايتها، فلو قتل في الثلاث اثنتين ردّت المتروكة ثلث ديته على المقتولتين بالسويّة، ولو اختار قتل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المسألة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لو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المسألة الخامسة والأربعين، بيان للمصداق العرفي للشركة، لا بحث فقهي كما هو ظاهر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لقضاء العرف بالاشتراك ويصيرمحكوماً بحكمه؛ لما في صحيح أبي مريم</w:t>
      </w:r>
      <w:r>
        <w:rPr>
          <w:rStyle w:val="FootnoteAnchor"/>
          <w:rtl w:val="true"/>
        </w:rPr>
        <w:footnoteReference w:id="390"/>
      </w:r>
      <w:r>
        <w:rPr>
          <w:rFonts w:ascii="Amiri" w:hAnsi="Amiri" w:eastAsia="Amiri" w:cs="Amiri"/>
          <w:color w:val="111111"/>
          <w:sz w:val="28"/>
          <w:sz w:val="28"/>
          <w:szCs w:val="28"/>
          <w:rtl w:val="true"/>
          <w:lang w:bidi="ar-SA"/>
        </w:rPr>
        <w:t>من الإطلاق كما أنّ المذكور بعده بيان للموضوع أيضاً، ولعدم الشركة عرفاً وهو أيضاً مطابق لما عندهم</w:t>
      </w:r>
      <w:r>
        <w:rPr>
          <w:rFonts w:eastAsia="Amiri" w:cs="Amiri" w:ascii="Amiri" w:hAnsi="Amiri"/>
          <w:color w:val="111111"/>
          <w:sz w:val="28"/>
          <w:szCs w:val="28"/>
          <w:rtl w:val="true"/>
          <w:lang w:bidi="ar-SA"/>
        </w:rPr>
        <w:t xml:space="preserve">. </w:t>
      </w:r>
      <w:bookmarkStart w:id="130" w:name="pg9428_72280"/>
    </w:p>
    <w:p>
      <w:pPr>
        <w:pStyle w:val="BookText"/>
        <w:rPr/>
      </w:pPr>
      <w:bookmarkEnd w:id="130"/>
      <w:r>
        <w:rPr>
          <w:rFonts w:ascii="Amiri" w:hAnsi="Amiri" w:eastAsia="Amiri" w:cs="Amiri"/>
          <w:color w:val="111111"/>
          <w:sz w:val="28"/>
          <w:sz w:val="28"/>
          <w:szCs w:val="28"/>
          <w:rtl w:val="true"/>
          <w:lang w:bidi="ar-SA"/>
        </w:rPr>
        <w:t>واحدة ردّت المتروكتان على المقتولة ثلث ديتها، وعلى الوليّ نصف دية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في قتل رجل رجل وامرأة فعلى كلّ منهما نصف الدية، فلو قتلهما الوليّ فعليه ردّ نصف الدية على الرجل، ولا ردّ على المرأة، ولو قتل المرأة فلا ردّ، وعلى الرجل نصف الدية، ولو قتل الرجل ردّت المرأة عليه نصف ديته لا ديتها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يوجب الردّ يجب أوّلاً الردّ ثمّ يستوفى، وله 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المفروض في المسائل المتقدّمة هو الرجل المسلم الحرّ والمرأة 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في المسألة موافقٌ لأدلّة الشركة في القتل، بناءً على ما هو المعروف بينهم، بل كأنّه إجماعيٌ من لزوم ردّ نصف الدية إلى القاتل في قصاص الرجل بالمرأة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الفرع الأوّل صحيح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امرأتين قتلتا رجلاً عمداً؟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تقتلان به، ما يختلف في هذا أحد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وأمّا بناءً على المختار من تساوي الرجل والمرأة في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ردّ النصف في قتل الرجل المرأة كالعكس وأنّ النفس بالنفسِ، ويكون حكم اشتراك النسوة في قتل الرجل كحكم اشتراك الرجال في قتله من دون فرق بينهما، ومثل هذه المسألة المسألة التاليةحرفاً بحرف كما لا يخفى</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5797487_2870459653"/>
      <w:bookmarkStart w:id="132" w:name="_Toc44"/>
      <w:bookmarkEnd w:id="131"/>
      <w:r>
        <w:rPr>
          <w:rtl w:val="true"/>
        </w:rPr>
        <w:t>حكم الردّ قبل الاستيفاء</w:t>
      </w:r>
      <w:bookmarkEnd w:id="13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زيادة المستوفى على الحقّ قبل الردّ، وفي اللثام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ويعارضه أنّه لا يستحقّ الفاضل، ما لم يستوفِ، ولذا كان أكثر الأخبار وفتاوى الأصحاب إنّما تضمّنت الردّ على الورثة أو الأولياء</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وفي مجمع الفائدة والبرهان اكتفى بتوضيح المسألة وأنّ وجهه ظاهر، حيث قال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يجب تقديم الردّ على الاستيفاء؛ بمعنى أنّه ليس لصاحب الحقّ أن يستوفی قبل الردّ إلى صاحبه، وله أن يمتنع من التسليم للاستيفاء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رضي فيجوز قتله، فيجب أوّلاً أن يردّ على من يريد قتله أو على وليّه إذا كانت جنايته أقلّ من نفسه، كما مرّ في الأمثلة في جميع المسائل المتقدّمة، ووجهه ظاهر</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والتحقيق عدم وجوب التقديم، لا لما في اللثام من التضمّن، حيث إنّ الظاهر من أخبار الشركة ونصوصها بل وفتاواها كونها في مقام لزوم أداء الردّ، وأنّه ليس للوليّ قتل واحد من الشركاء أو كلّهم من دون الردّ الذي هو مذهب بعض العامّة، ولا نظر فيها إلى خصوصيّة الردّ إلى الأولياء بما هم أولياء، بل ذكرهم يكون من باب الغالب في ردّ الدية، فإنّه يردّ غالباً إلى الأولياء؛ لعدم الجدوى في الدية للمقتصّ منه كما لا يخفى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أخبار ردّ نصف الدية إلى الرجل القاتل للمرأة، فهي أيضاً ناظرةإلى الفرق بين ذلك القتل وعكسه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 المرأة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الردّ في الأصل دون العكس، وأنّه لا يجني الجاني أكثر من جنايته على نفسه، من دون النظر إلى الردّ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الرجل بما هو هو كما لا يخفى على من يراجعها، بل للأصل، ولإطلاق تلك الأخبار المقتضي للتخيير لعدم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فيها لسبق الردّ على القود والقصاص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القصاص حقّ الوليّ وهو الأصل في القتل، وأنّ فيه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التقديم نحو منافاة له من حيث انجراره إلى التأخير في القصاص الذي فيه الحياة، بل يمكن أن يصير سبباً لتعطيله،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الجواهر من الإشكال على اللثام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في النصوص حيث يكون الردّ من الشريك، وأمّا إذا كان من وليّ المقتول فقد سمعتَ صحيح أبي مريم، وستسمع فيما يأتي إن شاء الله في الشرائط، النصوص الدالّة على تقديم فاضل دية الرجل إذا أُريد قتله بالمرأة المعتضد بقول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اقتص منهم بعد ردّ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إلى ذلك سابقاً، ولعل وجه الأوّل أنّ الشركة في الفعل اقتضت الضمان المزبور قهراً على الشريك؛ لأنّ فعل كلٍّ منهما باعتبار صار كأنّه فعل الآخر، بخلاف ما إذا أراد قتل الجميع، إذ لم يكن له حتّى يدفع كي يستحقّ استيفاء حقّه؛ لقاعدة لا ضرر ولا ضرار، وفي الحقيقة هو كالتقابض في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r>
        <w:rPr>
          <w:rStyle w:val="FootnoteAnchor"/>
          <w:rtl w:val="true"/>
        </w:rPr>
        <w:footnoteReference w:id="39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عدم الفرق في الأخبار، وما ذكره من دلالة نصوصردّ فاضل الدية، فكان عليه الإشارة إلى تلك الدلالة؛ لعدم كونها بيّنة ولا مبيّنة، وليس بينها وبين أخبار الشركة في تلك الدلالة فرق وتفاوت أصلاً، وأنّهما ليستا ناظرتين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أزيد من الردّ في كلٍّ منهما ومن ردّ قول بعض العامّة في الشركة، ومن كون دية الرجل ضعفي دية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 في لزوم التقديم فيما إذا أراد الوليّ قتل الجميع، من عدم الحقّ له في الاستيفاء قبل الأداء بقاعدة نفي الضرر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بل يدلّ عليه صحيح ابن مسكان،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رجلين قتلا رجلاً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أراد أولياء المقتول قتلهما أدّوا دية كاملة وقتلوهما، وتكون الدية بين أولياء المقتولين، فإن أرادوا قتل أحدهما قتلوه وأدّى المتروك نصف الدية إلى أهل المقتول، وإن لم يؤدّ دية أحدهما ولم يقتل أحدهما قبل الدية صاحبه من كليهما، وإن قبل أولياؤه الدية كانت عليهما</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فالواجب من التقديم في الردّ مختصّ بهذه الصورة؛ أي قتل الوليّ جميع الشركاء في القتل دون غيرها من الصور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ذكرناه يظهر عدم تماميّة الأقوال والوجوه الثلاثة في المسألة من القول بوجوبه مطلقاً كما عليه الشرائع</w:t>
      </w:r>
      <w:r>
        <w:rPr>
          <w:rStyle w:val="FootnoteAnchor"/>
          <w:rtl w:val="true"/>
        </w:rPr>
        <w:footnoteReference w:id="396"/>
      </w:r>
      <w:r>
        <w:rPr>
          <w:rFonts w:ascii="IRNazanin" w:hAnsi="IRNazanin" w:eastAsia="IRNazanin"/>
          <w:color w:val="111111"/>
          <w:sz w:val="28"/>
          <w:sz w:val="28"/>
          <w:szCs w:val="28"/>
          <w:rtl w:val="true"/>
          <w:lang w:bidi="fa-IR"/>
        </w:rPr>
        <w:t>والقواعد،</w:t>
      </w:r>
      <w:r>
        <w:rPr>
          <w:rStyle w:val="FootnoteAnchor"/>
          <w:rtl w:val="true"/>
        </w:rPr>
        <w:footnoteReference w:id="397"/>
      </w:r>
      <w:r>
        <w:rPr>
          <w:rFonts w:ascii="Amiri" w:hAnsi="Amiri" w:eastAsia="Amiri" w:cs="Amiri"/>
          <w:color w:val="111111"/>
          <w:sz w:val="28"/>
          <w:sz w:val="28"/>
          <w:szCs w:val="28"/>
          <w:rtl w:val="true"/>
          <w:lang w:bidi="ar-SA"/>
        </w:rPr>
        <w:t>وبعدمه مطلقاً كمايظهر من اللثام،</w:t>
      </w:r>
      <w:r>
        <w:rPr>
          <w:rStyle w:val="FootnoteAnchor"/>
          <w:rtl w:val="true"/>
        </w:rPr>
        <w:footnoteReference w:id="398"/>
      </w:r>
      <w:r>
        <w:rPr>
          <w:rFonts w:ascii="Amiri" w:hAnsi="Amiri" w:eastAsia="Amiri" w:cs="Amiri"/>
          <w:color w:val="111111"/>
          <w:sz w:val="28"/>
          <w:sz w:val="28"/>
          <w:szCs w:val="28"/>
          <w:rtl w:val="true"/>
          <w:lang w:bidi="ar-SA"/>
        </w:rPr>
        <w:t xml:space="preserve">ومن التفصيل بين الردّ من الوليّ والردّ من غيره بالوجوب في الأوّل دون الثاني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الجواهر هنا، بل وصرّح به في المسألة الأُولى من مسائل الاشتراك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أخبار الشركة في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عدم اعتبار تقديم الأداء في الاقتصاص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المصنّف وغيره اعتباره من المقتصّ لو أراد قتل الجميع، كما هو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مريم</w:t>
      </w:r>
      <w:r>
        <w:rPr>
          <w:rStyle w:val="FootnoteAnchor"/>
          <w:rtl w:val="true"/>
        </w:rPr>
        <w:footnoteReference w:id="399"/>
      </w:r>
      <w:r>
        <w:rPr>
          <w:rFonts w:ascii="Amiri" w:hAnsi="Amiri" w:eastAsia="Amiri" w:cs="Amiri"/>
          <w:color w:val="111111"/>
          <w:sz w:val="28"/>
          <w:sz w:val="28"/>
          <w:szCs w:val="28"/>
          <w:rtl w:val="true"/>
          <w:lang w:bidi="ar-SA"/>
        </w:rPr>
        <w:t>الذي ستسمعه في المسألة الثانية، فلاحظ وتأ‌مّل</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لما عرفت من النقض والإبرام في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المسالك، وظاهر الجواهر التزام الوليّ في الشركة في القتل بالردّ على المقتول قصاصاً ما زاد عمّا يختصّه من الدية وأخذه من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على المقتول ما زاد عمّا يخصّه منها ويأخذه من الباقين</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وفي الجواهر بعد بيان ظهور الأخبار بل صراحتها في تعلّق ما زاد على جناية المقتول بغيره من الجاني المتروك دون الوليّ،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مقتضى القواعد التزام الوليّ بها؛ لأنّه المباشرللإتلاف وإن كان له حقّ على الآخر، فيؤدّي هو له، ويرجع بما يستحقّه على الآخر</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لا يخفى عليك أنّ ما ذكره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مقتضى القواعد يرجع إلى كون أصل الضمان على الوليّ والاستقرار على الآخر، وهو كما ترى، حيث إنّ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أو صريحة في تعلّق الزائد عن جناية المقتول بغيره من الجاني المتروك، فكيف يحكم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استوجهه لذلك من مقتضى القواعد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ليس مباشراً للإتلاف عن غير حقّ حتّى يكون سبباً للضمان ولولا على نحو الاستقرار، بل إتلافه عن حقّ وعن سلطنته عليه، فكيف يوجب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الموجب له الإتلاف غير المأذون فيه، دون المأذون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الحكم بالتزام الوليّ بالزائد مخالف لإطلاق آية السلطنة،</w:t>
      </w:r>
      <w:r>
        <w:rPr>
          <w:rStyle w:val="FootnoteAnchor"/>
          <w:rtl w:val="true"/>
        </w:rPr>
        <w:footnoteReference w:id="403"/>
      </w:r>
      <w:r>
        <w:rPr>
          <w:rFonts w:ascii="Amiri" w:hAnsi="Amiri" w:eastAsia="Amiri" w:cs="Amiri"/>
          <w:color w:val="111111"/>
          <w:sz w:val="28"/>
          <w:sz w:val="28"/>
          <w:szCs w:val="28"/>
          <w:rtl w:val="true"/>
          <w:lang w:bidi="ar-SA"/>
        </w:rPr>
        <w:t>وإطلاق أدلّة القصاص، وأنّ ردّ البقيّة الزائد من باب الجمع بين الحقوق، ولئلّا يقع الإسراف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ظاهر الأخبار بل وصريحها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الضمان على الجاني المتروك ابتداءً واستقراراً</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9428_72287"/>
      <w:bookmarkStart w:id="134" w:name="pg9428_72287"/>
      <w:bookmarkEnd w:id="134"/>
    </w:p>
    <w:p>
      <w:pPr>
        <w:pStyle w:val="Heading2"/>
        <w:numPr>
          <w:ilvl w:val="1"/>
          <w:numId w:val="1"/>
        </w:numPr>
        <w:rPr/>
      </w:pPr>
      <w:bookmarkStart w:id="135" w:name="pg9428_72287"/>
      <w:bookmarkStart w:id="136" w:name="__RefHeading___Toc5797489_2870459653"/>
      <w:bookmarkStart w:id="137" w:name="_Toc45"/>
      <w:bookmarkEnd w:id="135"/>
      <w:bookmarkEnd w:id="136"/>
      <w:r>
        <w:rPr>
          <w:rtl w:val="true"/>
        </w:rPr>
        <w:t>القول في الشرائط المعتبرة في القصاص</w:t>
      </w:r>
      <w:bookmarkEnd w:id="137"/>
    </w:p>
    <w:p>
      <w:pPr>
        <w:pStyle w:val="Heading3"/>
        <w:numPr>
          <w:ilvl w:val="2"/>
          <w:numId w:val="1"/>
        </w:numPr>
        <w:rPr/>
      </w:pPr>
      <w:bookmarkStart w:id="138" w:name="__RefHeading___Toc5797491_2870459653"/>
      <w:bookmarkStart w:id="139" w:name="_Toc46"/>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الحرّيّة والرقّيّة، فيقتل الحرّ بالحرّ وبالحرّة، لكن مع ردّ فاضل الدية، وهو نصف دية الرجل الحرّ، وكذا تقتل الحرّة بالحرّة وبالحرّ، لكن لا يؤخذ من وليّها أو تركتها فاضل دية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المذكورة الحاصلة من كون القاتل والمقتول حرّين أو حرّتين أو بالاختلاف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القاتل والمقتول كليهما حرّين، والقصاص في هذه الصورة من بديهيّات الفقة، بل من بديهيّات القصاص وضروريّاته كضروريّة أصل القصاص والمقابلة بالمثل، فإنّ الصورة هي المتيقّنة من عموم أدلّة القصاص وإطلاقها، وممّا لا يشكّ في عمومها وشمولها له 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فيُقتل الحُرّ بالحرّ؛ كتاباً وسنّةً وإجماعاً بقسمَيه عليه، بلوضرورة</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 الصورة الثانية،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حرّتين، فهي كالأُولى حرفاً بحرف وحذو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Style w:val="FootnoteAnchor"/>
          <w:rtl w:val="true"/>
        </w:rPr>
        <w:footnoteReference w:id="405"/>
      </w:r>
      <w:r>
        <w:rPr>
          <w:rFonts w:ascii="Amiri" w:hAnsi="Amiri" w:eastAsia="Amiri" w:cs="Amiri"/>
          <w:color w:val="111111"/>
          <w:sz w:val="28"/>
          <w:sz w:val="28"/>
          <w:szCs w:val="28"/>
          <w:rtl w:val="true"/>
          <w:lang w:bidi="ar-SA"/>
        </w:rPr>
        <w:t>أيضاً الاستدلال لها بعين ما استدلّ به للأُولى</w:t>
      </w:r>
      <w:r>
        <w:rPr>
          <w:rFonts w:eastAsia="Amiri" w:cs="Amiri" w:ascii="Amiri" w:hAnsi="Amiri"/>
          <w:color w:val="111111"/>
          <w:sz w:val="28"/>
          <w:szCs w:val="28"/>
          <w:rtl w:val="true"/>
          <w:lang w:bidi="ar-SA"/>
        </w:rPr>
        <w:t xml:space="preserve">. </w:t>
      </w:r>
      <w:bookmarkStart w:id="140" w:name="pg9428_72288"/>
    </w:p>
    <w:p>
      <w:pPr>
        <w:pStyle w:val="BookText"/>
        <w:rPr/>
      </w:pPr>
      <w:bookmarkEnd w:id="14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لم يذكر الضرورة هنا، لكنّه كان ممّا ينبغي أن يذكرها في هذه الصورة كالسابقة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5797493_2870459653"/>
      <w:bookmarkStart w:id="142" w:name="_Toc47"/>
      <w:bookmarkEnd w:id="141"/>
      <w:r>
        <w:rPr>
          <w:rtl w:val="true"/>
        </w:rPr>
        <w:t>قصاص الحرّ بالحرّة</w:t>
      </w:r>
      <w:bookmarkEnd w:id="142"/>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القاتل حرّاً والمقتول حرّة، فلوليّها قصاص القاتل، لكن مع ردّ نصف الدية إلى أهله بلا خلاف بين الأصحاب،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وفي كشف اللثام</w:t>
      </w:r>
      <w:r>
        <w:rPr>
          <w:rStyle w:val="FootnoteAnchor"/>
          <w:rtl w:val="true"/>
        </w:rPr>
        <w:footnoteReference w:id="407"/>
      </w:r>
      <w:r>
        <w:rPr>
          <w:rFonts w:ascii="Amiri" w:hAnsi="Amiri" w:eastAsia="Amiri" w:cs="Amiri"/>
          <w:color w:val="111111"/>
          <w:sz w:val="28"/>
          <w:sz w:val="28"/>
          <w:szCs w:val="28"/>
          <w:rtl w:val="true"/>
          <w:lang w:bidi="ar-SA"/>
        </w:rPr>
        <w:t>ادّعاء الإجماع عليه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الحرّ بالحرّة إذا ردّ أولياؤها فاضل الدية، وهو خمسة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عطاء،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ذلك عن الحسن البصري، ورواه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جميع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يقتل بها، ولا يردّ أولياؤها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ذلك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وأخبارهم، وأيضاً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وَالأُنْثَى بِالأُنْثَى، فدلّ على أنّ الذكر لا يقتل بالأُنْثَى</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وفي الانتصار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انفردت به الإماميّة أنّ الرجل إذا قتل المرأة عمداً واختار أولياؤها الدية كان على القاتل أن يؤدّيها إليهم وهي نصفدية الرجل، فإن اختار الأولياء القود وقتل الرجل بها كان لهم ذلك على أن يؤدّوا إلى ورثة الرجل المقتول نصف الدية، ولا يجوز لهم أن يقتلوه إلّا على هذا </w:t>
      </w:r>
      <w:bookmarkStart w:id="143" w:name="pg9428_72289"/>
    </w:p>
    <w:p>
      <w:pPr>
        <w:pStyle w:val="BookText"/>
        <w:rPr/>
      </w:pPr>
      <w:bookmarkEnd w:id="14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باقي الفقهاء في ذلك ولم يوجبوا على من قتل الرجل بالمرأة شيئاً من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على صحّة ما ذهبنا إليه الإجماع المتردّد؛ ولأنّ نفس المرأة لا تساوي نفس الرجل، بل هي على النصف منها، فيجب إذا أخذت النفس الكاملة بالناقصة أن يردّ فضل ما بينهما</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والمستفاد منه ومن الخلاف إجماع فقهاء العامّة على عدم الردّ، في مقابل إجماع الخاصّة على الردّ، والمستفاد من الخلاف أيضاً نقل العامّة كلا القولين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44" w:name="__RefHeading___Toc5797495_2870459653"/>
      <w:bookmarkStart w:id="145" w:name="_Toc48"/>
      <w:bookmarkEnd w:id="144"/>
      <w:r>
        <w:rPr>
          <w:rtl w:val="true"/>
        </w:rPr>
        <w:t>إجمال القول في استدلال الأصحاب</w:t>
      </w:r>
      <w:bookmarkEnd w:id="145"/>
    </w:p>
    <w:p>
      <w:pPr>
        <w:pStyle w:val="BookText"/>
        <w:rPr/>
      </w:pPr>
      <w:r>
        <w:rPr>
          <w:rFonts w:ascii="Amiri" w:hAnsi="Amiri" w:eastAsia="Amiri" w:cs="Amiri"/>
          <w:color w:val="111111"/>
          <w:sz w:val="28"/>
          <w:sz w:val="28"/>
          <w:szCs w:val="28"/>
          <w:rtl w:val="true"/>
          <w:lang w:bidi="ar-SA"/>
        </w:rPr>
        <w:t xml:space="preserve">هذا، واستدلّ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يظهر من الخلاف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والأُنْثَى بالأُنْثَى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دية المرأة نصف دية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والنصوص المستفيضة التي تبلغ الموجود منها في الكتب الأربعة المعتمدة إلى خمسة عشر حديثاً تقريباً، وفيها الصحاح وغيرها، ولعلّ الصحيح منها يبلغ عشرة، وهي منقولة عن أعاظمالمحدّثين من الأصحاب، مثل عبدالله بن سنان، وعبدالله بن مسكان، وعبيدالله بن عليّ الحلبي، وفضل بن عبدالملك أبي العبّاس البقباق، وليث بن البختري أبي بصير المرادي، وغيرهم من </w:t>
      </w:r>
      <w:bookmarkStart w:id="146" w:name="pg9428_72290"/>
    </w:p>
    <w:p>
      <w:pPr>
        <w:pStyle w:val="BookText"/>
        <w:rPr/>
      </w:pPr>
      <w:bookmarkEnd w:id="1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العدول الثقاة، وهي العمدة لهم في الاستدلال، ويليها في القوّة مسألة تفاضل الدية بينهما الثانية من الوجوه</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5797497_2870459653"/>
      <w:bookmarkStart w:id="148" w:name="_Toc49"/>
      <w:bookmarkEnd w:id="147"/>
      <w:r>
        <w:rPr>
          <w:rtl w:val="true"/>
        </w:rPr>
        <w:t>النقاش في استدلال الأصحاب</w:t>
      </w:r>
      <w:bookmarkEnd w:id="148"/>
    </w:p>
    <w:p>
      <w:pPr>
        <w:pStyle w:val="BookText"/>
        <w:rPr/>
      </w:pPr>
      <w:r>
        <w:rPr>
          <w:rFonts w:ascii="Amiri" w:hAnsi="Amiri" w:eastAsia="Amiri" w:cs="Amiri"/>
          <w:color w:val="111111"/>
          <w:sz w:val="28"/>
          <w:sz w:val="28"/>
          <w:szCs w:val="28"/>
          <w:rtl w:val="true"/>
          <w:lang w:bidi="ar-SA"/>
        </w:rPr>
        <w:t xml:space="preserve">هذا مجمل ما استدلّ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والعمدة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الأخبار المستفيضة، ثمّ الاستشهاد بتفاضل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الاعتماد على تلك النصوص، والاستدلال بها في مثل المسألة، مع ما لها من التماميّة سنداً ودلالةً مشكلٌ، بل ممنوعٌ، فضلاً عن غيرها من الوجوه المذكورة؛ وذلك لما في هذه الأخبار والنصوص من المخالفة للكتاب والسنّة والعقل والقواعد والأُصول المسلّمة من الإسلام، وعدم حجّية الخبر كذلك أظهر من الشمس وأبين من الأمس، فإنّ من الشروط القطعيّة في حجّية الخبر عدم مخالفته للكتاب والسنّة، وعليه الأخبار الكثيرة إن لم تكن 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صحيح هشام بن الحكم والصحيح عن غيره،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جاءكم عنّي يوافق كتاب الله فأنا قلته، وما جاءكم يخالف كتاب الله فلم أقله</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ورواه البرقي، كما ذكره في الوسائل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المحاسن،</w:t>
      </w:r>
      <w:r>
        <w:rPr>
          <w:rStyle w:val="FootnoteAnchor"/>
          <w:rtl w:val="true"/>
        </w:rPr>
        <w:footnoteReference w:id="412"/>
      </w:r>
      <w:r>
        <w:rPr>
          <w:rFonts w:ascii="Amiri" w:hAnsi="Amiri" w:eastAsia="Amiri" w:cs="Amiri"/>
          <w:color w:val="111111"/>
          <w:sz w:val="28"/>
          <w:sz w:val="28"/>
          <w:szCs w:val="28"/>
          <w:rtl w:val="true"/>
          <w:lang w:bidi="ar-SA"/>
        </w:rPr>
        <w:t xml:space="preserve">عن أبي أ‌يّوب المدايني، عن ابن أبي عمير، عن الهشامين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جميعاً، وغيرهما</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وعن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مناظرته مع يحيى بن أكثم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كثرت عليّ الكذّابة وستكثر بعدي، فمن كذب عليّ متعمّداً فليتبوّأ مقعده من النار، فإذا أتاكم الحديث عنّي فاعرضوه على كتاب الله عزّوجلّ وسنّتي، فما وافق كتاب الله وسنّتي فخذوا به، وما خالف كتاب الله وسنّتي فلا تأخذوا به</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ومثله ما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وفي موثّق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على كلّ حقّ حقيقة، وعلى كلّ صواب نوراً، فما وافق كتاب الله فخذوه، وما خالف كتاب الله فدعوه</w:t>
      </w:r>
      <w:r>
        <w:rPr>
          <w:rFonts w:eastAsia="IRNazanin" w:cs="IRNazanin"/>
          <w:color w:val="111111"/>
          <w:sz w:val="28"/>
          <w:szCs w:val="28"/>
          <w:rtl w:val="true"/>
          <w:lang w:bidi="fa-IR"/>
        </w:rPr>
        <w:t>».</w:t>
      </w:r>
      <w:r>
        <w:rPr>
          <w:rStyle w:val="FootnoteAnchor"/>
          <w:rtl w:val="true"/>
        </w:rPr>
        <w:footnoteReference w:id="416"/>
      </w:r>
      <w:r>
        <w:rPr>
          <w:rFonts w:ascii="Amiri" w:hAnsi="Amiri" w:eastAsia="Amiri" w:cs="Amiri"/>
          <w:color w:val="111111"/>
          <w:sz w:val="28"/>
          <w:sz w:val="28"/>
          <w:szCs w:val="28"/>
          <w:rtl w:val="true"/>
          <w:lang w:bidi="ar-SA"/>
        </w:rPr>
        <w:t>وفي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البرقي في المحاسن</w:t>
      </w:r>
      <w:r>
        <w:rPr>
          <w:rStyle w:val="FootnoteAnchor"/>
          <w:rtl w:val="true"/>
        </w:rPr>
        <w:footnoteReference w:id="417"/>
      </w:r>
      <w:r>
        <w:rPr>
          <w:rFonts w:ascii="Amiri" w:hAnsi="Amiri" w:eastAsia="Amiri" w:cs="Amiri"/>
          <w:color w:val="111111"/>
          <w:sz w:val="28"/>
          <w:sz w:val="28"/>
          <w:szCs w:val="28"/>
          <w:rtl w:val="true"/>
          <w:lang w:bidi="ar-SA"/>
        </w:rPr>
        <w:t>عن النوفلي، ورواه الصدوق في الأمالي</w:t>
      </w:r>
      <w:r>
        <w:rPr>
          <w:rStyle w:val="FootnoteAnchor"/>
          <w:rtl w:val="true"/>
        </w:rPr>
        <w:footnoteReference w:id="418"/>
      </w:r>
      <w:r>
        <w:rPr>
          <w:rFonts w:ascii="Amiri" w:hAnsi="Amiri" w:eastAsia="Amiri" w:cs="Amiri"/>
          <w:color w:val="111111"/>
          <w:sz w:val="28"/>
          <w:sz w:val="28"/>
          <w:szCs w:val="28"/>
          <w:rtl w:val="true"/>
          <w:lang w:bidi="ar-SA"/>
        </w:rPr>
        <w:t>عن أحمد بن عليّ بن إبراهيم، عن أبيه مثله</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رسالة الشيخ الأعظم في الظنّ في مسألة حجّية خبر الواحد ما يظهر منه كون الخبر بهذا المضمون أكثر ممّا نقلناه من الوسائل، حيث قال عند بيانه أدلّة </w:t>
      </w:r>
      <w:bookmarkStart w:id="149" w:name="pg9428_72292"/>
    </w:p>
    <w:p>
      <w:pPr>
        <w:pStyle w:val="BookText"/>
        <w:rPr/>
      </w:pPr>
      <w:bookmarkEnd w:id="14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القائلين بعدم حجّية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ما ورد في غير واحد من الأخبار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جاءكم 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يوافق القرآن، فلم أقله</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بل الظاهر أنّ ما أشار إليه غير ما نقلناه من الوسائل، والأمر سهلٌ بعد كثرة الأخبار الدالّة على عدم حجّية الخبر المخالف للكتاب والسنّة، بل وفيه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الواردة في طرح الأخبار المخالفة للكتاب والسنّة ولو مع عدم المعارض متواترة جدّاً</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ولا يخفى أنّ بالرجوع إلى مثل الوسائل</w:t>
      </w:r>
      <w:r>
        <w:rPr>
          <w:rStyle w:val="FootnoteAnchor"/>
          <w:rtl w:val="true"/>
        </w:rPr>
        <w:footnoteReference w:id="423"/>
      </w:r>
      <w:r>
        <w:rPr>
          <w:rFonts w:ascii="Amiri" w:hAnsi="Amiri" w:eastAsia="Amiri" w:cs="Amiri"/>
          <w:color w:val="111111"/>
          <w:sz w:val="28"/>
          <w:sz w:val="28"/>
          <w:szCs w:val="28"/>
          <w:rtl w:val="true"/>
          <w:lang w:bidi="ar-SA"/>
        </w:rPr>
        <w:t>وجامع أحاديث الشيعة</w:t>
      </w:r>
      <w:r>
        <w:rPr>
          <w:rStyle w:val="FootnoteAnchor"/>
          <w:rtl w:val="true"/>
        </w:rPr>
        <w:footnoteReference w:id="424"/>
      </w:r>
      <w:r>
        <w:rPr>
          <w:rFonts w:ascii="IRNazanin" w:hAnsi="IRNazanin" w:eastAsia="IRNazanin"/>
          <w:color w:val="111111"/>
          <w:sz w:val="28"/>
          <w:sz w:val="28"/>
          <w:szCs w:val="28"/>
          <w:rtl w:val="true"/>
          <w:lang w:bidi="fa-IR"/>
        </w:rPr>
        <w:t>والبحار</w:t>
      </w:r>
      <w:r>
        <w:rPr>
          <w:rStyle w:val="FootnoteAnchor"/>
          <w:rtl w:val="true"/>
        </w:rPr>
        <w:footnoteReference w:id="425"/>
      </w:r>
      <w:r>
        <w:rPr>
          <w:rFonts w:ascii="IRNazanin" w:hAnsi="IRNazanin" w:eastAsia="IRNazanin"/>
          <w:color w:val="111111"/>
          <w:sz w:val="28"/>
          <w:sz w:val="28"/>
          <w:szCs w:val="28"/>
          <w:rtl w:val="true"/>
          <w:lang w:bidi="fa-IR"/>
        </w:rPr>
        <w:t xml:space="preserve">يظهر تواتر تلك الأخبار، وعليك بالدقّة فيها وفي اهتمام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الرسول المكرّم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ببيان عدم حجّية الأخبار كذلك للمسلمين حتّى أنّه بيّن لهم ونبّههم على ذلك في خطبته بمنى المتضمّنة لمسائل مهمّة كما لا يخفى</w:t>
      </w:r>
      <w:r>
        <w:rPr>
          <w:rFonts w:eastAsia="IRNazanin" w:cs="IRNazanin"/>
          <w:color w:val="111111"/>
          <w:sz w:val="28"/>
          <w:szCs w:val="28"/>
          <w:rtl w:val="true"/>
          <w:lang w:bidi="fa-IR"/>
        </w:rPr>
        <w:t>.</w:t>
      </w:r>
    </w:p>
    <w:p>
      <w:pPr>
        <w:pStyle w:val="Heading3"/>
        <w:numPr>
          <w:ilvl w:val="2"/>
          <w:numId w:val="1"/>
        </w:numPr>
        <w:rPr/>
      </w:pPr>
      <w:bookmarkStart w:id="150" w:name="__RefHeading___Toc5797499_2870459653"/>
      <w:bookmarkStart w:id="151" w:name="_Toc50"/>
      <w:bookmarkEnd w:id="150"/>
      <w:r>
        <w:rPr>
          <w:rtl w:val="true"/>
        </w:rPr>
        <w:t>كيفيّة مخالفة هذه الأخبار للكتاب</w:t>
      </w:r>
      <w:bookmarkEnd w:id="15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الكبرى وشرطيّة عدم المخالفة للكتاب والسنّة في حجّية الخبر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الصغرى، أي مخالفة تلك الأخبار لهما، وهي العمدة في المسألة، ولابدّ من بسط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مَستعينين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مخالفة لآيات كثيرة من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وَتَمَّتْ كَلِمَةُ رَبِّكَ صِدْقاً وَعَدْلاً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الْحُكْمُ إلّا لِلّه يَقُصُّ الْحَقَّ وَهُوَ خَيْرُ الْفَاصِلِينَ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رَبُّكَ بِظَلّامٍ لِلْعَبِيدِ</w:t>
      </w:r>
      <w:r>
        <w:rPr>
          <w:rStyle w:val="FootnoteAnchor"/>
          <w:rtl w:val="true"/>
        </w:rPr>
        <w:footnoteReference w:id="428"/>
      </w:r>
      <w:r>
        <w:rPr>
          <w:rFonts w:ascii="Amiri" w:hAnsi="Amiri" w:eastAsia="Amiri" w:cs="Amiri"/>
          <w:color w:val="111111"/>
          <w:sz w:val="28"/>
          <w:sz w:val="28"/>
          <w:szCs w:val="28"/>
          <w:rtl w:val="true"/>
          <w:lang w:bidi="ar-SA"/>
        </w:rPr>
        <w:t>وغيرها من الآيات</w:t>
      </w:r>
      <w:r>
        <w:rPr>
          <w:rStyle w:val="FootnoteAnchor"/>
          <w:rtl w:val="true"/>
        </w:rPr>
        <w:footnoteReference w:id="429"/>
      </w:r>
      <w:r>
        <w:rPr>
          <w:rFonts w:ascii="Amiri" w:hAnsi="Amiri" w:eastAsia="Amiri" w:cs="Amiri"/>
          <w:color w:val="111111"/>
          <w:sz w:val="28"/>
          <w:sz w:val="28"/>
          <w:szCs w:val="28"/>
          <w:rtl w:val="true"/>
          <w:lang w:bidi="ar-SA"/>
        </w:rPr>
        <w:t>الدالّة على أنّ كلماته وأحكامه تعالى عدلٌ وحقٌّ وأنّه تعالى ليس بظالم للعباد، لا في التكوين ولا في التشريع، و‌إِنَّ اللهَ لا يَظْلِمُ النّاسَ شَيْئاً وَلَكِنَّ النّاسَ أَنْفُسَهُمْ يَظْلِمُونَ</w:t>
      </w:r>
      <w:r>
        <w:rPr>
          <w:rFonts w:ascii="IRNazanin" w:hAnsi="IRNazanin" w:eastAsia="IRNazanin"/>
          <w:color w:val="111111"/>
          <w:sz w:val="28"/>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إِنَّ اللهَ لا يَظْلِمُ مِثْقالَ ذَرَّةٍ</w:t>
      </w:r>
      <w:r>
        <w:rPr>
          <w:rFonts w:ascii="IRNazanin" w:hAnsi="IRNazanin" w:eastAsia="IRNazanin"/>
          <w:color w:val="111111"/>
          <w:sz w:val="28"/>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وَمَا اللهُ يُرِيدُ ظُلْماً لِلْعِباَدِ</w:t>
      </w:r>
      <w:r>
        <w:rPr>
          <w:rFonts w:ascii="IRNazanin" w:hAnsi="IRNazanin" w:eastAsia="IRNazanin"/>
          <w:color w:val="111111"/>
          <w:sz w:val="28"/>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لَا يُحِبُّ الظّالِمِينَ</w:t>
      </w:r>
      <w:r>
        <w:rPr>
          <w:rStyle w:val="FootnoteAnchor"/>
          <w:rtl w:val="true"/>
        </w:rPr>
        <w:footnoteReference w:id="433"/>
      </w:r>
      <w:r>
        <w:rPr>
          <w:rFonts w:ascii="Amiri" w:hAnsi="Amiri" w:eastAsia="Amiri" w:cs="Amiri"/>
          <w:color w:val="111111"/>
          <w:sz w:val="28"/>
          <w:sz w:val="28"/>
          <w:szCs w:val="28"/>
          <w:rtl w:val="true"/>
          <w:lang w:bidi="ar-SA"/>
        </w:rPr>
        <w:t>إلى غيرها من الآيات الكثيرة الدالّة على حرمة الظلم وقبحه وأنّه سبحانه وتعالى منزّه عنه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التفاوت في نظر العرف بين الرجل والمرأة في القصاص،وإلزام أولياء المرأة بردّ نصف الدية إلى أهل الرجل عند القصاص دون عكسه، ظلمٌ وخلاف العدل والحقّ، فإنّ المرأة تساوي الرجل في الحقيقة الإنسانيّة والحقوق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الاجتماعيّة والاقتصاديّة وغيرها عقلاً وكتاباً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عليه قوله تعالى في الآية الأُولى 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الَّذِي خَلَقَكُمْ مِنْ نَفْسٍ وَاحِدَةٍ وَخَلَقَ مِنْهَا زَوْجَهَا وَبَثَّ مِنْهُمَا رِجَالاً كَثِيراً وَنِسَاءً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فإنّ الظاهر كون المراد من التقوى المأمور بها المنسوبة إلى ربّ الناس وإلى مدبّرهم ومربّيهم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ما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الناس متّحدون في الحقيقة الإنسانيّة من غير اختلاف فيها بين الرجل منهم والمرأة، والصغير والكبير، والعاجز والقويّ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في عدم إجحاف الناس بعضهم على بعض كإجحاف الرجل بالمرأة، أو الكبير بالصغير، أو المولى بالعبد، أو القويّ بالضعيف، أو مثل غير بمثل غيرهم ممّن هو دونهم بأنظارهم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التقوى بعمومه من جهة حذف المتعلّق ظاهر في التقوى عن الإجحاف بكلّ شؤونه وأنواعه وأقسامه من الإجحاف في الاقتصاد والسياسة والتشريع والقانون والشخصيّة الاجتماعيّة وغيرها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الكتاب بلسان عربي مبين، فاللازم للناس تحرّزهم من القوانين التي تكون مجحفة بنظر العرف والعقلاء كما هو واضح، وإذا كان التحرّز لهم واجباً فالله تعالى أولى بالوجوب وسبحانه وتعالى عن الإجحاف في التشريع بالتبعيض في الحقوق الإنسانيّة والاجتماعيّة، فالآية ظاهرة بل كأنّها ناصّة في نفي الأحكام الإجحافيّة بنظر العرف في الإسلام، وأنّ أفراد البشر متساوية في الأحكام وإن لم تكن متشابهة، فإنّ المعتبر التساويوالعدل وعدم الإجحاف لا التشابه والتماثل؛ لعدم الوجه له عقلاً ولا شرعاً، فإنّ اللازم عقلاً وشرعاً العدل وعدم الإجحاف؛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كان مع التشابه أو مع عدمه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فإرث الذكر وإن كان ضعفي إرث الأُنثى على ما نصّ به كتاب الله وعليه الضرورة وليس متشابهاً، لكنّه مع ذلك عدلٌ وتساوي وليس فيه إجحاف ولا إشكال أصلاً، كما حقّقه العلّامة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في ذيل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الآية 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بقوّتها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خَلَقْنَاكُمْ مِنْ ذَكَر واُنْثَى وَجَعَلْنَاكُمْ شُعُوباً وَقَبائِلَ لِتَعَارَفُوا إنَّ أكْرَمَكُمْ عِنْدَ اللهِ أتْقَاكُمْ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كيف لا يتساويان؟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الله تعالى عند ما ذكر مراحل خلقة الإنسان،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 فَتَبَارَكَ اللهُ أحْسَنُ الخَالِقِينَ</w:t>
      </w:r>
      <w:r>
        <w:rPr>
          <w:rStyle w:val="FootnoteAnchor"/>
          <w:rtl w:val="true"/>
        </w:rPr>
        <w:footnoteReference w:id="437"/>
      </w:r>
      <w:r>
        <w:rPr>
          <w:rFonts w:ascii="Amiri" w:hAnsi="Amiri" w:eastAsia="Amiri" w:cs="Amiri"/>
          <w:color w:val="111111"/>
          <w:sz w:val="28"/>
          <w:sz w:val="28"/>
          <w:szCs w:val="28"/>
          <w:rtl w:val="true"/>
          <w:lang w:bidi="ar-SA"/>
        </w:rPr>
        <w:t>من دون اختصاص في ذلك بالرجل، ومنه يعلم أنّ لكلٍّ منهما منزلة واحدة عند الله تعالى، أضف إليهما غيرهما من الآيات الدالّة على عدم الفرق بينهما بالصراحة أو بالظهور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سواء كأسنان المشط</w:t>
      </w:r>
      <w:r>
        <w:rPr>
          <w:rFonts w:eastAsia="IRNazanin" w:cs="IRNazanin"/>
          <w:color w:val="111111"/>
          <w:sz w:val="28"/>
          <w:szCs w:val="28"/>
          <w:rtl w:val="true"/>
          <w:lang w:bidi="fa-IR"/>
        </w:rPr>
        <w:t>».</w:t>
      </w:r>
      <w:r>
        <w:rPr>
          <w:rStyle w:val="FootnoteAnchor"/>
          <w:rtl w:val="true"/>
        </w:rPr>
        <w:footnoteReference w:id="43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فالناس اليوم كلّهم أبيضهم وأسودهم وقرشَيّهم وعربيّهم وعجميّهم من آدم، وإنّ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الله منطين، وإنّ أحبّ الناس إلى الله عزّوجلّ يوم القيامة أطوعهم له وأتقاهم</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من عهد آدم إلى يومنا هذا مثل أسنان المشط، لا فضل للعربي على العجمي، ولا للأحمر على الأسود إلّا بالتقوى</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ربّكُم واحد، وإنّ أباكُم واحد كلّكم لآدم وآدم من تراب، إنّ أكرمكم عند الله أتقاكم، وليس لعربيٍّ على عجميٍّ فضل إلّا بالتقوى</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وجود هذه الآيات والروايات لا ينبغي الشكّ في كون التفاوت في المسألة ظلماً في منطق الكتاب والسنّة فضلاً عن العرف والعقلاء؛ فإنّهم بعد الالتفات إلى المسألة لا يشكّون في كونه ظلماً، ويخطر ببالهم أنّه تعالى وسبحانه كيف أصدر هذا الحكم الموجب للتفاوت ولتحقير النساء، وأنّ قدرهنّ نصف قدر الرجال، بل في نفس عرض السؤال والشبهة واهتمام العلماء بالجواب عنها لَدلالة واضحة على تسليمهم بوجود الظلم في هذا التفاوت مع قطع النظر عن جوابهم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 وَالجُروحَ قِصَاصٌ</w:t>
      </w:r>
      <w:r>
        <w:rPr>
          <w:rFonts w:ascii="IRNazanin" w:hAnsi="IRNazanin" w:eastAsia="IRNazanin"/>
          <w:color w:val="111111"/>
          <w:sz w:val="28"/>
          <w:sz w:val="28"/>
          <w:szCs w:val="28"/>
          <w:rtl w:val="true"/>
          <w:lang w:bidi="fa-IR"/>
        </w:rPr>
        <w:t>،</w:t>
      </w:r>
      <w:r>
        <w:rPr>
          <w:rStyle w:val="FootnoteAnchor"/>
          <w:rtl w:val="true"/>
        </w:rPr>
        <w:footnoteReference w:id="442"/>
      </w:r>
      <w:r>
        <w:rPr>
          <w:rFonts w:ascii="Amiri" w:hAnsi="Amiri" w:eastAsia="Amiri" w:cs="Amiri"/>
          <w:color w:val="111111"/>
          <w:sz w:val="28"/>
          <w:sz w:val="28"/>
          <w:szCs w:val="28"/>
          <w:rtl w:val="true"/>
          <w:lang w:bidi="ar-SA"/>
        </w:rPr>
        <w:t>فإنّ مخالفة تلك الأخبار لهذه الآية واضحة غير محتاجة إلى بسط القول، فإنّ قتلالرجل بالمرأة قصاصاً مع ردّ نصف الدية إلى أهله ليس نفساً بنفس، بل نفساً بنفس مع نصف الدية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تدلّ على أنّه ليس دم إنسان أحمر من </w:t>
      </w:r>
      <w:bookmarkStart w:id="152" w:name="pg9428_72297"/>
    </w:p>
    <w:p>
      <w:pPr>
        <w:pStyle w:val="BookText"/>
        <w:rPr/>
      </w:pPr>
      <w:bookmarkEnd w:id="15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دم إنسان آخر كما هو الشائع في الألسنة، فإلزام أولياء المرأة المقتولة بردّ نصف الدية إلى أهل الرجل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الأخبار وعليه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للآية ومغاير لها</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5797501_2870459653"/>
      <w:bookmarkStart w:id="154" w:name="_Toc51"/>
      <w:bookmarkEnd w:id="153"/>
      <w:r>
        <w:rPr>
          <w:rtl w:val="true"/>
        </w:rPr>
        <w:t>توهّم ودفع</w:t>
      </w:r>
      <w:bookmarkEnd w:id="154"/>
    </w:p>
    <w:p>
      <w:pPr>
        <w:pStyle w:val="BookText"/>
        <w:rPr/>
      </w:pPr>
      <w:r>
        <w:rPr>
          <w:rFonts w:ascii="Amiri" w:hAnsi="Amiri" w:eastAsia="Amiri" w:cs="Amiri"/>
          <w:color w:val="111111"/>
          <w:sz w:val="28"/>
          <w:sz w:val="28"/>
          <w:szCs w:val="28"/>
          <w:rtl w:val="true"/>
          <w:lang w:bidi="ar-SA"/>
        </w:rPr>
        <w:t>ثمّ إنّ توهّم عدم الإطلاق في الآية وأنّها بصدد بيان القصاص في النفس في الجملة مدفوعٌ بأنّ الأصل في البيان وفي لسان التشريع هو الإطلاق، لا سيّما في الكتاب الذي وصف نفسه بكونه تِبْيَاناً لِكُلِّ شَىْءٍ</w:t>
      </w:r>
      <w:r>
        <w:rPr>
          <w:rFonts w:ascii="IRNazanin" w:hAnsi="IRNazanin" w:eastAsia="IRNazanin"/>
          <w:color w:val="111111"/>
          <w:sz w:val="28"/>
          <w:sz w:val="28"/>
          <w:szCs w:val="28"/>
          <w:rtl w:val="true"/>
          <w:lang w:bidi="fa-IR"/>
        </w:rPr>
        <w:t>،</w:t>
      </w:r>
      <w:r>
        <w:rPr>
          <w:rStyle w:val="FootnoteAnchor"/>
          <w:rtl w:val="true"/>
        </w:rPr>
        <w:footnoteReference w:id="443"/>
      </w:r>
      <w:r>
        <w:rPr>
          <w:rFonts w:ascii="Amiri" w:hAnsi="Amiri" w:eastAsia="Amiri" w:cs="Amiri"/>
          <w:color w:val="111111"/>
          <w:sz w:val="28"/>
          <w:sz w:val="28"/>
          <w:szCs w:val="28"/>
          <w:rtl w:val="true"/>
          <w:lang w:bidi="ar-SA"/>
        </w:rPr>
        <w:t>وأنّه عَرَبِيٌّ مُبِينٌ</w:t>
      </w:r>
      <w:r>
        <w:rPr>
          <w:rFonts w:ascii="IRNazanin" w:hAnsi="IRNazanin" w:eastAsia="IRNazanin"/>
          <w:color w:val="111111"/>
          <w:sz w:val="28"/>
          <w:sz w:val="28"/>
          <w:szCs w:val="28"/>
          <w:rtl w:val="true"/>
          <w:lang w:bidi="fa-IR"/>
        </w:rPr>
        <w:t>،</w:t>
      </w:r>
      <w:r>
        <w:rPr>
          <w:rStyle w:val="FootnoteAnchor"/>
          <w:rtl w:val="true"/>
        </w:rPr>
        <w:footnoteReference w:id="444"/>
      </w:r>
      <w:r>
        <w:rPr>
          <w:rFonts w:ascii="Amiri" w:hAnsi="Amiri" w:eastAsia="Amiri" w:cs="Amiri"/>
          <w:color w:val="111111"/>
          <w:sz w:val="28"/>
          <w:sz w:val="28"/>
          <w:szCs w:val="28"/>
          <w:rtl w:val="true"/>
          <w:lang w:bidi="ar-SA"/>
        </w:rPr>
        <w:t>وبأنّ في ذكر مصاديق قصاص الأعضاء واحداً بعد واحد، ثمّ تكميله وتتميمه بقاعدة كلّية في قصاص الجروح، شهادة واضحة على الإطلاق وعلى أنّ الآية في مقام البيان وإفادة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مخالفة الأخبار للآية ما ذكره الشيخ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بعد نقل رواية أبي مريم الأنصاري،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قتلت رجلاً؟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ويؤدّي وليّها بقيّة المال</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وفي رواية محمّد بن عليّ 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هناك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الرواية شاذّة ما رواها غير أبي مريم الأنصاري وإن تكرّرت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الكتب في مواضع، وهي مع هذا مخالفة للأخبار كلّها ولظاهر القرآن،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وَكَتَبْنَا عَلَيْهِمْ فِيها أنَّ النَّفْسَ بِالنَّفْسِ وَالْعَيْنَ بِالعَيْنِ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446"/>
      </w:r>
      <w:r>
        <w:rPr>
          <w:rFonts w:ascii="Amiri" w:hAnsi="Amiri" w:eastAsia="Amiri" w:cs="Amiri"/>
          <w:color w:val="111111"/>
          <w:sz w:val="28"/>
          <w:sz w:val="28"/>
          <w:szCs w:val="28"/>
          <w:rtl w:val="true"/>
          <w:lang w:bidi="ar-SA"/>
        </w:rPr>
        <w:t>الآية، فحكم أنّ النفس بالنفس، ولم يذكر معها شيء آخر</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فكما أنّ ما في الرواية من الحكم بردّ بقيّة الدية إلى أهل الرجل المقتول مخالفٌ للكتاب، كذلك الأمر في أخبار العكس، والقول بالفرق في ذلك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حكاية لما في التوراة خاصّة لبني إسرائيل أوّلاً، ومنسوخة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القِصَاصُ في القَتْلَى الحُرُّ بالحُرِّ والعَبْدُ بالعَبْدِ والأُنْثَى بالأُنْثَى</w:t>
      </w:r>
      <w:r>
        <w:rPr>
          <w:rStyle w:val="FootnoteAnchor"/>
          <w:rtl w:val="true"/>
        </w:rPr>
        <w:footnoteReference w:id="448"/>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إبراهيم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وَكَتَبْنَا عَلَيْهِم فِيها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في التوراة أنَّ النَّفْسَ بِالنَّفْسِ وَالْعَيْنَ بِالْعَيْنِ وَالأَنْفَ بِالأَنْفِ وَالأُذُنَ بِالأُذُنِ وَالسِّنَّ بِالسِّنِّ والجُروحَ قِصَاصٌ فهي 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القِصَاصُ في القَتْلَى الحُرُّ بالحُرِّ والعَبْدُ بالعَبْدِ والأُنْثَى بالأُنْثَى</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والجُروحَ قِصَاصٌ</w:t>
      </w:r>
      <w:r>
        <w:rPr>
          <w:rFonts w:ascii="IRNazanin" w:hAnsi="IRNazanin" w:eastAsia="IRNazanin"/>
          <w:color w:val="111111"/>
          <w:sz w:val="28"/>
          <w:sz w:val="28"/>
          <w:szCs w:val="28"/>
          <w:rtl w:val="true"/>
          <w:lang w:bidi="fa-IR"/>
        </w:rPr>
        <w:t xml:space="preserve"> لم تنسخ</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الآية منسوخة فالمخالفة غير مضرّة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عامّة غير مختصّة ببني إسرائيل أوّلاً؛ لما في ذيل الآية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بِمَا أَنْزَلَ اللهُ فَأُوْلَئكَ هُمُ الظَّالِمُونَ</w:t>
      </w:r>
      <w:r>
        <w:rPr>
          <w:rFonts w:ascii="IRNazanin" w:hAnsi="IRNazanin" w:eastAsia="IRNazanin"/>
          <w:color w:val="111111"/>
          <w:sz w:val="28"/>
          <w:sz w:val="28"/>
          <w:szCs w:val="28"/>
          <w:rtl w:val="true"/>
          <w:lang w:bidi="fa-IR"/>
        </w:rPr>
        <w:t>،</w:t>
      </w:r>
      <w:r>
        <w:rPr>
          <w:rStyle w:val="FootnoteAnchor"/>
          <w:rtl w:val="true"/>
        </w:rPr>
        <w:footnoteReference w:id="450"/>
      </w:r>
      <w:r>
        <w:rPr>
          <w:rFonts w:ascii="Amiri" w:hAnsi="Amiri" w:eastAsia="Amiri" w:cs="Amiri"/>
          <w:color w:val="111111"/>
          <w:sz w:val="28"/>
          <w:sz w:val="28"/>
          <w:szCs w:val="28"/>
          <w:rtl w:val="true"/>
          <w:lang w:bidi="ar-SA"/>
        </w:rPr>
        <w:t>فَإنّ في عموم الموصول لشهادة على وجوب الحكم بما أنزل الله من النَّفْسَ بِالنَّفْسِ وَالْعَيْنَ بِالْعَيْنِ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إلى آخرها، بلا فرق بين كون الحاكم من بني إسرائيل أو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وليست بمنسوخة ثانياً؛ لما في صحيح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النَّفْسَ بِالنَّفْسِ وَالعَيْنَ بِالْعَيْنِ والأَنْفَ بِالأَنْفِ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محكمة</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وفي التهذيب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إنّما هي إخبار عمّا كتب الله تعالى على اليهود في التوراة، وليس فيها أنّ ذلك حكمنا؛ لأنّ الآية وإن تضمّنت أنّ ذلك كان مكتوباً على أهل التوراة فحكمها سارٍ فينا، يدلّ على ذلك ما رواه</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ثمّ ذكر صحيح زرارة عن أحدهما الذي مضى نقله، وهذا منافٍ للنسخ كما لا يخفى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ذكره الفاضل المقداد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بالحُرِّ والعَبْدُ بالعَبْدِ</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والأُنْثَى بالأُنْثَى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ردّه قدس سره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بشيء،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حكاية ما في التوراة فلا ينسخ القرآن، 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عدم النسخ؛ إذ لا منافاة بينهما، 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 عامّ وهذا خاصّ، وقد تقرّر في الأُصول بناء العامّ على الخاصّ مع التنافي</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بأس بكون ما في التوراة ناسخاً حينما نقله للرسول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زمان نقله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تعالى ناسخاً لما في القرآن يصير ناسخاً له، وما لا يصحّ إنّما هو ناسخيّة ما في الزمان السابق لما يأتي في الزمان اللاحق، كما أنّ الظاهر عدم صحّة التخصيص بالمنفصل المستقلّ الذي لا إشارة فيه إلى العامّ في كتاب الله؛ لكون التخالف بينهما اختلافاً في الكتاب، وهو منفيّ بالكتاب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كانَ مِنْ عِنْدِ غَيْرِ اللهِ لَوَجَدُواْ فِيهِ اخْتِلاَفاً كَثيراً</w:t>
      </w:r>
      <w:r>
        <w:rPr>
          <w:rFonts w:ascii="IRNazanin" w:hAnsi="IRNazanin" w:eastAsia="IRNazanin"/>
          <w:color w:val="111111"/>
          <w:sz w:val="28"/>
          <w:sz w:val="28"/>
          <w:szCs w:val="28"/>
          <w:rtl w:val="true"/>
          <w:lang w:bidi="fa-IR"/>
        </w:rPr>
        <w:t>،</w:t>
      </w:r>
      <w:r>
        <w:rPr>
          <w:rStyle w:val="FootnoteAnchor"/>
          <w:rtl w:val="true"/>
        </w:rPr>
        <w:footnoteReference w:id="454"/>
      </w:r>
      <w:r>
        <w:rPr>
          <w:rFonts w:ascii="Amiri" w:hAnsi="Amiri" w:eastAsia="Amiri" w:cs="Amiri"/>
          <w:color w:val="111111"/>
          <w:sz w:val="28"/>
          <w:sz w:val="28"/>
          <w:szCs w:val="28"/>
          <w:rtl w:val="true"/>
          <w:lang w:bidi="ar-SA"/>
        </w:rPr>
        <w:t>بل الظاهر عدمه مطلقاً ولو في السنة، حيث إنّ الاختلاف موجبٌ للتعارض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من كون التعارض والاختلاف فيهما بدويٌّ، وأنّه مرتفعٌ بالأظهريّة أو الجمع العرفي أو غيرهما من الوجوه المذكورة في محلّها غير تمام، وتفصيله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لسان آية النفس آبية عن التخصيص، بل التخصيص منافٍ للقصاص والمقابلة بالمثل كما لا يخفى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تفسير ابن إبراهيم لا يقاومه في المعارضة؛ للضعف في السند، وبعدم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السند وبعدم السند لنا إلى تفسيره، وبعدم الحجّة والدليل على انتساب كلّ ما فيه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مع ما في تفسير الميزان،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ونسبة هذه الآية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w:t>
      </w:r>
      <w:r>
        <w:rPr>
          <w:rStyle w:val="FootnoteAnchor"/>
          <w:rtl w:val="true"/>
        </w:rPr>
        <w:footnoteReference w:id="455"/>
      </w:r>
      <w:r>
        <w:rPr>
          <w:rFonts w:ascii="Amiri" w:hAnsi="Amiri" w:eastAsia="Amiri" w:cs="Amiri"/>
          <w:color w:val="111111"/>
          <w:sz w:val="28"/>
          <w:sz w:val="28"/>
          <w:szCs w:val="28"/>
          <w:rtl w:val="true"/>
          <w:lang w:bidi="ar-SA"/>
        </w:rPr>
        <w:t>نسبة التفسير، فلا وجه لما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ناسخة لتلك الآية فلا يقتل حرٌّ بعبد ولا رجلٌ بمرأة</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ولقد أجاد فيما أفاد من عدم المنافاة بين الآيتين أصلاً، فإنّ الموضوع في سورة البقرة القصاص والردّ بالمثل بعين ما في سورة المائدة مع الاختلاف في العموميّة وفي بيان المصاديق المحتاجة إلى التفسير، فالظاهر من آية البقرة بيان مصاديق المماثلة؛ لأنّه لا يتعدّى في الردّ ويقتل الحُرّ غير القاتل بالعبد المقتول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يقتل الحُرّ القاتل بالحُرّ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يُقتلَ العبدُ غير القاتل بالحُرّ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ناظرة إلى رفع الأوهام والخرافات الشائعة في الجاهليّة في أمر القصاص، كحكمهم بلزوم قتل حرٍّ غير قاتل بعبدٍ مقتول؛ لما كانوا يرون لعبدهم قيمة وشخصيّة لا يقابلها إلّا الحرّ من طائفة القاتل، أو قصاص عبد غير قاتل بحرٍّ مقتول؛ لما كانوا يرون للحرّ المقتول نقيصة في الشخصيّة الطائفيّة والاجتماعيّة، وكذلك الأمر في الأُنْثَى بِالأُنْثَى</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لذلك ما في شأن نزوله في زبدة البيان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سبب النزول، فالظاهر منه أنّ المقصود نفي تفاضل إحدى الحيّين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الآخر كما كان مرادهم، والمفهوم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لأحدهما 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لنقتلنّ الحرّ منكم بعبدٍ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الذكر بالأُنثى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والاثنين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في الكشّاف</w:t>
      </w:r>
      <w:r>
        <w:rPr>
          <w:rStyle w:val="FootnoteAnchor"/>
          <w:rtl w:val="true"/>
        </w:rPr>
        <w:footnoteReference w:id="457"/>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بِالأُنثَى، وقال في مجمع البيان</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وأقسموا لنقتلنّ بالعبد منّا الحرّ منهم، وبالمرأة منّا الرجل منهم، وبالرجل منّا الرجلين منهم</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وبالجملة؛ إنّ الموضوع في آية البقرة هو القصاص والردّ بالمثل، ومن المعلوم عدم التفاوت بين العبد والحرّ والرجل والمرأة في أصل المنزلة الإنسانيّة والحياة الإنسانيّة والشخصيّة الاجتماعيّة والاقتصاديّة والقوميّة، فإنّ بني آدم كلّهم من تراب ولهم أب واحد وأُمّ واحدة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وَلَكُمْ فِي القِصَاصِ حَيَاةٌ يَا أُولِي الأَلْبَابِ لَعلَّكُمْ تَتَّقُونَ</w:t>
      </w:r>
      <w:r>
        <w:rPr>
          <w:rFonts w:ascii="IRNazanin" w:hAnsi="IRNazanin" w:eastAsia="IRNazanin"/>
          <w:color w:val="111111"/>
          <w:sz w:val="28"/>
          <w:sz w:val="28"/>
          <w:szCs w:val="28"/>
          <w:rtl w:val="true"/>
          <w:lang w:bidi="fa-IR"/>
        </w:rPr>
        <w:t>،</w:t>
      </w:r>
      <w:r>
        <w:rPr>
          <w:rStyle w:val="FootnoteAnchor"/>
          <w:rtl w:val="true"/>
        </w:rPr>
        <w:footnoteReference w:id="460"/>
      </w:r>
      <w:r>
        <w:rPr>
          <w:rFonts w:ascii="Amiri" w:hAnsi="Amiri" w:eastAsia="Amiri" w:cs="Amiri"/>
          <w:color w:val="111111"/>
          <w:sz w:val="28"/>
          <w:sz w:val="28"/>
          <w:szCs w:val="28"/>
          <w:rtl w:val="true"/>
          <w:lang w:bidi="ar-SA"/>
        </w:rPr>
        <w:t xml:space="preserve">فإنّ القصاص هو الردّ بالمثل كما مرّ بيانه، والردّ بالمثل في قتل الرجل المرأة قتله بلا ردّ شيء إلى أهله كعكسه، فردّ النصف من جانب أولياء المرأة زائدٌ عن المقابلة وخارجٌ عن قصاص القاتل بالمقتول، وهو موجبٌ للظلم على المقتولة، فتصير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ومستثناة من عموم حكم القصاص الذي فيه الحياة، وأيّ قصاص مع أنّ المقابلةبالمثل في المسألة وغيرها يتحقّق بقتل القاتل، فإنّ النفس بالنفس، لا بالنفس مع ردّ نصف الدية؟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غير مخالفة لشيء من آيات المسألة، فإنّها مطلقة والأخبار خاصّة ومقيّدة، فيلزم التقييد الذي يدور حوله رحَى السنّة في مقابلة الكتاب، بل السنّة ليست إلّا لبيانه تقييداً أو تخصيصاً، والمخالفة الموجبة لعدم الحجّية هي المخالفة بالتباين لا بالعموم والخصوص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الآيات ليست بأزيد من المطلقات، والأخبار ليست بأزيد من المقيّدات، فأين المخالفة والمباينة حتّى ينتج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الإطلاقات فيها آبية عن التقييد والاستثناء، فالأخبار مباينة معها كما لا يخفى، فهل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رَبُّكَ بِظَلّامٍ لِلْعَبيِدِ</w:t>
      </w:r>
      <w:r>
        <w:rPr>
          <w:rStyle w:val="FootnoteAnchor"/>
          <w:rtl w:val="true"/>
        </w:rPr>
        <w:footnoteReference w:id="461"/>
      </w:r>
      <w:r>
        <w:rPr>
          <w:rFonts w:ascii="Amiri" w:hAnsi="Amiri" w:eastAsia="Amiri" w:cs="Amiri"/>
          <w:color w:val="111111"/>
          <w:sz w:val="28"/>
          <w:sz w:val="28"/>
          <w:szCs w:val="28"/>
          <w:rtl w:val="true"/>
          <w:lang w:bidi="ar-SA"/>
        </w:rPr>
        <w:t xml:space="preserve">إلّا الظلم في قصاص الرجل بالمرأة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الذهاب إلى التقييد والاستثناء كذلك يرجع إلى أنّه سبحانه وتعالى ظالم في هذا الحكم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إلّا لِلّه يَقُصُّ الْحَقَّ</w:t>
      </w:r>
      <w:r>
        <w:rPr>
          <w:rStyle w:val="FootnoteAnchor"/>
          <w:rtl w:val="true"/>
        </w:rPr>
        <w:footnoteReference w:id="462"/>
      </w:r>
      <w:r>
        <w:rPr>
          <w:rFonts w:ascii="Amiri" w:hAnsi="Amiri" w:eastAsia="Amiri" w:cs="Amiri"/>
          <w:color w:val="111111"/>
          <w:sz w:val="28"/>
          <w:sz w:val="28"/>
          <w:szCs w:val="28"/>
          <w:rtl w:val="true"/>
          <w:lang w:bidi="ar-SA"/>
        </w:rPr>
        <w:t xml:space="preserve">إلّا الحكم في هذه المسألة، فإنّه تعالى شأنه حكم فيها بغير الحقّ أو بغير العدل أو بأمثالهما؛ تقييداً واستثناءً من تلك الآيات، وهل لا يكون هذا إلّا قبيحاً في حقّه تعالى ونسبة الظلم وخلاف الحقّ والعدل إليه، وافتراءً على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وإيراد الظلم عليهم بنسبة تلك الأُمور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وإباء اللسان عن التقييد والاستثناء والتخصيص في مثل المورد، ليس إلّا من جهة كون تلك الأُمور راجعة في نظر العرف وفهمهم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الطريق الوحيد في حجّية ظواهر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w:t>
      </w:r>
      <w:r>
        <w:rPr>
          <w:rFonts w:ascii="IRNazanin" w:hAnsi="IRNazanin" w:eastAsia="IRNazanin"/>
          <w:color w:val="111111"/>
          <w:sz w:val="28"/>
          <w:sz w:val="28"/>
          <w:szCs w:val="28"/>
          <w:rtl w:val="true"/>
          <w:lang w:bidi="fa-IR"/>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انتساب شيء</w:t>
      </w:r>
      <w:r>
        <w:rPr>
          <w:rStyle w:val="FootnoteAnchor"/>
          <w:rtl w:val="true"/>
        </w:rPr>
        <w:footnoteReference w:id="465"/>
      </w:r>
      <w:r>
        <w:rPr>
          <w:rFonts w:ascii="Amiri" w:hAnsi="Amiri" w:eastAsia="Amiri" w:cs="Amiri"/>
          <w:color w:val="111111"/>
          <w:sz w:val="28"/>
          <w:sz w:val="28"/>
          <w:szCs w:val="28"/>
          <w:rtl w:val="true"/>
          <w:lang w:bidi="ar-SA"/>
        </w:rPr>
        <w:t>باطل إلى الله سبحانه وتعالى عن ذلك علوّاً كثيراً، وإلى المعصومين الحافظين لحدود الله وأحكامه والذين هم الصراط الأقوم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الإباء في موارد أُخرى يكون ناشئاً من جهات أُخرى، كوجود الحلف والقسم ومثله في بيان الحكم ممّا فيه الدلالة على أهمّيّة الحكم عند الحاكم، بحيث لا يرضى بخروج مورد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إباء اللسان عن التقييد أمرٌ يرجع إلى نظر العرف، وهو الحاكم فيه، فإنّه من شؤون الظواهر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الأخبار غير مخالفة لظاهر القرآن في فهم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أصل الخطاب كما عليه الأخبار،</w:t>
      </w:r>
      <w:r>
        <w:rPr>
          <w:rStyle w:val="FootnoteAnchor"/>
          <w:rtl w:val="true"/>
        </w:rPr>
        <w:footnoteReference w:id="466"/>
      </w:r>
      <w:r>
        <w:rPr>
          <w:rFonts w:ascii="Amiri" w:hAnsi="Amiri" w:eastAsia="Amiri" w:cs="Amiri"/>
          <w:color w:val="111111"/>
          <w:sz w:val="28"/>
          <w:sz w:val="28"/>
          <w:szCs w:val="28"/>
          <w:rtl w:val="true"/>
          <w:lang w:bidi="ar-SA"/>
        </w:rPr>
        <w:t>وإنّما يعرف القرآن من خُوطب به، ومع عدم إحراز المخالفة لا وجه لرفع اليد عن الأخبار وظواهرها، فإنّ الحجّة لا يُرفع اليد عنها إلّا بالحجّة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في عرض الأخبار على الكتاب وسقوطها عن الحجّية بالمخالفة والترجيح بالموافقة، هو ظواهر القرآن بفهم العرف لا بعلمهم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لا يمكن أن يكون الكتاب ميزاناً لعرض الأخبار؛ لاستلزامه الدور كما لا يخفى، ولا يمكن الحكم بالمخالفة ولا الموافقة؛ لاحتمال كونكلّ ما نراه مخالفاً للكتاب موافقاً له بنظرهم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كلّ ما نراه موافقاً له مخالفاً له بنظرهم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معنى </w:t>
      </w:r>
      <w:bookmarkStart w:id="155" w:name="pg9428_72305"/>
    </w:p>
    <w:p>
      <w:pPr>
        <w:pStyle w:val="BookText"/>
        <w:rPr/>
      </w:pPr>
      <w:bookmarkEnd w:id="1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ميزانيّة العرض على الكتاب لصدق الأخبار وكذبها؟ وما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جاءكم يخالف القرآن فلم أقله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عرض الأخبار لا ظواهر القرآن بما هي ظواهر عرفاً، راجع في الحقيقة إلى قول بعض الأخباريّين من عدم حجّية ظواهر القرآن، وأنّها في حكم المتشابه المحتاج إلى بيان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كما ترى</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5797503_2870459653"/>
      <w:bookmarkStart w:id="157" w:name="_Toc52"/>
      <w:bookmarkEnd w:id="156"/>
      <w:r>
        <w:rPr>
          <w:rtl w:val="true"/>
        </w:rPr>
        <w:t>ترجيح أخبار المواسعة على المضايقة بموافقة الكتاب</w:t>
      </w:r>
      <w:bookmarkEnd w:id="157"/>
    </w:p>
    <w:p>
      <w:pPr>
        <w:pStyle w:val="BookText"/>
        <w:rPr/>
      </w:pPr>
      <w:r>
        <w:rPr>
          <w:rFonts w:ascii="Amiri" w:hAnsi="Amiri" w:eastAsia="Amiri" w:cs="Amiri"/>
          <w:color w:val="111111"/>
          <w:sz w:val="28"/>
          <w:sz w:val="28"/>
          <w:szCs w:val="28"/>
          <w:rtl w:val="true"/>
          <w:lang w:bidi="ar-SA"/>
        </w:rPr>
        <w:t xml:space="preserve">وممّا ينبغي نقله هنا ما ذكره صاحب الجواهر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ترجيح أخبار المواسعة على المضايقة بموافقة الكتاب؛ تأييداً لما قلناه وأداءً لقليل من حقّه الكثير علينا وعلى جميع الحوزات العلميّة، وإشارة إلى مدى إحاطته بالأقوال والأخبار والتحقيق في الأدلّة والآثار، ودونك عبارته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وبموافقة الكتاب أيضاً الذي أمرنا بها عند التعارض في عدّة أخبار مذكورة في محلّها للتمييز بين الصادق والكاذب، من حيثإنّه كثر الكذّابة من أهل الأهواء والبدع على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حياتهم وبعد موتهم لتحصيل الأغراض الدنيويّة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رأى جماعة منهم أنّ الأئمّة عليهم السلام حكموا بكثير ممّا اشتهر خلافه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وكشفوا عن المراد بكثير من الآيات والروايات ممّا هو بعيدٌ إلى الأذهان، بل لا يصل إليه عدا المعصوم أحد من أفراد الإنسان، جعلوا ذلك وسيلة إلى الاقتحام على نسبة كثير من الأكاذيب إليهم واختلاق الأضاليل والبدع عليهم، فمن هنا أمر الأئمّة عليهم السلام بالعرض على الكتاب لسلامته من الكذب والاختلاق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المعلوم إرادة النصوص القرآنيّة منه، أو الظواهر التي لا يحتاج فهم معناها إلى العصمة الربانيّة، أو احتاج لكن على سبيل التنبيه للغير، بحيث يكون بعد الوقوف هو الظاهر المراد لديه، لا الآيات التي ورد تفسيرها بالأخبار الظنّيّة التي تلحق من جهتها بالبطون الخفيّة، وعلى فرض صحّتها بالسرّ المخزون والعلم المكنون، إذ ذاك في الحقيقة عرض على الخبر الذي لامزيّة له على المعروض، ضرورة أنّ الكذوب كما يمكنه اختلاق الكذب على الأئمّة عليهم السلام فيما لا يتعلّق بالتفسير كذلك يمكنه الاختلاق فيما يتعلّق به،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طعن في الرجال على جملة من أرباب التفسير الذين شأنهم نقل الأخبار في ذلك عن الأئمّة عليهم السلام كما طعن على أرباب الأخبار، ووجد في التفاسير المنقولة عنهم عليهم السلام أكاذيب وأباطيل كما وجدت في غيرها من الأخبار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فدعوى بعض الناس إرادة الأعمّ من ذلك ممّا لا يصغى إليها وإنبالغ في تأييدها وتشييدها، بل شنّع على الأصحاب بما غيرهم أولى به عند ذوي الألباب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وتفصيل الحال لا يناسب المقام</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انتهى كلامه رفع في الخلد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التفاوت في المسألة بين قصاص الرجل والمرأة عدل وحقّ عند الشارع تعالى في نظامه الأتمّ الأكمل في التشريع، وأنّه يعلم من المصالح والجهات ما لا نعلم شيئاً منها، فضلاً عن كثيرها أو كلّها،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أُوتِيتُمْ مِنَ العِلْمِ إلّا قَلِيلاً</w:t>
      </w:r>
      <w:r>
        <w:rPr>
          <w:rFonts w:ascii="IRNazanin" w:hAnsi="IRNazanin" w:eastAsia="IRNazanin"/>
          <w:color w:val="111111"/>
          <w:sz w:val="28"/>
          <w:sz w:val="28"/>
          <w:szCs w:val="28"/>
          <w:rtl w:val="true"/>
          <w:lang w:bidi="fa-IR"/>
        </w:rPr>
        <w:t>،</w:t>
      </w:r>
      <w:r>
        <w:rPr>
          <w:rStyle w:val="FootnoteAnchor"/>
          <w:rtl w:val="true"/>
        </w:rPr>
        <w:footnoteReference w:id="470"/>
      </w:r>
      <w:r>
        <w:rPr>
          <w:rFonts w:ascii="Amiri" w:hAnsi="Amiri" w:eastAsia="Amiri" w:cs="Amiri"/>
          <w:color w:val="111111"/>
          <w:sz w:val="28"/>
          <w:sz w:val="28"/>
          <w:szCs w:val="28"/>
          <w:rtl w:val="true"/>
          <w:lang w:bidi="ar-SA"/>
        </w:rPr>
        <w:t>وإن لم يكن الحكم عدلاً عندنا، لكنّ الله تعالى هو الحاكم الذي يقصّ الحقّ وهو خير الحاكمين، وإنِ الْحُكْمُ إلّا لِلّه</w:t>
      </w:r>
      <w:r>
        <w:rPr>
          <w:rFonts w:ascii="IRNazanin" w:hAnsi="IRNazanin" w:eastAsia="IRNazanin"/>
          <w:color w:val="111111"/>
          <w:sz w:val="28"/>
          <w:sz w:val="28"/>
          <w:szCs w:val="28"/>
          <w:rtl w:val="true"/>
          <w:lang w:bidi="fa-IR"/>
        </w:rPr>
        <w:t>،</w:t>
      </w:r>
      <w:r>
        <w:rPr>
          <w:rStyle w:val="FootnoteAnchor"/>
          <w:rtl w:val="true"/>
        </w:rPr>
        <w:footnoteReference w:id="471"/>
      </w:r>
      <w:r>
        <w:rPr>
          <w:rFonts w:ascii="Amiri" w:hAnsi="Amiri" w:eastAsia="Amiri" w:cs="Amiri"/>
          <w:color w:val="111111"/>
          <w:sz w:val="28"/>
          <w:sz w:val="28"/>
          <w:szCs w:val="28"/>
          <w:rtl w:val="true"/>
          <w:lang w:bidi="ar-SA"/>
        </w:rPr>
        <w:t>فعدم كونه عدلاً وحقّاً عندنا لا بأس به وغير مضرٍّ بالتشريع والحكم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بحسب الثبوت كما ذكر، والاحتمال نافع في ذلك المقام، وفي إثبات الإمكان بالنسبة إلى الحكم القطعي الإلهي المخالف لما عندنا من مفهوم العدل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مقام الإثبات، ونسبة الحكم إلى الله تعالى واستنباطه من الأدلّة والأمارات الظنّيّة في جهة من الجهات التي عليها يدور حجر رحى الفقه والاستدلال، فلابدّ من كون الدليل على الحكم من الأخبار غير مخالف لظواهر الكتاب وآيات العدل والحقّ، وطبقاً لما يفهمه العرف كما مرّتحقيقه،</w:t>
      </w:r>
      <w:r>
        <w:rPr>
          <w:rStyle w:val="FootnoteAnchor"/>
          <w:rtl w:val="true"/>
        </w:rPr>
        <w:footnoteReference w:id="472"/>
      </w:r>
      <w:r>
        <w:rPr>
          <w:rFonts w:ascii="Amiri" w:hAnsi="Amiri" w:eastAsia="Amiri" w:cs="Amiri"/>
          <w:color w:val="111111"/>
          <w:sz w:val="28"/>
          <w:sz w:val="28"/>
          <w:szCs w:val="28"/>
          <w:rtl w:val="true"/>
          <w:lang w:bidi="ar-SA"/>
        </w:rPr>
        <w:t>وإلّا لا يبقى معنى ومحلّ لميزانيّة القرآن للأخبار كما لا يخفى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الظاهر وقوع الخلط في هذا الإشكال بين مقامي الثبوت والإثبات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فتدبّر جيّداً واغتنم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هنا بنقل ما عليه الأُستاذ الشهيد المطهّري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المسألة، ودونك عبارته المترجمة إلى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العدل من مقاييس الإسلام الذي يجب أن يلاحظ ماذا ينطبق عليه، إنّ العدالة في سلسلة علل الأحكام لا في سلسلة المعلولات، فإنّه ليس الأمر أنّ ما قاله الدين هو العدل، بل ما هو عدل يقوله الدين، وهذا معنى كون العدل مقياساً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البحث في أنّ الدين مقياس للعدالة، أو العدالة مقياس للدين؟ إنّ القداسة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هو مقياس العدالة، لكن الحقيقة ليست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نظير ما شاع بين المتكلّمين في باب الحسن والقبح العقليين، والشيعة والمعتزلة صاروا عدليّة؛ أي اعتبروا العدل مقياساً للدين لا الدين مقياساً للعدل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الدليل جعل العقل أحد الأدلّة الشرعيّة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والتوحيد علويّان، والجبر والتشبيه أمويّان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الجاهليّة كانوا يعتبرون الدين مقياساً للعدل والحسن والقبح، ولهذا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في سورة الأعراف أنّهم كانوا يحسبون كلّ عمل قبيح على عاتق الدين ويجيبهم القرآن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اللهَ لا يَأمُرُ بِالْفَحْشَاءِ</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ممّا ذكرت عدم حجّية هذه الأخبار الكثيرة المنقولة عن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واحد من أعاظم المحدّثين من الأصحاب البالغة إلى خمسة عشر حديثاً تقريباً، مع ما فيها من الصحاح، ومع رواية هؤلاء الكبار من المحدّثين،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بهذه الاستبعادات والاعتبارات، بل ما نعتبره ونقف عليه هو الأدلّة والضوابط والقواعد الرائجة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ينتقض الإشكال هنا بباب أخبار التحريف، مع ما لها من الكثرة، ففي مرآة العقول في شرح خبر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القرآن الذي جاء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عشر ألف 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هذا الخبر وكثير من الأخبار الصحيحة صريحة في نقص القرآن وتغييره، وعندي أنّ الأخبار في هذا الباب متواترة معنىً، وطرح جميعها يوجب رفع الاعتماد عن الأخبار رأساً، بل ظنّي أنّ الأخبار في هذا الباب لا يقصر عن أخبار الإمامة</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فانظر إلى عبارة العلّامة المجلسي الظاهرة بل الصريحة في كثرة أخبار التحريف، وأنّ كثيراً منها من الصحاح، وأنّها في الكثرة والصحّة إلى حدٍّ يكون رفع اليد عنها موجباً لرفع الاعتماد عن الأخبار رأساً، وأنّها لا تقصر عن أخبار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خبيرٌ بأنّ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تلك الكثرة والصحّة المذكورة فيكلامه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مطروحة طرّاً وساقطة عن الحجّية رأساً؛ لما فيها من المخالفة للكتاب والسنّة والعقل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عن لزوم عدم حجّية أخبار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مختارنا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القول بعدم حجّية أخبار باب التحريف، بل الأمر فيما نحن فيه أسهل؛ لكونها أقلّ منها بمراتب، ولا تبلغ في غايتها إلى أكثر من عشرين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ما هو الجواب هناك هو الجواب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ورد في المسائل الفرعيّة ممّا تكون مخالفة للكتاب في الكتب الأربعة مع الأسانيد المعتبرة، مع أنّ مخالفته له اليوم أظهر من مخالفته له بالأمس، وأبين من الشمس في رابعة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في الكافي عن عليّ بن إبراهيم، عن محمّد بن عيسى بن عبيد، عن يونس،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الرجم في القرآن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زنى الشيخ والشيخة فارجموهما البتّة، فإنّهما قضيا الشهوة</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في الفقيه في الصحيح عن هشام بن سالم،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رجم؟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والشيخة فارجموهما البتّة، فإنّهما قضيا الشهوة</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في التهذيب في الصحيح أيضاً، عن يونس بن عبدالرحمان،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الرجم في القرآن قوله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الشيخ والشيخة فارجموهما البتّة، فإنّهما قضيا الشهوة</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فانظر إلى أُولئك المشايخ العِظام الذين هم أئمّة الحديث والفقه، كيف لم يتوجّهوا إلى مخالفة تلك الأخبار للكتاب ولم يتعرّضوا لها أصلاً، بل لا يبعد إفتاؤهم بها، كما يظهر من عناوين الأبواب ممّا ذكروها في مقدّمات كتبهم، لا سيّما الفقيه ، بل ولا سيّما التهذيب المتعرّض لشذوذ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ينبغي نقله هنا أيضاً ما ذكره الشيخ في التهذيب في ترجيح الأخبار الدالّة على حرمة أُمّهات النساء، وإن لم يدخل ببنتها على ما دلّ على حرمتها مع الدخول بالبنت، بمخالفة الطائفة الثانية لظاهر الكتاب، دونك عبارته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 إلّا مَا قَدْ سَلَفَ إِنَّ اللهَ كَانَ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وَالمُحْصَناتُ مِنَ النِّساءِ إلّا مَا مَلَكَتْ أَيْمانُكُمْ كِتَابَ اللهِ عَلَيْكُمْ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0"/>
      </w:r>
      <w:r>
        <w:rPr>
          <w:rFonts w:ascii="Amiri" w:hAnsi="Amiri" w:eastAsia="Amiri" w:cs="Amiri"/>
          <w:color w:val="111111"/>
          <w:sz w:val="28"/>
          <w:sz w:val="28"/>
          <w:szCs w:val="28"/>
          <w:rtl w:val="true"/>
          <w:lang w:bidi="ar-SA"/>
        </w:rPr>
        <w:t>فجميع ما تضمّنت هذه الآية ذكرهنّ فإنّهنّ يُحرّمن بالنكاح علىكلّ حالٍ وبأيّ وجهٍ كان من وجوه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غبطة، أونكاح متعة، أو ملك أيمان 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أُمّهات النساء فلا يعتبر فيهنّ أكثر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عليهنّ، ولا اعتبار بالدخول بهنّ؛ لأنّ الآية مطلقة غير مقيّدة، فليس لنا أن نشترط فيها ما ليس في ظاهرها إلّا بدليل يقطع العذر، ويؤ‌يّد هذا الظاهر أيضاً ما رواه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أحمد بن يحيى، عن الحسن بن موسى الخشّاب، عن غياث بن كلّوب، عن إسحاق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الربائب عليكم حرامٌ مع الأُمّهات اللاتي قد دخلتم بهنّ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في الحجور وغير الحجور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والأُمّهات مبهمات دُخل بالبنات أم لم يدخل بهنّ، فحرِّموا وأبهِموا ما أبهم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بن عيسى، عن محمّد بن يحيى، عن غياث بن إبراهيم،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المرأة حرمت عليه ابنتها إذا دخل بالأُمّ، فإذا لم يدخل بالأُمّ فلا بأس أن يتزوّج بالابنة، وإذا تزوّج الابنة فدخل بها أو لم يدخل بها فقد حرمت عليه الأُمّ،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الربائب عليكم حرامٌ، كنّ في الحجر أو لم يكن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الصفّار، عن محمّد بن الحسين بن أبي الخطّاب،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امرأة، ثمّ طلّقها قبل أن يدخل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 له ابنتها ولا تحلّ له أُمّها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رواه الحسين بن سعيد، عن ابن أبي عمير، عن جميل بن درّاج وحمّاد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 والبنت سواء إذا لم يدخل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إذا تزوّج المرأة، ثمّ طلّقها قبل أن يدخل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 شاء تزوّج أُمّها وإن شاء ابنتها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محمّد بن يعقوب، عن أبي عليّ الأشعري، عن محمّد بن عبدالجبّار ومحمّد بن إسماعيل، عن الفضل بن شاذان، عن صفوان بن يحيى،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رجل فسأله عن رجل تزوّج امرأة فماتت قبل أن يدخل بها أيتزوّج بأُمّها؟ فقال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فعله رجل منّا فلم نر 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تفخر الشيعة إلّا بقضاء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السمجيّة التي أفتى بها ابن مسعود أنّه لا بأس بذلك، ثمّ أتى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أين أخذتها؟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وَرَبَائبُكُمُ اللّاتِي فِي حُجُورِكُمْ مِنْ نِسَائِكُمُ اللّاتِي دَخَلْتُمْ بِهِنَّ فَإنْ لَمْ تَكُونُوا دَخَلْتُمْ بِهِنَّ فَلاَ جُنَاحَ عَلَيْكُمْ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مستثناة وهذه مرسلة وأُمّهات نسائكم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تسمع ما يروي هذا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قمتُ ندمتُ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صنعت، يقول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فعله رجل منّا فلم نرَ به بأساً، وأقول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فلقيته بعد 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الرجل إنّما كان الذي كنت تقول كان زلّة منّي فما تقول فيها؟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تخبرني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فيها وتسألني ما تقول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فهذان الخبران قد وردا شاذّين مخالفَين لظاهر كتاب الله، وكلّ حديث ورد هذا المورد فإنّه لا يجوز العمل عليه؛ لأنّه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منّا حديث فاعرضوه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الله، فما وافق كتاب الله فخذوه، وما خالفه فاطرحوه أو ردّوه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الخبران مخالفان على ما ترى لظاهر كتاب الله، والأخبار المسندة أيضاً المفصّلة، وما هذا حكمه لا يجوز العمل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الذي رواه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الصفّار، عن محمّد بن عبد الجبّار، عن العبّاس بن معروف، عن صفوان بن يحيى،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ودخل بها ثمّ ماتت، أ يحل له أن يتزوّج أُمّها؟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يحلّ له أُمّها وقد دخل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تزوّج امرأة فهلكت قبل أن يدخل بها، تحلّ له أُمّها؟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الذي يحرم عليه منها ولم يدخل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فهذا الخبر أيضاً لاحق بالخبرين الأوّلين في شذوذه وكونه مضادّاً ومخالفاً لظاهر القرآن، وما هذا حكمه لا يعمل عليه</w:t>
      </w:r>
      <w:r>
        <w:rPr>
          <w:rFonts w:eastAsia="Amiri" w:cs="Amiri" w:ascii="Amiri" w:hAnsi="Amiri"/>
          <w:color w:val="111111"/>
          <w:sz w:val="28"/>
          <w:szCs w:val="28"/>
          <w:rtl w:val="true"/>
          <w:lang w:bidi="ar-SA"/>
        </w:rPr>
        <w:t>.</w:t>
      </w:r>
      <w:r>
        <w:rPr>
          <w:rStyle w:val="FootnoteAnchor"/>
          <w:rtl w:val="true"/>
        </w:rPr>
        <w:footnoteReference w:id="48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نفي الاستبعاد من رأس هو الالتفات إلى ما وقع منالدسّ الكثير في الأخبار كما يظهر للمراجع، وعليه اتّفاق الأخيار من أُولي الأبصار، ولنكتف هنا بصحيح يونس بن عبد الرحمن، ففي رجال الكشّي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حدّثني محمّد بن قولويه والحسين بن الحسن بن بندار القمّي،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عيسى بن عبيد، عن يونس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أصحابنا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سأل عن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أشدّك في الحديث وأكثر إنكارك لما يرويه أصحابنا، فما الذي يحملك على ردّ الأحاديث؟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هشام بن الحكم أنّه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تقبلوا علينا حديثاً إلّا ما وافق القرآن والسنّة، أو تجدون معه شاهداً من أحاديثنا المتقدّمة، فإنّ المغيرة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 في كتب أصحاب أبي أحاديث لم يحدّث بها أبي، فاتّقوا الله ولا تقبلوا علينا ما خالف قول ربّنا تعالى وسنّة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فإنّا إذا حدّثنا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وافيت العراق فوجدت بها قطعة من أصحاب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أصحاب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متوافرين، فسمعت منهم وأخذت كتبهم، فعرضتها من بعد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فأنكر منها أحاديث كثيرة أن تكون من أحاديث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الخطّاب كذب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لعن الله أبا الخطّاب، وكذلك أصحاب أبي الخطّاب يدسّون هذه الأحاديث إلى يومنا هذا في كتب أصحاب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تقبلوا علينا خلافالقرآن، فإنّا إن تحدّثنا حدّثنا بموافقة القرآن وموافقه السنّة، إنّا عن الله وعن رسوله نحدّث، ولا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وفلانٌ، فيتناقض كلامنا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كلام آخرنا مثل كلام أوّلنا وكلام أوّلنا مصدّق لكلام آخرنا، فإذا أتاكم من يحدّثكم بخلاف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فردّوه عليه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وما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كلّ قول منّا حقيقة وعليه نوراً، فما لا حقيقة معه ولا نور عليه فذلك من قول الشيطان</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السند صحيحٌ، فالرواية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في دسّ تلك الأخبار المخالفة للعامّة؟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الفائدة والسرّ في دسّها هو إيجاد العداوة والنفرة في النساء بالنسبة إلى الأئمّة، بل وإلى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ينفضّ الناس من حولهم ويقلّ محبّوهم وشيعتهم، بل ويقلّ المسلمون، وكيف لا يكون كذلك مع الحكم بالتفاوت بين الرجل والمرأة في المسألة، ومع إيجاد أرضيّة الإيراد والإشكال على الإسلام، والخدشة في فقه الشيعة؛ ليصبح مانعاً عن توجّه الناس سيّما الشباب منهم إلى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أخبار التحريف مشتركة في هذه الجهة مع أخبار المسألة، حيث إنّ مذهب العامّة هو عدم التحريف، فكما أنّ دسّ أخبار التحريف في الأخبار كان لتنفير الناس عن مذهب الشيعة، والافتراء عليهم باعتقادهم التحريف في القرآن كالإنجيل والتوراة، وأنّ خلافة أئمّتهم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يثبتونها ويستدلّون عليها بقرآن آخر وبالمحرّفات من القرآن بالقرآن الرائج، فكذلك الكلام في أخبار المسألة حرفاً بحرفٍ</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بين الرجل والمرأة في القصاص ووجوب ردّ النصفعند قصاص الرجل بالمرأة ناشئ من وجوب النفقة على الرجل، وأنّ قوام المعيشة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والاقتصاد به، فعند قصاصه بالمرأة يجب ردّ نصف الدية إلى أهله؛ قضاءً للنقص الوارد في معيشتهم بقتل الرجل قصاصاً، وأنّ ما لا يدرك كلّه لا يترك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التفاوت كذلك شعري واعتباري وأنّ كلّيته منتقضة بالصغار والشيوخ والأعرجين والزمنة ومَن ليس لهم معيشة من الرجال، وبالنساء الشاغلات ومَن كنّ منهنّ ذوات فعّاليّات اقتصاديّة دخيلة في المعيشة ممّا تكون كثيرة في زماننا هذا،</w:t>
      </w:r>
      <w:r>
        <w:rPr>
          <w:rStyle w:val="FootnoteAnchor"/>
          <w:rtl w:val="true"/>
        </w:rPr>
        <w:footnoteReference w:id="483"/>
      </w:r>
      <w:r>
        <w:rPr>
          <w:rFonts w:ascii="Amiri" w:hAnsi="Amiri" w:eastAsia="Amiri" w:cs="Amiri"/>
          <w:color w:val="111111"/>
          <w:sz w:val="28"/>
          <w:sz w:val="28"/>
          <w:szCs w:val="28"/>
          <w:rtl w:val="true"/>
          <w:lang w:bidi="ar-SA"/>
        </w:rPr>
        <w:t>وبدّية الحمل بعد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ابتناء الفقه وأحكامه العالية الإلهيّة به، وهو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الأخبار من تعليل عدم الردّ بأنّه لا يجني الجاني بأكثر من جنايته على نفسه، ومضافاً إلى أنّ الدية ما يعطى في الدم وعوضاً عنه، ففي مفردات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ووديت القتيل أعطيت ديته، ويقال لما يعطى في الدم 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فلا ارتباط بينه وبين المعيشة والاقتصاد، وإنّما يكون ارتباطه بالدم بما هو دم ووسيلة للحياة ومورد ومحلّ لنفس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مخالفة أخبار المسألة للكتاب، ومنه يظهر مخالفتها للسنّة المماثلة لتلك الآيات المتضمّنة لإثبات العدل والحكمة لله تعالى وتقبيح ونفي الظلم منه تعالى، وغيرها أيضاً كما هو ظاهر، بل ومخالفتها للعقل والقواعد المسلّمة، فإنّ العقل حاكم بقبح الظلم لا سيّما من الشارع تعالى، بل منه محالٌ، كما أنّ من الأُصول والقواعد المسلّمة كون الأحكامالشرعيّة كلّها عدلاً وحقّاً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الإشكال على الأخبار بالمخالفة، وقد ظهر ممّا مرّ أنّ هذه </w:t>
      </w:r>
      <w:bookmarkStart w:id="158" w:name="pg9428_72320"/>
    </w:p>
    <w:p>
      <w:pPr>
        <w:pStyle w:val="BookText"/>
        <w:rPr/>
      </w:pPr>
      <w:bookmarkEnd w:id="1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المخالفة سبب لعدم حجيّتها على كثرتها</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5797505_2870459653"/>
      <w:bookmarkStart w:id="160" w:name="_Toc53"/>
      <w:bookmarkEnd w:id="159"/>
      <w:r>
        <w:rPr>
          <w:rtl w:val="true"/>
        </w:rPr>
        <w:t>مخالفة الأخبار المستدلّ بها مع الأخبار الأُخر في المسألة</w:t>
      </w:r>
      <w:bookmarkEnd w:id="160"/>
    </w:p>
    <w:p>
      <w:pPr>
        <w:pStyle w:val="BookText"/>
        <w:rPr/>
      </w:pPr>
      <w:r>
        <w:rPr>
          <w:rFonts w:ascii="Amiri" w:hAnsi="Amiri" w:eastAsia="Amiri" w:cs="Amiri"/>
          <w:color w:val="111111"/>
          <w:sz w:val="28"/>
          <w:sz w:val="28"/>
          <w:szCs w:val="28"/>
          <w:rtl w:val="true"/>
          <w:lang w:bidi="ar-SA"/>
        </w:rPr>
        <w:t>هذا، مع معارضتها للأخبار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مريم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عبدالغفّار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امرأة قتلت رجلاً،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ويؤدّي وليّها بقيّة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محمّد بن عليّ بن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الدية</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وصرّح في التهذيب بتكرّر الرواية في الكتب في مواضع،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شاذّة، ما رواها غير أبي مريم الأنصاري وإن تكرّرت في الكتب في مواضع</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رجلاً بامرأة قتلها عمداً، وقتل امرأة قتلت رجلاً عمداً</w:t>
      </w:r>
      <w:r>
        <w:rPr>
          <w:rFonts w:eastAsia="IRNazanin" w:cs="IRNazanin"/>
          <w:color w:val="111111"/>
          <w:sz w:val="28"/>
          <w:szCs w:val="28"/>
          <w:rtl w:val="true"/>
          <w:lang w:bidi="fa-IR"/>
        </w:rPr>
        <w:t>».</w:t>
      </w:r>
      <w:r>
        <w:rPr>
          <w:rStyle w:val="FootnoteAnchor"/>
          <w:rtl w:val="true"/>
        </w:rPr>
        <w:footnoteReference w:id="48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إسحاق بن عمّار،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قتلامرأة فلم يجعل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 قصاصاً وألزمه الدية</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وإن كانت مختلفة مضموناً، لكنّها مشتركة في المعارضة والمخالفة لتلك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في معارضة الموثّقة لتلك الأخبار، ومع كون الترجيح معها للموافقة مع الكتاب المقدّمة على بقيّة المرجّحات المنصوصة فضلاً عن غيرها، كفاية في تقديمها عليها، وفي ردّ علم تلك الأخبار الكثيرة إلى أهلها، وكثرتها وأصحّيتها وأوضحيّة دلالتها وغيرها من المزايا على الموثّقة الموافقة للكتاب، كما حقّقناه في محلّه، فإنّها مقدّمة على المرجّحات المنصوصة فضلاً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المزيّة تكون مقدّمة على خبري أبي مريم وإسحاق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العمدة من أدلّتهم وهي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بكون دية المرأة نصف دية الرجل، المستلزم لردّ النصف في قصاص الرجل بالمرأة، وهو الوجه الثاني من الوجوه الأربعة على ما تقدّم ذكره</w:t>
      </w:r>
      <w:r>
        <w:rPr>
          <w:rFonts w:eastAsia="Amiri" w:cs="Amiri" w:ascii="Amiri" w:hAnsi="Amiri"/>
          <w:color w:val="111111"/>
          <w:sz w:val="28"/>
          <w:szCs w:val="28"/>
          <w:rtl w:val="true"/>
          <w:lang w:bidi="ar-SA"/>
        </w:rPr>
        <w:t>.</w:t>
      </w:r>
      <w:r>
        <w:rPr>
          <w:rStyle w:val="FootnoteAnchor"/>
          <w:rtl w:val="true"/>
        </w:rPr>
        <w:footnoteReference w:id="48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إلى النقض بعكسه اللازم منه ردّ نصف الدية إلى أهل الرجل المقتول زائداً على قصاص المرأة ليرتفع النقصان، ومضافاً إلى أنّه اجتهادٌ في مقابل النصّ؛ لما فيه من التعليل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يجني الجاني على أكثر من نفسه</w:t>
      </w:r>
      <w:r>
        <w:rPr>
          <w:rFonts w:eastAsia="IRNazanin" w:cs="IRNazanin"/>
          <w:color w:val="111111"/>
          <w:sz w:val="28"/>
          <w:szCs w:val="28"/>
          <w:rtl w:val="true"/>
          <w:lang w:bidi="fa-IR"/>
        </w:rPr>
        <w:t>»</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كذلك منوطٌ بتماميّةالمبنى، لكنّه عندي محلّ إشكال ومنع، 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الأقوى تساوي دية المرأة مع الرجل؛ قضاءً لإطلاق الأخبار الكثيرة الواردة في بيان مقدار الدية التي جمعها الوسائل في الباب الأوّل من أبواب الديات</w:t>
      </w:r>
      <w:r>
        <w:rPr>
          <w:rStyle w:val="FootnoteAnchor"/>
          <w:rtl w:val="true"/>
        </w:rPr>
        <w:footnoteReference w:id="491"/>
      </w:r>
      <w:r>
        <w:rPr>
          <w:rFonts w:ascii="Amiri" w:hAnsi="Amiri" w:eastAsia="Amiri" w:cs="Amiri"/>
          <w:color w:val="111111"/>
          <w:sz w:val="28"/>
          <w:sz w:val="28"/>
          <w:szCs w:val="28"/>
          <w:rtl w:val="true"/>
          <w:lang w:bidi="ar-SA"/>
        </w:rPr>
        <w:t>وبلغت عددها فيه إلى أربعة عشر حديثاً، وليست في تلك الأخبار من التفصيل بين دية الرجل والمرأة بالكمال والتنصيف أثر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الرجل مائة من الإبل</w:t>
      </w:r>
      <w:r>
        <w:rPr>
          <w:rFonts w:eastAsia="Amiri" w:cs="Amiri" w:ascii="Amiri" w:hAnsi="Amiri"/>
          <w:color w:val="111111"/>
          <w:sz w:val="28"/>
          <w:szCs w:val="28"/>
          <w:rtl w:val="true"/>
          <w:lang w:bidi="ar-SA"/>
        </w:rPr>
        <w:t>...»</w:t>
      </w:r>
      <w:r>
        <w:rPr>
          <w:rStyle w:val="FootnoteAnchor"/>
          <w:rtl w:val="true"/>
        </w:rPr>
        <w:footnoteReference w:id="492"/>
      </w:r>
      <w:r>
        <w:rPr>
          <w:rFonts w:ascii="IRNazanin" w:hAnsi="IRNazanin" w:eastAsia="IRNazanin"/>
          <w:color w:val="111111"/>
          <w:sz w:val="28"/>
          <w:sz w:val="28"/>
          <w:szCs w:val="28"/>
          <w:rtl w:val="true"/>
          <w:lang w:bidi="fa-IR"/>
        </w:rPr>
        <w:t xml:space="preserve">فيه إشعارٌ ضعيفٌ بالاختصاص بالرجل في مقابل المرأة، لكن مع أنّ التعبير بالرجل رائج في الأخبار والمكالمات من دون خصوصيّة فيه، بل يكون ذكره للتعارف والرواج، ومع أنّ في تقييد تلك الإطلاقات الكثيرة بهذا الخبر المشعر بالتقييد، مع ما فيه من عدم العلم بكونه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ذكر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فلعلّه من أبي بصير أو شخص آخر، ومع ما في سنده من الضعف باشتراك أبي بصير وعدم معلوميّة إبراهيم وأبي جعفر، الواقعين في السند قبل ابن أبي حمزة، ما لا يخفى من الضعف وعدم التماميّة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كونه مخالفاً لجميع أخبار الباب ومعرضاً عنه؛ لما فيه من الترتيب بين الإبل والبقر والكبش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الرجل مائة من الإبل، فإنلم يكن فمن البقر بقيمة ذلك، فإن لم يكن فألف كبش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ترتيب بين أُصول الدية نصّاً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وفتوىً، لكنّ الظاهر من عبارات الأصحاب كون النصّ والإجماع على التفاوت، وأنّ دية المرأة على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خلاف ولا إشكال نصّاً وفتوىً في أنّ دية المرأة الحرّة المسلّمة، صغيرة كانت أو كبيرة، عاقلة أو مجنونة، سليمة الأعضاء أو غير سليمتها، على النصف من جميع الأجناس المذكورة في العمد وشبهه والخطأ، بل الإجماع بقسميه عليه، بل المحكيّ منهما مستفيض أو متواتر كالنصوص، بل هو كذلك من المسلمين كافّة إلّا من ابن عليّة والأصمّ،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كالرجل،</w:t>
      </w:r>
      <w:r>
        <w:rPr>
          <w:rStyle w:val="FootnoteAnchor"/>
          <w:rtl w:val="true"/>
        </w:rPr>
        <w:footnoteReference w:id="493"/>
      </w:r>
      <w:r>
        <w:rPr>
          <w:rFonts w:ascii="Amiri" w:hAnsi="Amiri" w:eastAsia="Amiri" w:cs="Amiri"/>
          <w:color w:val="111111"/>
          <w:sz w:val="28"/>
          <w:sz w:val="28"/>
          <w:szCs w:val="28"/>
          <w:rtl w:val="true"/>
          <w:lang w:bidi="ar-SA"/>
        </w:rPr>
        <w:t>وقد سبقهما الإجماع ولحقهما، بل لم يعتدّ بخلافهما من حكى إجماع الأُمّة غير مشير إليهما،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فمن الإبل خمسون، ومن الدينار خمسمائة، وهكذا كما هو واضح</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وفي الرياض</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دية قتل المرأة الحرّة المسلمة، فعلى النصف من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التقادير الستّة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الإبل خمسون، ومن الدنانير خمسمائة، وهكذا؛ إجماعاً محقّقاً ومحكيّاً في كلام جماعة حدّ الاستفاضة وهو الحجّة، مضافاً إلى الصحاح المستفيضة وغيرها من المعتبرة التي كادت تكون متواترة،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مرّ في بحث تساوي الرجل والمرأة في دية الجراحات ما يبلغ الثلثوغيره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المرأة نصف دية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والصحيح عن رجل قتل امرأة خطأ وهي على رأس الولد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تمخض،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 خمسة آلاف درهم</w:t>
      </w:r>
      <w:r>
        <w:rPr>
          <w:rFonts w:eastAsia="Amiri" w:cs="Amiri" w:ascii="Amiri" w:hAnsi="Amiri"/>
          <w:color w:val="111111"/>
          <w:sz w:val="28"/>
          <w:szCs w:val="28"/>
          <w:rtl w:val="true"/>
          <w:lang w:bidi="ar-SA"/>
        </w:rPr>
        <w:t>...»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وصريح العبارتين من ذينك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كغيرهما من العبائر في بقيّة الكتب الفقهيّة المماثلة لهما في الاستدلال والنقض والإبرام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المسألة إجماعيّة وعليها النصوص، وفي الثانية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صحاحٌ مستفيضة وغير مستفيضة معتبرة كادت أن تكون متواترة، وفي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المسلمين كافّة إلّا من ابن عليّة والأصمّ إلى إجماع الإماميّة، لكنّه مع ذلك كلّه فيها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مجمع الفائدة ذكر في مقام الاستدلال على المسألة في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إجماع أو نصٌّ ما اطّلعت عليه</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آخره، كأنّ دليله الإجماع والأخبار وقد مرّت، فتذكّر</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فانظر إلى ما في عبارة المجمع وعبارتي الجواهر والرياض من الاختلاف الشديد في الاستدلال بالإجماع والأخبار، ففي عبارتيهما الجزم وفي عبارته الشكّ والظنّ؛ لمكان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الاختلاف في وجوههما، ففيهما الجزم بذلك أيضاً، بل الجزم بالمرتبة العالية من الإجماع في الجواهر، وبالكثرة في الأخبار في الثاني كما مرّ بيانه، وفيه الشكّ فيأصل وجودهما من رأس، وكأنّهما كانا وما اطّلع عليهما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المجمع من الدقّة، مع ما فيه من الإشعار، بل الظهور في عدم الجزم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بالمعروف من حكم المسألة؛ لعدم جزمه بما استدلّوا به من الأخبار والإجماع، جرأةً لأمثالنا من البحث في المسألة، فإنّه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في الثقة والجلالة والفضل والنبالة والزهد والديانة والورع والأمانة أشهر من أن يحيط به قلم أو يحويه رقم، ومع ما له من مقامات وكرامات خاصّة به، إذا لم يكن جازماً بمثل حكم المدّعى عليه اتّفاق المسلمين وتواتر أخبار الخاصّة، فلا خوف لنا في تحقيق المسألة وإثبات ما عليه من الدقّة في الأخبار والآثار، وإثبات أنّ دية المرأة كدية الرجل دية كاملة؛ قضاءً للأصل؛ أي إطلاق الأدلّة، كما مرّ تحقيقه في أوّل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لمثله ولمثل سيّدنا الأُستاذ من العلماء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لهم من الدقّة والنقض والإبرام في المسائل والفحص والبحث عنها، الموجبة لعدم الجمود على آراء الماضين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وللجرأة على نقض آرائهم، ولانفتاح باب الاجتهاد على الدوام وجذب الناس إلى الإسلام، لما في اجتهاداتهم من السهولة في الأحكام وتساوي الناس في الحقوق ورعاية تأثير الزمان والمكان في استنباط الأحكام، كتأثيره في مصاديق الموضوعات، حقٌّ عظيم على الفقه والفقاهة والاجتهاد والدراية وعلى الحوزات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صانها الله عن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حقوقهم مختلفة حسب قدر تلك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w:t>
      </w:r>
      <w:r>
        <w:rPr>
          <w:rFonts w:ascii="IRNazanin" w:hAnsi="IRNazanin" w:eastAsia="IRNazanin"/>
          <w:color w:val="111111"/>
          <w:sz w:val="28"/>
          <w:sz w:val="28"/>
          <w:szCs w:val="28"/>
          <w:rtl w:val="true"/>
          <w:lang w:bidi="fa-IR"/>
        </w:rPr>
        <w:t>،</w:t>
      </w:r>
      <w:r>
        <w:rPr>
          <w:rStyle w:val="FootnoteAnchor"/>
          <w:rtl w:val="true"/>
        </w:rPr>
        <w:footnoteReference w:id="498"/>
      </w:r>
      <w:r>
        <w:rPr>
          <w:rFonts w:ascii="Amiri" w:hAnsi="Amiri" w:eastAsia="Amiri" w:cs="Amiri"/>
          <w:color w:val="111111"/>
          <w:sz w:val="28"/>
          <w:sz w:val="28"/>
          <w:szCs w:val="28"/>
          <w:rtl w:val="true"/>
          <w:lang w:bidi="ar-SA"/>
        </w:rPr>
        <w:t>وَلِكُلٍّ دَرَجَاتٌ مِمَّا عَمِلُوا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أخبار المسألة ونصوصها على طوائف ثلاثة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المخصوصة بالباب؛ أي الدية بما هي دية، يعني الضماني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كدية الخطأ وشبه العمد والعمد الذي ليس فيه القصاص، وهي 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عبدالله بن مسكان؛ محمّد بن يعقوب، عن عليّ بن إبراهيم، عن محمّد بن عيسى، عن يونس، عن عبدالله بن مسكان،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دية المرأة نصف دية الرجل</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عنه أيضاً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دية الجنين،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أُنشئ فيه الروح فديته ألف دينار أو عشرة آلاف درهم إن كان ذكراً، وإن كان أُنثى فخمسمائة دينار، وإن قتلت المرأة وهي حبلى فلم يدر أ ذكراً كان ولدها أم أُنثى، فدية الولد نصف دية الذكر ونصف دية الأُثنى، وديتها كاملة</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وأبي عبيدة،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قتل امرأة خطأً، وهي على رأس الولد تمخض؟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الدية خمسة آلاف درهم، وعليه للذي في بطنها غرّة وصيف أو وصيفة أو أربعون ديناراً</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كتاب ظريف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دية الجنين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نشأ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آخر وهو الروح فهو حينئذٍ نفس بألف دينار كاملة إن كان ذكراً، وإن كان أُنثى فخمسمائة دينار، وإن قتلت امرأة وهي حبلى متم فلم يسقط ولدها ولم يعلم أ ذكر هو أو أُنثى، ولم يعلم أ بعدها مات أم قبلها، فديته نصفان نصف دية الذكر ونصف دية الأُنثى</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جرير القمي،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دية النطفة والجنين، ففيها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أنْشَأْنَاهُ خَلْقاً آخَرَ فَتَبَارَكَ اللهُ أَحْسَنُ الْخَالِقِينَ</w:t>
      </w:r>
      <w:r>
        <w:rPr>
          <w:rFonts w:ascii="IRNazanin" w:hAnsi="IRNazanin" w:eastAsia="IRNazanin"/>
          <w:color w:val="111111"/>
          <w:sz w:val="28"/>
          <w:sz w:val="28"/>
          <w:szCs w:val="28"/>
          <w:rtl w:val="true"/>
          <w:lang w:bidi="fa-IR"/>
        </w:rPr>
        <w:t>،</w:t>
      </w:r>
      <w:r>
        <w:rPr>
          <w:rStyle w:val="FootnoteAnchor"/>
          <w:rtl w:val="true"/>
        </w:rPr>
        <w:footnoteReference w:id="504"/>
      </w:r>
      <w:r>
        <w:rPr>
          <w:rFonts w:ascii="Amiri" w:hAnsi="Amiri" w:eastAsia="Amiri" w:cs="Amiri"/>
          <w:color w:val="111111"/>
          <w:sz w:val="28"/>
          <w:sz w:val="28"/>
          <w:szCs w:val="28"/>
          <w:rtl w:val="true"/>
          <w:lang w:bidi="ar-SA"/>
        </w:rPr>
        <w:t>فإن كان ذكراً ففيه الدية، وإن كانت أُنثى ففيها ديتها</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ولا يخفى ما في الاستدلال بهذه الأخبار من المناقشة والإشكال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أظهر أخبار الطائفة، بل الطوائف كلّها، كما سيظهر إن شاء الله تعالى، فدلالتها وإن كانت تامّة وتكون مطلقة وفي مقام بيان الضابطة، لكن في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تسليم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عن يونس، ففيه أنّ فيما يرويه عنه تبعاً لاستثناء محمّد بن الحسن الوليد، بل وتلميذه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أخباره ما يكون كذلك، تأ‌مّل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تنقيح المقال من عدم مضريّة ذلك الاستثناء؛ لأنّه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لتحمّله إيّاه في الصغر فقد حقّقنا في محلّه كون المدارعلى وقت الأداء دون التحمّل، وإن كان لابتناء رواياته على الإجازة فقد حقّقنا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كفايتها في جواز الرواية، ولذا ترى أنّ أكثر أخبارنا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بعد وجه تركهما العمل، وما ذكره رحمه الله من الوجهين الذين ردّهما دراية وحدس غير ثابت، فلعلّه كان نظرهما إلى غير الوجهين من المناقشة وعدم صحّة المتن ومن غيره ممّا لا نعلمه، فرفع اليد عن استثناء مثل ابن الوليد محلّ تأ‌مّل بل منعٌ؛ حيث لم يعلم كون الوجه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الوجهين، بل لعلّ الوجه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رفع اليد عن الاستثناء من مثل ابن الوليد، بل وتلميذه مشكلٌ إن لم يكن ممنوعاً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نظرهما رواية عنهما متّبعة، ونظر التنقيح دراية عن الغير وتوجيه لكلامهما، فلا حجّية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وثاقة العبيدي محلّ الخلاف، ففي تنقيح المقال في ترجمته،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الخلاف بين أصحابنا في الرجل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وهو الذي صرّح به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رحمه الله في موضعين من رجاله،</w:t>
      </w:r>
      <w:r>
        <w:rPr>
          <w:rStyle w:val="FootnoteAnchor"/>
          <w:rtl w:val="true"/>
        </w:rPr>
        <w:footnoteReference w:id="507"/>
      </w:r>
      <w:r>
        <w:rPr>
          <w:rFonts w:ascii="IRNazanin" w:hAnsi="IRNazanin" w:eastAsia="IRNazanin"/>
          <w:color w:val="111111"/>
          <w:sz w:val="28"/>
          <w:sz w:val="28"/>
          <w:szCs w:val="28"/>
          <w:rtl w:val="true"/>
          <w:lang w:bidi="fa-IR"/>
        </w:rPr>
        <w:t xml:space="preserve">وفي فهرسته قال في باب أصحاب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عيسى بن عبيد اليقطيني بن يونس ضعيفٌ</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باب مَن لم يرو عنهم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عيسى اليقطينيضعيفٌ</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عيسى بن عبيد اليقطيني ضعيفٌ استثناه أبو‌جعفر بن بابويه</w:t>
      </w:r>
      <w:r>
        <w:rPr>
          <w:rStyle w:val="FootnoteAnchor"/>
          <w:rtl w:val="true"/>
        </w:rPr>
        <w:footnoteReference w:id="510"/>
      </w:r>
      <w:r>
        <w:rPr>
          <w:rFonts w:ascii="Amiri" w:hAnsi="Amiri" w:eastAsia="Amiri" w:cs="Amiri"/>
          <w:color w:val="111111"/>
          <w:sz w:val="28"/>
          <w:sz w:val="28"/>
          <w:szCs w:val="28"/>
          <w:rtl w:val="true"/>
          <w:lang w:bidi="ar-SA"/>
        </w:rPr>
        <w:t>من رجال نوادر الحكمة،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 ما يختصّ بروايته،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يذهب مذهب الغلاة، له كتاب الوصايا، وله كتاب تفسير القرآن، وله كتاب التجمّل والمروّة وكتاب الأ‌مل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بكتبه ورواياته جماعة عن التلعكبري، عن ابن همّام، عن محمّد بن عيسى</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فإنّه ضعّفه فيما مرّ من كلامه عند نقل الأخبار الذامّة لزرارة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أكثر محمّد بن عيسى من القول في زرارة حتّى لو كان بمقام عدالة كادت الظنون تسرّع إليه بالتهمة، فكيف وهو مقدوح فيه</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عبارته المزبورة هناك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ظهر اشتراك جميع الأخبار القادحة في أسنادها إلى محمّد بن عيسى، وهي قرينة عظيمة على ميل وانحراف منه على زرارة، مضافاً إلى ضعفه في نفسه</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كثير من فقهائنا في مصنّفاتهم في الفقه، كالمحقّق فيالمعتبر،</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وكاشف الرموز،</w:t>
      </w:r>
      <w:r>
        <w:rPr>
          <w:rStyle w:val="FootnoteAnchor"/>
          <w:rtl w:val="true"/>
        </w:rPr>
        <w:footnoteReference w:id="515"/>
      </w:r>
      <w:r>
        <w:rPr>
          <w:rFonts w:ascii="Amiri" w:hAnsi="Amiri" w:eastAsia="Amiri" w:cs="Amiri"/>
          <w:color w:val="111111"/>
          <w:sz w:val="28"/>
          <w:sz w:val="28"/>
          <w:szCs w:val="28"/>
          <w:rtl w:val="true"/>
          <w:lang w:bidi="ar-SA"/>
        </w:rPr>
        <w:t>والعلّامة في المختلف</w:t>
      </w:r>
      <w:r>
        <w:rPr>
          <w:rStyle w:val="FootnoteAnchor"/>
          <w:rtl w:val="true"/>
        </w:rPr>
        <w:footnoteReference w:id="516"/>
      </w:r>
      <w:r>
        <w:rPr>
          <w:rFonts w:ascii="Amiri" w:hAnsi="Amiri" w:eastAsia="Amiri" w:cs="Amiri"/>
          <w:color w:val="111111"/>
          <w:sz w:val="28"/>
          <w:sz w:val="28"/>
          <w:szCs w:val="28"/>
          <w:rtl w:val="true"/>
          <w:lang w:bidi="ar-SA"/>
        </w:rPr>
        <w:t>في مسألة الوضوء بماء الورد، والسيّد في المدارك،</w:t>
      </w:r>
      <w:r>
        <w:rPr>
          <w:rStyle w:val="FootnoteAnchor"/>
          <w:rtl w:val="true"/>
        </w:rPr>
        <w:footnoteReference w:id="517"/>
      </w:r>
      <w:r>
        <w:rPr>
          <w:rFonts w:ascii="Amiri" w:hAnsi="Amiri" w:eastAsia="Amiri" w:cs="Amiri"/>
          <w:color w:val="111111"/>
          <w:sz w:val="28"/>
          <w:sz w:val="28"/>
          <w:szCs w:val="28"/>
          <w:rtl w:val="true"/>
          <w:lang w:bidi="ar-SA"/>
        </w:rPr>
        <w:t>وصاحب الذخيرة،</w:t>
      </w:r>
      <w:r>
        <w:rPr>
          <w:rStyle w:val="FootnoteAnchor"/>
          <w:rtl w:val="true"/>
        </w:rPr>
        <w:footnoteReference w:id="518"/>
      </w:r>
      <w:r>
        <w:rPr>
          <w:rFonts w:ascii="Amiri" w:hAnsi="Amiri" w:eastAsia="Amiri" w:cs="Amiri"/>
          <w:color w:val="111111"/>
          <w:sz w:val="28"/>
          <w:sz w:val="28"/>
          <w:szCs w:val="28"/>
          <w:rtl w:val="true"/>
          <w:lang w:bidi="ar-SA"/>
        </w:rPr>
        <w:t>والفاضل المقداد في التنقيح،</w:t>
      </w:r>
      <w:r>
        <w:rPr>
          <w:rStyle w:val="FootnoteAnchor"/>
          <w:rtl w:val="true"/>
        </w:rPr>
        <w:footnoteReference w:id="519"/>
      </w:r>
      <w:r>
        <w:rPr>
          <w:rFonts w:ascii="Amiri" w:hAnsi="Amiri" w:eastAsia="Amiri" w:cs="Amiri"/>
          <w:color w:val="111111"/>
          <w:sz w:val="28"/>
          <w:sz w:val="28"/>
          <w:szCs w:val="28"/>
          <w:rtl w:val="true"/>
          <w:lang w:bidi="ar-SA"/>
        </w:rPr>
        <w:t>والشهيد الثاني في روض الجنان،</w:t>
      </w:r>
      <w:r>
        <w:rPr>
          <w:rStyle w:val="FootnoteAnchor"/>
          <w:rtl w:val="true"/>
        </w:rPr>
        <w:footnoteReference w:id="520"/>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وهو الذي صرّح به النجاشي رحمه الله،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عيسى بن عبيد بن يقطين بن موسى، مولى أسد بن خزيمة، أبو‌جعفر، جليل في أصحابنا، ثقة، عين، كثير الرواية، حسن التصانيف، روى 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مكاتبة ومشافهة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أبو‌جعفر بن بابويه، عن ابن الوليد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تفرّد محمّد بن عيسى من كتب يونس وحديثه لا يعتمد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أصحابنا ينكرون هذا القول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أبي جعفر محمّد بن عيسى سكن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أبو‌عمرو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الصباح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عيسى بن عبيد بن يقطين أصغر في السنّ أن يروى عن ابن محبوب، قال أبو‌عمرو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القتيبي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الفضل بن شاذان رحمه الله يحبّ العبيدي ويثني عليه ويمدحه ويميل إليهويقول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أقرانه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ويحسبك هذا الثناء من الفضل رحمه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محمّد بن جعفر الرزّاز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سكن سوق العطش، 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كتاب الواضح المكشوف في الردّ على أهل الوقوف، كتاب المعرفة، كتاب بعد الإسناد، كتاب قرب الإسناد، كتاب الوصايا، كتاب اللؤلؤة، كتاب المسائل المحرّمة، كتاب الضياء، كتاب الطرائف، كتاب التوقيعات، كتاب التجمّل والمروّة، كتاب الفيء والخمس، كتاب الرجال، كتاب الزكاة، كتاب ثواب الأعمال،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أبو‌عبدالله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بكتبه ورواياته، وعن أحمد بن محمّد، عن سعد عنه</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تبعه جماعة، فقد عنونَ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في القسم الأوّل من الخلاصة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علماؤنا في شأنه، ونقل ما سمعته من الفهرست، ثمّ نقل ما سمعته في عبارة النجاشي من نقل الكشّي عن عليّ بن محمّد القتيبي، ثمّ نقل عن جعفر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ندم إذ لم يستكثر منه، ثمّ نقل قول النجاشي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كتب ذكرناها في كتابنا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عندي قبول روايته</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ينافيه قوله في ترجمة بكر بنمحمّد الأزدي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وعندي في محمّد بن عيسى توقّف</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ذكر ذلك قبل تحقيق حال الرجل كما يكشف عنه كون ذلك قبل هذا</w:t>
      </w:r>
      <w:r>
        <w:rPr>
          <w:rFonts w:eastAsia="Amiri" w:cs="Amiri" w:ascii="Amiri" w:hAnsi="Amiri"/>
          <w:color w:val="111111"/>
          <w:sz w:val="28"/>
          <w:szCs w:val="28"/>
          <w:rtl w:val="true"/>
          <w:lang w:bidi="ar-SA"/>
        </w:rPr>
        <w:t>... .</w:t>
      </w:r>
      <w:r>
        <w:rPr>
          <w:rStyle w:val="FootnoteAnchor"/>
          <w:rtl w:val="true"/>
        </w:rPr>
        <w:footnoteReference w:id="524"/>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التعارض والخلاف فلابدّ من التوقّف، فإنّ توثيق النجاشي يكون معارضاً مع تضعيف الشيخ، فوثاقته مع ذلك الخلاف بين الرجاليين والفقهاء، ومع كون الجارح مقدّماً على المعدّل، محلّ تأ‌مّل وإشكال، فالأحوط، إن لم يكن الأقوى ترك العمل بروايته، فإنّ الأصل في الظنون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وإن لم يكن ظهورها في بيان الضابطة كالأُولى؛ لكونها مربوطة بمورد خاصّ وهو قتل الجنين، لكنّها مع ذلك ظاهرة في بيانها عرفاً؛ لكون خصوصيّة الجنين ملغاة عندهم، وإنّما المناط في الحكم مثل الرجل والمرأة وديتهما، إلّا أنّ فيها ممّا بيّناه في الأُولى من الخدشة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بمورد السؤال، وليس فيها إطلاق ولا قاعدة كلّية، وخصوصيّة المورد فيها غير قابل للإلغاء عرفاً، فإنّ في قتل المرأة في حال المخاض وهي على رأس الولد خطأً، احتمال الخصوصيّة بنظر العرف موجود كما لا يخفى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غير معمول به؛ لأنّ دية الجنين الكامل خلقته دية النفس، ودية ما دون الخلقة مائة دينار فما دونها، فالتخيير بين الغرّة وأربعين ديناراً في إهلاك الجنين مخالفٌ لفتوى الأصحاب، وخروج الذيلعن الحجّية في مثل الحديث ممّا يكون متعرّضاً لحكم مسألة واحدة مضرٌّ بحجّية الصدر أيضاً؛ لما بينهما من الارتباط، وليسا حكمين مستقلّين في مسألتين حتّى لا يكون الإعراض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الذيل وسقوطه مضرّ بحجّية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حجّية صدر مثل الحديث عند العقلاء غير محرزة، أو محرزة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الرابعة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وإن كانتا تامّتين سنداً ودلالةً، بل الرابعة فيها الدلالة أيضاً من جهة بيان حكم ما لم يعلم ذكوريّة الجنين وأُنوثيّته، وأنّ ديته النصف من دية الذكر والنصف من دية الأُنثى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يشهد ويدلّ على الحكم أيضاً ما في دية الخنثى، وهو خبر غياث بن كلّوب، عن إسحاق بن عمّار،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الخنثى يورث من حيث يبول، فإن بال منهما جميعاً، فمن أ‌يّهما سبق البول ورث منه، فإن مات ولم يبل فنصف عقل الرجل ونصف عقل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5"/>
      </w:r>
      <w:r>
        <w:rPr>
          <w:rFonts w:ascii="Amiri" w:hAnsi="Amiri" w:eastAsia="Amiri" w:cs="Amiri"/>
          <w:color w:val="111111"/>
          <w:sz w:val="28"/>
          <w:sz w:val="28"/>
          <w:szCs w:val="28"/>
          <w:rtl w:val="true"/>
          <w:lang w:bidi="ar-SA"/>
        </w:rPr>
        <w:t>لكن فيهما مثل ما في أخبار ديات أعضاء الأُنثى من الرجوع إلى النصف بعد مضيّ الثلث، من محذور المخالفة مع الكتاب والسنّة، كما سيأتي بيانه وتحقيقه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أنّ العقل في خبر إسحاق بن عمّار بمعنى سهم الإرث لا الدية كما لا يخفى، والحمل على الدية مع عدم البحث عنه في الحديث بعيدٌ جدّاً، بل لا وجه له إلّا مسألة حمل اللفظ على معناه الحقيقي الاصطلاحي، لكن عدم تماميّة الحمل مع القرينة الظاهرة على المجازيّةواضحٌ ممّا لا ريب فيه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الكثيرة التي مضى الاستدلال بها على لزوم ردّ نصف الدية في قتل الحرّ بالحرّة، فإنّها دالّة بالملازمة على أنّ دية المرأة نصف دية الرجل،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وإلّا لم يكن وجه في ردّ النصف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الاستدلال بها للمسألة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حجيّتها في موردها، وعدم صحّة الاستدلال بها في مضمونها المطابقي كما مرّ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الالتزاميّة كما أنّها تابعة للمطابقة وجوداً فكذلك في الحجّية، فإنّ المطابقة بعد ما لم تكن حجّة، وكأنّها لم تكن فكيف تكون التزاميّتها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مطابقة حتّى يكون لها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من المحتمل كون ردّ النصف لما في اختيار وليّ المرأة من قتل الرجل وقصاصه بقتلها، وهذا بخلاف ما لو قتلت المرأة خطأً ممّا لا قصاص فيه ولا جناية، فلا بأس في كون ديتها دية الرجل ودية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العامّة مع كونهم قائلين بكون دية الأُنثى نصف دية الرجل، ليسوا بقائلين بالردّ في قتل الحرّ بالحرّة، بل يقولون بعدمه كعكسه، فلا ملازمة بين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إلغاء الخصوصيّة من باب العمد إلى باب الخطأ، وأنّه إذا كان في العمد النصف ففي الخطأ أيضاً النصف لا الكلّ، ممنوعة؛ لاحتمال دخالة قصاص المرأة بالرجل في تقليل الدية، وأين ذلك بالتنصيف فيما ليس فيه قصاص الرجل، كقتل الرجل المرأة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المستدلّ بها في أنّ قطع أعضاء المرأة كالرجل حتّى يبلغ الثلث، فإذا بلغ الثلث ترجع الدية إلى النصف، ففي هذه الأخبار دلالة على أنّ دية المرأة فيما زاد عن الثلث على النصف ومن الزائد دية نفس المرأة، فديتها على النصف</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تلك الأخبار، اختصاص الزائد عن الثلث، بالأعضاء،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كالنصّ في الاختصاص كما لا يخفى على المراجع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تسليم الظهور والدلالة، فالإطلاق منصرفٌ من النفس، فإنّ العناية في تلك الأخبار إلى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أنّ تلك الأخبار في موردها وهو دية الأعضاء غير حجّة، كما سنبيّنه، فضلاً عن غير موردها وهو دية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وهو الوجه الأوّل منها، فقد عرفت أنّها في مقام بيان نفي التفاوت ومنع قتل غير القاتل وأنّه لابدّ من قتل القاتل لا غيره وإن اختلفا في الشخصيّة الاجتماعيّة والوجاهة الاعتباريّة؛ قضاءً لتحقّق المقابلة بالمثل، وتساوي القاتل عموماً مع المقتول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وهو الوجه الرابع، فعدم صحّة الاستدلال به في مثل هذه المسألة الاجتهاديّة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في مجمع الفائدة والبرهان من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إجماع</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وهذا مشعرٌ بضعف تحقّق الإجماع في نظره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للشيخ الأعظم ممّا ذكره في الفرائد</w:t>
      </w:r>
      <w:r>
        <w:rPr>
          <w:rStyle w:val="FootnoteAnchor"/>
          <w:rtl w:val="true"/>
        </w:rPr>
        <w:footnoteReference w:id="527"/>
      </w:r>
      <w:r>
        <w:rPr>
          <w:rFonts w:ascii="Amiri" w:hAnsi="Amiri" w:eastAsia="Amiri" w:cs="Amiri"/>
          <w:color w:val="111111"/>
          <w:sz w:val="28"/>
          <w:sz w:val="28"/>
          <w:szCs w:val="28"/>
          <w:rtl w:val="true"/>
          <w:lang w:bidi="ar-SA"/>
        </w:rPr>
        <w:t>في آخر البحث عن حجّية الإجماع المنقول بعد نقله عبارة كشف القناع،</w:t>
      </w:r>
      <w:r>
        <w:rPr>
          <w:rStyle w:val="FootnoteAnchor"/>
          <w:rtl w:val="true"/>
        </w:rPr>
        <w:footnoteReference w:id="528"/>
      </w:r>
      <w:r>
        <w:rPr>
          <w:rFonts w:ascii="Amiri" w:hAnsi="Amiri" w:eastAsia="Amiri" w:cs="Amiri"/>
          <w:color w:val="111111"/>
          <w:sz w:val="28"/>
          <w:sz w:val="28"/>
          <w:szCs w:val="28"/>
          <w:rtl w:val="true"/>
          <w:lang w:bidi="ar-SA"/>
        </w:rPr>
        <w:t>ممّا يرجع محصّله إلى عدم حجّية الإجماع، فراجعه وإن لم يفِ به في الفقه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ما للشهيد الثاني في رسالته الموجودة في المجموعة المطبوعةبمناسبة الذكرى الألفية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عدّ فيها الإجماعات التي ناقض فيها نفسه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وليّ دم المرأة عن تأدية فاضل الدية، أو كان فقيراً ولم يرض القاتل بالدية، أو كان فقيراً، يؤخّر القصاص إلى وقت الأداء والميسرة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مسألة واحدة انتهى عددها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وفي الحدائق فيما كانت عنده من الرسالة انتهى عددها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نيف وسبعين</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امتنع الوليّ من ردّ الفاضل أو كان فقيراً، ففي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 له المطالبة بدية الحرّة وإن لم يرض القاتل، إذ لا سبيل إلى طلّ الدم</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المتّجه العدم؛ بناءً على أنّ الأصل فيها القود، والدية إنّما تثبت صلحاً موقوفاً على التراضي، فمع عدم رضى القاتل تقف مطالبته بالقصاص على بذل الوليّ الزائد، وامتناعه عن ذلك لا يوجب الدية، بل وكذا فقره، بل أقصاه التأخير إلى وقت الميسرة، وليس مثل ذلك طلاً، كما هو واضح</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أورده على القواعد تامّ، لكن إلحاق الفقر بالامتناع محلّ إشكال، بل منع؛ لأنّه لا يبعد القول بانصراف أخبار الردّ إلى القادر من الأولياء، فإنّه القابل للتكليف بذلك، والمتعارف في السؤال والجواب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فلابدّ للوليّ من القصاص؛ قضاءً للأصل في القتل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الحكم بلزوم الردّ مع الفقر على تماميّة أصله على خلاف الأصل، فإنّ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للرجل من المرأة في الأطراف،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يقتصّ للمرأة من الرجل فيها من غير ردّ، وتتساوى ديتهما في الأطراف ما لم يبلغ جراحة المرأة ثلث دية الحرّ، فإذا بلغته ترجع إلى النصف من الرجل فيهما، فحينئذٍ لا يقتصّ من الرجل لها إلّا مع ردّ التفاوت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القصاص، والنفس بالنفس، فلابدّ من الاقتصار على القدر المتيقّن وهو الوليّ القادر على الردّ، والأمر في المسألة على المختار من عدم تماميّة أصل الردّ واضح، ولا تصل النوبة إلى مثل هذه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بل عليه الإجماع وعمومات القصاص والاعتداء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الأطراف فلا خلاف ولا إشكال في أنّه يقتصّ للرجل منها من دون رجوع له زائد عن الجرح</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المتن شبيهٌ بما في الشرائع،</w:t>
      </w:r>
      <w:r>
        <w:rPr>
          <w:rStyle w:val="FootnoteAnchor"/>
          <w:rtl w:val="true"/>
        </w:rPr>
        <w:footnoteReference w:id="534"/>
      </w:r>
      <w:r>
        <w:rPr>
          <w:rFonts w:ascii="Amiri" w:hAnsi="Amiri" w:eastAsia="Amiri" w:cs="Amiri"/>
          <w:color w:val="111111"/>
          <w:sz w:val="28"/>
          <w:sz w:val="28"/>
          <w:szCs w:val="28"/>
          <w:rtl w:val="true"/>
          <w:lang w:bidi="ar-SA"/>
        </w:rPr>
        <w:t>وفي الجواهر في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حسب ما سمعته في النفس، للنصوص المستفيضة المعتضدة بعمل الأصحاب من غير خلاف محقّق أجده فيه، بل عن الخلاف</w:t>
      </w:r>
      <w:r>
        <w:rPr>
          <w:rStyle w:val="FootnoteAnchor"/>
          <w:rtl w:val="true"/>
        </w:rPr>
        <w:footnoteReference w:id="535"/>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Style w:val="FootnoteAnchor"/>
          <w:rtl w:val="true"/>
        </w:rPr>
        <w:footnoteReference w:id="53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بأخبار المسألة المنقولة في الوسائل في الباب الأربعوالأربعين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أبواب ديات الأعضاء،</w:t>
      </w:r>
      <w:r>
        <w:rPr>
          <w:rStyle w:val="FootnoteAnchor"/>
          <w:rtl w:val="true"/>
        </w:rPr>
        <w:footnoteReference w:id="537"/>
      </w:r>
      <w:r>
        <w:rPr>
          <w:rFonts w:ascii="Amiri" w:hAnsi="Amiri" w:eastAsia="Amiri" w:cs="Amiri"/>
          <w:color w:val="111111"/>
          <w:sz w:val="28"/>
          <w:sz w:val="28"/>
          <w:szCs w:val="28"/>
          <w:rtl w:val="true"/>
          <w:lang w:bidi="ar-SA"/>
        </w:rPr>
        <w:t>وفي الباب الأوّل من أبواب قصاص الطرف،</w:t>
      </w:r>
      <w:r>
        <w:rPr>
          <w:rStyle w:val="FootnoteAnchor"/>
          <w:rtl w:val="true"/>
        </w:rPr>
        <w:footnoteReference w:id="538"/>
      </w:r>
      <w:r>
        <w:rPr>
          <w:rFonts w:ascii="Amiri" w:hAnsi="Amiri" w:eastAsia="Amiri" w:cs="Amiri"/>
          <w:color w:val="111111"/>
          <w:sz w:val="28"/>
          <w:sz w:val="28"/>
          <w:szCs w:val="28"/>
          <w:rtl w:val="true"/>
          <w:lang w:bidi="ar-SA"/>
        </w:rPr>
        <w:t xml:space="preserve">كالاستدلال بها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قتل الرجل بالمرأة ردّ نصف الدية إلى أهل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مع آيات العدل والحقّ ونفي الظلم عن الربّ من الآيات العامّة في الكتاب وأخبارها من السنّة مثل ما مرّ</w:t>
      </w:r>
      <w:r>
        <w:rPr>
          <w:rStyle w:val="FootnoteAnchor"/>
          <w:rtl w:val="true"/>
        </w:rPr>
        <w:footnoteReference w:id="539"/>
      </w:r>
      <w:r>
        <w:rPr>
          <w:rFonts w:ascii="Amiri" w:hAnsi="Amiri" w:eastAsia="Amiri" w:cs="Amiri"/>
          <w:color w:val="111111"/>
          <w:sz w:val="28"/>
          <w:sz w:val="28"/>
          <w:szCs w:val="28"/>
          <w:rtl w:val="true"/>
          <w:lang w:bidi="ar-SA"/>
        </w:rPr>
        <w:t xml:space="preserve">في أخبار النفس، فإنّ الحكم على المرأة المقطوع يدها ظلماً بلزوم ردّ ربع الدية على الرجل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أرادت قطع يده قصاصاً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وباطل وخلاف للحقّ والعدل، فالأخبار الدالّة على ذلك مخالفة للكتاب والسنّة الدالّة على عدمها في الإسلام وفي أحكام الشرع، وسبحانه تعالى من أمثال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بعدم المخالفة بالتخصيص وبأنّها كثيرة وبأمثالهما من المحاذير، فقد مرّ الجواب عنه في أخبار النفس، فالجواب هنا عين الجواب فيها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أخبار المسألة المنقولة في الكتب الأربعة ليست بكثرة تلك الأخبار فإنّها لا تزيد غايتها عن عشرة، مع احتمال الاتّحاد في بعضها كما يظهر لمن يراجعها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وَالْجُرُوحَ قِصَاصٌ</w:t>
      </w:r>
      <w:r>
        <w:rPr>
          <w:rFonts w:ascii="IRNazanin" w:hAnsi="IRNazanin" w:eastAsia="IRNazanin"/>
          <w:color w:val="111111"/>
          <w:sz w:val="28"/>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وَالْحُرُمَاتُقِصَاصٌ</w:t>
      </w:r>
      <w:r>
        <w:rPr>
          <w:rStyle w:val="FootnoteAnchor"/>
          <w:rtl w:val="true"/>
        </w:rPr>
        <w:footnoteReference w:id="541"/>
      </w:r>
      <w:r>
        <w:rPr>
          <w:rFonts w:ascii="Amiri" w:hAnsi="Amiri" w:eastAsia="Amiri" w:cs="Amiri"/>
          <w:color w:val="111111"/>
          <w:sz w:val="28"/>
          <w:sz w:val="28"/>
          <w:szCs w:val="28"/>
          <w:rtl w:val="true"/>
          <w:lang w:bidi="ar-SA"/>
        </w:rPr>
        <w:t xml:space="preserve">وغيرهما من آيات القصاص والاعتداء والردّ بالمثل، فإنّ لزوم ردّ مقدار من الدية في المرأة في الجروح الزائدة عن الثلث مخالفٌ للقصاص في الخروج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والمماثلة فيها، فكما أنّ القصاص في جروح الرجلين أو المرأتين بالجرح فقط، فلابدّ من أن يكون الأمر كذلك في قصاص الرجل بالمرأة؛ لعدم الفرق عرفاً من حيث صدق القصاص والاعتداء بالمثل في المصداقين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وشبهة التخصيص منتفية بإباء ألسنة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 بالسِّنِّ وَالْجُرُوحَ قِصَاصٌ</w:t>
      </w:r>
      <w:r>
        <w:rPr>
          <w:rStyle w:val="FootnoteAnchor"/>
          <w:rtl w:val="true"/>
        </w:rPr>
        <w:footnoteReference w:id="542"/>
      </w:r>
      <w:r>
        <w:rPr>
          <w:rFonts w:ascii="Amiri" w:hAnsi="Amiri" w:eastAsia="Amiri" w:cs="Amiri"/>
          <w:color w:val="111111"/>
          <w:sz w:val="28"/>
          <w:sz w:val="28"/>
          <w:szCs w:val="28"/>
          <w:rtl w:val="true"/>
          <w:lang w:bidi="ar-SA"/>
        </w:rPr>
        <w:t>عن التخصيص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أنّه بعد ما كانت الدية في المرأة فيما زادت على الثلث راجعة إلى النصف وكان الحكم في قصاص الأطراف مبنيّاً عليه، فالأخبار الدالّة على لزوم الردّ حاكمة على آيات القصاص في الجروح والحرمات والاعتداء والردّ بالمثل، حيث إنّ قطع عضو الرجل بعضو المرأة فيما زادت ديته عن الثلث بلا ردّ الدية ليس مماثلاً وقصاصاً لعضو الرجل في مقابل عضو المرأة، بل يكون ناقصاً عنه، بل من ذلك يظهر عدم مخالفة الأخبار لآيات العدل والحقّ ونفي الظلم عن الربّ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الباب باب الحكومة وباب بيان الموضوع وتفسيره، فالاستدلال بأخبار المسألة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لسانها لسان التفسير وبيان الموضوع، بل لسانها لسان بيان الحكم والتشريع كما هو الظاهر، والحكومة دائرة مدار اللسان كما هو أوضح من أن يحتاج إلى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المبنى غير تامٍّ في نفسه وباطل من رأس، كما سيأتي بيانه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التهافت في أخبار المسألة، حيث إنّ اللازم من ردّ نصف الدية في قصاص الحرّ بأعضاء الحرّة فيما تزيد ديته عن الثلث إلى الحرّ، أخذ نصفه منها في </w:t>
      </w:r>
      <w:bookmarkStart w:id="161" w:name="pg9428_72357"/>
    </w:p>
    <w:p>
      <w:pPr>
        <w:pStyle w:val="BookText"/>
        <w:rPr/>
      </w:pPr>
      <w:bookmarkEnd w:id="1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العکس أيضاً، أي في قصاص الحرّة بالحرّ فيما تزيد عن الثلث، لئلّا يلزم الهدر في نصف العضو المقطوع منه كما لا يخفى، حيث إنّه يعلم من لزوم الردّ في الأصل عدم جبران خسارة العضو بالقطع فقط، بل جبرانه به مع ردّ الزائد، ففي عكسه عدم لزوم الردّ مستلزم للهدر وعدم الجبران بالنسبة إلى النصف من العضو الزائد ديته عن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في الأخبار والفتاوى من اللزوم في الأصل وعدمه في العكس، ففيه تهافت وتناقض واضح دلالة بين المطابقة منهما مع الالتزامية لهما، وفي ذلك التهافت شهادة وحجّة على عدم الحجّية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النصوص والفتاوى كون الحكم بردّ التفاوت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مسألة العمد في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رجوع دية جرح المرأة إلى النصف في الزائد عن الثلث في باب دية الجروح، فتماميّة أخبار المسألة منوطة بتماميّة ذلك المبنى، وبما أنّ المبنى غير تامّ على ما نبيّنه، فالاستدلال بها غير تامّ من تلك الجهة أيضاً</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5797507_2870459653"/>
      <w:bookmarkStart w:id="163" w:name="_Toc54"/>
      <w:bookmarkEnd w:id="162"/>
      <w:r>
        <w:rPr>
          <w:rtl w:val="true"/>
        </w:rPr>
        <w:t>البحث حول دية أعضاء المرأة بما هي دية</w:t>
      </w:r>
      <w:bookmarkEnd w:id="163"/>
    </w:p>
    <w:p>
      <w:pPr>
        <w:pStyle w:val="BookText"/>
        <w:rPr/>
      </w:pPr>
      <w:r>
        <w:rPr>
          <w:rFonts w:ascii="Amiri" w:hAnsi="Amiri" w:eastAsia="Amiri" w:cs="Amiri"/>
          <w:color w:val="111111"/>
          <w:sz w:val="28"/>
          <w:sz w:val="28"/>
          <w:szCs w:val="28"/>
          <w:rtl w:val="true"/>
          <w:lang w:bidi="ar-SA"/>
        </w:rPr>
        <w:t>فعلى ذلك لابدّ من البحث في دية أعضاء المرأة بما هي ديةٌ ومأخوذٌ في شبه العمد والخطأ والعمد الذي ليس فيه القصاص، فأقول مستعيناً بالله تعالى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الأصل قضاءً لإطلاق الأخبار الكثيرة المبيّنة لمقدار ديات الأطراف والأعضاء أو المنافع أو في غيرها، عدم الفرق بين الرجل والمرأة، وأنّالدية فيهما واحدة مطلقاً، فليس في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وكونها في مقام البيان بل وفي مقام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وإشارة إلى الفرق أصلاً، بل ذكر الوصف المذكر وجعله موضوعاً شامل للمذكّر وللمؤنّث أيضاً، من جهة إلغاء الخصوصية العرفيّة كما في بقيّة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والأخبار، فذكر الوصف كذلك من باب المتعارف والغلبة من دون الخصوصية، فإنّ مناط الحكم بنظر العرف والعقلاء هو العنوان والجهة المذكورة في الأخبار وفي أدلّة الحكم، كما يظهر للمراجع والعارف بلسان الأخبار والآيات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 في آخر البحث عن حرمة النساء على المُحرم وطياً وتقبيلاً وعقداً وغيرها من الأُمور ذات الصلة بهنّ،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ثبوت الأحكام المزبورة للمرأة المحرمة كالرجل، ضرورة عدم كونه من خواصّ الرجل، بل لا يبعد إرادة الجنس من المحرم في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ينكح ولا ينكح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لا يجوز للمحرم أن يزوّج ولا يتزوّج ولا يكون وليّاً في النكاح ولا وكيلاً فيه، سواء كان رجلاً أو امرأة، ذهب إليه علماؤنا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غيره فالعمدة فيه الإجماع المزبور، وما يستفاد من الأدلّة من حرمة الاستمتاع للمحرم رجلاً وامرأة، وحرمة مباشرة عقد النكاح له ولغيره، وإلّا فقاعدة الاشتراك لا تأتي في مثل ما ورد من النهي عن تقبيل الرجل امرأته، ولا دليله شامل للمرأة، فليس حينئذٍ إلّا ما عرفت، فيثبت عدم جواز تقبيلها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محرمة، وعلىهذا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Style w:val="FootnoteAnchor"/>
          <w:rtl w:val="true"/>
        </w:rPr>
        <w:footnoteReference w:id="54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إلى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بالعنوان، وأنّ المناط التلبّس بالمبدأ، وأنّه العمدة في الاستدلال في مثل مسألة الإحرام والحجّ من العبادات فضلاً عن المعاملات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عليك وضوح المطلب، وإنّما نقلنا هذه العبارة من العبائر الكثيرة مثلها في الأبواب المختلفة في الفقه استشهاداً وتأييداً بكلمات مثله، فإنّ كلماته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كلمات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التأييد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الظاهر من الخلاف والجواهر اتّفاق علماء العامّة والخاصّة على النقص في دية جراحات النساء عن دية الرجال، ففي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المرأة تعاقل الرجل إلى ثلث ديتها في الأُروش المقدّرة، فإذا بلغتها فعلى النصف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أن قال بعد نقل اختلاف العامّة وأقوالهم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 إجماع الفرقة وأخبارهم</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الجراحات والأطراف منها على النصف من الرجل ما لم تقصر ديتها عن ثلث دية الرجل، فإن قصرت دية الجناية جراحة أو طرفاً عن الثلث تساويا قصاصاً 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الكلام فيه مفصّلاً</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مرّ تفصيله في كتاب القصاص في مسألة اقتصاص الأطراف من الرجل والمرأة، ففيه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إنّها إذا بلغته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تجاوزته دية أو جناية ترجع إلى النصف من الرجل فيهما معاً، فلا يقتصّ لها منه إلّامع ردّالتفاوت على حسب ما سمعته في النفس؛ للنصوص المستفيضة المعتضدة بعمل الأصحاب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غير خلاف محقّق أجده فيه، بل عن الخلاف الإجماع عليه</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انتهى كلامه، رفع في الخلد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عدم نقله الإجماع إلّا من الخلاف انحصار ادّعائه فيه، وإلّا لنقله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بدأبه وطريقته في نقله الإجماع دليلاً أو تأييداً، كما أنّ الظاهر من نقل الخلاف أقوال العامّة في المسألة اتّفاقهم على التفاوت في دية الأعضاء بين الرجل والمرأة بنقصانها في المرأة عن الرجل والرجوع إلى النصف فيما زاد عن الثلث كالمعروف بين الأصحاب، أو بالرجوع إليه مطلقاً ولو فيما دون الثلث، أو منحصراً بالزائد عن الثلث في أرش الجائفة والمأمومة أو في غير الجائفة فقط، أو فيما لم تبلغ الدية نصف دية أرش اليد أو الرجل، أو في غيرهما ممّا هو منقول عنهم في الخلاف ، فأصل التفاوت والنقص في الجملة مورد لاتّفاقهم وخلافهم في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حال الأقوال في المسألة من الخاصّة والعامّة،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بتلك النصوص المستفيضة جهات من الإشكال والمنع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يكون من تلك النصوص مربوطة بالدية لا تزيد عن اثنين، صحيحة أبان ومضمرة سماعة، وبقيّتها على كثرتها ترتبط بقصاص الأطراف في الرجل والمرأة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صحيح الحلبي المنقول في الوسائل</w:t>
      </w:r>
      <w:r>
        <w:rPr>
          <w:rStyle w:val="FootnoteAnchor"/>
          <w:rtl w:val="true"/>
        </w:rPr>
        <w:footnoteReference w:id="548"/>
      </w:r>
      <w:r>
        <w:rPr>
          <w:rFonts w:ascii="Amiri" w:hAnsi="Amiri" w:eastAsia="Amiri" w:cs="Amiri"/>
          <w:color w:val="111111"/>
          <w:sz w:val="28"/>
          <w:sz w:val="28"/>
          <w:szCs w:val="28"/>
          <w:rtl w:val="true"/>
          <w:lang w:bidi="ar-SA"/>
        </w:rPr>
        <w:t xml:space="preserve">في الأعمّ من القصاص والدية،وفي تلك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البقيّة محذور المخالفة مع الكتاب والسنّة بمثل المخالفة في قصاص النفس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 الخبر الدالّ على لزوم ردّ ربع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المقطوع يدها على الرجل القاطع إذا أرادت القصاص، مخالفٌ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وَالحُرُمَاتُ قِصَاصٌ</w:t>
      </w:r>
      <w:r>
        <w:rPr>
          <w:rFonts w:ascii="IRNazanin" w:hAnsi="IRNazanin" w:eastAsia="IRNazanin"/>
          <w:color w:val="111111"/>
          <w:sz w:val="28"/>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أو </w:t>
      </w:r>
      <w:r>
        <w:rPr>
          <w:rFonts w:ascii="Amiri" w:hAnsi="Amiri" w:eastAsia="Amiri" w:cs="Amiri"/>
          <w:color w:val="111111"/>
          <w:sz w:val="28"/>
          <w:sz w:val="28"/>
          <w:szCs w:val="28"/>
          <w:rtl w:val="true"/>
          <w:lang w:bidi="ar-SA"/>
        </w:rPr>
        <w:t>وَالجُرُوحَ قِصَاصٌ</w:t>
      </w:r>
      <w:r>
        <w:rPr>
          <w:rFonts w:ascii="IRNazanin" w:hAnsi="IRNazanin" w:eastAsia="IRNazanin"/>
          <w:color w:val="111111"/>
          <w:sz w:val="28"/>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بل ولقوله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وَلَكُمْ فِي الْقِصَاصِ حَياةٌ يا أُولِي الألْبَابِ</w:t>
      </w:r>
      <w:r>
        <w:rPr>
          <w:rFonts w:ascii="IRNazanin" w:hAnsi="IRNazanin" w:eastAsia="IRNazanin"/>
          <w:color w:val="111111"/>
          <w:sz w:val="28"/>
          <w:sz w:val="28"/>
          <w:szCs w:val="28"/>
          <w:rtl w:val="true"/>
          <w:lang w:bidi="fa-IR"/>
        </w:rPr>
        <w:t>؛</w:t>
      </w:r>
      <w:r>
        <w:rPr>
          <w:rStyle w:val="FootnoteAnchor"/>
          <w:rtl w:val="true"/>
        </w:rPr>
        <w:footnoteReference w:id="551"/>
      </w:r>
      <w:r>
        <w:rPr>
          <w:rFonts w:ascii="Amiri" w:hAnsi="Amiri" w:eastAsia="Amiri" w:cs="Amiri"/>
          <w:color w:val="111111"/>
          <w:sz w:val="28"/>
          <w:sz w:val="28"/>
          <w:szCs w:val="28"/>
          <w:rtl w:val="true"/>
          <w:lang w:bidi="ar-SA"/>
        </w:rPr>
        <w:t xml:space="preserve">بناءً على أعميّة القصاص فيه عن القصاص في النفس، كما أنّه مخالفٌ لآيات العدل والحقّ وتساوي الرجل والمرأة، بل وكذلك الأمر في قصاص المرأة بالرجل في الأطراف؛ لأنّ الاكتفاء بالقطع ليس بقصاص، بل ظلمٌ على الرجل المقطوع؛ لعدم المقابلة بالمثل وهدر ربع يده المقطوعة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عدم حجّية الخبر المخالف للكتاب وإن بلغ من الكثرة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أنّها على التماميّة مربوطة بالدية في قصاص الأطراف، وأين ذلك من الدية المجرّدة عن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التعدّي من الدية مع القصاص إلى المجرّدة عنه إلّا قياساً واضح البطلان، وفي الصحيحة محذور الاختلال في المتن، فإنّه يكون بحدّ ذاته مانعاً عن حجيّتها، وعن جواز الاستدلال بها للحكم الموافق مع الأصل، فضلاً عن المخالف له كما في المسألة، وذلك الاختلال من جهات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من اعتراض أبان وإيراده على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كان يبلغنا ونحن بالعراق فنبرأ ممّن قاله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 به شيطان</w:t>
      </w:r>
      <w:r>
        <w:rPr>
          <w:rFonts w:eastAsia="IRNazanin" w:cs="IRNazanin"/>
          <w:color w:val="111111"/>
          <w:sz w:val="28"/>
          <w:szCs w:val="28"/>
          <w:rtl w:val="true"/>
          <w:lang w:bidi="fa-IR"/>
        </w:rPr>
        <w:t>»</w:t>
      </w:r>
      <w:r>
        <w:rPr>
          <w:rStyle w:val="FootnoteAnchor"/>
          <w:rtl w:val="true"/>
        </w:rPr>
        <w:footnoteReference w:id="552"/>
      </w:r>
      <w:r>
        <w:rPr>
          <w:rFonts w:ascii="Amiri" w:hAnsi="Amiri" w:eastAsia="Amiri" w:cs="Amiri"/>
          <w:color w:val="111111"/>
          <w:sz w:val="28"/>
          <w:sz w:val="28"/>
          <w:szCs w:val="28"/>
          <w:rtl w:val="true"/>
          <w:lang w:bidi="ar-SA"/>
        </w:rPr>
        <w:t xml:space="preserve">غير مناسب؛ لما يحصى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أمثال أبان من شأن ومقام في الإطاعة والحبّ والفضل والفقاهة، بل هو ليس شأن من هو دونه بدرجات كثيرة، فاعتراضه بذلك إن لم يرجع إلى هتك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وارتداد القائل به، فلا أقلّ من أنّه خلاف الاحترام اللازم بالنسبة إلى العالم، فضلاً عن الإمام المعصوم، فهل يتجرّأ أحد بتصحيح تلك النسبة إلى مثل أبان، بل هل يحتمل أحد صحّتها؟</w:t>
      </w:r>
    </w:p>
    <w:p>
      <w:pPr>
        <w:pStyle w:val="BookText"/>
        <w:rPr/>
      </w:pPr>
      <w:r>
        <w:rPr>
          <w:rFonts w:ascii="Amiri" w:hAnsi="Amiri" w:eastAsia="Amiri" w:cs="Amiri"/>
          <w:color w:val="111111"/>
          <w:sz w:val="28"/>
          <w:sz w:val="28"/>
          <w:szCs w:val="28"/>
          <w:rtl w:val="true"/>
          <w:lang w:bidi="ar-SA"/>
        </w:rPr>
        <w:t>ففي الفهرست</w:t>
      </w:r>
      <w:r>
        <w:rPr>
          <w:rStyle w:val="FootnoteAnchor"/>
          <w:rtl w:val="true"/>
        </w:rPr>
        <w:footnoteReference w:id="553"/>
      </w:r>
      <w:r>
        <w:rPr>
          <w:rFonts w:ascii="Amiri" w:hAnsi="Amiri" w:eastAsia="Amiri" w:cs="Amiri"/>
          <w:color w:val="111111"/>
          <w:sz w:val="28"/>
          <w:sz w:val="28"/>
          <w:szCs w:val="28"/>
          <w:rtl w:val="true"/>
          <w:lang w:bidi="ar-SA"/>
        </w:rPr>
        <w:t>والخلاصة</w:t>
      </w:r>
      <w:r>
        <w:rPr>
          <w:rStyle w:val="FootnoteAnchor"/>
          <w:rtl w:val="true"/>
        </w:rPr>
        <w:footnoteReference w:id="554"/>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جليل القدر؛ عظيم المنزلة في أصحابنا، لقى أبا محمّد عليّ بن الحسين وأبا جعفر وأبا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عنهم، وكان له عندهم حظوة وقدم، وقال له أبو‌جعفر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في مسجد المدينة وأفتِ الناس، فإنّي أُحبّ أن يُرى في شيعتي 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في حياة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أتاه نعيه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أوجع قلبي موت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في سنة إحدى وأربعين ومائة، وزاد في الخلاصة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أهل المدينة، فإنّي أحبّ أن يكون مثلك من رواتي ورجالي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تنقيح المقال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النجاشي</w:t>
      </w:r>
      <w:r>
        <w:rPr>
          <w:rStyle w:val="FootnoteAnchor"/>
          <w:rtl w:val="true"/>
        </w:rPr>
        <w:footnoteReference w:id="555"/>
      </w:r>
      <w:r>
        <w:rPr>
          <w:rFonts w:ascii="Amiri" w:hAnsi="Amiri" w:eastAsia="Amiri" w:cs="Amiri"/>
          <w:color w:val="111111"/>
          <w:sz w:val="28"/>
          <w:sz w:val="28"/>
          <w:szCs w:val="28"/>
          <w:rtl w:val="true"/>
          <w:lang w:bidi="ar-SA"/>
        </w:rPr>
        <w:t>بعد ذكر نسبه على ما مرّ وذكر عظم منزلته في أصحابنا وملاقاته الأئمّة الثلاثة ونقله الروايات المزبورة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أبان رحمه الله مقدّماً في كلّ فنٍّ من العلم في القرآن والفقه والحديث والأدب واللغة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ولأبان قراءة مقروّة مشهورة عند القرّاء، ثمّ روى مسنداً عن محمّد بن موسى بن أبي مريم صاحب اللؤلؤ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 بن تغلب وما رأيت أحداً أقرأ منه قطّ،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الهمزة رياضة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روى مسنداً عن أبان بن محمّد بن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بصر به أمر بوسادة فألقيت له وصافحه واعتنقه وسائله ورحّب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أبان إذا قدم المدينة تفوّضت إليه الحلق وأخليت له سارية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المهمّ ممّا في رجال الكشّي</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وفي 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ثقة جليل القدر، سيّد عصره وفقيهه وعمدة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ألف حديثاً</w:t>
      </w:r>
      <w:r>
        <w:rPr>
          <w:rFonts w:eastAsia="IRNazanin" w:cs="IRNazanin"/>
          <w:color w:val="111111"/>
          <w:sz w:val="28"/>
          <w:szCs w:val="28"/>
          <w:rtl w:val="true"/>
          <w:lang w:bidi="fa-IR"/>
        </w:rPr>
        <w:t>.</w:t>
      </w:r>
      <w:r>
        <w:rPr>
          <w:rStyle w:val="FootnoteAnchor"/>
          <w:rtl w:val="true"/>
        </w:rPr>
        <w:footnoteReference w:id="557"/>
      </w:r>
      <w:r>
        <w:rPr>
          <w:rFonts w:ascii="Amiri" w:hAnsi="Amiri" w:eastAsia="Amiri" w:cs="Amiri"/>
          <w:color w:val="111111"/>
          <w:sz w:val="28"/>
          <w:sz w:val="28"/>
          <w:szCs w:val="28"/>
          <w:rtl w:val="true"/>
          <w:lang w:bidi="ar-SA"/>
        </w:rPr>
        <w:t>انتهى المهمّ ممّا فيه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روي عن أبان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أبان بن تغلب روى عنّي ثلاثين ألف حديثاً فاروها عنّي، وكفى في فضله تصديق جمع من العامّة إيّاه مع اعترافهم بتشيّعه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الكشّي عنه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أقعد في المسجد فيجيئني الناسفيسألوني، فإن لم أجبهم لم يقبلوا منّي وأكره أن اُجيبهم بقولكم وما جاء عنكم،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علمت أنّه من قولهم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فأخبرهم بذلك</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ثمّ لا يخفى عليك أنّ أمر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 بالفتيا دليل واضح وبرهان لائح على علوّ مرتبته في العلم والعمل وثقته وعدالته وأمانته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بذلك أيضاً أمر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بإلقاء وسادة له ومصافحته ومعانقته والسؤال عن حاله والترحيب به وفي إخلاء سارية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شأن عظيم له</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انتهى ما أردنا نقله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 هذه المنزلة المنيعة والدرجة الرفيعة هل يجوز له الكلام مع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تلك الجملات والاعتراض عليه بذلك النحو، وهل يجوز أن يكون المأمور بالفتوى من قبل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ومن قبل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الرواية الدالّة على ذلك الحكم إلى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ذلك الكلام منه بياناً لتسليمه في مقابل كلام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كأنّه يقول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ذكرت من الحكم وإن كان قبل ذلك في نظرنا ممّا جاء به الشيطان، ولكن مع ذلك نسلّم لكم ونقول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الله تعالى تصديقاً لكلامكم وتسليماً لأمركم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بمنافاة ذلك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يا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لا يخفى على المتدبّر والعارف بالمكالمة، بل ومن ذلك يظهر عدم معروفيّتهوشهرته بين الأصحاب في عصر الباقرين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ويكون ذلك إشكالاً جدليّاً على المستدلّين بالحديث، مع اعترافهم بأنّه المشهور وأنّ عليه عمل الأصحاب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اللازم من أخذه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بالقياس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إذا قيست محق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جهل أبان بحرمة القياس وأنّه موجب لمحق الدين أو الجهل بها، وبأنّ المورد من مصاديق القياس أو لا أقل من الجهل بالمورد والموضوع فقط، وجهل مثل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المفتي في زمان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بلغ في المذهب إلى مرتبة من العلم والفقاهة بحيث يحبّ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جلوسه في المسجد وإفتائه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يحتمله أحد في مَن دون شأنه فضلاً عن مثله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الثلاثين في قطع الثلاث والعشرين في قطع الأربع، وأنّ اللازم الأربعين في الأربع كالثلاثين في الثلاث والعشرين في اثنين وعشرة في الواحد، ليس تعجّباً في غير محلّه، ولا الأربع مع الثلاث وما قبله في الدية مساوياً بزيادة العشرة في الأربع وكون ديته أربعين عملاً بالقياس بالحكم؛ لأنّ ذلك يكون من باب فحوى الدليل والمفهوم منه عرفاً، أي من باب العمل بالظواهر الذي عليه رحى الكتاب والسنّة والفقه والفقاهة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رَسُول إلّا بِلِسَانِ قَوْمِهِ</w:t>
      </w:r>
      <w:r>
        <w:rPr>
          <w:rFonts w:ascii="IRNazanin" w:hAnsi="IRNazanin" w:eastAsia="IRNazanin"/>
          <w:color w:val="111111"/>
          <w:sz w:val="28"/>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ومن باب القاعدة العقليّة والعقلائيّة في الضمان بأنّه كلّما زادت الخسارة زاد مقدار الضمان، فكيف جعله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للاعتراض وأنّه أخذ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جيّداً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اللتيا والتي أجابه بالسنّة، ومن المعلوم عدممناسبة الجواب مع السؤال، حيث إنّ إشكال أبان يرتبط بمقام الجعل والثبوت وأنّه كيف يكون كذلك، لا بمقام الإثبات، وإلّا فمحض قول 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حجّة قطعيّة ضروریّة،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وإشكاله الثبوتي باقٍ على كلام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في وجود السؤال والجواب كذلك في أخبار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إصبع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إصبعين؟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عظمت مصيبتها قلّ عقلها،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 xml:space="preserve">شهادة على كون الرواية على الصدور والمطابقة للواقع من باب التقيّة وتوجيه ما في أخبارهم وآثارهم، ألا ترى أنّ التقيّة قد أوجبت التحريف اللفظي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ما في حفظ القرآن من ذلك التحريف من الأهميّة، بحيث إنّ الله تعالى ضمن عدمه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الذِّكْرَ وَإِنَّا لَهُ لَحَافِظُونَ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 بسنده عن موسى بن أشيم،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رجلٌ عن آية من كتاب الله عزّ وجلّ، فأخبره بها، ثمّ دخلعليه داخل فسأله عن تلك الآية، فأخبره بخلاف ما أخبر بها الأوّل، فدخلني من ذلك ما شاء الله حتّى كأنّ قلبي يشرح بالسكّاكين،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أبا قتادة بالشام لا يخطئ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الواو وشبهه، وجئت إلى هذا يخطئ هذا الخطأ كلّه، فبينا أنّا كذلك، إذ دخل عليه آخر فسأله عن تلك الآية فأخبره بخلاف ما أخبرني وأخبر صاحبي، فسكنت نفسي، فعلمتُ أنّ ذلك منه 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فوّض إلى سليمان بن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w:t>
      </w:r>
      <w:r>
        <w:rPr>
          <w:rFonts w:ascii="IRNazanin" w:hAnsi="IRNazanin" w:eastAsia="IRNazanin"/>
          <w:color w:val="111111"/>
          <w:sz w:val="28"/>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وفوّض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آتَاكُمُ الرَّسُولُ فَخُذُوهُ وَمَا نَهَاكُمْ عَنْهُ فَانْتَهُوا</w:t>
      </w:r>
      <w:r>
        <w:rPr>
          <w:rFonts w:ascii="IRNazanin" w:hAnsi="IRNazanin" w:eastAsia="IRNazanin"/>
          <w:color w:val="111111"/>
          <w:sz w:val="28"/>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فما فوّض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فوّضه إلينا</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ومن المعلوم أنّ حديث أبان وإن كان صحيحاً بحسب السند، لكنّه مع هذه المحاذير والجهات المشكلة الموجبة للاختلال في المتن غير حجّة عند العقلاء ولا يعبأون به أصلاً وإن كان ما فيه موافقاً مع القواعد فضلاً عمّا فيه من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أبيت عن عدم بنائهم على العمل بمثله فلا أقلّ من الشكّ في البناء، وذلك كافٍ في عدم الحجّية، فإنّ الأصل في الظنون عدم الحجّية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الصحيحة التي هي أظهر أحاديث الباب، وأمّا مضمرة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جراحة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والنساء في الديةسواء حتّى تبلغ الثلث، فإذا جازت الثلث، فإنّها مثل نصف دية الرجل</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ففي سندها الضعف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بالإضمار، وبكون سماعة واقفيّاً، وبكون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الذهاب بأنّه ابن الرواسي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 عند البعض، ومجهولاً على عدم كونه ابن الرواسي؛ للاشتراك، وفي متنه الضعف من جعله الغاية أوّلاً الثلث، ثانياً التجاوز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العمل بالخبر الواحد التامّ دلالةً وسنداً المخالف للقواعد إذا لم يزد عن الواحد والاثنين مشكلٌ بل ممنوعٌ، دونك عبارة جامع المدارك للفقيه المتّقي السيّد أحمد الخوانساري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شبهة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خبر الثقة أو العدل مع توثيق بعض علماء الرجال أو تعديله من جهة بناء العقلاء أو الاستفادة من بعض الأخبار لا يخلو عن إشكال في الدماء مع شدّة الاهتمام في الدماء، ألا ترى أنّ العقلاء في الأُمور الخطيرة لا يكتفون بخبر الثقة مع اكتفائهم في غيرها به</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النصوص على تسليم تماميّتها سنداً ومتناً ليست بحجّة من جهة المخالفة للكتاب والسنّة، مثل أخبار ردّ النصف من الدية في قتل الحرّ بالحرّة؛ وذلك لأنّ دية كلّ عضو تكون في مقابل عضو الإنسان الحرّ بما أنّه إنسان، لا بما هي قيمة عضوه وغرامته كالغرامة في الأموال وكالدية في أعضاء العبد، وإلّا كان اللازم اختلاف دية الأيادي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اختلافها في مثل الصنعة والعمل بها؛ لأنّ ضمانها من تلك الجهة تختلف باختلاف الجهة، وكان اللازم أيضاً أن لا تزيد دية العضوعلى دية النفس، كما في دية اليدين مع رجل واحد فإنّها تزيد بنصف على دية النفس، فإنّ عمل الأعضاء وضمانها على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 الأصل، فإنّ عمل مثل اليد فرع الحياة، فكيف يزيد دية الفرع على الأصل، فالديات ديات الأعضاء بما أنّها أعضاء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عدم التفاوت في أعضاء الرجل والمرأة من حيث عضوية الإنسان، فإنّ أعضاء الإنسان بما هي أعضاء الإنسان مع انضمامها إلى الخلق الآخر سبب لنسبة الله تعالى البركة إلى ذاته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 فَتَبَارَكَ اللهُ أحْسَنُ الخَالِقِينَ</w:t>
      </w:r>
      <w:r>
        <w:rPr>
          <w:rStyle w:val="FootnoteAnchor"/>
          <w:rtl w:val="true"/>
        </w:rPr>
        <w:footnoteReference w:id="568"/>
      </w:r>
      <w:r>
        <w:rPr>
          <w:rFonts w:ascii="Amiri" w:hAnsi="Amiri" w:eastAsia="Amiri" w:cs="Amiri"/>
          <w:color w:val="111111"/>
          <w:sz w:val="28"/>
          <w:sz w:val="28"/>
          <w:szCs w:val="28"/>
          <w:rtl w:val="true"/>
          <w:lang w:bidi="ar-SA"/>
        </w:rPr>
        <w:t>فمع تساوي أعضاء المرأة وأعضاء الرجل في النسبة إلى الإنسان كيف تكون دية أعضاء المرأة بعد الثلث نصف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إلّا ظلمٌ ومخالف للعدل؟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إلّا التمييز والتفريق بين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في الآيات والأخبار من التساوي بينهما، وأنّه لا مزيّة لأحدهما على الآخر، فإنّ إنسانيّة الإنسان بروحه الإنساني الموجود في المرأة بعين وجوده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أخبار التنصيف في دية أعضاء المرأة بعد الثلث؛ لمخالفتها لآيات العدل، وآيات نفي الظلم، وآيات تساوي أفراد البشر وعدم المزيّة لأحد على الآخر والسنّة المماثلة للكتاب، غير حجّة، ولابدّ من ضربها على الجدار أو ردّ علمها إلى أهلها وإن بلغت من الكثرة ما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الأخبار من الاختلاف في الغاية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الثلث، وفي الآخر التجاوز عنه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الثلث من أنّه ثلث دية الرجل، كما في غير واحد منالأخبار، أو ثلث دية المرأة، كما في خبر ابن أبي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إصبع امرأة؟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تقطع إصبعه حتّى ينتهي إلى ثلث المرأة، فإذا جاز الثلث أضعف الرجل</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دية المرأة فيما زاد عن الثلث، على النصف من دية الرجل، كما في جُلّ أخبارها، أو أنّها على الثلث والرجل على الثلثين، كما في صحيح الحلبي، ففيها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جازت الثلث صيّرت دية الرجال في الجراحات ثلثي الدية، ودية النساء ثلث الدية</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ومن المعلوم أنّ الاختلاف في الجهات الثلاثة في أخبار الباب الذي لا يزيد عن ثمانية أو تسعة، موجبٌ لعدم الحجّية، وعدم بناء العقلاء على البناء بالحديث مع ذلك الاختلاف، بل بما دونه من الاختلاف أيضاً، ولا أقلّ من كونه سبباً للشكّ في البناء والحجّية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عدم الاختلاف في الأمر الأوّل؛ لما في الجواهر</w:t>
      </w:r>
      <w:r>
        <w:rPr>
          <w:rStyle w:val="FootnoteAnchor"/>
          <w:rtl w:val="true"/>
        </w:rPr>
        <w:footnoteReference w:id="571"/>
      </w:r>
      <w:r>
        <w:rPr>
          <w:rFonts w:ascii="Amiri" w:hAnsi="Amiri" w:eastAsia="Amiri" w:cs="Amiri"/>
          <w:color w:val="111111"/>
          <w:sz w:val="28"/>
          <w:sz w:val="28"/>
          <w:szCs w:val="28"/>
          <w:rtl w:val="true"/>
          <w:lang w:bidi="ar-SA"/>
        </w:rPr>
        <w:t>من عدم وضوح الدلالة في أخبار التجاوز، لأنّ الدلالة ليست إلّا من حيث مفهوم اشتراط الجواز في الذيل، وهو معارضٌ بمفهوم الغاية في الصدر، والجمعبينهما كما يمكن بصرف مفهوم الغاية إلى الشرط كذا يمكن بالعكس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 بما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مفهوم الشرط أظهر من الغاية فالترجيح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تعارض بينهما في مثل خبر الباب أصلاً؛ حيث إنّ الظاهر من شرط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اعتبار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الغاية في حكم المغيّى، فمفهومها ثبوت الحكم المخالف فيما بعدها وهو التجاوز، فإنّه لا ظهور للغاية إلّا أنّها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أنّها في حكم المغَيّى والمنطوق وداخلة فيه، أو في حكم المفهوم وأنّه ليست داخلة في المغَيّى، فلا ظهور للغاية فيه أصلاً، والظاهر وقوع الخلط من صاحب الجواهر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ظهور الغاية في المفهوم وبين ظهور الغاية في الغائيّة، وإلّا فمع عدم الخلط لا تعارض بين الصدر والذيل في مثل الخبر من رأس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 حتّى لا يختلط عليك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أنّ الظاهر من وجود الاختلاف بين العامّة في الغاية من أنّها الثلث، أو الزائد عليه كما يظهر لمن راجع المغني لابن قدامة، ففيه بعد الاستدلال على التساوي فيما دون الثلث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الثلث نفسه فهل يستويان فيه؟ على روايتين،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يستويان فيه</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ووجود الاختلاف في أخبارنا أيضاً كما لا يخفى على المتأ‌مّل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الأخبار مع خبر أبي مريم،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جراحات النساء على النصف من جراحات الرجالفي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بل هذا الخبر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موجب لتأييد الوجه السابق وهو الاختلاف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شرح الإرشاد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والبرهان من مناقشة المقدّس الأردبيلي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المشهور في المسألة، بكونه مخالفاً للقواعد العقليّة والنقليّة، ومن الخدشة في الروايات بما لا مزيد عليه في الدقّة والتحقيق والتتبّع، ولننقل تمام عبارته التي هي آخر عباراته في ذلك الكتاب، ففي ختامه مسك، وكم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كبقيّة عباراته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الفوائد، ودونك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يتساوى الرجل والمرأة في ديات الأعضاء والجراح حتّى تبلغ دية عضو المرأة ثلث دية الرجل، فترجع حينئذٍ دية عضو المرأة إلى نصف دية عضو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لو قطع رجل عضو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إصبعها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الجاني دية إصبع الرجل، وهي عشر من الإبل، وفي الاثنتين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وفي الثلاث ثلاثون، حتّى إذا قطع أربع أصابعها، ولما كان ديتها زائدة على ثلث دية الرجل، فإنّما أربعون، وهو زائد على الثلث، وهو ثلاث وثلاثون بعيراً وثلث بعير فترجع إلى نصف دية أربع أصابع الرجل وهي عشرون إبلاً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كون الجاني رجلاً أو امرأة، 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وهو إشارة إلى ردّ مَن خصّص الحكم بما إذا كان الجاني هو الرجل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إذا قطع رجل عضو امرأة قطعاً موجباً للقصاص، فلها أن تقتصّ منه من غير ردٍّ، حتّى إذا قطع عضواً ديته ثلث دية الرجل فصاعداً فلها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یقتصّ منه بعد ردّ نصف دية عضو، كما إذا قطع رجل أربع أصابعها فأرادت القصاص فلها ذلك بعد ردّ عشر أبعرة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الحكم مشهور، وهو خلاف بعض القواعد المنقولة، مثل كون طرف الإنسان إن كان واحداً فديته دية صاحبه، وإن كان اثنين فدية كلّ واحدة نصف ديته، وأنّ دية اليد نصف دية النفس، وهي منقسمة على الأصابع فكان ينبغي أن يكون دية إصبع المرأة خمساً من الإبل، ودية الإصبعين عشراً، والثلاث خمسة عشر، ويكون لها القصاص في الإصبع الواحدة بعد ردّ خمس من الإبل، والمعقوله أيضاً، فإنّ العقل يقتضى أن يزيد دية أربع أصابع على دية الثلاث وإن لم يزد لم ينقص، وهنا قد نقص فإنّها عشرون إبلاً ودية الثلاث 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دية الأربع على هذا الوجه موافق للقاعدة الأُولى، فإنّ مقتضاها كون دية الأربع عشرون والخمسة أصابع خمس وعشرون وهكذا فلابدّ من حكمة تشرّع الزيادة في الثلاث والاثنتين والواحدة فيهما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على الأوّل 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صحيحة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قطع إصبعاً من أصابع المرأة كم فيها؟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اثنتين،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يقطع ثلاثاً فيكون عليه ثلاثون ويقطع أربعاً فيكون عليه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كان يبلغنا ونحن بالعراق فنبرأ ممّن قاله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 به شيطان،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مهلاً يا أبان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المرأة تعاقل الرجل إلى ثلث الدية، فإذا بلغت الثلث رجعت إلى النصف، يا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أخذتني بالقياس، والسنّة إذا قيست انمحق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وفيها بطلان القياس، بل يشكل أمر مفهوم الموافقة، فإنّ العقل يجد بحسب الظاهر أنّه إذا كان ثلاثون لازماً في الثلاث، فيكون لازماً في الأربع بالطريق الأولى، فعلم أنّه لا ينبغي الجرأة فيه أيضاً، إذ قد يخفى الحكمة، ولهذا شرطوا العلم بالعلّة في أصل المفهوم ووجودها في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ومضمرة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ضعيفة من وجوه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جراحات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والنساء في الدية سواء حتّى تبلغ الثلث، فإذا جازت الثلث فإنّها مثل نصف دية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موافق 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على الثاني صحيحة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بينها وبين الرجل قصاص؟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في الجراحات حتّى تبلغ الثلث سواء، فإذا بلغت الثلث سواء ارتفع الرجل وسفلت المرأة</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صحيحة عبدالرحمن بن أبي نجران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عليهما صحيحة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جراحات الرجال والنساء في الديات والقصاص سواء؟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والنساء في القصاص السنّ بالسنّ والشجّة بالشجّة والإصبع بالإصبع سواء حتّى تبلغ الجراحات ثلث الدية، فإذا جازت الثلث صيّرت دية الرجال ثلثي الدية، ودية النساء ثلث الدية</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هذه أيضاً غير موافقة لصحيحة أبان وقولهم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اعلم، إنّ في رواية أبان، عبدالرحمن بن الحجّاج، وفيه شيء، وهو أنّه نقل في مشيخة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لثقيل على الفؤاد</w:t>
      </w:r>
      <w:r>
        <w:rPr>
          <w:rFonts w:eastAsia="IRNazanin" w:cs="IRNazanin"/>
          <w:color w:val="111111"/>
          <w:sz w:val="28"/>
          <w:szCs w:val="28"/>
          <w:rtl w:val="true"/>
          <w:lang w:bidi="fa-IR"/>
        </w:rPr>
        <w:t>».</w:t>
      </w:r>
      <w:r>
        <w:rPr>
          <w:rStyle w:val="FootnoteAnchor"/>
          <w:rtl w:val="true"/>
        </w:rPr>
        <w:footnoteReference w:id="578"/>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رُمي بالكيسانيّة، ثمّ رجع وقال بالحقّ،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ثقة</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وليس في الروايات أصرح منها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ليست بصريحة فيما ذكره من التفاوت؛ إذ يحتمل حمل التساوي على أنّ دية عضوها بالنسبة إلى دية نفسها صار دية عضو الرجل بالنسبة إلى ديته، فهما متساويان فيذلك، وأنّه لا ردّ ولا تفاوت </w:t>
      </w:r>
      <w:bookmarkStart w:id="164" w:name="pg9428_72394"/>
    </w:p>
    <w:p>
      <w:pPr>
        <w:pStyle w:val="BookText"/>
        <w:rPr/>
      </w:pPr>
      <w:bookmarkEnd w:id="16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قصاص العضو، مثل السنّ بالسنّ، ويكون ذلك في الرجل بالنسبة إلى الرجل وفي المرأة بالنسبة إلى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رواية أبي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ولعلّها صحيحة، ولا يضرّ أبان، فإنّ الظاهر أنّه ابن عثمان المُجمع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جراحات النساء على النصف من جراحات الرجال في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0"/>
      </w:r>
      <w:r>
        <w:rPr>
          <w:rFonts w:ascii="Amiri" w:hAnsi="Amiri" w:eastAsia="Amiri" w:cs="Amiri"/>
          <w:color w:val="111111"/>
          <w:sz w:val="28"/>
          <w:sz w:val="28"/>
          <w:szCs w:val="28"/>
          <w:rtl w:val="true"/>
          <w:lang w:bidi="ar-SA"/>
        </w:rPr>
        <w:t xml:space="preserve">مخالفة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وتخالفها أيضاً رواية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قطع إصبع امرأة؟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يقطع إصبعه حتّى ينتهي إلى ثلث المرأة، فإذا جاز الثلث أضعف الرجل</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والمخالفة من جهة ثلث المرأة والتجاوز عن الثلث لا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الحكم مخالفٌ للقواعد كما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دليله أيضاً بعض المناقشات مع المخالفة في الجملة، وهو مشكلٌ</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ثمّ إنّ هنا مسائل متفرّعة على المبنى المشهور، والبحث عنها وإن لم يكن لازماً على المختار لكنّنا نبحثها تتميماً للبحث وتكميلاً للفائدة</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5797509_2870459653"/>
      <w:bookmarkStart w:id="166" w:name="_Toc55"/>
      <w:bookmarkEnd w:id="165"/>
      <w:r>
        <w:rPr>
          <w:rtl w:val="true"/>
        </w:rPr>
        <w:t>مسائل متفرّعة على المبنى المشهور</w:t>
      </w:r>
      <w:bookmarkEnd w:id="16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التساوي غايته الثلث، كما هو المشهور وعليه غير واحد من الأخبار، أو التجاوز عنه المحكيّ عن الشيخ في النهاية؟ قالفيها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ويتساوى جراحهما ما لم يتجاوز ثلث الدية، فإذا بلغت ثلث الدية نُقصت المرأة وزيد الرجل</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كما ورد ذلك في خبر ابن أبي يعفور،</w:t>
      </w:r>
      <w:r>
        <w:rPr>
          <w:rStyle w:val="FootnoteAnchor"/>
          <w:rtl w:val="true"/>
        </w:rPr>
        <w:footnoteReference w:id="584"/>
      </w:r>
      <w:r>
        <w:rPr>
          <w:rFonts w:ascii="Amiri" w:hAnsi="Amiri" w:eastAsia="Amiri" w:cs="Amiri"/>
          <w:color w:val="111111"/>
          <w:sz w:val="28"/>
          <w:sz w:val="28"/>
          <w:szCs w:val="28"/>
          <w:rtl w:val="true"/>
          <w:lang w:bidi="ar-SA"/>
        </w:rPr>
        <w:t>وصحيح الحلبي،</w:t>
      </w:r>
      <w:r>
        <w:rPr>
          <w:rStyle w:val="FootnoteAnchor"/>
          <w:rtl w:val="true"/>
        </w:rPr>
        <w:footnoteReference w:id="585"/>
      </w:r>
      <w:r>
        <w:rPr>
          <w:rFonts w:ascii="Amiri" w:hAnsi="Amiri" w:eastAsia="Amiri" w:cs="Amiri"/>
          <w:color w:val="111111"/>
          <w:sz w:val="28"/>
          <w:sz w:val="28"/>
          <w:szCs w:val="28"/>
          <w:rtl w:val="true"/>
          <w:lang w:bidi="ar-SA"/>
        </w:rPr>
        <w:t>وخبر أبي بصير</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فيه قولان، وبما أنّه لا ترجيح لواحد من المتعارضين من الأخبار فلابدّ للفقيه من التخيّر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الجواهر من عدم الدلالة في تلك الأخبار الثلاثة لتعارض الصدر والذيل فقد مضى الجواب عنه، وأمّا ما فيه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فرض تعارض الأدلّة وتكافئها من كلّ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كون المرأة على الضعف</w:t>
      </w:r>
      <w:r>
        <w:rPr>
          <w:rStyle w:val="FootnoteAnchor"/>
          <w:rtl w:val="true"/>
        </w:rPr>
        <w:footnoteReference w:id="587"/>
      </w:r>
      <w:r>
        <w:rPr>
          <w:rFonts w:ascii="Amiri" w:hAnsi="Amiri" w:eastAsia="Amiri" w:cs="Amiri"/>
          <w:color w:val="111111"/>
          <w:sz w:val="28"/>
          <w:sz w:val="28"/>
          <w:szCs w:val="28"/>
          <w:rtl w:val="true"/>
          <w:lang w:bidi="ar-SA"/>
        </w:rPr>
        <w:t>من الرجل ولو باستقراءغير المقام</w:t>
      </w:r>
      <w:r>
        <w:rPr>
          <w:rFonts w:eastAsia="Amiri" w:cs="Amiri" w:ascii="Amiri" w:hAnsi="Amiri"/>
          <w:color w:val="111111"/>
          <w:sz w:val="28"/>
          <w:szCs w:val="28"/>
          <w:rtl w:val="true"/>
          <w:lang w:bidi="ar-SA"/>
        </w:rPr>
        <w:t>.</w:t>
      </w:r>
      <w:r>
        <w:rPr>
          <w:rStyle w:val="FootnoteAnchor"/>
          <w:rtl w:val="true"/>
        </w:rPr>
        <w:footnoteReference w:id="58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بعد تكافؤ الخبرين التخيير لا التساقط، والرجوع إلى أمر آخر من الاستقراء وغيره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ذلك القول في عدم التماميّة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من إمكان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النصّ بالتجاوز عن الثلث فيها إنّما وقع مسامحةً، أو نظراً إلى كون البلوغ إلى الثلث من دون زيادة ولا نقيصة من الأفراد النادرة غاية الندرة</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المسامحة خلاف الظاهر، وأنّ ندرة الوجود ليست إلّا سبباً لعدم اختصاص العموم والإطلاق بالنادر، فإنّه خلاف الظاهر أيضاً، وأمّا كونها سبباً لتغيير الضابطة فكما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لك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الرجل إصبعاً أو إصبعين أو ثلاثاً من المرأة قطع مثلها منه قصاصاً من غير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أخذت الدية أُخذت كدية أصابعه، ولو قطع أربعاً منها لم تقطع الأربع منه إلّا بعد ردّ دية إصبعين، ولو أخذت منه الدية أُخذت منه عشرين بعيراً دية إصبعين منه، كما سمعت التصريح به في خبر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لها إذا قطع الأربع منها القصاص في إصبعين منه من دون ردّ؟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العمل بمقتضى التفاوت بينهما، وهو الأخذ لها بالنصف ممّا له، وأنّه كان لها قطعهما إذا قطعت منها اثنتان فقط فلها ذلك إذا قطعت منها أربع؛ لوجود المقتضي وهو قطع اثنين وانتفاء المانع، فإنّ الزائد لا يصلح مانعاً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أنّه خارج عن فتوى الأصحاب والأخبار، فإنّ الوارد فيها إمّا أخذ الدية عشرين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القصاص وردّ عشرين عليه، وهو ليس شيئاً منهما، وقصاص البعض ليس قصاصاً، ومنع انتفاء المانع، فإنّ الزيادة في الجناية كما منعت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ثلاثين من الإبل، فلِمَ لا تمنع القصاص في إصبعين؟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مقتضى التحقيق أنّ لها قطع الإصبعين من دون ردٍّ؛ قضاءً لفحوى الأدلّة، فإنّ المتفاهم منها عرفاً كون دية المرأة في الأعضاء نصف دية الرجل فيها فيما زاد على الثلث، فالقصاص والمقابلة بالمثل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لردّ النصف من الدية إلى الرجل؛ قضاءً للمقابلة والمقاصّة والمماثلة، لا لخصوصيّة أُخرى خاصّة بصورة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فكما تكون للمرأة قطع الأربع مع ردّ النصف فكذلك لها قطع الاثنين بلا ردٍّ؛ لحصول المقابلة والمماثلة كما لا يخفى، ولذلك يظهر عدم تماميّة ما في وجه المنع من أنّ الزيادة في الجناية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الثلاثين أخذٌ للزائد عن حقّها، وهو بخلاف قطع الإصبعين، فإنّه موافق ومماثلة لحقّها على التنصيف كما هو المفروض، كما يظهر بما حقّقناه أنّ لها قطع الثلاث مع ردّ دية الإصبع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لها القطع كذلك بلا ردٍّ؛ لكون القطع كذلك زائداً عن حقّهما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لك ممّا حقّقناه أنّه ليس للرجل الامتناع من ذلك بأن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تأخذي الدية ولا تقطعي شيئاً من أصابعي، أو تقطعي الأربع وتردّي عليّ دية اثنين، بل الاختيار بيد المرأة فيهما وفي قطع الاثنين فقط أو الثلاث مع الردّ، كما أنّه ليس للمرأة المطالبة بأكثر من دية إصبعين، وليس لها أن تطلب دية ثلاث وتعفو عن الرابع؛ لمخالفته مع النصّ والفتوى الراجعة إلى الزيادة في القصاص</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أيضاً اختصاص الحكم بما إذا كان الجاني رجلاً، بل لا خلاف فيه اقتصاراً على القدر المتيقّن، فإنّ الحكم على خلاف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الدين، فلا يقتل مسلم بكافر مع عدم اعتياده قتل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الجاني امرأة، ففيه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البعض سواء بسواء مثل النفس، فلا فرق بين أعضاء المرأة إذا كان الجاني امرأة كما في النفس، ففي الإصبع خمس، وفي الاثنين عشرة، وفي الثلاث خمس عشرة، وفي الأربع عشرون، وفي الخمس خمسة وعشرون،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ولكون الحكم على خلاف القواعد، قال في مجمع الفائدة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لذلك تردّد في القواعد،</w:t>
      </w:r>
      <w:r>
        <w:rPr>
          <w:rStyle w:val="FootnoteAnchor"/>
          <w:rtl w:val="true"/>
        </w:rPr>
        <w:footnoteReference w:id="590"/>
      </w:r>
      <w:r>
        <w:rPr>
          <w:rFonts w:ascii="Amiri" w:hAnsi="Amiri" w:eastAsia="Amiri" w:cs="Amiri"/>
          <w:color w:val="111111"/>
          <w:sz w:val="28"/>
          <w:sz w:val="28"/>
          <w:szCs w:val="28"/>
          <w:rtl w:val="true"/>
          <w:lang w:bidi="ar-SA"/>
        </w:rPr>
        <w:t>ولكنّ الذي يظهر أنّه ينبغي عدم التردّد والجزم بالتسوية، فإنّ الحكم مخالفٌ للقواعد كما عرفت، وليس له في المرأة دليل؛ لاختصاص الدليل بالرجل كما سمعت، وبطلان القياس خصوصاً هنا على ماعرفت، فأيّ شيء يقتضي التردّد كما فعله في القواعد، أو الحكم بالتسوية بين كون الجاني رجلاً أو امرأة كما فعله هنا؟ وهو ظاهر</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الحكم المزبور إذا كان القطع للأربع بضربة واحدة، وأمّا لو كان بأربع ضربات يقطع بكلّ واحدة إصبعاً أو بضربتين يقطع بكلٍّ منهما إصبعين، فالظاهر ثبوت دية الأربع أو القصاص في الجميع من غير ردٍّ كما صرّح به غير واحد، إذ كلّ ما جنى عليها جناية يثبت لها حكمها، ولا دليل على سقوطه بلحوق جناية أُخرى، والجناية الأخيرة إنّما هي قطع ما دون الأربع فلها حكمها، ولا تسقط بسبقأُخرى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الشرط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التساوي في الدين، فلا يقتل مسلم بكافر مع عدم الاعتياد، ذمّياً كان أو مستأمناً أو حربيّاً، بلا خلاف معتدٍّ به أجده فيه بيننا، بل الإجماع بقسميه عليه، بل المحكيّ منهما مستفيض حدّ الاستفاضة أو متواتر كالنصوص،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محمّد بن 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يقاد مسلم بذمّي في القتل ولا في الجراحات، ولكن يؤخذ من المسلم جنايته للذمّي على قدر دية الذمّي ثمانمائة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2"/>
      </w:r>
      <w:r>
        <w:rPr>
          <w:rFonts w:ascii="Amiri" w:hAnsi="Amiri" w:eastAsia="Amiri" w:cs="Amiri"/>
          <w:color w:val="111111"/>
          <w:sz w:val="28"/>
          <w:sz w:val="28"/>
          <w:szCs w:val="28"/>
          <w:rtl w:val="true"/>
          <w:lang w:bidi="ar-SA"/>
        </w:rPr>
        <w:t xml:space="preserve">وغيره على وجه لا يقدح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الصدوق في المقنع</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وصريح عبارته انحصار المخالف للإجماع بالصدوق في المقنع، والظاهر أنّه كذلك لانحصار نقل الخلاف من المقنع فقط، ففي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قطع المسلم يد المعاهد خيّر أولياء المعاهد، فإن شاؤوا أخذوا دية يده، وإن شاؤوا قطعوا يد المسلم وأدّوا إليه فضل ما بين الديتين، وإذا قتله المسلم صنع كذلك</w:t>
      </w:r>
      <w:r>
        <w:rPr>
          <w:rFonts w:eastAsia="Amiri" w:cs="Amiri" w:ascii="Amiri" w:hAnsi="Amiri"/>
          <w:color w:val="111111"/>
          <w:sz w:val="28"/>
          <w:szCs w:val="28"/>
          <w:rtl w:val="true"/>
          <w:lang w:bidi="ar-SA"/>
        </w:rPr>
        <w:t>.</w:t>
      </w:r>
      <w:r>
        <w:rPr>
          <w:rStyle w:val="FootnoteAnchor"/>
          <w:rtl w:val="true"/>
        </w:rPr>
        <w:footnoteReference w:id="59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الفقيه من ذهابه إلى قتل المسلم بقتل المعاهد الواحد فضلاًعن الذمّي وفضلاً عن الموجب للاعتياد، فليس من باب القصاص وحقّ الناس، بل يكون من </w:t>
      </w:r>
      <w:bookmarkStart w:id="167" w:name="pg9428_72406"/>
    </w:p>
    <w:p>
      <w:pPr>
        <w:pStyle w:val="BookText"/>
        <w:rPr/>
      </w:pPr>
      <w:bookmarkEnd w:id="16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الجزاء والحدّ وحقّ الله تعالى؛ للمخالفة مع عهد الإمام، ودونك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من خالف الإمام في قتل واحد منهم متعمّداً القتل؛ لخلافه على إمام المسلمين لا لحرمة الذمّي</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وبما ذكرناه يظهر عدم كون مثل التفصيل في قتل المسلم بالكافر بين المعتاد وغيره بالقتل في المعتاد حدّاً وعدمه في غيره رأساً، المحكيّ عن ابن الجنيد</w:t>
      </w:r>
      <w:r>
        <w:rPr>
          <w:rStyle w:val="FootnoteAnchor"/>
          <w:rtl w:val="true"/>
        </w:rPr>
        <w:footnoteReference w:id="596"/>
      </w:r>
      <w:r>
        <w:rPr>
          <w:rFonts w:ascii="Amiri" w:hAnsi="Amiri" w:eastAsia="Amiri" w:cs="Amiri"/>
          <w:color w:val="111111"/>
          <w:sz w:val="28"/>
          <w:sz w:val="28"/>
          <w:szCs w:val="28"/>
          <w:rtl w:val="true"/>
          <w:lang w:bidi="ar-SA"/>
        </w:rPr>
        <w:t>والحلبي</w:t>
      </w:r>
      <w:r>
        <w:rPr>
          <w:rFonts w:eastAsia="Amiri" w:cs="Amiri" w:ascii="Amiri" w:hAnsi="Amiri"/>
          <w:color w:val="111111"/>
          <w:sz w:val="28"/>
          <w:szCs w:val="28"/>
          <w:lang w:bidi="ar-SA"/>
        </w:rPr>
        <w:t>0</w:t>
      </w:r>
      <w:r>
        <w:rPr>
          <w:rStyle w:val="FootnoteAnchor"/>
          <w:rtl w:val="true"/>
        </w:rPr>
        <w:footnoteReference w:id="597"/>
      </w:r>
      <w:r>
        <w:rPr>
          <w:rFonts w:ascii="Amiri" w:hAnsi="Amiri" w:eastAsia="Amiri" w:cs="Amiri"/>
          <w:color w:val="111111"/>
          <w:sz w:val="28"/>
          <w:sz w:val="28"/>
          <w:szCs w:val="28"/>
          <w:rtl w:val="true"/>
          <w:lang w:bidi="ar-SA"/>
        </w:rPr>
        <w:t xml:space="preserve">تفصيلاً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مسألة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القول راجع إلى القول بعدم القصاص مطلقاً، وإنّما يكون تفصيله جمعاً بين الفتويين في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مسألة القصاص والحدّ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واحدة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عن عدّة من الأصحاب وفي المقنعة</w:t>
      </w:r>
      <w:r>
        <w:rPr>
          <w:rStyle w:val="FootnoteAnchor"/>
          <w:rtl w:val="true"/>
        </w:rPr>
        <w:footnoteReference w:id="598"/>
      </w:r>
      <w:r>
        <w:rPr>
          <w:rFonts w:ascii="Amiri" w:hAnsi="Amiri" w:eastAsia="Amiri" w:cs="Amiri"/>
          <w:color w:val="111111"/>
          <w:sz w:val="28"/>
          <w:sz w:val="28"/>
          <w:szCs w:val="28"/>
          <w:rtl w:val="true"/>
          <w:lang w:bidi="ar-SA"/>
        </w:rPr>
        <w:t>والنهاية</w:t>
      </w:r>
      <w:r>
        <w:rPr>
          <w:rStyle w:val="FootnoteAnchor"/>
          <w:rtl w:val="true"/>
        </w:rPr>
        <w:footnoteReference w:id="599"/>
      </w:r>
      <w:r>
        <w:rPr>
          <w:rFonts w:ascii="Amiri" w:hAnsi="Amiri" w:eastAsia="Amiri" w:cs="Amiri"/>
          <w:color w:val="111111"/>
          <w:sz w:val="28"/>
          <w:sz w:val="28"/>
          <w:szCs w:val="28"/>
          <w:rtl w:val="true"/>
          <w:lang w:bidi="ar-SA"/>
        </w:rPr>
        <w:t>من القود في المعتاد دون غيره، الظاهر في كونه تفصيلاً في المسألة، مبنيٌّ على كون القتل في المعتاد من باب القصاص لا من باب الحدّ، وإلّا فيرجع إلى التفصيل السابق</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5797511_2870459653"/>
      <w:bookmarkStart w:id="169" w:name="_Toc56"/>
      <w:bookmarkEnd w:id="168"/>
      <w:r>
        <w:rPr>
          <w:rtl w:val="true"/>
        </w:rPr>
        <w:t>عدم شرطيّة التساوي في الدين</w:t>
      </w:r>
      <w:bookmarkEnd w:id="16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مقتضى إطلاق أدلّة القصاص وعموماته عدم شرطيّة التساوي في الدين، ومشروعيّة القصاص مطلقاً من دون فرق بين صورة التساوي كقتل المسلم أو الكافر بمثلهما، أو الاختلاف كقتل المسلم بالكافر أو عكسه، فالمناط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القصاص الإنسانيّة والخلقة لا العقيدة والملّة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 يَا أُوْلي الأَلْبَابِ</w:t>
      </w:r>
      <w:r>
        <w:rPr>
          <w:rFonts w:ascii="IRNazanin" w:hAnsi="IRNazanin" w:eastAsia="IRNazanin"/>
          <w:color w:val="111111"/>
          <w:sz w:val="28"/>
          <w:sz w:val="28"/>
          <w:szCs w:val="28"/>
          <w:rtl w:val="true"/>
          <w:lang w:bidi="fa-IR"/>
        </w:rPr>
        <w:t>،</w:t>
      </w:r>
      <w:r>
        <w:rPr>
          <w:rStyle w:val="FootnoteAnchor"/>
          <w:rtl w:val="true"/>
        </w:rPr>
        <w:footnoteReference w:id="600"/>
      </w:r>
      <w:r>
        <w:rPr>
          <w:rFonts w:ascii="Amiri" w:hAnsi="Amiri" w:eastAsia="Amiri" w:cs="Amiri"/>
          <w:color w:val="111111"/>
          <w:sz w:val="28"/>
          <w:sz w:val="28"/>
          <w:szCs w:val="28"/>
          <w:rtl w:val="true"/>
          <w:lang w:bidi="ar-SA"/>
        </w:rPr>
        <w:t>وهذه الآية كالنصّ في الإطلاق؛ لأنّ الخطاب إلى أُولي الألباب، وهم المخاطبون بدرك الحياة في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ومثلهما في الدلالة آية الاعتداء بالمثل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وشمول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فيهما لجميع أفراد البشر ممّا لا يعتريه ريب ولا شكّ، فالآيتان في الشمول كالآية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الآيات، بل أظهر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 وَالْجُرُوحَ قِصَاصٌ</w:t>
      </w:r>
      <w:r>
        <w:rPr>
          <w:rFonts w:ascii="IRNazanin" w:hAnsi="IRNazanin" w:eastAsia="IRNazanin"/>
          <w:color w:val="111111"/>
          <w:sz w:val="28"/>
          <w:sz w:val="28"/>
          <w:szCs w:val="28"/>
          <w:rtl w:val="true"/>
          <w:lang w:bidi="fa-IR"/>
        </w:rPr>
        <w:t>،</w:t>
      </w:r>
      <w:r>
        <w:rPr>
          <w:rStyle w:val="FootnoteAnchor"/>
          <w:rtl w:val="true"/>
        </w:rPr>
        <w:footnoteReference w:id="603"/>
      </w:r>
      <w:r>
        <w:rPr>
          <w:rFonts w:ascii="Amiri" w:hAnsi="Amiri" w:eastAsia="Amiri" w:cs="Amiri"/>
          <w:color w:val="111111"/>
          <w:sz w:val="28"/>
          <w:sz w:val="28"/>
          <w:szCs w:val="28"/>
          <w:rtl w:val="true"/>
          <w:lang w:bidi="ar-SA"/>
        </w:rPr>
        <w:t>وشمول النفس لجميع الأنفس واضح</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صحيح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النَّفْسَ بِالنَّفْسِ وَالْعَيْنَ بِالْعَيْنِ وَالأَنفَ بِالأَنفِ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محكمة</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الخطاب في صدر الآية الأُولى للمؤمنين، فحكم القصاص في تلك الآية صدراً وذيلاً مختصٌ بهم؛ أي بالمسلمين فقط وغير شامل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المؤمنين بالذكر والخطاب في الآية وغيرها مثل آية الأمر بالوفاء بالعقود،</w:t>
      </w:r>
      <w:r>
        <w:rPr>
          <w:rStyle w:val="FootnoteAnchor"/>
          <w:rtl w:val="true"/>
        </w:rPr>
        <w:footnoteReference w:id="605"/>
      </w:r>
      <w:r>
        <w:rPr>
          <w:rFonts w:ascii="Amiri" w:hAnsi="Amiri" w:eastAsia="Amiri" w:cs="Amiri"/>
          <w:color w:val="111111"/>
          <w:sz w:val="28"/>
          <w:sz w:val="28"/>
          <w:szCs w:val="28"/>
          <w:rtl w:val="true"/>
          <w:lang w:bidi="ar-SA"/>
        </w:rPr>
        <w:t>وآية الأمر بالاجتناب من الظنّ،</w:t>
      </w:r>
      <w:r>
        <w:rPr>
          <w:rStyle w:val="FootnoteAnchor"/>
          <w:rtl w:val="true"/>
        </w:rPr>
        <w:footnoteReference w:id="606"/>
      </w:r>
      <w:r>
        <w:rPr>
          <w:rFonts w:ascii="Amiri" w:hAnsi="Amiri" w:eastAsia="Amiri" w:cs="Amiri"/>
          <w:color w:val="111111"/>
          <w:sz w:val="28"/>
          <w:sz w:val="28"/>
          <w:szCs w:val="28"/>
          <w:rtl w:val="true"/>
          <w:lang w:bidi="ar-SA"/>
        </w:rPr>
        <w:t>وغيرها من الآيات المماثلة لها، ليس إلّا تذكّراً للإيمان الضامن للإجراء من الباطن والقلب أوّلاً، وإلّا فمن البديهي عدم اختصاص وجوب الوفاء بالعقود ووجوب الاجتناب من الظنّ، وغيرهما من الأحكام المتوجّهة للمؤمنين بهم، بل تلك الأحكام الثابتة للناس جميعاً وَمَا أرْسَلنَاكَ إلّا كَافَّةً لِلنَّاسِ</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وأنّ الخطاب في الآية وإن كان للمؤمنين، لكنّ الحكم المجعول فيها للكلّ بقرينة الآية السابقة عليها ثانياً، حيث إنّ في كون الحكم في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بِالْحُرِّ وَالْعَبْدُ بِالْعَبْدِ وَالأُنثَى بِالأُنْثَى</w:t>
      </w:r>
      <w:r>
        <w:rPr>
          <w:rStyle w:val="FootnoteAnchor"/>
          <w:rtl w:val="true"/>
        </w:rPr>
        <w:footnoteReference w:id="608"/>
      </w:r>
      <w:r>
        <w:rPr>
          <w:rFonts w:ascii="Amiri" w:hAnsi="Amiri" w:eastAsia="Amiri" w:cs="Amiri"/>
          <w:color w:val="111111"/>
          <w:sz w:val="28"/>
          <w:sz w:val="28"/>
          <w:szCs w:val="28"/>
          <w:rtl w:val="true"/>
          <w:lang w:bidi="ar-SA"/>
        </w:rPr>
        <w:t>الذي يكون في الآية السابقة على الآية الأُولى على العموم، شهادة وظهور بل صراحة على العموم فيها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أُوْلِي الأَلْبَابِ الشامل لجميع العقلاء يكون أمراًمستقلاً عن الصدر، فليس في الاختصاص في الخطاب فيه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والغضّ عمّا ذكرناه أوّلاً وثانياً، قرينة على الاختصاص في الذيل ثالثاً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يحتمل أحد عدم العموميّة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w:t>
      </w:r>
      <w:bookmarkStart w:id="170" w:name="pg9428_72412"/>
    </w:p>
    <w:p>
      <w:pPr>
        <w:pStyle w:val="BookText"/>
        <w:rPr/>
      </w:pPr>
      <w:bookmarkEnd w:id="170"/>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يَا أُوْلِي الأَلْبَابِ</w:t>
      </w:r>
      <w:r>
        <w:rPr>
          <w:rFonts w:ascii="IRNazanin" w:hAnsi="IRNazanin" w:eastAsia="IRNazanin"/>
          <w:color w:val="111111"/>
          <w:sz w:val="28"/>
          <w:sz w:val="28"/>
          <w:szCs w:val="28"/>
          <w:rtl w:val="true"/>
          <w:lang w:bidi="fa-IR"/>
        </w:rPr>
        <w:t>،</w:t>
      </w:r>
      <w:r>
        <w:rPr>
          <w:rStyle w:val="FootnoteAnchor"/>
          <w:rtl w:val="true"/>
        </w:rPr>
        <w:footnoteReference w:id="609"/>
      </w:r>
      <w:r>
        <w:rPr>
          <w:rFonts w:ascii="Amiri" w:hAnsi="Amiri" w:eastAsia="Amiri" w:cs="Amiri"/>
          <w:color w:val="111111"/>
          <w:sz w:val="28"/>
          <w:sz w:val="28"/>
          <w:szCs w:val="28"/>
          <w:rtl w:val="true"/>
          <w:lang w:bidi="ar-SA"/>
        </w:rPr>
        <w:t>وأنّه مختصّ بالمؤمنين بقرينة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الحمل كذلك موجب لذهاب ما في هذه الجملة بالخصوص من الفصاحة والبلاغة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الآيات كلّها دلالة على عدم شرطيّة التساوي في الدين، وأنّ المسلم يقتل بغير المسلم المحترم مطلقاً، ذمّياً كان أو غيره من جميع فرق الكفر، فهو الأصل وخلافه محتاج إلى الدليل والإثبات</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5797513_2870459653"/>
      <w:bookmarkStart w:id="172" w:name="_Toc57"/>
      <w:bookmarkEnd w:id="171"/>
      <w:r>
        <w:rPr>
          <w:rtl w:val="true"/>
        </w:rPr>
        <w:t>أدلّة القائلين بشرطيّة التساوي في الدين</w:t>
      </w:r>
      <w:bookmarkEnd w:id="172"/>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على الشرطيّة بالكتاب والسنّة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يَجْعَلَ اللهُ لِلْكَافِرِينَ عَلَى الْمُؤْمِنِينَ سَبِيلاً</w:t>
      </w:r>
      <w:r>
        <w:rPr>
          <w:rFonts w:ascii="IRNazanin" w:hAnsi="IRNazanin" w:eastAsia="IRNazanin"/>
          <w:color w:val="111111"/>
          <w:sz w:val="28"/>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والأصل في الاستدلال بالآية الشيخ في الخلاف</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يقتل مسلم بكافر؛ سواء كان معاهداً أو مستأمناً أو حربيّاً، وبه قال في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وعثمان وزيد بن ثابت، وفي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البصري وعطاء وعكرمة، وفي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والأوزاعي، والثوري، والشافعي، وأحمد بن حنبل، وإسحاق، وإليه ذهب أبو‌عبيد وأبو‌ثور، وذهبت طائفة إلى أنّه يقتل بالذمّي، ولا يقتل بالمستأمن ولا بالحربي، ذهب إليهالشعبي، والنخعي، وأبو‌حنيفة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والمستأمن عند أبي حنيفة كالحربي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وأخبارهم، وأيضاً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 يَجْعَلَ اللهُ لِلْكَافِرِينَ عَلَى الْمُؤْمِنِينَ سَبِيلاً ولم يفصّل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لا الخبر؛ لأنّه لو كان المراد الخبر لكان كذباً</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الاستدلال بالآية أنّ الظاهر كون النفي إخباراً لا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استدلّ 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الإنشائيّة باستلزام الإِخبار كذباً لوجود السبيل والسلطة منهم في الخارج في الأيّام الماضية والحاليّة، بل والمستقبليّة،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وزان الآية وزان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مِنْ حَسَنَةٍ فَمِنَ اللهِ وَمَا أَصَابَكَ مِنْ سَيِّئَةٍ فَمِنْ نَفْسِكَ</w:t>
      </w:r>
      <w:r>
        <w:rPr>
          <w:rFonts w:ascii="IRNazanin" w:hAnsi="IRNazanin" w:eastAsia="IRNazanin"/>
          <w:color w:val="111111"/>
          <w:sz w:val="28"/>
          <w:sz w:val="28"/>
          <w:szCs w:val="28"/>
          <w:rtl w:val="true"/>
          <w:lang w:bidi="fa-IR"/>
        </w:rPr>
        <w:t>،</w:t>
      </w:r>
      <w:r>
        <w:rPr>
          <w:rStyle w:val="FootnoteAnchor"/>
          <w:rtl w:val="true"/>
        </w:rPr>
        <w:footnoteReference w:id="612"/>
      </w:r>
      <w:r>
        <w:rPr>
          <w:rFonts w:ascii="Amiri" w:hAnsi="Amiri" w:eastAsia="Amiri" w:cs="Amiri"/>
          <w:color w:val="111111"/>
          <w:sz w:val="28"/>
          <w:sz w:val="28"/>
          <w:szCs w:val="28"/>
          <w:rtl w:val="true"/>
          <w:lang w:bidi="ar-SA"/>
        </w:rPr>
        <w:t>فكما أنّ الاختلاف في النسبة في الآية ليس بكذب، مع أنّ الحسنة والسيّئة كلاهما باعتبار العلّة الأُولى ومنشأ العلل من الله تعالى، فإنّه لا مؤثّر في الوجود إلّا الله، وباعتبار تحقّقهما بيد الإنسان واختياره وعمله فكلاهما من الإنسان؛ لأنّ</w:t>
      </w:r>
      <w:r>
        <w:rPr>
          <w:rStyle w:val="FootnoteAnchor"/>
          <w:rtl w:val="true"/>
        </w:rPr>
        <w:footnoteReference w:id="613"/>
      </w:r>
      <w:r>
        <w:rPr>
          <w:rFonts w:ascii="Amiri" w:hAnsi="Amiri" w:eastAsia="Amiri" w:cs="Amiri"/>
          <w:color w:val="111111"/>
          <w:sz w:val="28"/>
          <w:sz w:val="28"/>
          <w:szCs w:val="28"/>
          <w:rtl w:val="true"/>
          <w:lang w:bidi="ar-SA"/>
        </w:rPr>
        <w:t>النسبة في الحسنة باعتبار الأمر بها والتوفيق من الله تعالى فيها، وهذا بخلاف السيئة، فلا أمر من الله تعالى بها ولا توفيق منه إليها، بل منه تعالى النهي عنها، فكذلك الأمر في الآية، فالإخبار بنفي السبيل إن كان على سبيل الإخبار عن التكوين وما هو الواقع في الخارج وعالم الحقيقة، فلا شبهة في عدم كونه مراداً من الآية؛ لاستلزامه الكذب لما ذكره رحمه الله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 كان الإخبار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يَجْعَلَ اللهُ لِلْكَافِرِينَ عَلَى الْمُؤْمِنِينَ سَبِيلاً باعتبار عدم الأمر، بل والنهي منه تعالى عن سبيلهم على المؤمنينبالمكر والحيلة بقولهم مع تربّصهم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لَكُمْ فَتحٌ مِنَ اللهِ قَالُوا أَلَمْ نَكُن مَعَكُمْ، وبقولهم مع الكافرين إن كان لهم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نَسْتَحْوِذْ عَلَيْكُمْ</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وَنَمْنَعْكُمْ مِنَ الْمُؤْمِنِينَ</w:t>
      </w:r>
      <w:r>
        <w:rPr>
          <w:rFonts w:ascii="IRNazanin" w:hAnsi="IRNazanin" w:eastAsia="IRNazanin"/>
          <w:color w:val="111111"/>
          <w:sz w:val="28"/>
          <w:sz w:val="28"/>
          <w:szCs w:val="28"/>
          <w:rtl w:val="true"/>
          <w:lang w:bidi="fa-IR"/>
        </w:rPr>
        <w:t>،</w:t>
      </w:r>
      <w:r>
        <w:rPr>
          <w:rStyle w:val="FootnoteAnchor"/>
          <w:rtl w:val="true"/>
        </w:rPr>
        <w:footnoteReference w:id="614"/>
      </w:r>
      <w:r>
        <w:rPr>
          <w:rFonts w:ascii="Amiri" w:hAnsi="Amiri" w:eastAsia="Amiri" w:cs="Amiri"/>
          <w:color w:val="111111"/>
          <w:sz w:val="28"/>
          <w:sz w:val="28"/>
          <w:szCs w:val="28"/>
          <w:rtl w:val="true"/>
          <w:lang w:bidi="ar-SA"/>
        </w:rPr>
        <w:t>فالمنفيّ هو السبيل بمعنى المكر والحيلة والنفي باعتبار عدم الأمر، بل النهي منه، مثل ما ذكرناه في اعتبار كون السيّئة من أنفسهم حرفاً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على هذا لا دلالة للآية على الحكم التشريعي والإنشائي من رأس، لا حكماً مربوطاً بالمسألة ولا بغير المسألة، فالآية ليست بأزيد من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مناسبة صدر الآية مع ذيلها شهادة على ما ذكرناه من الظاهر والمراد منها كما لا يخفى، فكما أنّ باب الصدر باب الإخبار عن الواقع لا الإنشاء والتشريع، فكذلك الذيل، هذا كلّه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تسليم الإنشائيّة والنهي عن سبيل الكفّار وضعاً وتكليفاً على المؤمنين، فالاستدلال بالآية على شرطيّة التساوي غير تامّ أيضاً؛ للأُمور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بمثل حدّ السرقة وغيره من الحدود والتعزيرات فيما لو كان السارق مسلماً والمسروق منه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كان ثبوت القصاص على المسلم بقتله الكافر سبيلاً عليه كان منهيّاً عنه ومنفيّاً، وكذلك حقّ حدّ السرقة ومطالبة الكافر المسلم من الحكومة سبيل أيضاً، فلابدّ من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وبباب الضمان فيما لو كان المضمون له كافراً والمضمون عليه مسلماً ضماناً قهريّاً أو جعليّاً، فلابدّ من عدم الضمان من حيث نفي السبيل، وبغيره من الموارد الكثيرة في الفقه، فكما أنّ تلك الأحكام غير مشروطةبالمساواة من جهة نفي السبيل فكذلك الكلام في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الجواب فيها هو الجواب في المسألة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من حيث إنّه ليست القوانين المجعولة في شرع الإسلام وغيره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لوصول الناس إلى حقوقهم عند العرف والعقلاء سبيلاً وسلطةً لمن له الحقّ على من عليه الحقّ أصلاً، وإنّما السبيل والسلطة يكونان في موارد الظلم وعدم الحقّ، فجعل الحقّ لأحدهما على الآخر في تلك الموارد ظلمٌ وسبيلٌ قطعاً، كما هو واضح لمن يراجع الكتاب والسنّة والعرف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تسليم الشمول وصدق السبيل على القانون والشرع الموجب لوصول صاحب الحقّ إلى حقّه وكون قصاص المسلم بالكافر سبيلاً،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أخصّ من المدّعى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في مسائل متناثرة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غير المسلم، فإنّه الساتر للإيمان، وذلك لا يكون إلّا مع علمه بالحقّ من التوحيد والنبوّة والمعاد وتقصيره في ذهابه إلى الخلاف والباطل، وهذا ليس إلّا في قليل من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ولتكن على ذكر من تلك الأخصيّة حتّى تفرّق في ترتّب الأحكام بين ما تكون لغير المسلم وما تكون للكافر، والظاهر لمن يراجع الكتاب والسنّة أنّ الموضوع لغالب الأحكام المختصّة بغير المسلمين كون الموضوع فيها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 حتّى تعلم أنّ ما يكون موضوعاً في الإسلام للحقوق الاجتماعيّة والاقتصاديّة والسياسيّة وغيرها هو الإنسان بما هو إنسانٌ، لا بما هو أهل العقيدة الحقّة والملّة الإسلاميّة، ولا بما هو أهل أُمور أُخرى خارجة عن حقيقة الإنسانيّة، وما ليس منها للكفّار بالمعنى المذكور فمن باب العقوبة والجزاء لشرّهم وعنادهم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صحيحٌ عقلائي في كلّ الشرائع وواضح لكلّ عالم بحقوق البشر والإنسان، ودونك عبارة الفقيه من الكتب الأربعة للمحدّث المتعبّد الخبير حتّى تطمئنّ بأنّ الإسلام دين الوحدة الإنسانيّة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الله عزّ وجلّ إنّما حرّم على الكفّار الميراث عقوبة لهم بكفرهم، كما حرّم على القاتل عقوبة لقتله</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الآية فيما لو كان الوارث للكافر المقتول مسلماً، فإنّ السبيل للمسلم على المسلم لا للكافر على المسلم ، ودعوى تماميّة الاستدلال بعدم القول بالفصل بين ما كان الوليّ كافراً وبين ما كان مسلماً، بأنّ القصاص ثابت في الكافر بالآية وفي المسلم بعدم القول بالفصل، مدفوعة بعدم حجّيّة الإجماع البسيط في مثل المسألة التي هي مصبّ الاجتهاد من الكتاب والسنّة، فضلاً عن مركّبه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جميع ما مرّ من المحاذير الثلاثة وتسليم الدلالة، فالآية غير تامّة في الاستدلال أيضاً؛ لأنّ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كحديث نفي الضرر وقاعدة نفي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السبيل من الله تعالى؛ أي ما كان ناشئاً من حكمه تعالى، لا الأعمّ منه وممّا كان بسبب المكلّف وإقدامه، وقصاص المسلم بالكافر إنّما يكون بسبب قتله الكافر وإقدامه على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كما أنّ قاعدة نفي الحرج والضرر منصرفان عن المقدَّمين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فكذلك الآية منصرفة عن السبيل المقدَّم كالقصاص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ففي مجمع الفائدة والبرهان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من طرق العامّة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المسلم بكافر</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العامّالشامل لمطلق الكفّار، ومن طرق الخاصّة مثل رواية محمّد بن قيس عن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يقاد مسلم بذمّي في القتل ولا في الجراحات، ولكن يؤخذ من المسلم جنايته للذمّي على قدر دية الذمّي ثمانمائة درهم</w:t>
      </w:r>
      <w:r>
        <w:rPr>
          <w:rFonts w:eastAsia="IRNazanin" w:cs="IRNazanin"/>
          <w:color w:val="111111"/>
          <w:sz w:val="28"/>
          <w:szCs w:val="28"/>
          <w:rtl w:val="true"/>
          <w:lang w:bidi="fa-IR"/>
        </w:rPr>
        <w:t>».</w:t>
      </w:r>
      <w:r>
        <w:rPr>
          <w:rStyle w:val="FootnoteAnchor"/>
          <w:rtl w:val="true"/>
        </w:rPr>
        <w:footnoteReference w:id="617"/>
      </w:r>
      <w:r>
        <w:rPr>
          <w:rFonts w:ascii="Amiri" w:hAnsi="Amiri" w:eastAsia="Amiri" w:cs="Amiri"/>
          <w:color w:val="111111"/>
          <w:sz w:val="28"/>
          <w:sz w:val="28"/>
          <w:szCs w:val="28"/>
          <w:rtl w:val="true"/>
          <w:lang w:bidi="ar-SA"/>
        </w:rPr>
        <w:t>قال في شرح الشرائع</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هي كثيرة، وهو أعرف</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ويظهر من الجواهر،</w:t>
      </w:r>
      <w:r>
        <w:rPr>
          <w:rStyle w:val="FootnoteAnchor"/>
          <w:rtl w:val="true"/>
        </w:rPr>
        <w:footnoteReference w:id="620"/>
      </w:r>
      <w:r>
        <w:rPr>
          <w:rFonts w:ascii="Amiri" w:hAnsi="Amiri" w:eastAsia="Amiri" w:cs="Amiri"/>
          <w:color w:val="111111"/>
          <w:sz w:val="28"/>
          <w:sz w:val="28"/>
          <w:szCs w:val="28"/>
          <w:rtl w:val="true"/>
          <w:lang w:bidi="ar-SA"/>
        </w:rPr>
        <w:t>بل صريحه أنّ النصوص مستفيضة أو متواترة، ولعلّ نظر مثل شرح الشرائع</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الأخبار المفصّلة في قتل المسلم بالكافر بين المعتاد وغيره، المنقولة في الوسائل في الباب المعنون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المسلم إذا قتل الكافر إلّا أن يعتاد قتلهم، فيقتل بالذمّي بعد ردّ فاضل الدية</w:t>
      </w:r>
      <w:r>
        <w:rPr>
          <w:rFonts w:eastAsia="Amiri" w:cs="Amiri" w:ascii="Amiri" w:hAnsi="Amiri"/>
          <w:color w:val="111111"/>
          <w:sz w:val="28"/>
          <w:szCs w:val="28"/>
          <w:rtl w:val="true"/>
          <w:lang w:bidi="ar-SA"/>
        </w:rPr>
        <w:t>».</w:t>
      </w:r>
      <w:r>
        <w:rPr>
          <w:rStyle w:val="FootnoteAnchor"/>
          <w:rtl w:val="true"/>
        </w:rPr>
        <w:footnoteReference w:id="62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إسماعيل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دماء المجوس واليهود والنصارى، هل عليهم وعلى من قتلهم شيء إذا غشّوا المسلمين وأظهروا العداوة 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يكونمتعوّداً لقتلهم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المسلم هل يقتل بأهل الذمّة وأهل الكتاب إذا قتلهم؟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يكون معتاداً لذلك لا يدع قتلهم، فيقتل وهو صاغر</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بسند آخر، وهو مثل صحيحه</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ثالثاً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رجلاً من أهل الذمّة؟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يقتل به إلّا أن يكون متعوّداً للقتل</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محمّد بن الفضيل،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6"/>
      </w:r>
      <w:r>
        <w:rPr>
          <w:rFonts w:ascii="Amiri" w:hAnsi="Amiri" w:eastAsia="Amiri" w:cs="Amiri"/>
          <w:color w:val="111111"/>
          <w:sz w:val="28"/>
          <w:sz w:val="28"/>
          <w:szCs w:val="28"/>
          <w:rtl w:val="true"/>
          <w:lang w:bidi="ar-SA"/>
        </w:rPr>
        <w:t>وهو مثل صحيح إسماعيل الهاشمي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الأخبار الأربعة مع رواية محمّد بن قيس التي تكون خمسة هي المستدلّ بها ظاهراً، لكن في الاستدلال بغير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صحيحة ابن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فإنّ الظاهر كونها مربوطة بالجزاء وحقّ الله في قتل المسلم أهل الذمّة والمجوس واليهود، لا القصاص وحقّ الناس، حيث إنّ السؤال والجواب عن قتل المسلم بأهل الذمّة إذا قتلهم، الظاهر في الموضوعيّة وعدم دخالة شيء آخر في الموضوع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مطالبة بالقصاص وردّ فضل دية المسلم مع إرادة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ليس فيها ما في جلّ أخبار القصاص بل كلّها من التعبير بالقود والقصاص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الظهور، بل يشهد عليه أيضاً أنّه لا إبهام في قتل المتعوّد من حيث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أولياء المقتولين، وأنّه هل هو أولياء مقتول الأخير، أو كلّهم؟ ولا إبهام أيضاً من حيث ردّ الفاضل من دية المسلم من أنّه هو الفاضل عن دية الأخير، أو عن دية كلّ المقتولين ممّن يكون قتلهم سبباً لصدق الاعتياد؛ وذلك لأنّ قتل المتعوّد على ذلك الظاهر يكون من باب الجزاء والحدّ المنتفي فيه الإبهامين من باب السالبة بانتفاء الموضوع، فإنّه ليس في الحدّ لا ردّ ولا مطالبة، وهذا بخلاف القصاص المعتبر فيه الأمران، ففي عدم الإبهام في الأخبار في الأمرين شهادة على كون تلك الأخبار مربوطة بالحدّ لا بالقصاص، وما في كلماتهم من الإبهام فيهما والبحث عنهما إنّما هو على مذهب من يجعل قتل المتعوّد قصاصاً لا حدّاً،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ظهورها في الجزاء والحدّ دون القصاص فلابدّ من الاحتمال، ومعه لا يتمّ الاستدلال أيضاً، فإذا جاء الاحتمال 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الظاهر في تلك الأخبار السؤال عن الحدّ فلم يكن وجه، للاختصاص بقتل المسلم الذمّي، بل لابدّ من العموميّة والسؤال عن قتل المسلم أو الإنسان غيره، وأنّ له الجزاء والحدّ أم لا؟ فإنّ حيثيّة الجزاء مشتركة، وهذا بخلاف السؤال عن القصاص، لاحتمال عدمه من جهةشرطيّة المساواة في الدين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الاختصاص في تلك الأخبار شهادة على الدلالة على عدم قصاص المسلم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بالذمّي، وتكون حالها حال صحيحة ابن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من جهة العداوة الدينيّة المحتمل فيه الحدّ والجزاء الموجب للسؤال غير متصوّر إلّا في قتل المسلم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قتل المسلم المسلم فليس إلّا من باب العداوة الشخصيّة الموجب للقصاص، وليس فيه احتمال الجزاء والحدّ، فلا محلّ للسؤال والجواب عنه، بل السؤال والجواب عنه لغوٌ وتوضيحٌ للواضحات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ذكرناه عدم دلالة تلك الأخبار على المسألة، والدالّ منها منحصر في الصحيحة، 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تسليم دلالة الكلّ تكون معارضة مع الأخبار الدالّة على القصاص وعدم شرطيّة التساوي، كصحيحة ابن مسكان،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المسلم يهوديّاً أو نصرانيّاً أو مجوسيّاً فأرادوا أن يقيدوا ردّوا فضل دية المسلم وأقادوه</w:t>
      </w:r>
      <w:r>
        <w:rPr>
          <w:rFonts w:eastAsia="IRNazanin" w:cs="IRNazanin"/>
          <w:color w:val="111111"/>
          <w:sz w:val="28"/>
          <w:szCs w:val="28"/>
          <w:rtl w:val="true"/>
          <w:lang w:bidi="fa-IR"/>
        </w:rPr>
        <w:t>».</w:t>
      </w:r>
      <w:r>
        <w:rPr>
          <w:rStyle w:val="FootnoteAnchor"/>
          <w:rtl w:val="true"/>
        </w:rPr>
        <w:footnoteReference w:id="62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أبي بصير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المسلم النصراني فأراد أهل النصراني أن يقتلوه، قتلوه، وأدّوا فضل ما بين الديتين</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سماعة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قتل رجلاً من أهل الذمّة،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شديد لا يحتمله الناس، ولكن يعطي الذمّي دية المسلم ثمّ يقتل به المسلم</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ولعلّ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المسلم بالكافر، فإنّه مشكلٌ على الناس تحمّله؛ لما في ارتكازهم من كون العظمة والمقام للمسلم لإسلامه مانعة عن قتله بأهل الذمّة ذوي الشأن الداني والحقير، وكيف يجوز قتل المسلم الشريف بأهل الذمّة الوضيعين؟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والشاعر يقول في أبي يوسف من علماء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قاتل المسلم بالكافر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وما العادل كالجائر</w:t>
      </w:r>
    </w:p>
    <w:p>
      <w:pPr>
        <w:pStyle w:val="BookText"/>
        <w:rPr/>
      </w:pPr>
      <w:r>
        <w:rPr>
          <w:rFonts w:ascii="Amiri" w:hAnsi="Amiri" w:eastAsia="Amiri" w:cs="Amiri"/>
          <w:color w:val="111111"/>
          <w:sz w:val="28"/>
          <w:sz w:val="28"/>
          <w:szCs w:val="28"/>
          <w:rtl w:val="true"/>
          <w:lang w:bidi="ar-SA"/>
        </w:rPr>
        <w:t xml:space="preserve">يا من ببغداد وأطرافها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فقهاء الناس أو شاعر</w:t>
      </w:r>
    </w:p>
    <w:p>
      <w:pPr>
        <w:pStyle w:val="BookText"/>
        <w:rPr/>
      </w:pPr>
      <w:r>
        <w:rPr>
          <w:rFonts w:ascii="IRNazanin" w:hAnsi="IRNazanin" w:eastAsia="IRNazanin"/>
          <w:color w:val="111111"/>
          <w:sz w:val="28"/>
          <w:sz w:val="28"/>
          <w:szCs w:val="28"/>
          <w:rtl w:val="true"/>
          <w:lang w:bidi="fa-IR"/>
        </w:rPr>
        <w:t xml:space="preserve">جارٍ على الدين أبو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یقتل المسلم بالكافر</w:t>
      </w:r>
    </w:p>
    <w:p>
      <w:pPr>
        <w:pStyle w:val="BookText"/>
        <w:rPr/>
      </w:pPr>
      <w:r>
        <w:rPr>
          <w:rFonts w:ascii="Amiri" w:hAnsi="Amiri" w:eastAsia="Amiri" w:cs="Amiri"/>
          <w:color w:val="111111"/>
          <w:sz w:val="28"/>
          <w:sz w:val="28"/>
          <w:szCs w:val="28"/>
          <w:rtl w:val="true"/>
          <w:lang w:bidi="ar-SA"/>
        </w:rPr>
        <w:t xml:space="preserve">فاسترجعوا وابكوا على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واصطبروا فالأجر للصابر</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وفي هذه الأشعار شهادة ودلالة تامّة على ذلك الارتكاز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يعطي الذمّي دية المسلم، ثمّ يقتل به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لتقليل الشدّة من جهة أنّ المسلم وإن كان يقتل لكن قتله يكون مع ديته، وهذا بخلاف قتل المسلم المسلم، فليس فيه إلّا قتله به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بعد المعارضة بين الأخبار، فالترجيح مع هذه الأخبار الدالّة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القصاص؛ للموافقة مع الكتاب، فإنّها مقدّمة على جميع المرجّحات، كما حقّقناه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يظهر من الجواهر</w:t>
      </w:r>
      <w:r>
        <w:rPr>
          <w:rStyle w:val="FootnoteAnchor"/>
          <w:rtl w:val="true"/>
        </w:rPr>
        <w:footnoteReference w:id="631"/>
      </w:r>
      <w:r>
        <w:rPr>
          <w:rFonts w:ascii="Amiri" w:hAnsi="Amiri" w:eastAsia="Amiri" w:cs="Amiri"/>
          <w:color w:val="111111"/>
          <w:sz w:val="28"/>
          <w:sz w:val="28"/>
          <w:szCs w:val="28"/>
          <w:rtl w:val="true"/>
          <w:lang w:bidi="ar-SA"/>
        </w:rPr>
        <w:t>من كونها مخالفة للكتاب،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يَجْعَلَ اللهُ لِلْكَافِرِينَ عَلَى المُؤْمِنِينَ سَبِيلاً</w:t>
      </w:r>
      <w:r>
        <w:rPr>
          <w:rFonts w:ascii="IRNazanin" w:hAnsi="IRNazanin" w:eastAsia="IRNazanin"/>
          <w:color w:val="111111"/>
          <w:sz w:val="28"/>
          <w:sz w:val="28"/>
          <w:szCs w:val="28"/>
          <w:rtl w:val="true"/>
          <w:lang w:bidi="fa-IR"/>
        </w:rPr>
        <w:t>،</w:t>
      </w:r>
      <w:r>
        <w:rPr>
          <w:rStyle w:val="FootnoteAnchor"/>
          <w:rtl w:val="true"/>
        </w:rPr>
        <w:footnoteReference w:id="632"/>
      </w:r>
      <w:r>
        <w:rPr>
          <w:rFonts w:ascii="Amiri" w:hAnsi="Amiri" w:eastAsia="Amiri" w:cs="Amiri"/>
          <w:color w:val="111111"/>
          <w:sz w:val="28"/>
          <w:sz w:val="28"/>
          <w:szCs w:val="28"/>
          <w:rtl w:val="true"/>
          <w:lang w:bidi="ar-SA"/>
        </w:rPr>
        <w:t>فعدم تماميّته ظاهر ممّا حقّقناه في استدلالهم بالكتاب، فلا 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فيه أيضاً من الحمل على التعوّد أو التقيّة،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فرع التعارض وعدم الترجيح، ولا يذهب عليك أنّ هذا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العمدة في عدم تماميّة الاستدلال بتلك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الصحيحة وغيرها وإن كان الإشكال الأوّل في غير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المعارضة لما فيها من التفاوت بين دية المسلم والكافر ليست بحجّة على مختاركم من تساويهما في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وإن كان صحيحاً، لكن ما أوردناه من المعارضة تامّ على المعروف بين الأصحاب في الدية القائلين بالشرطيّة في هذه المسألة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الحقيق أنّ الرواية التامّة سنداً ودلالة المرتبطة بالمسألة، منحصرة في صحيحة ابن قيس، أمّا غيرها من الأخبار المستدلّ بها فقد عرفت عدم ارتباطها بالمسألة، وأنّها ترتبط بمسألة عدم الحدّ والجزاء لقتل المسلم الكافر إلّا مع التعوّد، والأخبار المعارضة وإن كانت تامّة من حيثالدلالة والارتباط إلّا أنّها غير حجّة؛ لما فيها من المخالفة مع الكتاب في لزوم ردّ فاضل دية المسلم مثل مخالفة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أصناف الكفّار من الذمّي والحربي والمستأمن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الكافر محرّم القتل كالذمّي والمعاهد يعزّر لقتله،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ويغرم المسلم دية الذمّي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قتل الرجل بالمرأة مع ردّ الفاضل من الدية حرفاً بحرف ونقلاً بنقل، ومثلها الصحيحة النافية للقصاص بين المسلم والذمّي وأنّه لا يقاد المسلم بالذمّي، فإنّها أيضاً مخالفة لآيات القصاص الآبية عن التخصيص، كما مرّ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شرطيّة التساوي، وأنّ المسلم يقتل بغير المسلم وبالمسلم من دون تفاوت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الإجماع، فعدم تماميّة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مخالفة مثل الصدوق في المقنع،</w:t>
      </w:r>
      <w:r>
        <w:rPr>
          <w:rStyle w:val="FootnoteAnchor"/>
          <w:rtl w:val="true"/>
        </w:rPr>
        <w:footnoteReference w:id="633"/>
      </w:r>
      <w:r>
        <w:rPr>
          <w:rFonts w:ascii="Amiri" w:hAnsi="Amiri" w:eastAsia="Amiri" w:cs="Amiri"/>
          <w:color w:val="111111"/>
          <w:sz w:val="28"/>
          <w:sz w:val="28"/>
          <w:szCs w:val="28"/>
          <w:rtl w:val="true"/>
          <w:lang w:bidi="ar-SA"/>
        </w:rPr>
        <w:t xml:space="preserve">ومن كون المسألة اجتهاديّة ومصبّاً للاستدلال بالكتاب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غير محتاج إلى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نفي قصاص المسلم بالكافر من الكتاب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لاحترامهما وكون قتلهما معصية، وكان على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الحربي أيضاً؛ لكونه كمالِه محترماً في غير حال الحرب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صحيحة محمّد بن قيس،</w:t>
      </w:r>
      <w:r>
        <w:rPr>
          <w:rStyle w:val="FootnoteAnchor"/>
          <w:rtl w:val="true"/>
        </w:rPr>
        <w:footnoteReference w:id="634"/>
      </w:r>
      <w:r>
        <w:rPr>
          <w:rFonts w:ascii="Amiri" w:hAnsi="Amiri" w:eastAsia="Amiri" w:cs="Amiri"/>
          <w:color w:val="111111"/>
          <w:sz w:val="28"/>
          <w:sz w:val="28"/>
          <w:szCs w:val="28"/>
          <w:rtl w:val="true"/>
          <w:lang w:bidi="ar-SA"/>
        </w:rPr>
        <w:t xml:space="preserve">ولا يخفى أنّه علىالمختار من قصاص المسلم بالكافر لا فرق أيضاً بين أقسام الكفّار؛ لإطلاق أدلّة القصاص </w:t>
      </w:r>
      <w:bookmarkStart w:id="173" w:name="pg9428_72436"/>
    </w:p>
    <w:p>
      <w:pPr>
        <w:pStyle w:val="BookText"/>
        <w:rPr/>
      </w:pPr>
      <w:bookmarkEnd w:id="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اعتاد المسلم قتل أهل الذمّة جاز الاقتصاص منه بعد ردّ فاضل ديته،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حدّ لا قصاص، وهو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كما أنّه عليه لم يبق وجه للتعزير ولا لغرامة الدية،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البحث في هذه المسألة ظاهر ممّا مرّ</w:t>
      </w:r>
      <w:r>
        <w:rPr>
          <w:rStyle w:val="FootnoteAnchor"/>
          <w:rtl w:val="true"/>
        </w:rPr>
        <w:footnoteReference w:id="635"/>
      </w:r>
      <w:r>
        <w:rPr>
          <w:rFonts w:ascii="Amiri" w:hAnsi="Amiri" w:eastAsia="Amiri" w:cs="Amiri"/>
          <w:color w:val="111111"/>
          <w:sz w:val="28"/>
          <w:sz w:val="28"/>
          <w:szCs w:val="28"/>
          <w:rtl w:val="true"/>
          <w:lang w:bidi="ar-SA"/>
        </w:rPr>
        <w:t>ولا احتياج إلى الإعادة</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5797515_2870459653"/>
      <w:bookmarkStart w:id="175" w:name="_Toc58"/>
      <w:bookmarkEnd w:id="174"/>
      <w:r>
        <w:rPr>
          <w:rtl w:val="true"/>
        </w:rPr>
        <w:t>محكوميّة المسلم المعتاد بقتل غير المسلم</w:t>
      </w:r>
      <w:bookmarkEnd w:id="1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مرّ أنّ قتل المعتاد من باب الحدّ، ورواياته ظاهرة فيه، وأنّ المسلم المعتاد قتل الكافر وغير المسلم محكوم بحكمين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من جهة القتل الموجب له وإن كان المقتول غير مسلم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حدّ الاعتياد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حقّ الناس ، والثاني حقّ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أي عمومات القصاص وإطلاقاتها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الهاشمي المستدلّ بها في بحث السنّة، وفيها الصحيح، وصحيح محمّد بن فضیل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يكون مثل الصحيح من أخبار الهاشمي على ما في الوسائل</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وفي الجواهر في قتل المتعوّد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لم يحك القول بالقتل حدّاً في غاية المراد</w:t>
      </w:r>
      <w:r>
        <w:rPr>
          <w:rStyle w:val="FootnoteAnchor"/>
          <w:rtl w:val="true"/>
        </w:rPr>
        <w:footnoteReference w:id="637"/>
      </w:r>
      <w:r>
        <w:rPr>
          <w:rFonts w:ascii="Amiri" w:hAnsi="Amiri" w:eastAsia="Amiri" w:cs="Amiri"/>
          <w:color w:val="111111"/>
          <w:sz w:val="28"/>
          <w:sz w:val="28"/>
          <w:szCs w:val="28"/>
          <w:rtl w:val="true"/>
          <w:lang w:bidi="ar-SA"/>
        </w:rPr>
        <w:t xml:space="preserve">إلّا عن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w:t>
      </w:r>
      <w:r>
        <w:rPr>
          <w:rStyle w:val="FootnoteAnchor"/>
          <w:rtl w:val="true"/>
        </w:rPr>
        <w:footnoteReference w:id="638"/>
      </w:r>
      <w:r>
        <w:rPr>
          <w:rFonts w:ascii="Amiri" w:hAnsi="Amiri" w:eastAsia="Amiri" w:cs="Amiri"/>
          <w:color w:val="111111"/>
          <w:sz w:val="28"/>
          <w:sz w:val="28"/>
          <w:szCs w:val="28"/>
          <w:rtl w:val="true"/>
          <w:lang w:bidi="ar-SA"/>
        </w:rPr>
        <w:t>والتقيّ</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نعم، في كشف اللثام</w:t>
      </w:r>
      <w:r>
        <w:rPr>
          <w:rStyle w:val="FootnoteAnchor"/>
          <w:rtl w:val="true"/>
        </w:rPr>
        <w:footnoteReference w:id="640"/>
      </w:r>
      <w:r>
        <w:rPr>
          <w:rFonts w:ascii="Amiri" w:hAnsi="Amiri" w:eastAsia="Amiri" w:cs="Amiri"/>
          <w:color w:val="111111"/>
          <w:sz w:val="28"/>
          <w:sz w:val="28"/>
          <w:szCs w:val="28"/>
          <w:rtl w:val="true"/>
          <w:lang w:bidi="ar-SA"/>
        </w:rPr>
        <w:t>حكايته عن المختلف</w:t>
      </w:r>
      <w:r>
        <w:rPr>
          <w:rStyle w:val="FootnoteAnchor"/>
          <w:rtl w:val="true"/>
        </w:rPr>
        <w:footnoteReference w:id="641"/>
      </w:r>
      <w:r>
        <w:rPr>
          <w:rFonts w:ascii="Amiri" w:hAnsi="Amiri" w:eastAsia="Amiri" w:cs="Amiri"/>
          <w:color w:val="111111"/>
          <w:sz w:val="28"/>
          <w:sz w:val="28"/>
          <w:szCs w:val="28"/>
          <w:rtl w:val="true"/>
          <w:lang w:bidi="ar-SA"/>
        </w:rPr>
        <w:t>وظاهر الغنية،</w:t>
      </w:r>
      <w:r>
        <w:rPr>
          <w:rStyle w:val="FootnoteAnchor"/>
          <w:rtl w:val="true"/>
        </w:rPr>
        <w:footnoteReference w:id="642"/>
      </w:r>
      <w:r>
        <w:rPr>
          <w:rFonts w:ascii="Amiri" w:hAnsi="Amiri" w:eastAsia="Amiri" w:cs="Amiri"/>
          <w:color w:val="111111"/>
          <w:sz w:val="28"/>
          <w:sz w:val="28"/>
          <w:szCs w:val="28"/>
          <w:rtl w:val="true"/>
          <w:lang w:bidi="ar-SA"/>
        </w:rPr>
        <w:t>بل وعن الفقيه</w:t>
      </w:r>
      <w:r>
        <w:rPr>
          <w:rStyle w:val="FootnoteAnchor"/>
          <w:rtl w:val="true"/>
        </w:rPr>
        <w:footnoteReference w:id="643"/>
      </w:r>
      <w:r>
        <w:rPr>
          <w:rFonts w:ascii="Amiri" w:hAnsi="Amiri" w:eastAsia="Amiri" w:cs="Amiri"/>
          <w:color w:val="111111"/>
          <w:sz w:val="28"/>
          <w:sz w:val="28"/>
          <w:szCs w:val="28"/>
          <w:rtl w:val="true"/>
          <w:lang w:bidi="ar-SA"/>
        </w:rPr>
        <w:t>أنّه يقتل عقوبة لخلافه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نقل ما في الفقيه والمقنع</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وهما معاً كما ترى لا يستأهلان ردّاً كما عرفت، بل وسابقهما؛ أي القتل حدّاً بعد النصوص المزبورة المعتضدة بما عرفت، ولولاهما لأمكن القول به على معنى إيكال أمر ذلك إلى الإمام، خصوصاً بعد خبر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قتل ذمّياً؟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شيء شديد لا يحتمله الناس، فليعطِ أهله دية المسلم حتّى ينكل عن قتل أهل السواد وعن قتل الذمّي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مسلماً غضب على ذمّي فأراد أن يقتله ويأخذ أرضه ويؤدّي إلى أهله ثمانمائة درهم إذاً يكثر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Style w:val="FootnoteAnchor"/>
          <w:rtl w:val="true"/>
        </w:rPr>
        <w:footnoteReference w:id="645"/>
      </w:r>
      <w:r>
        <w:rPr>
          <w:rFonts w:ascii="Amiri" w:hAnsi="Amiri" w:eastAsia="Amiri" w:cs="Amiri"/>
          <w:color w:val="111111"/>
          <w:sz w:val="28"/>
          <w:sz w:val="28"/>
          <w:szCs w:val="28"/>
          <w:rtl w:val="true"/>
          <w:lang w:bidi="ar-SA"/>
        </w:rPr>
        <w:t>في الذمّيين، ومن قتل ذمّياً ظلماً فإنّه ليحرم على المسلم أن يقتلذمّياً حراماً، آمن</w:t>
      </w:r>
      <w:r>
        <w:rPr>
          <w:rStyle w:val="FootnoteAnchor"/>
          <w:rtl w:val="true"/>
        </w:rPr>
        <w:footnoteReference w:id="646"/>
      </w:r>
      <w:r>
        <w:rPr>
          <w:rFonts w:ascii="Amiri" w:hAnsi="Amiri" w:eastAsia="Amiri" w:cs="Amiri"/>
          <w:color w:val="111111"/>
          <w:sz w:val="28"/>
          <w:sz w:val="28"/>
          <w:szCs w:val="28"/>
          <w:rtl w:val="true"/>
          <w:lang w:bidi="ar-SA"/>
        </w:rPr>
        <w:t xml:space="preserve">بالجزية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وأدّاها ولم يجحدها</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الذي جعله الشيخ شاهداً على الجمع بين ما دلّ على أنّ ديته ثمانمائة درهم وبين ما دلّ على أنّها أربعة آلاف أو دية المسلم بحمل الأوّل على غير المتعوّد وغيره على المتعوّد الذي يرجع في تنكيله إلى ما يراه الإمام 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مويّداً ذلك بأنّ ظاهر بعض النصوص المزبورة استيفاء الكافر منه ذلك، ولا ريب في أنّه سبيل له، وستعرف أنّه حيث يكون للكافر قصاص على المسلم في طرف يستوفيه الإمام دونه، كما تسمعه في مسألة المرتدّ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وبغير ذلك ممّا دلّ على عدم قتل الواحد من الشيعة بألف من العامّة، إذا قام الحقّ المستفاد من فحواها عدم قتل الواحد منهم بألف من الكفّار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لا يقابل ما عرفت من النصّ والفتوى على قتله به قصاصاً لاحدّاً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ذلك واضحة، ضرورة سقوطه بالعفو، وعدم استيفائه منه إلّا بعد طلب الوليّ وردّ الأولياء فاضل الدية على الأوّل بخلاف الثاني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ما في الروضة</w:t>
      </w:r>
      <w:r>
        <w:rPr>
          <w:rStyle w:val="FootnoteAnchor"/>
          <w:rtl w:val="true"/>
        </w:rPr>
        <w:footnoteReference w:id="648"/>
      </w:r>
      <w:r>
        <w:rPr>
          <w:rFonts w:ascii="Amiri" w:hAnsi="Amiri" w:eastAsia="Amiri" w:cs="Amiri"/>
          <w:color w:val="111111"/>
          <w:sz w:val="28"/>
          <w:sz w:val="28"/>
          <w:szCs w:val="28"/>
          <w:rtl w:val="true"/>
          <w:lang w:bidi="ar-SA"/>
        </w:rPr>
        <w:t xml:space="preserve">من احتمال القول بالقتل حدّاً مع ردّ فاضل الدية، 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إحداث قول يمكن دعوى الإجماعالمركّب على خلافه وإن سبقه إليه الكركي في حاشية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واضح الوجه،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ومنافٍ لما سمعته من النصوص، فليس حينئذٍ إلّا القول بقتله قصاصاً</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انتهى كلامه رفع في الخلد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نقلناه بطوله؛ لما فيه من الفوائد والمحالّ للأنظار، وفيها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القول بالحدّ، مضافاً إلى أبي عليّ والتقيّ من المختلف</w:t>
      </w:r>
      <w:r>
        <w:rPr>
          <w:rStyle w:val="FootnoteAnchor"/>
          <w:rtl w:val="true"/>
        </w:rPr>
        <w:footnoteReference w:id="650"/>
      </w:r>
      <w:r>
        <w:rPr>
          <w:rFonts w:ascii="Amiri" w:hAnsi="Amiri" w:eastAsia="Amiri" w:cs="Amiri"/>
          <w:color w:val="111111"/>
          <w:sz w:val="28"/>
          <w:sz w:val="28"/>
          <w:szCs w:val="28"/>
          <w:rtl w:val="true"/>
          <w:lang w:bidi="ar-SA"/>
        </w:rPr>
        <w:t>والغنية،</w:t>
      </w:r>
      <w:r>
        <w:rPr>
          <w:rStyle w:val="FootnoteAnchor"/>
          <w:rtl w:val="true"/>
        </w:rPr>
        <w:footnoteReference w:id="651"/>
      </w:r>
      <w:r>
        <w:rPr>
          <w:rFonts w:ascii="Amiri" w:hAnsi="Amiri" w:eastAsia="Amiri" w:cs="Amiri"/>
          <w:color w:val="111111"/>
          <w:sz w:val="28"/>
          <w:sz w:val="28"/>
          <w:szCs w:val="28"/>
          <w:rtl w:val="true"/>
          <w:lang w:bidi="ar-SA"/>
        </w:rPr>
        <w:t>ووجود القائلين بذلك من مثلهم يخرج ذلك القول عن كونه نادراً إلى خلاف المشهور إن لم يكن موجباً لصيرورة المسألة ذات قولين، وهذه فائدة جيّدة للمختار ومعتضد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ذكره تأييداً للممكن من القول بالحدّ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ظاهر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وبغير ذلك ممّا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فائدة أُخرى أيضاً، وهي أنّهما كما فيهما التأييد لاحتمال الحدّ بذلك المعنى، فكذلك فيهما التأييد للمختار من معنى الحديث أنّ التأييد من حيث عدم مناسبة الوجهين مع القصاص الشامل للحدّ بالمعنيين، بل بالحدّ على مختار الصدوق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التي أشار إليها في كلامه مرّتين تضعيفاً للقول بالحدّ،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جعلها تقوية ودليلاً على الحدّية لكان أولى، بل كان متعيّناً؛ لما مرّ من ظهورها في الحدّ، أو لا أقل من الاحتمال المسقط للاستدلال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من الفتوى؛ اعتضاداً للأخبار، ولكونه</w:t>
      </w:r>
      <w:r>
        <w:rPr>
          <w:rStyle w:val="FootnoteAnchor"/>
          <w:rtl w:val="true"/>
        </w:rPr>
        <w:footnoteReference w:id="652"/>
      </w:r>
      <w:r>
        <w:rPr>
          <w:rFonts w:ascii="Amiri" w:hAnsi="Amiri" w:eastAsia="Amiri" w:cs="Amiri"/>
          <w:color w:val="111111"/>
          <w:sz w:val="28"/>
          <w:sz w:val="28"/>
          <w:szCs w:val="28"/>
          <w:rtl w:val="true"/>
          <w:lang w:bidi="ar-SA"/>
        </w:rPr>
        <w:t xml:space="preserve">موجباً لعدم مقابلة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الذمّي بالذمّي وبالذمّية مع ردّ فاضل الدية، والذمّية بالذمّية وبالذمّي من غير ردّ الفضل كالمسلمين؛ من غير فرق بين وحدة ملّتهما واختلافهما، فيقتل اليهودي بالنصراني وبالعكس، والمجوسي بهما وبالعكس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الممكن في الحدّ به وبالنصّ، ليس بتلك المثابة، مع ما في ظاهر الشرائع</w:t>
      </w:r>
      <w:r>
        <w:rPr>
          <w:rStyle w:val="FootnoteAnchor"/>
          <w:rtl w:val="true"/>
        </w:rPr>
        <w:footnoteReference w:id="653"/>
      </w:r>
      <w:r>
        <w:rPr>
          <w:rFonts w:ascii="IRNazanin" w:hAnsi="IRNazanin" w:eastAsia="IRNazanin"/>
          <w:color w:val="111111"/>
          <w:sz w:val="28"/>
          <w:sz w:val="28"/>
          <w:szCs w:val="28"/>
          <w:rtl w:val="true"/>
          <w:lang w:bidi="fa-IR"/>
        </w:rPr>
        <w:t>والقواعد</w:t>
      </w:r>
      <w:r>
        <w:rPr>
          <w:rStyle w:val="FootnoteAnchor"/>
          <w:rtl w:val="true"/>
        </w:rPr>
        <w:footnoteReference w:id="654"/>
      </w:r>
      <w:r>
        <w:rPr>
          <w:rFonts w:ascii="Amiri" w:hAnsi="Amiri" w:eastAsia="Amiri" w:cs="Amiri"/>
          <w:color w:val="111111"/>
          <w:sz w:val="28"/>
          <w:sz w:val="28"/>
          <w:szCs w:val="28"/>
          <w:rtl w:val="true"/>
          <w:lang w:bidi="ar-SA"/>
        </w:rPr>
        <w:t>واللمعة</w:t>
      </w:r>
      <w:r>
        <w:rPr>
          <w:rStyle w:val="FootnoteAnchor"/>
          <w:rtl w:val="true"/>
        </w:rPr>
        <w:footnoteReference w:id="655"/>
      </w:r>
      <w:r>
        <w:rPr>
          <w:rFonts w:ascii="Amiri" w:hAnsi="Amiri" w:eastAsia="Amiri" w:cs="Amiri"/>
          <w:color w:val="111111"/>
          <w:sz w:val="28"/>
          <w:sz w:val="28"/>
          <w:szCs w:val="28"/>
          <w:rtl w:val="true"/>
          <w:lang w:bidi="ar-SA"/>
        </w:rPr>
        <w:t>من التردّد في المسألة، ومع مخالفة ابن إدريس</w:t>
      </w:r>
      <w:r>
        <w:rPr>
          <w:rStyle w:val="FootnoteAnchor"/>
          <w:rtl w:val="true"/>
        </w:rPr>
        <w:footnoteReference w:id="656"/>
      </w:r>
      <w:r>
        <w:rPr>
          <w:rFonts w:ascii="Amiri" w:hAnsi="Amiri" w:eastAsia="Amiri" w:cs="Amiri"/>
          <w:color w:val="111111"/>
          <w:sz w:val="28"/>
          <w:sz w:val="28"/>
          <w:szCs w:val="28"/>
          <w:rtl w:val="true"/>
          <w:lang w:bidi="ar-SA"/>
        </w:rPr>
        <w:t xml:space="preserve">فيها، كما صرّح صاحب الجواهر بكليهما في أوائل المسألة بقوله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لم يخالف فيها أحد منّا سوى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المتن والقواعد واللمعة التردّد</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هذا، مع عدم ظهور كلماتهم في الحدّية كما لا يخفى على من 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عباراتهم مأخوذة من النصوص فليس فيها إلّا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المسألة من قتل كلٍّ من الذمّي والذمّية بالآخر كالمسلمين، وكذا قتل المستأمن بالذمّي والذمّية والعكس ممّا لا خلاف فيه بين الأصحاب، لعموم أدلّة القصاص وإطلاقها، فإنّ النَّفْسَ بِالنَّفْسِ</w:t>
      </w:r>
      <w:r>
        <w:rPr>
          <w:rFonts w:ascii="IRNazanin" w:hAnsi="IRNazanin" w:eastAsia="IRNazanin"/>
          <w:color w:val="111111"/>
          <w:sz w:val="28"/>
          <w:sz w:val="28"/>
          <w:szCs w:val="28"/>
          <w:rtl w:val="true"/>
          <w:lang w:bidi="fa-IR"/>
        </w:rPr>
        <w:t>،</w:t>
      </w:r>
      <w:r>
        <w:rPr>
          <w:rStyle w:val="FootnoteAnchor"/>
          <w:rtl w:val="true"/>
        </w:rPr>
        <w:footnoteReference w:id="659"/>
      </w:r>
      <w:r>
        <w:rPr>
          <w:rFonts w:ascii="Amiri" w:hAnsi="Amiri" w:eastAsia="Amiri" w:cs="Amiri"/>
          <w:color w:val="111111"/>
          <w:sz w:val="28"/>
          <w:sz w:val="28"/>
          <w:szCs w:val="28"/>
          <w:rtl w:val="true"/>
          <w:lang w:bidi="ar-SA"/>
        </w:rPr>
        <w:t>وَالحُرُمَاتُ قِصَاصٌ</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عن أبي حنيفة</w:t>
      </w:r>
      <w:r>
        <w:rPr>
          <w:rStyle w:val="FootnoteAnchor"/>
          <w:rtl w:val="true"/>
        </w:rPr>
        <w:footnoteReference w:id="661"/>
      </w:r>
      <w:r>
        <w:rPr>
          <w:rFonts w:ascii="Amiri" w:hAnsi="Amiri" w:eastAsia="Amiri" w:cs="Amiri"/>
          <w:color w:val="111111"/>
          <w:sz w:val="28"/>
          <w:sz w:val="28"/>
          <w:szCs w:val="28"/>
          <w:rtl w:val="true"/>
          <w:lang w:bidi="ar-SA"/>
        </w:rPr>
        <w:t xml:space="preserve">من أنّه لا يقتل الذمّي بالمستأمن، واضح الضعف ومنافٍ لعموم الأدلّة، والحربي مثلهما في الحكم أيضاً؛ لعموم الأدلّة، من غير رجحان،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والكفر ملّة واحدة، وزيادة الكفر في الحربي وخفّته في غيره ليس بفارق كزيادة الإيمان والتقوى وعدمهما في المسلمين، وهذا ظاهر مكشوف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موثّقة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يقتصّ اليهودي والنصراني والمجوسي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من بعض ويقتل بعضهم بعضاً إذا قتلوا عمداً</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كشف اللثام</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لا يقتل الذمّي ولا المستأمن بالحربي، ولعلّه لأنّ الحربي غير محقون الدم، إلّا أنّ مقتضى ذلك عدم القود ولو قتله حربي، والتزامه مشكلٌ وإن جزم به الفاضل في القواعد،</w:t>
      </w:r>
      <w:r>
        <w:rPr>
          <w:rStyle w:val="FootnoteAnchor"/>
          <w:rtl w:val="true"/>
        </w:rPr>
        <w:footnoteReference w:id="664"/>
      </w:r>
      <w:r>
        <w:rPr>
          <w:rFonts w:ascii="Amiri" w:hAnsi="Amiri" w:eastAsia="Amiri" w:cs="Amiri"/>
          <w:color w:val="111111"/>
          <w:sz w:val="28"/>
          <w:sz w:val="28"/>
          <w:szCs w:val="28"/>
          <w:rtl w:val="true"/>
          <w:lang w:bidi="ar-SA"/>
        </w:rPr>
        <w:t>فإنّ أهل الذمّة فيما بينهم كالحربيّين، إذ لا ذمّة لبعضهم على بعض، فالعمدة حينئذٍ الإجماع إن كان</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والظاهر عدم الإجماع أيضاً كعدم الذمّة، وإلّا كان ينبغي لصاحب اللثام الاستدلال به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في المتن وغيره من ردّ فاضل الدية في طوائف الكفر كالمسلمين مبنيٌّ على عموم ما دلّ على أنّ دية المرأة في العمد نصف الرجل، وعدم كون الكافرة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ذمّي مسلماً عمداً دفع هو وماله إلى أولياء المقتول، وهم مخيّرون بين قتله واسترقاقه؛ من غير فرق بين كون المال عيناً أو ديناً منقولاً أو لا، ولا بين كونه مساوياً لفاضل دية المسلم أو زائداً عليه أو مساوياً للدية أو زائداً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بأولى من المسلمة، وأنّه لا يجني الجاني بأكثر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بناء حكم الردّ في الطوائف مبنيٌّ على مبناه في المسلمين؛ قضاءً لعموم أدلّته وإطلاقه ممّا لا إشكال فيه ولا كلام، وإنّما الإشكال والكلام في أصل المبنى، فقد مضى الإشكال فيه، وأنّ أخبار الردّ مخالفة للكتاب، فلا تكون حجّة بالنسبة إلى المسلمين، فضلاً عن الكافرين، فالحقّ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كالحقّ في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الردّ، وكون النفس بالنفس لا بها مع الردّ في بعض الأنفس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قتل الذمّي مسلماً عمداً دفع هو وماله إلى أولياء المقتول، وهم مخيّرون بين قتله واسترقاقه</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وفي الجواهر في ذيله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المشهور بين الأصحاب نقلاً وتحصيلاً، بل في الانتصار</w:t>
      </w:r>
      <w:r>
        <w:rPr>
          <w:rStyle w:val="FootnoteAnchor"/>
          <w:rtl w:val="true"/>
        </w:rPr>
        <w:footnoteReference w:id="667"/>
      </w:r>
      <w:r>
        <w:rPr>
          <w:rFonts w:ascii="IRNazanin" w:hAnsi="IRNazanin" w:eastAsia="IRNazanin"/>
          <w:color w:val="111111"/>
          <w:sz w:val="28"/>
          <w:sz w:val="28"/>
          <w:szCs w:val="28"/>
          <w:rtl w:val="true"/>
          <w:lang w:bidi="fa-IR"/>
        </w:rPr>
        <w:t>والسرائر</w:t>
      </w:r>
      <w:r>
        <w:rPr>
          <w:rStyle w:val="FootnoteAnchor"/>
          <w:rtl w:val="true"/>
        </w:rPr>
        <w:footnoteReference w:id="668"/>
      </w:r>
      <w:r>
        <w:rPr>
          <w:rFonts w:ascii="Amiri" w:hAnsi="Amiri" w:eastAsia="Amiri" w:cs="Amiri"/>
          <w:color w:val="111111"/>
          <w:sz w:val="28"/>
          <w:sz w:val="28"/>
          <w:szCs w:val="28"/>
          <w:rtl w:val="true"/>
          <w:lang w:bidi="ar-SA"/>
        </w:rPr>
        <w:t>والروضة</w:t>
      </w:r>
      <w:r>
        <w:rPr>
          <w:rStyle w:val="FootnoteAnchor"/>
          <w:rtl w:val="true"/>
        </w:rPr>
        <w:footnoteReference w:id="669"/>
      </w:r>
      <w:r>
        <w:rPr>
          <w:rFonts w:ascii="Amiri" w:hAnsi="Amiri" w:eastAsia="Amiri" w:cs="Amiri"/>
          <w:color w:val="111111"/>
          <w:sz w:val="28"/>
          <w:sz w:val="28"/>
          <w:szCs w:val="28"/>
          <w:rtl w:val="true"/>
          <w:lang w:bidi="ar-SA"/>
        </w:rPr>
        <w:t>وظاهر النكت</w:t>
      </w:r>
      <w:r>
        <w:rPr>
          <w:rStyle w:val="FootnoteAnchor"/>
          <w:rtl w:val="true"/>
        </w:rPr>
        <w:footnoteReference w:id="670"/>
      </w:r>
      <w:r>
        <w:rPr>
          <w:rFonts w:ascii="IRNazanin" w:hAnsi="IRNazanin" w:eastAsia="IRNazanin"/>
          <w:color w:val="111111"/>
          <w:sz w:val="28"/>
          <w:sz w:val="28"/>
          <w:szCs w:val="28"/>
          <w:rtl w:val="true"/>
          <w:lang w:bidi="fa-IR"/>
        </w:rPr>
        <w:t xml:space="preserve">الإجماع عليه،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بعد صحيح ضريس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مسلماً فلمّا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أسلم،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 إلى أولياء المقتول، فإن شاؤوا قتلوا، وإن شاؤوا عفوا، وإن شاؤوا استرقّوا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معه عين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إلى أولياء المقتول هو وماله</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وفي حسنة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وحَسَن عبدالله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نصراني قتل مسلماً فلمّا أُخذ أسلم،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يدفع إلى أولياء المقتول هو وماله </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وليعلم أنّ العمدة في استدلاله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وفيه ما يأتي، وإلّا فالإجماع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منقولاً، وإلى أنّه في مورد النصوص المنقولة في كلامه، وهو صحيح ضريس وحسنته وحسن عبدالله بن سنان، كما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الحجّة بعد صحيح ضريس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أنّه في مورد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مدركيّاً،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كون الاسترقاق لا للخروج عن الذمّة بالقتل وصرّح بذلك بقوله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ذلك حكم قتله المسلم لا لخروجه بذلك عن الذمّة المبيح لنفسه قتلاً واسترقاقاً، ولما له كما في كشف اللثام،</w:t>
      </w:r>
      <w:r>
        <w:rPr>
          <w:rStyle w:val="FootnoteAnchor"/>
          <w:rtl w:val="true"/>
        </w:rPr>
        <w:footnoteReference w:id="674"/>
      </w:r>
      <w:r>
        <w:rPr>
          <w:rFonts w:ascii="Amiri" w:hAnsi="Amiri" w:eastAsia="Amiri" w:cs="Amiri"/>
          <w:color w:val="111111"/>
          <w:sz w:val="28"/>
          <w:sz w:val="28"/>
          <w:szCs w:val="28"/>
          <w:rtl w:val="true"/>
          <w:lang w:bidi="ar-SA"/>
        </w:rPr>
        <w:t>بل وعن التقيّ</w:t>
      </w:r>
      <w:r>
        <w:rPr>
          <w:rStyle w:val="FootnoteAnchor"/>
          <w:rtl w:val="true"/>
        </w:rPr>
        <w:footnoteReference w:id="675"/>
      </w:r>
      <w:r>
        <w:rPr>
          <w:rFonts w:ascii="IRNazanin" w:hAnsi="IRNazanin" w:eastAsia="IRNazanin"/>
          <w:color w:val="111111"/>
          <w:sz w:val="28"/>
          <w:sz w:val="28"/>
          <w:szCs w:val="28"/>
          <w:rtl w:val="true"/>
          <w:lang w:bidi="fa-IR"/>
        </w:rPr>
        <w:t xml:space="preserve">وابن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زهرة</w:t>
      </w:r>
      <w:r>
        <w:rPr>
          <w:rStyle w:val="FootnoteAnchor"/>
          <w:rtl w:val="true"/>
        </w:rPr>
        <w:footnoteReference w:id="676"/>
      </w:r>
      <w:r>
        <w:rPr>
          <w:rFonts w:ascii="Amiri" w:hAnsi="Amiri" w:eastAsia="Amiri" w:cs="Amiri"/>
          <w:color w:val="111111"/>
          <w:sz w:val="28"/>
          <w:sz w:val="28"/>
          <w:szCs w:val="28"/>
          <w:rtl w:val="true"/>
          <w:lang w:bidi="ar-SA"/>
        </w:rPr>
        <w:t>والكيدري،</w:t>
      </w:r>
      <w:r>
        <w:rPr>
          <w:rStyle w:val="FootnoteAnchor"/>
          <w:rtl w:val="true"/>
        </w:rPr>
        <w:footnoteReference w:id="677"/>
      </w:r>
      <w:r>
        <w:rPr>
          <w:rFonts w:ascii="Amiri" w:hAnsi="Amiri" w:eastAsia="Amiri" w:cs="Amiri"/>
          <w:color w:val="111111"/>
          <w:sz w:val="28"/>
          <w:sz w:val="28"/>
          <w:szCs w:val="28"/>
          <w:rtl w:val="true"/>
          <w:lang w:bidi="ar-SA"/>
        </w:rPr>
        <w:t>وإلّا لجاز لغير أولياء المقتول، وهو خلاف النصّ والفتوى</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ثمّ إنّ الحديث منقولٌ عن ضريس،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التهذيب</w:t>
      </w:r>
      <w:r>
        <w:rPr>
          <w:rStyle w:val="FootnoteAnchor"/>
          <w:rtl w:val="true"/>
        </w:rPr>
        <w:footnoteReference w:id="679"/>
      </w:r>
      <w:r>
        <w:rPr>
          <w:rFonts w:ascii="Amiri" w:hAnsi="Amiri" w:eastAsia="Amiri" w:cs="Amiri"/>
          <w:color w:val="111111"/>
          <w:sz w:val="28"/>
          <w:sz w:val="28"/>
          <w:szCs w:val="28"/>
          <w:rtl w:val="true"/>
          <w:lang w:bidi="ar-SA"/>
        </w:rPr>
        <w:t>والفقيه</w:t>
      </w:r>
      <w:r>
        <w:rPr>
          <w:rStyle w:val="FootnoteAnchor"/>
          <w:rtl w:val="true"/>
        </w:rPr>
        <w:footnoteReference w:id="680"/>
      </w:r>
      <w:r>
        <w:rPr>
          <w:rFonts w:ascii="Amiri" w:hAnsi="Amiri" w:eastAsia="Amiri" w:cs="Amiri"/>
          <w:color w:val="111111"/>
          <w:sz w:val="28"/>
          <w:sz w:val="28"/>
          <w:szCs w:val="28"/>
          <w:rtl w:val="true"/>
          <w:lang w:bidi="ar-SA"/>
        </w:rPr>
        <w:t>و‌الكافي،</w:t>
      </w:r>
      <w:r>
        <w:rPr>
          <w:rStyle w:val="FootnoteAnchor"/>
          <w:rtl w:val="true"/>
        </w:rPr>
        <w:footnoteReference w:id="681"/>
      </w:r>
      <w:r>
        <w:rPr>
          <w:rFonts w:ascii="Amiri" w:hAnsi="Amiri" w:eastAsia="Amiri" w:cs="Amiri"/>
          <w:color w:val="111111"/>
          <w:sz w:val="28"/>
          <w:sz w:val="28"/>
          <w:szCs w:val="28"/>
          <w:rtl w:val="true"/>
          <w:lang w:bidi="ar-SA"/>
        </w:rPr>
        <w:t xml:space="preserve">وعن عبدالله بن سنان في التهذيب فقط، وسنده إليه سنده إلى ضريس، فحديث ابن سنان صحيحٌ أيضاً كحديث ضريس، فتعبيره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بحسنة ابن سنان ممّا لا ينبغي، بل لا يكون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واحد من سندي الكافي إبراهيم بن هاشم، وفي الآخر سهل بن زياد، والحكم بالحسن دون الصحيح من جهة إبراهيم له مجالٌ، وإن كان غير تامّ أيضاً، فإنّه في أعلى مراتب الوثاقة كما حقّق في محلّه، ومع ذلك لا يصحّ التعبير عنه بالحسنة على الإطلاق، مع كونه بسند التهذيب صحيحاً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 الاستدلال بالحديث مناقشة وإشكال من جهات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النقل زيادة ونقيصة من حيث الكلمات كما بيّنهالمقدّس الأردبيلي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 وسننقل عبارته،</w:t>
      </w:r>
      <w:r>
        <w:rPr>
          <w:rStyle w:val="FootnoteAnchor"/>
          <w:rtl w:val="true"/>
        </w:rPr>
        <w:footnoteReference w:id="682"/>
      </w:r>
      <w:r>
        <w:rPr>
          <w:rFonts w:ascii="Amiri" w:hAnsi="Amiri" w:eastAsia="Amiri" w:cs="Amiri"/>
          <w:color w:val="111111"/>
          <w:sz w:val="28"/>
          <w:sz w:val="28"/>
          <w:szCs w:val="28"/>
          <w:rtl w:val="true"/>
          <w:lang w:bidi="ar-SA"/>
        </w:rPr>
        <w:t xml:space="preserve">فهذا الاختلاف إن لم يكن كاشفاً جزماً عن عدم بيان الحكم في الحالة العاديّة فلا أقلّ من كونه موجباً لاحتماله، والاعتماد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ذلك الاحتمال مشكلٌ بل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المخالفة للقواعد في باب القصاص وفي حرمة مال الغير، فتخصيص تلك القواعد الواضحة المطلقة والعامّة بصحيح واحد أو بصحيحين من المشكل عند العقلاء، بل الظاهر عدم حجّية الصحيح أو الصحيحين في مثل هذه الأحكام المخالفة للقواعد المسلّمة الشرعيّة والعقلائيّة والعقليّة، ومنعهم تخصيصها به، وبعد ما كانت حجّية الأخبار وتخصيص العمومات من باب بناء العقلاء فكيف يجترئ الفقيه ترك القواعد والعمل بذلك الصحيح أو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معلوميّة الجهة في السؤال، فلعلّها إن كانت معلومة كانت قرينة على أنّ القضيّة شخصيّة وواقعة في واقعة، فلم يكن في الحديث إطلاق ولا عموم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إمّا يكون مختصّاً بالنصراني؛ قضاءً لظاهر العنوان، أو الأعمّ منه ومن الذمّي؛ لترك الاستفصال، فتخصيصهم الحكم بالذمّي بلا دليل، إلّا أن يكون المراد منه القابل للذمّة لا الفعلي منه، فالتأ‌مّل فيما هو المشهور مع هذه المناقشات في محلّه، والعمل بالقواعد أحوط وأضبط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التنزّل لابدّ من الاختصاص بالنصراني أخذاً بظاهر العنوان، لا الذمّي، بل ولا أهل الكتاب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ولننقل عبارة المجمع في المسألة بتمامها؛ تفصيلاً للبحث وتبييناً لما في نقل الكافي، مع نقل الفقيه والتهذيب من الاختلاف</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قتل الذمّي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الذمّي القاتل عمداً وماله إلى ورثةالمسلم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المقتول المسلم، وتخييرهم بين قتله واسترقاقه هو المشهور بين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دليله حسنة ضريس الكناسي في الكافي،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نصراني قتل مسلماً فلمّا أُخذ أسلم؟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يدفع إلى أولياء المقتول هو وماله</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وهي صحيحة في التهذيب عن ضريس الكناسي،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ابن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نصراني قتل مسلماً فلمّا أُخذ أسلم؟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يدفع إلى أولياء المقتول، فإن شاؤوا قتلوا وإن شاؤوا عفوا وإن شاؤوا استرقّوا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معه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إلى أولياء المقتول هو وماله</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لعلّه سقط عن الكافي، وهي مذكورة في الفقيه أيضاً مثل التهذيب بتغييرٍ ما، مثل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وزيادته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أولى،فإنّه لا يحتاج إلى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صريح هذه الرواية أنّ قتل الذمّي بالمسلم، للقصاص، وأنّه مع ماله عوض قتل المسلم؛ سواء كان المال زائداً عن دية المسلم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ناقصاً أو مساوياً لها؛ لأنّه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يدفع الذمّي إلى أولياء الدم، فإن شاؤوا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وكذا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ويدفع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ظاهر كلامهم، فلا بُعد في ذلك بعد وجود النصّ 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دفع أولاده الصغار إليه ليكونوا أرقاء لهم فليس بظاهر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سواء استرقّوا أباهم القاتل أو قتلوه؛ إذ لا يلزم من استرقاق مَن استحقّ ذلك بسبب قتله عمداً استرقاق أولاده، وهو ظاهر، ومن قتله بالطريق الأولى، ولا نصّ في ذلك على ما يظهر الآن، بل أنكر في الشرح كونه قولاً للشيخ،</w:t>
      </w:r>
      <w:r>
        <w:rPr>
          <w:rStyle w:val="FootnoteAnchor"/>
          <w:rtl w:val="true"/>
        </w:rPr>
        <w:footnoteReference w:id="68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المصنّف عنه، وكذا نقل عميد الدين شيخنا أنّه قوله في الفقيه،</w:t>
      </w:r>
      <w:r>
        <w:rPr>
          <w:rStyle w:val="FootnoteAnchor"/>
          <w:rtl w:val="true"/>
        </w:rPr>
        <w:footnoteReference w:id="686"/>
      </w:r>
      <w:r>
        <w:rPr>
          <w:rFonts w:ascii="Amiri" w:hAnsi="Amiri" w:eastAsia="Amiri" w:cs="Amiri"/>
          <w:color w:val="111111"/>
          <w:sz w:val="28"/>
          <w:sz w:val="28"/>
          <w:szCs w:val="28"/>
          <w:rtl w:val="true"/>
          <w:lang w:bidi="ar-SA"/>
        </w:rPr>
        <w:t>وما رأيته، وهما أعرف بما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الشارح أنّه قولٌ للمفيد،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أن يكون مراد المصنّف الشيخ المفيد، فإنّه ليس عادته ذلك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يبعد قول ابن إدريس بمنع أخذ المال إن قتله أو عفا عنه وجواز أخذه لو استرقّه؛ إذ ما نظر إلى قول الأصحاب ودليلهم،دليله غير ظاهر، وكذا مذهب التقيّ</w:t>
      </w:r>
      <w:r>
        <w:rPr>
          <w:rStyle w:val="FootnoteAnchor"/>
          <w:rtl w:val="true"/>
        </w:rPr>
        <w:footnoteReference w:id="687"/>
      </w:r>
      <w:r>
        <w:rPr>
          <w:rFonts w:ascii="Amiri" w:hAnsi="Amiri" w:eastAsia="Amiri" w:cs="Amiri"/>
          <w:color w:val="111111"/>
          <w:sz w:val="28"/>
          <w:sz w:val="28"/>
          <w:szCs w:val="28"/>
          <w:rtl w:val="true"/>
          <w:lang w:bidi="ar-SA"/>
        </w:rPr>
        <w:t>وابن زهرة</w:t>
      </w:r>
      <w:r>
        <w:rPr>
          <w:rStyle w:val="FootnoteAnchor"/>
          <w:rtl w:val="true"/>
        </w:rPr>
        <w:footnoteReference w:id="688"/>
      </w:r>
      <w:r>
        <w:rPr>
          <w:rFonts w:ascii="Amiri" w:hAnsi="Amiri" w:eastAsia="Amiri" w:cs="Amiri"/>
          <w:color w:val="111111"/>
          <w:sz w:val="28"/>
          <w:sz w:val="28"/>
          <w:szCs w:val="28"/>
          <w:rtl w:val="true"/>
          <w:lang w:bidi="ar-SA"/>
        </w:rPr>
        <w:t>والكيدري</w:t>
      </w:r>
      <w:r>
        <w:rPr>
          <w:rStyle w:val="FootnoteAnchor"/>
          <w:rtl w:val="true"/>
        </w:rPr>
        <w:footnoteReference w:id="689"/>
      </w:r>
      <w:r>
        <w:rPr>
          <w:rFonts w:ascii="Amiri" w:hAnsi="Amiri" w:eastAsia="Amiri" w:cs="Amiri"/>
          <w:color w:val="111111"/>
          <w:sz w:val="28"/>
          <w:sz w:val="28"/>
          <w:szCs w:val="28"/>
          <w:rtl w:val="true"/>
          <w:lang w:bidi="ar-SA"/>
        </w:rPr>
        <w:t xml:space="preserve">أنّه يقتل بخرقه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الذمّة، ثمّ يؤخذ من ماله دية المسلم تامّة؛ إذ قتله لخرق الذمّة، ليس لأولياء الدم، بل للإمام ومن يأذن له،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إلى أولياء المقتول إن شاؤوا قتلوا، وإن شاؤوا عفوا، وإن شاؤوا استرقّوا، ويدفع إليهم هو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مخصوصاً بمقدار الدية، فهم أيضاً تركوا هذه الرواية وما أعرف لهم دليلاً، وهم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للمسلم من الذمّي في النفس والأطراف، ويؤخذ من ماله أو من مال أوليائه فضل ما بين ديتي المسلم والذمّي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المذهب أيضاً الرواية متروكة، وما نعرف له دليلاً مع أنّه إنّما ذكر في كتابه الفقيه رواية ضريس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الشارح هذه المذاهب،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ومبنى هذه الأقوال على أنّ قتله هل هو قودٌ أولخرقه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وعلى أنّ أخذ ماله هل هو لتكملة دية المسلم، أو لاسترقاقه، أو لمجرّد جنايته؟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أنّ هذا كلّه خروج عن الأدلّة، وليست هذه الأُمور مبنى هذه الأقوال كلّها، مع أنّه لا يخرج عن الجهالة ولم يرجّح مبنى مذهب حتّى يتحقّق، فلا ثمرة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في آخر القول ما يدلّ على أنّ مضمون الرواية كأنّه مجمع عليه،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في النكت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ذلك 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تضمّنته الرواية من جواز قتله والعفووالاسترقاق له وأخذ ماله</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الذمّي القاتل أحرار، لا يسترقّ واحد منهم لقتل والدهم،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سقوط الاسترقاق لو أسلم قبل القتل والاسترقاق، فهو أنّ المسلم لا يسترقّ فيسقط الاسترقاق، وإن كان جائزاً قبل الإسلام، فانحصر ما يلزمه في القود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يمكن سقوط أخذ ماله على القول به؛</w:t>
      </w:r>
      <w:r>
        <w:rPr>
          <w:rStyle w:val="FootnoteAnchor"/>
          <w:rtl w:val="true"/>
        </w:rPr>
        <w:footnoteReference w:id="691"/>
      </w:r>
      <w:r>
        <w:rPr>
          <w:rFonts w:ascii="Amiri" w:hAnsi="Amiri" w:eastAsia="Amiri" w:cs="Amiri"/>
          <w:color w:val="111111"/>
          <w:sz w:val="28"/>
          <w:sz w:val="28"/>
          <w:szCs w:val="28"/>
          <w:rtl w:val="true"/>
          <w:lang w:bidi="ar-SA"/>
        </w:rPr>
        <w:t>إذ لا يحلّ مال امرء مسلم بغير وجه مقرّر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العفو أيضاً وهو ظاهر</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عدم استرقاق الأولاد واضح، فإنّ الحكم على تماميّته مخالف للقواعد، يقتصر على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694"/>
      </w:r>
      <w:r>
        <w:rPr>
          <w:rFonts w:ascii="Amiri" w:hAnsi="Amiri" w:eastAsia="Amiri" w:cs="Amiri"/>
          <w:color w:val="111111"/>
          <w:sz w:val="28"/>
          <w:sz w:val="28"/>
          <w:szCs w:val="28"/>
          <w:rtl w:val="true"/>
          <w:lang w:bidi="ar-SA"/>
        </w:rPr>
        <w:t>وسلّار،</w:t>
      </w:r>
      <w:r>
        <w:rPr>
          <w:rStyle w:val="FootnoteAnchor"/>
          <w:rtl w:val="true"/>
        </w:rPr>
        <w:footnoteReference w:id="695"/>
      </w:r>
      <w:r>
        <w:rPr>
          <w:rFonts w:ascii="Amiri" w:hAnsi="Amiri" w:eastAsia="Amiri" w:cs="Amiri"/>
          <w:color w:val="111111"/>
          <w:sz w:val="28"/>
          <w:sz w:val="28"/>
          <w:szCs w:val="28"/>
          <w:rtl w:val="true"/>
          <w:lang w:bidi="ar-SA"/>
        </w:rPr>
        <w:t>وابن حمزة</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استرقاق صغار أولادهم؛ لتبعيّتهم له، ولأنّه بخروجه عن الذمّة التحق بأهل الحرب، ومن أحكامهم استرقاق أولادهم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عدم الدليل على أنّه بخروجه عن الذمّة يلتحق بأهل الحرب وأنّه منهم أوّلاً، وعدم الدليل على الإلحاق في جميع الأحكام على تسليم أصل الإلحاق ثانياً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حربي، أي غير ذمّي، لا أنّه محارب وأنّهمن أهل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أسلم الذمّي القاتل قبل استرقاقه لم يكن لأولياء المقتول غير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الكافر كافراً وأسلم لم يقتل به، بل عليه الدية إن كان المقتول ذا 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ولد الرشدة بولد الزنية بعد وصفه الإسلام حين تميّزه ولو 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حال صغره قبل التميّز أو بعده وقبل إسلامه، ففي قتله به وعدمه تأ‌مّل وإشكال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ولا إشكال لصحيح ضريس،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نصراني قتل مسلماً فلمّا أُخذ أسلم؟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اقتله به</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قتله مبنيّ على شرطيّة التساوي في الدين وأنّه لا يقتل مسلم بكافر، وعلى شمول أدلّته لما كان القاتل مسلماً ولوحين القصاص فقط رغم كونه كافراً حال قتله، وأمّا بناءً على عدم الشرطيّة كما اخترناه، أو بناءً على أنّ المانع الإسلام حين القتل والقصاص معاً، فالقصاص هو الأوجه بل المتعيّن، وممّا ذكرنا يظهر حكم الدية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المسألة مبنيّ أيضاً على شرطيّة التساوي، وإلّا فعلى المختار القصاص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ويقتل ولد الرشيدة بولد الزنية بعد وصفه الإسلام؛ لتساويهما في الإسلام عندنا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لواحق هذا الباب فروعٌ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مسلم يد ذمّي عمداً فأسلم وسرت إلى نفسه، فلا قصاص في الطرف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قود في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دية النفس 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قطع صبيّ</w:t>
      </w:r>
    </w:p>
    <w:p>
      <w:pPr>
        <w:pStyle w:val="BookText"/>
        <w:rPr/>
      </w:pPr>
      <w:r>
        <w:rPr>
          <w:rFonts w:ascii="Amiri" w:hAnsi="Amiri" w:eastAsia="Amiri" w:cs="Amiri"/>
          <w:color w:val="111111"/>
          <w:sz w:val="28"/>
          <w:sz w:val="28"/>
          <w:szCs w:val="28"/>
          <w:rtl w:val="true"/>
          <w:lang w:bidi="ar-SA"/>
        </w:rPr>
        <w:t>نعم، مَن حكم بكفره من الأصحاب وإن أظهر الإسلام لا يقتله به،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به وهو صغير؛ لعدم إسلامه التبعيّ بعدم الأبوين له شرعاً إلّا أن يسبى، بناءً على صحّة سبي مثله، فيحكم حينئذٍ بإسلامه تبعاً للسابي، وكأنّه مبنيّ على اشتراط المساواة في الدين في القصاص، للإجماع ونحوه، وإلّا فما سمعته من النصوص عدم قتل المسلم بالكافر، وولد الزنا قبل وصفه الإسلام لا يحكم بكفره، ولذا قلنا بطهارته، فيندرج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w:t>
      </w:r>
      <w:r>
        <w:rPr>
          <w:rFonts w:ascii="IRNazanin" w:hAnsi="IRNazanin" w:eastAsia="IRNazanin"/>
          <w:color w:val="111111"/>
          <w:sz w:val="28"/>
          <w:sz w:val="28"/>
          <w:szCs w:val="28"/>
          <w:rtl w:val="true"/>
          <w:lang w:bidi="fa-IR"/>
        </w:rPr>
        <w:t>،</w:t>
      </w:r>
      <w:r>
        <w:rPr>
          <w:rStyle w:val="FootnoteAnchor"/>
          <w:rtl w:val="true"/>
        </w:rPr>
        <w:footnoteReference w:id="698"/>
      </w:r>
      <w:r>
        <w:rPr>
          <w:rFonts w:ascii="Amiri" w:hAnsi="Amiri" w:eastAsia="Amiri" w:cs="Amiri"/>
          <w:color w:val="111111"/>
          <w:sz w:val="28"/>
          <w:sz w:val="28"/>
          <w:szCs w:val="28"/>
          <w:rtl w:val="true"/>
          <w:lang w:bidi="ar-SA"/>
        </w:rPr>
        <w:t>وغيره ممّا دلّ على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عدم الموضوعيّة لهذه اللواحق على المختار، لكنّه نبحث عنها على مختار المتن وغيره من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لدخوله في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التكافؤ في الإسلام ليس بحاصل وقت الجناية حتّى يتحقّق العمد في قتل المسلم للمسلم، والعمد في قتل المسلم هو المناط في القصاص لا نفس قتل المسلم وكون القاتل مسلماً المتحقّق في المورد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يكفي في الدية استناد القتل إليه ولو بالتسبيب الذي لا ريب في حصوله هنا بالسراية المتولّدة من فعله التي بها حصل إزهاق النفس المسلمة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 بالغ فبلغ ثمّ سرت جنايته، لا قصاص في الطرف ولا قود في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عاقلته دية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يد حربي أو مرتدّ فأسلم ثمّ سرت فلا 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دية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بالدية اعتباراً بحال الاستقرار، والأوّل 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رماه فأصابه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فيما لو كان الصبيّ غير مميّز، وإلّا فالصبيّ المميّز كالبالغ كما يأتي وجهه في 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عدمه ظاهر ممّا مرّ؛</w:t>
      </w:r>
      <w:r>
        <w:rPr>
          <w:rStyle w:val="FootnoteAnchor"/>
          <w:rtl w:val="true"/>
        </w:rPr>
        <w:footnoteReference w:id="700"/>
      </w:r>
      <w:r>
        <w:rPr>
          <w:rFonts w:ascii="Amiri" w:hAnsi="Amiri" w:eastAsia="Amiri" w:cs="Amiri"/>
          <w:color w:val="111111"/>
          <w:sz w:val="28"/>
          <w:sz w:val="28"/>
          <w:szCs w:val="28"/>
          <w:rtl w:val="true"/>
          <w:lang w:bidi="ar-SA"/>
        </w:rPr>
        <w:t>لعدم العمد في القتل الموجب للقصاص، فإنّه لابدّ وأن يكون القاتل حين العمد إلى القتل واجداً لشرطيّة البلوغ، وإلّا فمحض العمد إلى القتل مع عدم الشرائط غير موجب للقصاص بداهة؛ قضاءً للشرطيّة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عمد الصبيّ خطأ تحمله العاقلة، ولا يخفى عليك جريان ما ذكر من عدم القصاص فيما لم يكن القاتل واجداً للشرائط حين الجناية وصار واجداً لها حين السراية، والقتل بالنسبة إلى جميع الشرائط الثلاثة من البلوغ والتساوي في الدين والحريّة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جناية الحرّ على العبد مثل قطع يد وسرايته إلى قتله حال عتقه وحرّيّته، حكم غير المسلم وغير البالغ من دون تفاوت؛ قضاءً للمناطالمذكور، كما أنّ عليه الدية أيضاً، كما مرّ من كفاية نسبة القتل في ثبوت الدية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لما عرفت من عدم التساوي حين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 الاستدلال عليه بأنّ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الجناية لم تكن مضمونة بقصاص ولا دية، فلم تضمن سرايتها كالقطع </w:t>
      </w:r>
    </w:p>
    <w:p>
      <w:pPr>
        <w:pStyle w:val="BookText"/>
        <w:rPr/>
      </w:pPr>
      <w:r>
        <w:rPr>
          <w:rFonts w:ascii="Amiri" w:hAnsi="Amiri" w:eastAsia="Amiri" w:cs="Amiri"/>
          <w:color w:val="111111"/>
          <w:sz w:val="28"/>
          <w:sz w:val="28"/>
          <w:szCs w:val="28"/>
          <w:rtl w:val="true"/>
          <w:lang w:bidi="ar-SA"/>
        </w:rPr>
        <w:t xml:space="preserve">بعد إسلامه فلا 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عليه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يحتمل العدم اعتباراً بحال الرمي، وهو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بالسرقة والقصاص، وكذا في كلّ جناية غير مضمونة حال وقوعها فتجدّد لها حال يضمن به ابتداؤها</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وعدم الضمان بالدية فيهما لدليل خاصّ، وإلّا فلا منافاة بين الإذن في الجناية مع الضمان بالسراية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الضمان لنفس تلك الجناية من دون السراية منافٍ للإذن فيها كما لا يخفى، وعلى هذا فضمان الدية اعتباراً بحال الاستقرار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عرفت من تحقّق عنوانها بنسبة القتل إليه ولو بالسراية المتولّدة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الأقوى، ويزيده تأييداً ما تسمعه من الحكم بالدية لو رماه بسهم حربيّاً فأصابه مسلماً، ضرورة اتّحاد السراية مع الإصابة في التوليد من فعله، بل لو قلنا بمنع جرحه المرتدّ على وجه يتحقّق فيه ضمان الدية باعتبار تفويض قتله إلى الإمام، أو منع جرحه الحربي كذلك باعتبار تفويض قتله إلى حال الحرب كما هو الحقّ فيهما، اتّجه حينئذٍ اعتبار حال الاستقرار فيه كما مرّ في الفرع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العمد إلى قتل المسلم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نسبة قتل المسلم إلى القاتل في ثبوت الدية مطلقاً، وعدم اشتراطه بشيء غير النسبة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عدم القود وثبوت دية الحرّ فيما لو رمى عبداً فاعتق ثمّ أصابه فمات؛ لما عرفت، ولعدم طل دم امرءٍ مسلم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كون الرمي بما هو سبباً للضمان قطعاً حتّى يعتبر حاله، بل السبب </w:t>
      </w:r>
    </w:p>
    <w:p>
      <w:pPr>
        <w:pStyle w:val="BookText"/>
        <w:rPr/>
      </w:pPr>
      <w:r>
        <w:rPr>
          <w:rFonts w:ascii="Amiri" w:hAnsi="Amiri" w:eastAsia="Amiri" w:cs="Amiri"/>
          <w:color w:val="111111"/>
          <w:sz w:val="28"/>
          <w:sz w:val="28"/>
          <w:szCs w:val="28"/>
          <w:rtl w:val="true"/>
          <w:lang w:bidi="ar-SA"/>
        </w:rPr>
        <w:t>وكذا الحال لو رمى ذمّياً فأسلم ثمّ أصابه فلا قود، وعليه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مرتدّ ذمّياً يقتل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قتله ورجع إلى الإسلام فلا 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الضمان القتل، فالاعتبار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ظاهر ممّا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الشرائع،</w:t>
      </w:r>
      <w:r>
        <w:rPr>
          <w:rStyle w:val="FootnoteAnchor"/>
          <w:rtl w:val="true"/>
        </w:rPr>
        <w:footnoteReference w:id="702"/>
      </w:r>
      <w:r>
        <w:rPr>
          <w:rFonts w:ascii="Amiri" w:hAnsi="Amiri" w:eastAsia="Amiri" w:cs="Amiri"/>
          <w:color w:val="111111"/>
          <w:sz w:val="28"/>
          <w:sz w:val="28"/>
          <w:szCs w:val="28"/>
          <w:rtl w:val="true"/>
          <w:lang w:bidi="ar-SA"/>
        </w:rPr>
        <w:t>وفاقاً للفاضل وغيره ممّن تأخّر عنه، بل وللمحكيّ عن المبسوط</w:t>
      </w:r>
      <w:r>
        <w:rPr>
          <w:rStyle w:val="FootnoteAnchor"/>
          <w:rtl w:val="true"/>
        </w:rPr>
        <w:footnoteReference w:id="703"/>
      </w:r>
      <w:r>
        <w:rPr>
          <w:rFonts w:ascii="IRNazanin" w:hAnsi="IRNazanin" w:eastAsia="IRNazanin"/>
          <w:color w:val="111111"/>
          <w:sz w:val="28"/>
          <w:sz w:val="28"/>
          <w:szCs w:val="28"/>
          <w:rtl w:val="true"/>
          <w:lang w:bidi="fa-IR"/>
        </w:rPr>
        <w:t>والخلاف،</w:t>
      </w:r>
      <w:r>
        <w:rPr>
          <w:rStyle w:val="FootnoteAnchor"/>
          <w:rtl w:val="true"/>
        </w:rPr>
        <w:footnoteReference w:id="704"/>
      </w:r>
      <w:r>
        <w:rPr>
          <w:rFonts w:ascii="Amiri" w:hAnsi="Amiri" w:eastAsia="Amiri" w:cs="Amiri"/>
          <w:color w:val="111111"/>
          <w:sz w:val="28"/>
          <w:sz w:val="28"/>
          <w:szCs w:val="28"/>
          <w:rtl w:val="true"/>
          <w:lang w:bidi="ar-SA"/>
        </w:rPr>
        <w:t xml:space="preserve">للتساوي في الكفر، كما يقتل النصراني باليهودي؛ لأنّ الكفر كالملّة الواحدة، بل المرتدّ أسوء حالاً؛ لأنّه لا يقرّ على دينه، ولإطلاق أدلّة القصاص المقتصر في الخروج عنها على عدم قتل المسلم بالكافر، إذ لا دليل على اعتبار التساوي على وجه يقتضي خروج المفروض، بل لعلّ المراد من اشتراط التساوي في عبارة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التفريع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قتل المسلم بالكافر، فلا دليل لاعتبار حرمته بالإسلام في سقوط القصاص مع إمكان مقابلته بما يقتضي كونه أسوأ حالاً من الذمّي، كوجوب قتله مع عدم التوبة دونه، وعدم حلّ ذبيحته إجماعاً، بخلاف الذمّي المختلف فيه وعدم إقراره بالجزية، وعدم الدية له مع فرض قتله بالمسلم على الظاهر المصرّح به في غير واحد من العبائر وإن كان فيه تأ‌مّل بل منع</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w:t>
      </w:r>
      <w:r>
        <w:rPr>
          <w:rStyle w:val="FootnoteAnchor"/>
          <w:rtl w:val="true"/>
        </w:rPr>
        <w:footnoteReference w:id="705"/>
      </w:r>
      <w:r>
        <w:rPr>
          <w:rFonts w:ascii="IRNazanin" w:hAnsi="IRNazanin" w:eastAsia="IRNazanin"/>
          <w:color w:val="111111"/>
          <w:sz w:val="28"/>
          <w:sz w:val="28"/>
          <w:szCs w:val="28"/>
          <w:rtl w:val="true"/>
          <w:lang w:bidi="fa-IR"/>
        </w:rPr>
        <w:t>والقواعد،</w:t>
      </w:r>
      <w:r>
        <w:rPr>
          <w:rStyle w:val="FootnoteAnchor"/>
          <w:rtl w:val="true"/>
        </w:rPr>
        <w:footnoteReference w:id="706"/>
      </w:r>
      <w:r>
        <w:rPr>
          <w:rFonts w:ascii="Amiri" w:hAnsi="Amiri" w:eastAsia="Amiri" w:cs="Amiri"/>
          <w:color w:val="111111"/>
          <w:sz w:val="28"/>
          <w:sz w:val="28"/>
          <w:szCs w:val="28"/>
          <w:rtl w:val="true"/>
          <w:lang w:bidi="ar-SA"/>
        </w:rPr>
        <w:t>بل في اللثام</w:t>
      </w:r>
      <w:r>
        <w:rPr>
          <w:rStyle w:val="FootnoteAnchor"/>
          <w:rtl w:val="true"/>
        </w:rPr>
        <w:footnoteReference w:id="707"/>
      </w:r>
      <w:r>
        <w:rPr>
          <w:rFonts w:ascii="Amiri" w:hAnsi="Amiri" w:eastAsia="Amiri" w:cs="Amiri"/>
          <w:color w:val="111111"/>
          <w:sz w:val="28"/>
          <w:sz w:val="28"/>
          <w:szCs w:val="28"/>
          <w:rtl w:val="true"/>
          <w:lang w:bidi="ar-SA"/>
        </w:rPr>
        <w:t xml:space="preserve">التصريح بالقطع، وفي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w:t>
      </w:r>
      <w:r>
        <w:rPr>
          <w:rStyle w:val="FootnoteAnchor"/>
          <w:rtl w:val="true"/>
        </w:rPr>
        <w:footnoteReference w:id="708"/>
      </w:r>
      <w:r>
        <w:rPr>
          <w:rFonts w:ascii="Amiri" w:hAnsi="Amiri" w:eastAsia="Amiri" w:cs="Amiri"/>
          <w:color w:val="111111"/>
          <w:sz w:val="28"/>
          <w:sz w:val="28"/>
          <w:szCs w:val="28"/>
          <w:rtl w:val="true"/>
          <w:lang w:bidi="ar-SA"/>
        </w:rPr>
        <w:t>الاستدلال عليه بعموم ما دلّ على أنّ المسلم لا يقتل بكافر، ويجبّ الإسلام ما قبله ويعلو ولا يُعلى عليه ما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هو القصاص؛ لعموم أدلّته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دلّ على عدم قتله به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يقاد مسلم بذمّي</w:t>
      </w:r>
      <w:r>
        <w:rPr>
          <w:rFonts w:eastAsia="IRNazanin" w:cs="IRNazanin"/>
          <w:color w:val="111111"/>
          <w:sz w:val="28"/>
          <w:szCs w:val="28"/>
          <w:rtl w:val="true"/>
          <w:lang w:bidi="fa-IR"/>
        </w:rPr>
        <w:t>»</w:t>
      </w:r>
      <w:r>
        <w:rPr>
          <w:rStyle w:val="FootnoteAnchor"/>
          <w:rtl w:val="true"/>
        </w:rPr>
        <w:footnoteReference w:id="709"/>
      </w:r>
      <w:r>
        <w:rPr>
          <w:rFonts w:ascii="Amiri" w:hAnsi="Amiri" w:eastAsia="Amiri" w:cs="Amiri"/>
          <w:color w:val="111111"/>
          <w:sz w:val="28"/>
          <w:sz w:val="28"/>
          <w:szCs w:val="28"/>
          <w:rtl w:val="true"/>
          <w:lang w:bidi="ar-SA"/>
        </w:rPr>
        <w:t>ظاهر في عدمه في المسلم المتّصف بالإسلام في حال القود وحال القتل معاً، فعدم القصاص مشروط بالإسلام حالهما، فلا فائدة في الإسلام في حال القود فقط مع عدمه في وحال القتل؛ قضاءً للاشتراط الظاهر من الحديث، فإنّ معنى نفي القود فيه نفي قصاص المسلم بقتله الكافر بقتله عوضاً عنه قصاصاً للكافر، فالقتل الموضوع لنفي القود قتل المسلم الذي لا يتحقّق إلّا بصدق النسبة حينه، فإنّ المشتق حقيقة في المتلبّس بالمبدأ حال النسبة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ذلك هو المستفاد أيضاً من بقيّة الأخبار، ففي موثّق أبان بن عثمان، عن إسماعيل بن 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المسلم هل يقتل بأهل الذمّة وأهل الكتاب إذا قتلهم؟قال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يكون معتاداً لذلك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وعليه دية الذمّي،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الرواية على أنّ السؤال عمّن يكون مسلماً في زمان القتل لدلالة الشرط ممّا لا يحتاج إلى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صحيح ابن رئاب، عن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يقاد مسلم بذمّي في القتل ولا في الجراحات ولكن يؤخذ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1"/>
      </w:r>
      <w:r>
        <w:rPr>
          <w:rFonts w:ascii="Amiri" w:hAnsi="Amiri" w:eastAsia="Amiri" w:cs="Amiri"/>
          <w:color w:val="111111"/>
          <w:sz w:val="28"/>
          <w:sz w:val="28"/>
          <w:szCs w:val="28"/>
          <w:rtl w:val="true"/>
          <w:lang w:bidi="ar-SA"/>
        </w:rPr>
        <w:t>إلى آخره، ودلالة الجارّ المتعلّق بالقود على المقصود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ما عن أبان بن إسماعيل بن الفضل،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المسلم هل يقتل بأهل الذمّة؟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لمكان الجارّ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استدلّ لعدم القود من عدم قتل المسلم بالكافر، وأمّا حديث الجبّ فيرتبط بحقّ الله لاحقّ الناس</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w:t>
      </w:r>
      <w:r>
        <w:rPr>
          <w:rStyle w:val="FootnoteAnchor"/>
          <w:rtl w:val="true"/>
        </w:rPr>
        <w:footnoteReference w:id="713"/>
      </w:r>
      <w:r>
        <w:rPr>
          <w:rFonts w:ascii="IRNazanin" w:hAnsi="IRNazanin" w:eastAsia="IRNazanin"/>
          <w:color w:val="111111"/>
          <w:sz w:val="28"/>
          <w:sz w:val="28"/>
          <w:szCs w:val="28"/>
          <w:rtl w:val="true"/>
          <w:lang w:bidi="fa-IR"/>
        </w:rPr>
        <w:t>والقواعد</w:t>
      </w:r>
      <w:r>
        <w:rPr>
          <w:rStyle w:val="FootnoteAnchor"/>
          <w:rtl w:val="true"/>
        </w:rPr>
        <w:footnoteReference w:id="714"/>
      </w:r>
      <w:r>
        <w:rPr>
          <w:rFonts w:ascii="Amiri" w:hAnsi="Amiri" w:eastAsia="Amiri" w:cs="Amiri"/>
          <w:color w:val="111111"/>
          <w:sz w:val="28"/>
          <w:sz w:val="28"/>
          <w:szCs w:val="28"/>
          <w:rtl w:val="true"/>
          <w:lang w:bidi="ar-SA"/>
        </w:rPr>
        <w:t xml:space="preserve">وغيرهما، مع إمكان القول بعدمها أيضاً إن </w:t>
      </w:r>
    </w:p>
    <w:p>
      <w:pPr>
        <w:pStyle w:val="BookText"/>
        <w:rPr/>
      </w:pPr>
      <w:r>
        <w:rPr>
          <w:rFonts w:ascii="Amiri" w:hAnsi="Amiri" w:eastAsia="Amiri" w:cs="Amiri"/>
          <w:color w:val="111111"/>
          <w:sz w:val="28"/>
          <w:sz w:val="28"/>
          <w:szCs w:val="28"/>
          <w:rtl w:val="true"/>
          <w:lang w:bidi="ar-SA"/>
        </w:rPr>
        <w:t xml:space="preserve">ولو قتل ذمّي مرتدّاً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عن 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إجماع على الثبوت؛ باعتبار كون الواجب عليه القصاص، والفرض سقوطه عنه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من الأدلّة قيامها مقامه في كلّ مقام تعذّر الاستيفاء على وجه يشمل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لعمومات أدلّة القصاص وإطلاقها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والقواعد الاستدلال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محقون الدم بالنسبة إلى الذمّي</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وفي اللثام تفسيره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يستحقّ قتله إلّا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فيندرج في عموم أدلّة القصاص بالحقن، فأدلّة القصاص هي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الشافعيّة</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بالمنع؛ لأنّه مباح الدم، فلا يجب القصاص بقتله كالحربي، وكما لو قتله مسلم، وتحريم قتله بغيره مع كونه مباح الدم لكفره لا يوجب إقادة القاتل به، كما لو قتل الزاني المحصن غير الإمام، وبهذا فارق من عليه القصاص إذا قتله غير المستحقّ؛ لأنّه معصوم الدم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ضرورة عدم كونه مباح الدم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بناء هذين الوجهين على ما تقدّم في السابقة من أنّ المرتدّأسوأ حالاً من الذمّي أم بالعكس</w:t>
      </w:r>
      <w:r>
        <w:rPr>
          <w:rFonts w:eastAsia="Amiri" w:cs="Amiri" w:ascii="Amiri" w:hAnsi="Amiri"/>
          <w:color w:val="111111"/>
          <w:sz w:val="28"/>
          <w:szCs w:val="28"/>
          <w:rtl w:val="true"/>
          <w:lang w:bidi="ar-SA"/>
        </w:rPr>
        <w:t>.</w:t>
      </w:r>
      <w:r>
        <w:rPr>
          <w:rStyle w:val="FootnoteAnchor"/>
          <w:rtl w:val="true"/>
        </w:rPr>
        <w:footnoteReference w:id="718"/>
      </w:r>
      <w:bookmarkStart w:id="176" w:name="pg9428_72478"/>
    </w:p>
    <w:p>
      <w:pPr>
        <w:pStyle w:val="BookText"/>
        <w:rPr/>
      </w:pPr>
      <w:bookmarkEnd w:id="176"/>
      <w:r>
        <w:rPr>
          <w:rFonts w:ascii="IRNazanin" w:hAnsi="IRNazanin" w:eastAsia="IRNazanin"/>
          <w:color w:val="111111"/>
          <w:sz w:val="28"/>
          <w:sz w:val="28"/>
          <w:szCs w:val="28"/>
          <w:rtl w:val="true"/>
          <w:lang w:bidi="fa-IR"/>
        </w:rPr>
        <w:t>ولو قتله مسلم فلا 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الدية عليه، وللإمام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سابقاً من عدم اعتبار ذلك، إذ لا دليل على اعتبار المساواة في القصاص بالنسبة إلى ذلك، وإنّما بناء المسألة على كونه مهدور الدم في نفسه، وإن أثم غير الإمام بقتله، فلا قصاص على قاتله بل ولا دية، لعدم احترام نفسه أو أنّه كذلك بالنسبة إلى الإمام دون غيره، أو أنّه بالنسبة إلى المسلمين غير محترم وإن أثموا أيضاً بقتله من دون إذن الإمام بخلاف غيرهم، فإنّ الاحترام الموجب للضمان باقٍ، وستسمع بعض الكلام في ذلك</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5797517_2870459653"/>
      <w:bookmarkStart w:id="178" w:name="_Toc59"/>
      <w:bookmarkEnd w:id="177"/>
      <w:r>
        <w:rPr>
          <w:rtl w:val="true"/>
        </w:rPr>
        <w:t>حكم قتل المسلم مرتدّاً</w:t>
      </w:r>
      <w:bookmarkEnd w:id="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لاشتراطهم 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الدية تردّد، والأقرب أنّه لا 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مع نفيه القود على القطع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قود قطعاً</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ومنشأ التردّد التردّد في احترامه الموجب للدية والضمان، ولا يخفى عليك أنّ ما هو الحقّ في الدية من الاحترام هو الحقّ عندنا أيضاً في القصاص؛ لعدم اعتبار شرطيّة التساوي على المختار كما مرّ، فلا فرق بين القود والدية في المسألة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ولننقل ما في الجواهر في الدية؛ ليظهر وجهها ووجه تردّد المتن في قوله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والأقرب عند المصنّف والفاضل وغيرهما أنّه لا دية؛ للأصل وعدم احترام نفسه وإن أثم غير الإمام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يناقش بأنّ ذلك يقتضي عدم القود في الأوّل، فإنّ دعوى اختصاص عدم الاحترام بالنسبة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للمسلمين خاصّة لا دليل عليها، ومن هنا احتمل وجوب الدية؛ لأنّه محقون الدم بالنسبة إلى غير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بل غاية ما يجب بقتله بدون إذنه الإثم، كغيره ممّن يتوقّف قتله على إذنه من الزاني واللائط وغيرهما</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اقتضاء ذلك عدم القود على الذمّي كما سمعت، بل ينبغي عدم القود أيضاً بقتل المرتدّ مرتدّاً، مع أنّه جزم به الفاضل في القواعد</w:t>
      </w:r>
      <w:r>
        <w:rPr>
          <w:rStyle w:val="FootnoteAnchor"/>
          <w:rtl w:val="true"/>
        </w:rPr>
        <w:footnoteReference w:id="722"/>
      </w:r>
      <w:r>
        <w:rPr>
          <w:rFonts w:ascii="Amiri" w:hAnsi="Amiri" w:eastAsia="Amiri" w:cs="Amiri"/>
          <w:color w:val="111111"/>
          <w:sz w:val="28"/>
          <w:sz w:val="28"/>
          <w:szCs w:val="28"/>
          <w:rtl w:val="true"/>
          <w:lang w:bidi="ar-SA"/>
        </w:rPr>
        <w:t>وشارحه الأصبهاني في كشفه؛ معلّلاً في الأخير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التكافؤ مع تحرّمهما بالإسلام الموجب لعصمة الدم</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نعم، جزما فيهما بعدم قتل الحربي بالحربي؛ لأنّ المقتول غير معصوم الدم، وقد عرفت الإشكال فيه سابقاً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فالمدار على احترام النفس على وجه يجب على المكلّف حفظها، ومرجع ذلك إلى الاستظهار من الأدلّة، وإلّا فمجرّد وجوب القتل حدّاً لا يقتضي ذلك، خصوصاً مع توبة المحدود وندمه وأسفه إذا كان بحيث لا يسقط عنه الحدّ، كما لو فرض توبته بعد إقامة البيّنة عليه وحكم الحاكم عليه، فإنّ دعوىعدم احترام نفسه مع هذا الحال بحيث يكون كبعض الحيوانات التي هي غير محترمة من جهة وجوب القتل عليه حدّاً لا يخفى عليك ما فيها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قد يستظهر من بعض الأدلّة في بعض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في بعض أفراد الارتداد ونحوه ممّا يوجب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وإن لم يجز تولّي قتلهم أيضاً إلّا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كون إقامة الحدّ له لا لاحترامهم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وإن اقتضى سقوط الدية في المسلم أيضاً، لكنّه يقتضي سقوطها والقود أيضاً في غيره</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ولا يخفى أنّه ما لم يقم الدليل على عدم الاحترام، عموم أدلّة القصاص محكّم، كما كان محكّماً في قتل الذمّي المرتدّ، وكيف لا يكون محكّماً مع أنّ المقتول مظلوم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فالولاية مجعولة لوليّه وصدق القتل عدواناً وكون المقتول مظلوماً ليس بدائر مدار الدين والمذهب، بل دائر مدار عدم ظلم المقتول وعدم تهجّمه على الغير، وإلّا فإنّه مقتول معه ظلماً لا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كفاية محض احتمال عدم الاحترام للمسلم في التخصيص واضح، فلا يرفع اليد عن الحجّة بغير الحجّة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كلّه، يظهر عدم تماميّة ما في الشرائع</w:t>
      </w:r>
      <w:r>
        <w:rPr>
          <w:rStyle w:val="FootnoteAnchor"/>
          <w:rtl w:val="true"/>
        </w:rPr>
        <w:footnoteReference w:id="725"/>
      </w:r>
      <w:r>
        <w:rPr>
          <w:rFonts w:ascii="IRNazanin" w:hAnsi="IRNazanin" w:eastAsia="IRNazanin"/>
          <w:color w:val="111111"/>
          <w:sz w:val="28"/>
          <w:sz w:val="28"/>
          <w:szCs w:val="28"/>
          <w:rtl w:val="true"/>
          <w:lang w:bidi="fa-IR"/>
        </w:rPr>
        <w:t xml:space="preserve">وغيره من عدم القود والدية في قتل مَن وجب قتله بالحدّ، كالزنا واللواط وغيرهما من غير من له إجراء الحدّ كالإمام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دمهما محترم وإن وجب قتلهما حدّاً بيد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دلالة للحدّ ووجوب قتلهما بيد الإمام على هدر دمهما في غير الحدّ، بل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قد جعللكلّ شيء حدّاً وجعل لمن تعدّى ذلك الحدّ حدّاً</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 xml:space="preserve">المنع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القتل بغير الحدّ الذي هو القتل بيد الإمام، ومقتضى المنع والحدّ احترام الدم وعدم الهدر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على ذلك ما في خبر عمرو بن قيس،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لكلّ شيء حدّاً ولمن جاوز الحدّ حدّاً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جعل لمن جاوز الحدّ حدّاً؟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حدّ في الأموال أن لا تؤخذ إلّا من حلّها، فمن أخذها من غير حلّها قطعت يده حدّاً لمجاوزة الحدّ، وإنّ الله عزّوجلّ حدّ أن لا ينكح النكاح إلّا من حلّه ومن فعل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عزباً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وإن كان محصناً رجم لمجاوزته الحدّ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حيث إنّه جعل الشرع والقانون حدّاً من الله، وجعل التعدّي عنه محرّماً موجباً لقطع اليد، وحدّ الزنا بالجَلد أو الرجم على اختلاف الموارد، واللازم القصاص في قتل اللائط بغير يد الإمام؛ لأنّه تعدٍّ عن الحدّ المقرّر، والتعدّي بالقتل موجب للقصاص والقود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ولا تغفل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والاستدلال على عدم القصاص بما عن سعيد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كتب إلى أبي موسى الأشعري أنّ ابن أبي الجسرين وجد رجلاً مع امرأته فقتله، وقد أشكل عليّ القضاء فسل لي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الأمر، قال أبو‌موسى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هذا في هذه البلاد يعني الكوفة، ولا هذا بحضرتي، فمن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جاءك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أبي الجسرين وجد مع امرأته رجلاً فقتله وقد أشكل عليه القضاء فيه، فرأيك في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أبو‌الحسن، إن جاء بأربعة يشهدون على ما شهد، وإلّا دفع برمّته</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فيه نظرٌ؛ لاختصاصه بمن يقتله الزوج لكونه زنا بزوجته، ولا وجه للتعدّي إلى غيره لا سيّما الأجانب حتّى في الزنا، فضلاً عن اللواط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حكم ينسحب على كلّ قريب للرجل أو ولد أو مملوك، وهل ينسحب على الأجانب؟ إشكالٌ</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من عموم </w:t>
      </w:r>
      <w:r>
        <w:rPr>
          <w:rFonts w:ascii="Amiri" w:hAnsi="Amiri" w:eastAsia="Amiri" w:cs="Amiri"/>
          <w:color w:val="111111"/>
          <w:sz w:val="28"/>
          <w:sz w:val="28"/>
          <w:szCs w:val="28"/>
          <w:rtl w:val="true"/>
          <w:lang w:bidi="ar-SA"/>
        </w:rPr>
        <w:t>النَّفْسَ بِالنَّفْسِ</w:t>
      </w:r>
      <w:r>
        <w:rPr>
          <w:rFonts w:ascii="IRNazanin" w:hAnsi="IRNazanin" w:eastAsia="IRNazanin"/>
          <w:color w:val="111111"/>
          <w:sz w:val="28"/>
          <w:sz w:val="28"/>
          <w:szCs w:val="28"/>
          <w:rtl w:val="true"/>
          <w:lang w:bidi="fa-IR"/>
        </w:rPr>
        <w:t>،</w:t>
      </w:r>
      <w:r>
        <w:rPr>
          <w:rStyle w:val="FootnoteAnchor"/>
          <w:rtl w:val="true"/>
        </w:rPr>
        <w:footnoteReference w:id="730"/>
      </w:r>
      <w:r>
        <w:rPr>
          <w:rFonts w:ascii="Amiri" w:hAnsi="Amiri" w:eastAsia="Amiri" w:cs="Amiri"/>
          <w:color w:val="111111"/>
          <w:sz w:val="28"/>
          <w:sz w:val="28"/>
          <w:szCs w:val="28"/>
          <w:rtl w:val="true"/>
          <w:lang w:bidi="ar-SA"/>
        </w:rPr>
        <w:t>واختصاص إقامة الحدود بالإمام ونوّابه، ومن أنّه إنّما مباح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الانسحاب إلى الطوائف لابدّ وأن يكون من جهة الدفاع عن الحريم والناموس، ولذلك يفترق مع الأجانب، وجواز القتل من جهته غير مرتبط بالحديث، فإنّه حكم خاصٌّ من جهة الزنا بزوجته لا من جهة الدفاع كما لا يخفى، والدفاع جائز لكلّ أحد، ودم المدفوع هدر نصّاً وعقلاً وإجماعاً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ثبوت الحدّ غير ثبوت الهدر، ولا ملازمة بينهما من رأس، والمفيد لعدم القصاص الهدر لا الحدّ، فالأقوى في مثل الزنا أو اللواط الموجب لحدّ القتل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على مسلم قصاص فقتله غير الوليّ كان عليه القود،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وجب قتله بالزنا أو اللواط فقتله غير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قود عليه ولا دية، وفيه تردّد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قصاص القاتل إذا كان غير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ضعف ما في المسالك من الاستدلال على عدم القصاص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دمهما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الزاني واللائط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مطلقاً، غايته أن تولّي قتله متوقّف على أمر الحاكم، فإذا فعله غيره أثم ووقع موقعه</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ووجه الضعف أنّ الهدر كذلك أوّل الكلام، بل الاستدلال كذلك مصادرة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جعله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الاستظهار من الأدلّة على عدم حرمة النفس مطلقاً، أو في بعض الأحوال لمطلق الناس أو لخصوص المسلمين، 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يحضرني الآن من النصوص ما يشخّص ذلك بجميع أفراده</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ولقد أجاد 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ونوّر مضجعه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فيه؛ لعموم أدلّة القصاص التي لا ينافيها استحقاق القصاص عليه لآخر، فإنّ ذلك غير مقتض لسقوط احترام نفسه مطلقاً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في هذا الفرع والمختار فيه مرّ في الفرع السابق فلا نعيده، ولقد أجاد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تردّده في المسألة، فإنّه سبب للجرأة لمثلنا البحث عنها والقول بالقود والدية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الأُبّوة، فلا يقتل أب بقتل ابنه</w:t>
      </w:r>
      <w:r>
        <w:rPr>
          <w:rStyle w:val="FootnoteAnchor"/>
          <w:rtl w:val="true"/>
        </w:rPr>
        <w:footnoteReference w:id="73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بل عليه إجماع علماء الإسلام في بعض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يقتل الوالد بولده؛ سواء قتله بالسيف حذفاً أو ذبحاً وعلی أيّ وجه كان، وبه قال في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وفي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ربيعة والأوزاعي والثوري وأبوحنيفة وأصحابه والشافعي وأحمد وإسحاق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قتله حذفاً بالسيف فلا قود، وإن قتله ذبحاً أو شقّ بطنه فعليه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عثمان البتّي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وأخبارهم</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قصاص على الوالد بقتل الولد؛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أُنثى؛ إجماعاً منّا ومن أكثر العامّة</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وذلك مضافاً إلى إجماع النصوص من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يقتل والد بولده</w:t>
      </w:r>
      <w:r>
        <w:rPr>
          <w:rFonts w:eastAsia="IRNazanin" w:cs="IRNazanin"/>
          <w:color w:val="111111"/>
          <w:sz w:val="28"/>
          <w:szCs w:val="28"/>
          <w:rtl w:val="true"/>
          <w:lang w:bidi="fa-IR"/>
        </w:rPr>
        <w:t>».</w:t>
      </w:r>
      <w:r>
        <w:rPr>
          <w:rStyle w:val="FootnoteAnchor"/>
          <w:rtl w:val="true"/>
        </w:rPr>
        <w:footnoteReference w:id="73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يقاد والد بولده، ويقتلالولد إذا قتل والده عمداً</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الفضيل بن يسار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يقتل الرجل بولده إذا قتله، ويقتل الولد بوالده إذا قتل والده</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خبره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يقتل الوالد بولده، ويقتل الولد بوالده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كتاب ظريف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قود لرجل أصابه والده في أمر يعيب عليه فيه فأصابه عيب من قطع وغيره، وتكون له الدية ولا يقاد</w:t>
      </w:r>
      <w:r>
        <w:rPr>
          <w:rFonts w:eastAsia="IRNazanin" w:cs="IRNazanin"/>
          <w:color w:val="111111"/>
          <w:sz w:val="28"/>
          <w:szCs w:val="28"/>
          <w:rtl w:val="true"/>
          <w:lang w:bidi="fa-IR"/>
        </w:rPr>
        <w:t>».</w:t>
      </w:r>
      <w:r>
        <w:rPr>
          <w:rStyle w:val="FootnoteAnchor"/>
          <w:rtl w:val="true"/>
        </w:rPr>
        <w:footnoteReference w:id="740"/>
      </w:r>
      <w:r>
        <w:rPr>
          <w:rFonts w:ascii="Amiri" w:hAnsi="Amiri" w:eastAsia="Amiri" w:cs="Amiri"/>
          <w:color w:val="111111"/>
          <w:sz w:val="28"/>
          <w:sz w:val="28"/>
          <w:szCs w:val="28"/>
          <w:rtl w:val="true"/>
          <w:lang w:bidi="ar-SA"/>
        </w:rPr>
        <w:t>ومنه يعلم عدم الفرق بين النفس والطرف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Style w:val="FootnoteAnchor"/>
          <w:rtl w:val="true"/>
        </w:rPr>
        <w:footnoteReference w:id="741"/>
      </w:r>
      <w:r>
        <w:rPr>
          <w:rFonts w:ascii="Amiri" w:hAnsi="Amiri" w:eastAsia="Amiri" w:cs="Amiri"/>
          <w:color w:val="111111"/>
          <w:sz w:val="28"/>
          <w:sz w:val="28"/>
          <w:szCs w:val="28"/>
          <w:rtl w:val="true"/>
          <w:lang w:bidi="ar-SA"/>
        </w:rPr>
        <w:t>التي يمكن دعوى القطع بذلك منها إن لم تكن متواترة اصطلاحاً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والولد أعمّ لغةً وعرفاً من الابن والبنت، فما فيه الولد من الفتاوى والنصوص شامل لهما، بل في المسالك التصريح بالعموميّة، بل وبكونهإجماعيّاً، 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قصاص على الوالد بقتل الولد؛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أُنثى؛ إجماعاً منّا</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والظاهر أن لا يقتل أب الأب، وهكذا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في صحيحي الحلبي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يقتل ابنه، أيقتل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ومن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يقتل ابنه، أيقتل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يرث أحدهما الآخر إذا قتله</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وخبر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يقتل الأب بابنه إذا قتله، ويقتل الابن بأبيه إذا قتل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 xml:space="preserve">من تخصيص الابن بالذكر فغير مخصّص؛ لكون التخصيص في الصحيحين في كلام السائل، وأمّا خبر أبي بصير، فإنّه وإن كان في كلام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لا مفهوم للقب، والحكم على الشيء غير نافٍ لما عداه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w:t>
      </w:r>
      <w:r>
        <w:rPr>
          <w:rStyle w:val="FootnoteAnchor"/>
          <w:rtl w:val="true"/>
        </w:rPr>
        <w:footnoteReference w:id="746"/>
      </w:r>
      <w:r>
        <w:rPr>
          <w:rFonts w:ascii="IRNazanin" w:hAnsi="IRNazanin" w:eastAsia="IRNazanin"/>
          <w:color w:val="111111"/>
          <w:sz w:val="28"/>
          <w:sz w:val="28"/>
          <w:szCs w:val="28"/>
          <w:rtl w:val="true"/>
          <w:lang w:bidi="fa-IR"/>
        </w:rPr>
        <w:t>والمبسوط</w:t>
      </w:r>
      <w:r>
        <w:rPr>
          <w:rStyle w:val="FootnoteAnchor"/>
          <w:rtl w:val="true"/>
        </w:rPr>
        <w:footnoteReference w:id="747"/>
      </w:r>
      <w:r>
        <w:rPr>
          <w:rFonts w:ascii="Amiri" w:hAnsi="Amiri" w:eastAsia="Amiri" w:cs="Amiri"/>
          <w:color w:val="111111"/>
          <w:sz w:val="28"/>
          <w:sz w:val="28"/>
          <w:szCs w:val="28"/>
          <w:rtl w:val="true"/>
          <w:lang w:bidi="ar-SA"/>
        </w:rPr>
        <w:t>والوسيلة،</w:t>
      </w:r>
      <w:r>
        <w:rPr>
          <w:rStyle w:val="FootnoteAnchor"/>
          <w:rtl w:val="true"/>
        </w:rPr>
        <w:footnoteReference w:id="748"/>
      </w:r>
      <w:r>
        <w:rPr>
          <w:rFonts w:ascii="IRNazanin" w:hAnsi="IRNazanin" w:eastAsia="IRNazanin"/>
          <w:color w:val="111111"/>
          <w:sz w:val="28"/>
          <w:sz w:val="28"/>
          <w:szCs w:val="28"/>
          <w:rtl w:val="true"/>
          <w:lang w:bidi="fa-IR"/>
        </w:rPr>
        <w:t>بل عن ظاهر الخلاف</w:t>
      </w:r>
      <w:r>
        <w:rPr>
          <w:rStyle w:val="FootnoteAnchor"/>
          <w:rtl w:val="true"/>
        </w:rPr>
        <w:footnoteReference w:id="749"/>
      </w:r>
      <w:r>
        <w:rPr>
          <w:rFonts w:ascii="Amiri" w:hAnsi="Amiri" w:eastAsia="Amiri" w:cs="Amiri"/>
          <w:color w:val="111111"/>
          <w:sz w:val="28"/>
          <w:sz w:val="28"/>
          <w:szCs w:val="28"/>
          <w:rtl w:val="true"/>
          <w:lang w:bidi="ar-SA"/>
        </w:rPr>
        <w:t>أو صريحه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لم أجد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تردّد فيه المصنّف في النافع</w:t>
      </w:r>
      <w:r>
        <w:rPr>
          <w:rStyle w:val="FootnoteAnchor"/>
          <w:rtl w:val="true"/>
        </w:rPr>
        <w:footnoteReference w:id="750"/>
      </w:r>
      <w:r>
        <w:rPr>
          <w:rFonts w:ascii="IRNazanin" w:hAnsi="IRNazanin" w:eastAsia="IRNazanin"/>
          <w:color w:val="111111"/>
          <w:sz w:val="28"/>
          <w:sz w:val="28"/>
          <w:szCs w:val="28"/>
          <w:rtl w:val="true"/>
          <w:lang w:bidi="fa-IR"/>
        </w:rPr>
        <w:t xml:space="preserve">وبعض الناس،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الكفّارة عن الأب بقتل ابنه ولا الدية، فيؤدّي الدية إلى غيره من الورّاث، ولا يرث هو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لكنّه في غير محلّه؛ بناءً على تناول الإطلاق له لغة وعرفاً، بل وإن لم يكن كذلك، ولكن في المقام يمكن إرادته من نحو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يقتل الأب بابنه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1"/>
      </w:r>
      <w:r>
        <w:rPr>
          <w:rFonts w:ascii="Amiri" w:hAnsi="Amiri" w:eastAsia="Amiri" w:cs="Amiri"/>
          <w:color w:val="111111"/>
          <w:sz w:val="28"/>
          <w:sz w:val="28"/>
          <w:szCs w:val="28"/>
          <w:rtl w:val="true"/>
          <w:lang w:bidi="ar-SA"/>
        </w:rPr>
        <w:t>بمعونة كلام الأصحاب وبأولويّة الجدّ أو مساواته للأب في ذلك</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الأصحاب لعلّه مستند إلى مثل ما ذكره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الأولويّة لا إلى الرواية، مع أنّ فهمهم غير حجّة لنا؛ قضاءً للأصل وللحجّة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الأولويّة والمساواة فمع عدم التماميّة في حدّ نفسها ليس بأزيد من القياس والاستحسان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بما أنّ الحكم على خلاف العمومات والإطلاقات، فلابدّ من الاقتصار على مورد النصّ وعلى القدر المتيقّن منه، بل الظاهر اختصاص الحكم بالأب فقط دون غيره من أب الأب، فضلاً عمّا فوقه وفضلاً عن الأجداد من طرف الأُمّ؛ وذلك لكون الأب والوالد الوارد في النصّ والفتوى حقيقة في الأب ومجاز في أب الأب، وصحّة سلب الأب والوالد عن الجدّ، ولزوم التقييد والقرينة فيما أُريد منهما الجدّ حجّة على المجازيّة وعلى ظهورهما في الأب دون أب الأب فضلاً عن أب الأُمّ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عن الأب أو عنه وعن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بإلحاقها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القصاص فقط، وإلّا فعليه الكفّارة؛ لعموم الأدلّة، بل وكفّارة الجمع والدية والتعزير بما يراه </w:t>
      </w:r>
      <w:bookmarkStart w:id="179" w:name="pg9428_72498"/>
    </w:p>
    <w:p>
      <w:pPr>
        <w:pStyle w:val="BookText"/>
        <w:rPr/>
      </w:pPr>
      <w:bookmarkEnd w:id="1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الأب بقتل ابنه ولو لم يكن مكافئاً له، فلا يقتل الأب الكافر بقتل ابنه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الولد بقتل أبيه، وكذا الأُمّ وإن علت بقتل ولدها، والولد بقتل أُمّه، وكذا الأقارب كالأجداد والجدّات من قبل الأُمّ، والإخوة من الطرفين، والأعمام والعمّات والأخوال والخالات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الحاكم، لما هو المعروف من التعزير بارتكاب الحرام بما يراه الحاكم وعدم اختصاصه بالموارد المنصوصة، ولخبر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يقتل ابنه أو عبده،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يقتل به، ولكن يضرب ضرباً شديداً ويُنفى عن مسقط رأسه</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وما فيه من التعيين محمول على أنّ ذلك بعض أفراد ما يراه الحاكم، لا أنّه المتعيّن كما لا يخفى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إطلاق النصّ والفتوى عدم الفرق بين المتكافئين في الإسلام والحريّة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للجلّاد والغازي أن يقتلا أباهما مع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للعمومات وعصمة الإمام عندنا، بل عن التحرير</w:t>
      </w:r>
      <w:r>
        <w:rPr>
          <w:rStyle w:val="FootnoteAnchor"/>
          <w:rtl w:val="true"/>
        </w:rPr>
        <w:footnoteReference w:id="754"/>
      </w:r>
      <w:r>
        <w:rPr>
          <w:rFonts w:ascii="IRNazanin" w:hAnsi="IRNazanin" w:eastAsia="IRNazanin"/>
          <w:color w:val="111111"/>
          <w:sz w:val="28"/>
          <w:sz w:val="28"/>
          <w:szCs w:val="28"/>
          <w:rtl w:val="true"/>
          <w:lang w:bidi="fa-IR"/>
        </w:rPr>
        <w:t xml:space="preserve">أنّهما لا يمنعان مع ذلك من الميراث؛ لأنّه قتل سائغ، بل قد يقال بالجواز في الغازي بدون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وتمام الكلام فيه في كتاب الجهاد</w:t>
      </w:r>
      <w:r>
        <w:rPr>
          <w:rFonts w:eastAsia="IRNazanin" w:cs="IRNazanin"/>
          <w:color w:val="111111"/>
          <w:sz w:val="28"/>
          <w:szCs w:val="28"/>
          <w:rtl w:val="true"/>
          <w:lang w:bidi="fa-IR"/>
        </w:rPr>
        <w:t>.</w:t>
      </w:r>
    </w:p>
    <w:p>
      <w:pPr>
        <w:pStyle w:val="Heading3"/>
        <w:numPr>
          <w:ilvl w:val="2"/>
          <w:numId w:val="1"/>
        </w:numPr>
        <w:rPr/>
      </w:pPr>
      <w:bookmarkStart w:id="180" w:name="__RefHeading___Toc5797519_2870459653"/>
      <w:bookmarkStart w:id="181" w:name="_Toc60"/>
      <w:bookmarkEnd w:id="180"/>
      <w:r>
        <w:rPr>
          <w:rtl w:val="true"/>
        </w:rPr>
        <w:t>قصاص الولد بقتل أبيه</w:t>
      </w:r>
      <w:bookmarkEnd w:id="18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مسائل</w:t>
      </w:r>
      <w:r>
        <w:rPr>
          <w:rFonts w:eastAsia="Amiri" w:cs="Amiri" w:ascii="Amiri" w:hAnsi="Amiri"/>
          <w:color w:val="111111"/>
          <w:sz w:val="28"/>
          <w:szCs w:val="28"/>
          <w:rtl w:val="true"/>
          <w:lang w:bidi="ar-SA"/>
        </w:rPr>
        <w:t xml:space="preserve">: </w:t>
      </w:r>
      <w:bookmarkStart w:id="182" w:name="pg9428_72500"/>
    </w:p>
    <w:p>
      <w:pPr>
        <w:pStyle w:val="BookText"/>
        <w:rPr/>
      </w:pPr>
      <w:bookmarkEnd w:id="18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الولد بأبيه إجماعاً بقسميه، ونصوصاً عموماً وخصوصاً،</w:t>
      </w:r>
      <w:r>
        <w:rPr>
          <w:rStyle w:val="FootnoteAnchor"/>
          <w:rtl w:val="true"/>
        </w:rPr>
        <w:footnoteReference w:id="755"/>
      </w:r>
      <w:r>
        <w:rPr>
          <w:rFonts w:ascii="Amiri" w:hAnsi="Amiri" w:eastAsia="Amiri" w:cs="Amiri"/>
          <w:color w:val="111111"/>
          <w:sz w:val="28"/>
          <w:sz w:val="28"/>
          <w:szCs w:val="28"/>
          <w:rtl w:val="true"/>
          <w:lang w:bidi="ar-SA"/>
        </w:rPr>
        <w:t>مضافاً إلى الكتاب</w:t>
      </w:r>
      <w:r>
        <w:rPr>
          <w:rFonts w:eastAsia="Amiri" w:cs="Amiri" w:ascii="Amiri" w:hAnsi="Amiri"/>
          <w:color w:val="111111"/>
          <w:sz w:val="28"/>
          <w:szCs w:val="28"/>
          <w:rtl w:val="true"/>
          <w:lang w:bidi="ar-SA"/>
        </w:rPr>
        <w:t>.</w:t>
      </w:r>
      <w:r>
        <w:rPr>
          <w:rStyle w:val="FootnoteAnchor"/>
          <w:rtl w:val="true"/>
        </w:rPr>
        <w:footnoteReference w:id="756"/>
      </w:r>
      <w:r>
        <w:rPr>
          <w:rFonts w:ascii="IRNazanin" w:hAnsi="IRNazanin" w:eastAsia="IRNazanin"/>
          <w:color w:val="111111"/>
          <w:sz w:val="28"/>
          <w:sz w:val="28"/>
          <w:szCs w:val="28"/>
          <w:rtl w:val="true"/>
          <w:lang w:bidi="fa-IR"/>
        </w:rPr>
        <w:t>وكذلك يقتل بأُمّه إجماعاً؛ للعموم، ولخصوص صحيح أبي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أُمّه؟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بها صاغراً، ولا أظنّ قتله كفّارة له، ولا يرثها</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وظاهره كون القتل كفّارة في غير الأُمّ دونها، كما أنّ ظاهر النصّ والفتوى عدم ردّه فاضل ديته عليه وإن لم أجد مصرّحاً به</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5797521_2870459653"/>
      <w:bookmarkStart w:id="184" w:name="_Toc61"/>
      <w:bookmarkEnd w:id="183"/>
      <w:r>
        <w:rPr>
          <w:rtl w:val="true"/>
        </w:rPr>
        <w:t>عدم قصاص الأُمّ بقتل الولد</w:t>
      </w:r>
      <w:bookmarkEnd w:id="184"/>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الأُمّ بقتل ولدها على المشهور؛ للعمومات، من غير معارض، خلافاً لأبي عليّ</w:t>
      </w:r>
      <w:r>
        <w:rPr>
          <w:rStyle w:val="FootnoteAnchor"/>
          <w:rtl w:val="true"/>
        </w:rPr>
        <w:footnoteReference w:id="758"/>
      </w:r>
      <w:r>
        <w:rPr>
          <w:rFonts w:ascii="Amiri" w:hAnsi="Amiri" w:eastAsia="Amiri" w:cs="Amiri"/>
          <w:color w:val="111111"/>
          <w:sz w:val="28"/>
          <w:sz w:val="28"/>
          <w:szCs w:val="28"/>
          <w:rtl w:val="true"/>
          <w:lang w:bidi="ar-SA"/>
        </w:rPr>
        <w:t>منّا، وللعامّة؛ قياساً على الأب واستحساناً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عدم القصاص فيها وجيه قويّ؛ قضاءً لإلغاء الخصوصيّة وتنقيح المناط عرفاً، فإنّ المناط عندهم الولادة، فلا خصوصيّة للأب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عدم ذكر الأُمّ أنّه لعدم الابتلاء، بل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عدم ذكرها في الأخبار سؤالاً ولا ابتداءً تأييداً وإمضاءً لما عند العامّة،وإلّا فمع اتّفاق القائلين بعدم القود منهم بعدمه في الأُمّ أيضاً، كان على المعصوم مع فرض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قبوله الردع؛ لئلّا يتوهّم أنّ نظر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القائلين من العامّة، فكما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لهم في الأب فكذلك في الأُمّ، وهذا التوهّم أمرٌ عادي، فعدم دفعه دليل وتقرير على الموافقة في الأُمّ أيضاً، وتخصيص الأب والوالد بالذكر لأكثريّة الابتلاء به، بل والابتلاء في طرف الأُمّ نادر جدّاً، ويكون كافياً في الحكم على الأُمّ أيضاً لما 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مع أنّ الأُمّ أولى برعاية الحقوق، بل حقوقها أكثر، فعدم القود فيها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وفي المستدرك عن العلّامة الكراجكي في كتاب التعريف بوجوب حقّ الوالدين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جعل الله تعالى حقّ الأُمّ مقدّماً؛ لأنّها الجناح الكبير والذراع القصير، أضعف الوالدين وأحوجهما في الحياة إلى معين، إذ كانت أكثر بالولد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شفقة وأعظم تعباً وعناءً، فروي أنّ رجلاً 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الوالدين أعظم؟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حملته بين الجنبين، وأرضعته بين الثديين، وحضنته على الفخذين، وفدته بالوالدين</w:t>
      </w:r>
      <w:r>
        <w:rPr>
          <w:rFonts w:eastAsia="IRNazanin" w:cs="IRNazanin"/>
          <w:color w:val="111111"/>
          <w:sz w:val="28"/>
          <w:szCs w:val="28"/>
          <w:rtl w:val="true"/>
          <w:lang w:bidi="fa-IR"/>
        </w:rPr>
        <w:t>».</w:t>
      </w:r>
      <w:r>
        <w:rPr>
          <w:rStyle w:val="FootnoteAnchor"/>
          <w:rtl w:val="true"/>
        </w:rPr>
        <w:footnoteReference w:id="75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أحقّ الناس بحسن صحابتي؟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جعل ثلاثاً للأُمّوالرابعة للأب</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اثنان ولداً مجهولاً، فإن قتله أحدهما قبل القرعة فلا قود، ولو قتلاه معاً فهل هو كذلك لبقاء الاحتمال بالنسبة إلى كلّ منهما، أو يرجع إلى القرعة؟ الأقوى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ادّعياه ثمّ رجع أحدهما وقتلاه، توجّه القصاص على الراجع بعد ردّ ما يفضل عن جنايته، وعلى الآخر نصف الدية بعد انتفاء القصاص عنه، ولو قتله الراجع خاصّة اختصّ بالقصاص، ولو قتله الآخر لا يقتصّ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رجعا معاً فللوارث أن يقتصّ منهما بعد ردّ دية نفس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رجعا أو رجع أحدهما بعد القتل، بل الظاهر أنّه لو رجع من أخرجته القرعة، كان الأمر كذلك؛ بقي الآخر على الدعوى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الأب من الجدّات والأقارب كالأجنبيّ؛ اقتصاراً في خلاف القاعدة على مورد النصّ، وأمّا الأُمّ فملحقة بالأب مناطاً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المجهول اثنان، فقتله أحدهما قبل القرعة وثبوت الأُبوّة لأحدهما فلا قود؛ لاحتمال الأُبوّة واشتراطه بانتفائها، وإشكال التهجّم على الدم مع الشبهة، وكذا لو قتلاه معاً قبلها، ولا يكفي هنا ولا فيما لو قتله أحدهما القرعة بعد القتل؛ لأنّ أيّ تعليق للقصاص عليها تهجّم على الدم من غير قاطع</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بينها حينئذٍ وبينها قبل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استلزامها التهجّم عليه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بما قبله الإلحاق ولزمه التهجّم اتّفاقاً، ويحتمل الاكتفاء بها قويّاً؛ لإطلاق النصّ والفتوى بالإلحاق بالقرعة مع ما في الإهدار من الإشكال، وعموم </w:t>
      </w:r>
      <w:bookmarkStart w:id="185" w:name="pg9428_72507"/>
    </w:p>
    <w:p>
      <w:pPr>
        <w:pStyle w:val="BookText"/>
        <w:rPr/>
      </w:pPr>
      <w:bookmarkEnd w:id="1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رجل زوجته يثبت القصاص عليه؛ لولدها منه،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أن يقتصّ من والده، وهو غير وجيهٍ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القصاص، واحتمال عدم كون الأُبوّة مانعة، بل أظهريّته مع الجهل بحصولها، بل رجحان العدم، وعموم القرعة لكلّ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قتله أحدهما بعد القرعة فالقصاص عليه إن لم تخرجه القرعة، وكذا لو قتلاه بعدها فالقصاص على مَن لم تخرجه منها، لثبوت الإلحاق بها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أنّهما مع الاشتراك في القتل إذا اقتصّ عن أحدهما ردّ الأرش عليه نصف الدية، ولو ادّعياه ثمّ رجع أحدهما وقتلاه بعد الرجوع أو قبله توجّه القصاص على الراجع بعد ما يفضل عن جنايته أخذاً بإقراره، وعلى الآخر الذي هو الأب شرعاً نصف الدية دون القصاص، ولو رجعا اقتصّ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أراده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دية نفس عليهما، وعلى كلٍّ منهما إذا اشتركا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القتل؛ لثبوتها في قتل الولد وغيره، ولو قتله الراجع خاصّة قتل به ولا ردّ، ولو قتله الآخر فعليه الدية دون القود، وعلى القاتل مع عدم القصاص التعزير وإن كان العدم للجهل بالشرطيّة، فضلاً عمّا لو ثبتت الشرطيّة والأُبوّة، فإنّ التعزير لارتكاب مطلق الحرام، إلّا أن يثبت معه الجزاء من القصاص أو الحدّ</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5797523_2870459653"/>
      <w:bookmarkStart w:id="187" w:name="_Toc62"/>
      <w:bookmarkEnd w:id="186"/>
      <w:r>
        <w:rPr>
          <w:rtl w:val="true"/>
        </w:rPr>
        <w:t>هل يثبت القصاص للولد بقتل زوج زوجته أم لا؟</w:t>
      </w:r>
      <w:bookmarkEnd w:id="18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الرجل زوجته هل يثبت القصاص عليه لولدها منه؛اقتصاراً في المنع على مورد النصّ، كما احتمله المحقّق في الشرائع،</w:t>
      </w:r>
      <w:r>
        <w:rPr>
          <w:rStyle w:val="FootnoteAnchor"/>
          <w:rtl w:val="true"/>
        </w:rPr>
        <w:footnoteReference w:id="761"/>
      </w:r>
      <w:r>
        <w:rPr>
          <w:rFonts w:ascii="Amiri" w:hAnsi="Amiri" w:eastAsia="Amiri" w:cs="Amiri"/>
          <w:color w:val="111111"/>
          <w:sz w:val="28"/>
          <w:sz w:val="28"/>
          <w:szCs w:val="28"/>
          <w:rtl w:val="true"/>
          <w:lang w:bidi="ar-SA"/>
        </w:rPr>
        <w:t xml:space="preserve">أم لا، كما هو المشهور؟ 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بذلك الشيخ في المبسوط،</w:t>
      </w:r>
      <w:r>
        <w:rPr>
          <w:rStyle w:val="FootnoteAnchor"/>
          <w:rtl w:val="true"/>
        </w:rPr>
        <w:footnoteReference w:id="762"/>
      </w:r>
      <w:r>
        <w:rPr>
          <w:rFonts w:ascii="Amiri" w:hAnsi="Amiri" w:eastAsia="Amiri" w:cs="Amiri"/>
          <w:color w:val="111111"/>
          <w:sz w:val="28"/>
          <w:sz w:val="28"/>
          <w:szCs w:val="28"/>
          <w:rtl w:val="true"/>
          <w:lang w:bidi="ar-SA"/>
        </w:rPr>
        <w:t>والعلّامة في كتبه؛</w:t>
      </w:r>
      <w:r>
        <w:rPr>
          <w:rStyle w:val="FootnoteAnchor"/>
          <w:rtl w:val="true"/>
        </w:rPr>
        <w:footnoteReference w:id="763"/>
      </w:r>
      <w:r>
        <w:rPr>
          <w:rFonts w:ascii="Amiri" w:hAnsi="Amiri" w:eastAsia="Amiri" w:cs="Amiri"/>
          <w:color w:val="111111"/>
          <w:sz w:val="28"/>
          <w:sz w:val="28"/>
          <w:szCs w:val="28"/>
          <w:rtl w:val="true"/>
          <w:lang w:bidi="ar-SA"/>
        </w:rPr>
        <w:t>لعموم أدلّة حقوق الأبوين، 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وَصَاحِبْهُمَا فِي الدُّنْيَا مَعْرُوفاً</w:t>
      </w:r>
      <w:r>
        <w:rPr>
          <w:rFonts w:ascii="IRNazanin" w:hAnsi="IRNazanin" w:eastAsia="IRNazanin"/>
          <w:color w:val="111111"/>
          <w:sz w:val="28"/>
          <w:sz w:val="28"/>
          <w:szCs w:val="28"/>
          <w:rtl w:val="true"/>
          <w:lang w:bidi="fa-IR"/>
        </w:rPr>
        <w:t>،</w:t>
      </w:r>
      <w:r>
        <w:rPr>
          <w:rStyle w:val="FootnoteAnchor"/>
          <w:rtl w:val="true"/>
        </w:rPr>
        <w:footnoteReference w:id="764"/>
      </w:r>
      <w:r>
        <w:rPr>
          <w:rFonts w:ascii="Amiri" w:hAnsi="Amiri" w:eastAsia="Amiri" w:cs="Amiri"/>
          <w:color w:val="111111"/>
          <w:sz w:val="28"/>
          <w:sz w:val="28"/>
          <w:szCs w:val="28"/>
          <w:rtl w:val="true"/>
          <w:lang w:bidi="ar-SA"/>
        </w:rPr>
        <w:t>وَاخْفِضْ لَهُمَا جَنَاحَ الذُّلِ مِنَ الرَّحْمَةِ</w:t>
      </w:r>
      <w:r>
        <w:rPr>
          <w:rFonts w:ascii="IRNazanin" w:hAnsi="IRNazanin" w:eastAsia="IRNazanin"/>
          <w:color w:val="111111"/>
          <w:sz w:val="28"/>
          <w:sz w:val="28"/>
          <w:szCs w:val="28"/>
          <w:rtl w:val="true"/>
          <w:lang w:bidi="fa-IR"/>
        </w:rPr>
        <w:t>،</w:t>
      </w:r>
      <w:r>
        <w:rPr>
          <w:rStyle w:val="FootnoteAnchor"/>
          <w:rtl w:val="true"/>
        </w:rPr>
        <w:footnoteReference w:id="765"/>
      </w:r>
      <w:r>
        <w:rPr>
          <w:rFonts w:ascii="Amiri" w:hAnsi="Amiri" w:eastAsia="Amiri" w:cs="Amiri"/>
          <w:color w:val="111111"/>
          <w:sz w:val="28"/>
          <w:sz w:val="28"/>
          <w:szCs w:val="28"/>
          <w:rtl w:val="true"/>
          <w:lang w:bidi="ar-SA"/>
        </w:rPr>
        <w:t>فَلَا تَقُلْ لَهُمَا أُفٍّ</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وَبِالْوَالِدَيْنِ إِحْسَاناً</w:t>
      </w:r>
      <w:r>
        <w:rPr>
          <w:rFonts w:ascii="IRNazanin" w:hAnsi="IRNazanin" w:eastAsia="IRNazanin"/>
          <w:color w:val="111111"/>
          <w:sz w:val="28"/>
          <w:sz w:val="28"/>
          <w:szCs w:val="28"/>
          <w:rtl w:val="true"/>
          <w:lang w:bidi="fa-IR"/>
        </w:rPr>
        <w:t>،</w:t>
      </w:r>
      <w:r>
        <w:rPr>
          <w:rStyle w:val="FootnoteAnchor"/>
          <w:rtl w:val="true"/>
        </w:rPr>
        <w:footnoteReference w:id="766"/>
      </w:r>
      <w:r>
        <w:rPr>
          <w:rFonts w:ascii="Amiri" w:hAnsi="Amiri" w:eastAsia="Amiri" w:cs="Amiri"/>
          <w:color w:val="111111"/>
          <w:sz w:val="28"/>
          <w:sz w:val="28"/>
          <w:szCs w:val="28"/>
          <w:rtl w:val="true"/>
          <w:lang w:bidi="ar-SA"/>
        </w:rPr>
        <w:t>وغيرها من الآيات والأخبار، ولأنّه لا يقتل بقتله، فأولى أن لا يستحقّ عليه القتل قصاصاً لمورّثه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القصاص أخصّ من تلك العمومات، وشمول العمومات القصاصَ أوضح من الشمس وأبين من الأمس، وأمّا الأولويّة فممنوعةٌ؛ لكون القصاص إرثاً قصاصاً لقتله غير الولد وعوضاً عن ذلك القتل، وأمّا في قتل الولد، فالقصاص يكون لولده ولمن يكون الوالد سبباً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المسالك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استيفاء القصاص موقوفٌ على مطالبة المستحقّ، وإذا كان هو الولد وطالب به كان هو السبب في القود، فيتناوله عموم النصّ أو إطلاقه</w:t>
      </w:r>
      <w:r>
        <w:rPr>
          <w:rFonts w:eastAsia="Amiri" w:cs="Amiri" w:ascii="Amiri" w:hAnsi="Amiri"/>
          <w:color w:val="111111"/>
          <w:sz w:val="28"/>
          <w:szCs w:val="28"/>
          <w:rtl w:val="true"/>
          <w:lang w:bidi="ar-SA"/>
        </w:rPr>
        <w:t>.</w:t>
      </w:r>
      <w:r>
        <w:rPr>
          <w:rStyle w:val="FootnoteAnchor"/>
          <w:rtl w:val="true"/>
        </w:rPr>
        <w:footnoteReference w:id="76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الضعف؛ ضرورة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يقاد والد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كون المراد عدم قتله بقتله، وبسببيّة قتله لا الأعمّ منها ومن سببيّة مطالبة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في ذيل الحديث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ويقتل الولد إذا قتل والده عمداً</w:t>
      </w:r>
      <w:r>
        <w:rPr>
          <w:rFonts w:eastAsia="IRNazanin" w:cs="IRNazanin"/>
          <w:color w:val="111111"/>
          <w:sz w:val="28"/>
          <w:szCs w:val="28"/>
          <w:rtl w:val="true"/>
          <w:lang w:bidi="fa-IR"/>
        </w:rPr>
        <w:t>»</w:t>
      </w:r>
      <w:r>
        <w:rPr>
          <w:rStyle w:val="FootnoteAnchor"/>
          <w:rtl w:val="true"/>
        </w:rPr>
        <w:footnoteReference w:id="768"/>
      </w:r>
      <w:r>
        <w:rPr>
          <w:rFonts w:ascii="Amiri" w:hAnsi="Amiri" w:eastAsia="Amiri" w:cs="Amiri"/>
          <w:color w:val="111111"/>
          <w:sz w:val="28"/>
          <w:sz w:val="28"/>
          <w:szCs w:val="28"/>
          <w:rtl w:val="true"/>
          <w:lang w:bidi="ar-SA"/>
        </w:rPr>
        <w:t>مؤ‌يّد، بل قرينة لذلك الظهور كما لا يخفى</w:t>
      </w:r>
      <w:r>
        <w:rPr>
          <w:rFonts w:eastAsia="Amiri" w:cs="Amiri" w:ascii="Amiri" w:hAnsi="Amiri"/>
          <w:color w:val="111111"/>
          <w:sz w:val="28"/>
          <w:szCs w:val="28"/>
          <w:rtl w:val="true"/>
          <w:lang w:bidi="ar-SA"/>
        </w:rPr>
        <w:t xml:space="preserve">. </w:t>
      </w:r>
      <w:bookmarkStart w:id="188" w:name="pg9428_72511"/>
    </w:p>
    <w:p>
      <w:pPr>
        <w:pStyle w:val="BookText"/>
        <w:rPr/>
      </w:pPr>
      <w:bookmarkEnd w:id="188"/>
      <w:r>
        <w:rPr>
          <w:rFonts w:ascii="Amiri" w:hAnsi="Amiri" w:eastAsia="Amiri" w:cs="Amiri"/>
          <w:color w:val="111111"/>
          <w:sz w:val="28"/>
          <w:sz w:val="28"/>
          <w:szCs w:val="28"/>
          <w:rtl w:val="true"/>
          <w:lang w:bidi="ar-SA"/>
        </w:rPr>
        <w:t>الشرط 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والبلوغ، فلا يقتل المجنون؛ سواء قتل عاقلاً أو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تثبت الدية على عاقلته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يقتل الصبيّ بصبيّ ولاببالغ وإن بلغ عشراً أو بلغ خمسة أشبار، فعمده خطأ حتّى يبلغ حدّ الرجال في السنّ أو سائر الأمارات، والدية على عاقلته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المطالبة لها الشرطيّة لا السببيّة، ونسبة القصاص إليها نسبة مجازيّة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القصاص إرثاً، واختصاص المنع بالقصاص قتلاً الظاهر من النصّ والقدر المتيقّن منه، مع فرض الإباء عن الظهور دون إثبات ظهوره في الأعمّ كما ذكره المسالك ورامه خرط القتاة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كان وارث القصاص ولد الزوج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لها ولد من غيره فله القصاص بعد ردّ نصيب ولده من الدية كغير المورد من موارد إرث القصاص وزيادة الورثة على الواحد بلا خلاف ولا إشكال؛ لعموم أدلّة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ولد أباه وآخر أُمّه فلكلٍّ منهما على الآخر القود، ويقدّم قصاص أحدهما بالقرعة، تقارنت الجنايتان أولا؛ للتساوي في الاستحقاق، وقد يحتمل تقديم الاقتصاص من الأقدم جناية، ولا حقّ لأحد منهما في قصاص المقتولة وديته عندنا، فإنّ القاتل لا يرث، فإن بدر أحدهما فقتل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أخرجته القرعة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استوفى حقّه، وكان لورثة الآخر قتله قصاصاً، وكذا إذا بدر من أخرجته القرعة اقتصّ منه ورثة الآخر، وفائدة القرعة أنّ حقّ المبادرة لمن أخرجته</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5797525_2870459653"/>
      <w:bookmarkStart w:id="190" w:name="_Toc63"/>
      <w:bookmarkEnd w:id="189"/>
      <w:r>
        <w:rPr>
          <w:rtl w:val="true"/>
        </w:rPr>
        <w:t>شرطيّة العقل في القصاص</w:t>
      </w:r>
      <w:bookmarkEnd w:id="19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العقل ممّا لا كلام ولا إشكال فيه، فلا قصاص على المجنون؛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إجماعاً، ونصوصاً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كحديث رفع القلم،</w:t>
      </w:r>
      <w:r>
        <w:rPr>
          <w:rStyle w:val="FootnoteAnchor"/>
          <w:rtl w:val="true"/>
        </w:rPr>
        <w:footnoteReference w:id="769"/>
      </w:r>
      <w:r>
        <w:rPr>
          <w:rFonts w:ascii="IRNazanin" w:hAnsi="IRNazanin" w:eastAsia="IRNazanin"/>
          <w:color w:val="111111"/>
          <w:sz w:val="28"/>
          <w:sz w:val="28"/>
          <w:szCs w:val="28"/>
          <w:rtl w:val="true"/>
          <w:lang w:bidi="fa-IR"/>
        </w:rPr>
        <w:t xml:space="preserve">وخصوصاً، كصحيح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جناية المعتوّه على عاقلته، خطأً كان أو عمداً</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وموثّق السكوني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محمّد بن أبي بكر كتب إلى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رجل مجنون قتل رجلاً عمداً، فجعل الدية على قومه، وجعل خطأه وعمده سواء</w:t>
      </w:r>
      <w:r>
        <w:rPr>
          <w:rFonts w:eastAsia="IRNazanin" w:cs="IRNazanin"/>
          <w:color w:val="111111"/>
          <w:sz w:val="28"/>
          <w:szCs w:val="28"/>
          <w:rtl w:val="true"/>
          <w:lang w:bidi="fa-IR"/>
        </w:rPr>
        <w:t>».</w:t>
      </w:r>
      <w:r>
        <w:rPr>
          <w:rStyle w:val="FootnoteAnchor"/>
          <w:rtl w:val="true"/>
        </w:rPr>
        <w:footnoteReference w:id="77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وخبر بريد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عمداً، فلم يقم عليه الحدّ ولم تصحّ الشهادة عليه حتّى خولط وذهب عقله، ثمّ إنّ قوماً آخرين شهدوا عليه بعد ما خولط أنّه قتله؟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شهدوا عليه أنّه قتله حين قتله وهو صحيح ليس به علّة من فساد عقل قتل به، وإن لم يشهدوا عليه بذلك وكان له مال يعرف دفع إلى ورثة المقتول الدية من مال القاتل، وإن لم یترك مالاً أعطى الدية من بيت المال، ولا يبطلدم امرءٍ مسلم</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أبي البختري،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 في المجنون والمعتوّه الذي لا يفيق والصبيّ الذي لم يبلغ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عمدهما خطأ تحمله العاقلة، وقد رفع عنهما القلم</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وعن دعائم الإسلام،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قتل المجنون المغلوب على عقله والصبيّ، فعمدهما خطأ على عاقلتهما</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وقال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رجل رجلاً عمداً، ثمّ خولط القاتل في عقله بعد أن قتل وهو صحيح العقل، قتل إذا شاء ذلك وليّ الدم، وما جنى الصبيّ والمجنون فعلى عاقلتهما</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وقال الصدوق في المقنع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جناية المعتوّه على عاقلته، خطأً كانت جنايته أو عمداً</w:t>
      </w:r>
      <w:r>
        <w:rPr>
          <w:rFonts w:eastAsia="IRNazanin" w:cs="IRNazanin"/>
          <w:color w:val="111111"/>
          <w:sz w:val="28"/>
          <w:szCs w:val="28"/>
          <w:rtl w:val="true"/>
          <w:lang w:bidi="fa-IR"/>
        </w:rPr>
        <w:t>.</w:t>
      </w:r>
      <w:r>
        <w:rPr>
          <w:rStyle w:val="FootnoteAnchor"/>
          <w:rtl w:val="true"/>
        </w:rPr>
        <w:footnoteReference w:id="77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الظاهر كون الاستدلال برفع القلم برفعه القصاص بنفسه، لكن مع توقّفه على عموميّة القلم للوضع والتكليف، وعدم اختصاصهبالثاني فقط، متوقّف أيضاً على كون القصاص مجعولاً على القاتل، كجعله لوليّ الدم، وهو محلّ تأ‌مّل وإشكال، حيث إنّ القصاص للأولياء؛ وَمَنْ قُتِلَ مَظْلُوماً فَقَدْ جَعَلْنَا لِوَلِيِّهِ</w:t>
      </w:r>
      <w:bookmarkStart w:id="191" w:name="pg9428_72516"/>
    </w:p>
    <w:p>
      <w:pPr>
        <w:pStyle w:val="BookText"/>
        <w:rPr/>
      </w:pPr>
      <w:bookmarkEnd w:id="191"/>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سُلْطَاناً</w:t>
      </w:r>
      <w:r>
        <w:rPr>
          <w:rStyle w:val="FootnoteAnchor"/>
          <w:rtl w:val="true"/>
        </w:rPr>
        <w:footnoteReference w:id="777"/>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وَلَكُمْ فِي الْقِصَاصِ حَياةٌ يا أُولِي الأَلْبَابِ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بعض الأخبار من نسبة القود والقصاص إليه، فالظاهر أنّها بيان اللازم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متعيّناً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بالحديث برفع الحرمة، حيث إنّ القصاص والقود جزاء مترتّب على القتل المحرّم، فبرفع الحرمة يرتفع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فالقصاص مرفوعٌ برفع الموضوع لا بنفسه وبلا واسطة رفع الحرمة، والأمر في ذلك سهلٌ بعد تماميّة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لا فرق في المجنون بين أن يكون مطبقاً أو إدواريّاً إذا قتل حين الجنون، كما هو واضح؛ للإطلاق وعدم الخصوصيّة للمطبق، فإنّ المناط الجنون</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5797527_2870459653"/>
      <w:bookmarkStart w:id="193" w:name="_Toc64"/>
      <w:bookmarkEnd w:id="192"/>
      <w:r>
        <w:rPr>
          <w:rtl w:val="true"/>
        </w:rPr>
        <w:t>هل تثبت الدية على العاقلة في المجنون أم لا؟</w:t>
      </w:r>
      <w:bookmarkEnd w:id="193"/>
    </w:p>
    <w:p>
      <w:pPr>
        <w:pStyle w:val="BookText"/>
        <w:rPr/>
      </w:pPr>
      <w:r>
        <w:rPr>
          <w:rFonts w:ascii="Amiri" w:hAnsi="Amiri" w:eastAsia="Amiri" w:cs="Amiri"/>
          <w:color w:val="111111"/>
          <w:sz w:val="28"/>
          <w:sz w:val="28"/>
          <w:szCs w:val="28"/>
          <w:rtl w:val="true"/>
          <w:lang w:bidi="ar-SA"/>
        </w:rPr>
        <w:t>وتثبت الدية على عاقلته عندنا، كما في الجواهر، وفيه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عمده خطأ</w:t>
      </w:r>
      <w:r>
        <w:rPr>
          <w:rFonts w:eastAsia="Amiri" w:cs="Amiri" w:ascii="Amiri" w:hAnsi="Amiri"/>
          <w:color w:val="111111"/>
          <w:sz w:val="28"/>
          <w:szCs w:val="28"/>
          <w:rtl w:val="true"/>
          <w:lang w:bidi="ar-SA"/>
        </w:rPr>
        <w:t>».</w:t>
      </w:r>
      <w:r>
        <w:rPr>
          <w:rStyle w:val="FootnoteAnchor"/>
          <w:rtl w:val="true"/>
        </w:rPr>
        <w:footnoteReference w:id="77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صحيح ابن مسلم،</w:t>
      </w:r>
      <w:r>
        <w:rPr>
          <w:rStyle w:val="FootnoteAnchor"/>
          <w:rtl w:val="true"/>
        </w:rPr>
        <w:footnoteReference w:id="780"/>
      </w:r>
      <w:r>
        <w:rPr>
          <w:rFonts w:ascii="Amiri" w:hAnsi="Amiri" w:eastAsia="Amiri" w:cs="Amiri"/>
          <w:color w:val="111111"/>
          <w:sz w:val="28"/>
          <w:sz w:val="28"/>
          <w:szCs w:val="28"/>
          <w:rtl w:val="true"/>
          <w:lang w:bidi="ar-SA"/>
        </w:rPr>
        <w:t>وموثّق السكوني،</w:t>
      </w:r>
      <w:r>
        <w:rPr>
          <w:rStyle w:val="FootnoteAnchor"/>
          <w:rtl w:val="true"/>
        </w:rPr>
        <w:footnoteReference w:id="781"/>
      </w:r>
      <w:r>
        <w:rPr>
          <w:rFonts w:ascii="Amiri" w:hAnsi="Amiri" w:eastAsia="Amiri" w:cs="Amiri"/>
          <w:color w:val="111111"/>
          <w:sz w:val="28"/>
          <w:sz w:val="28"/>
          <w:szCs w:val="28"/>
          <w:rtl w:val="true"/>
          <w:lang w:bidi="ar-SA"/>
        </w:rPr>
        <w:t>وخبر أبي‌البختري</w:t>
      </w:r>
      <w:r>
        <w:rPr>
          <w:rStyle w:val="FootnoteAnchor"/>
          <w:rtl w:val="true"/>
        </w:rPr>
        <w:footnoteReference w:id="782"/>
      </w:r>
      <w:r>
        <w:rPr>
          <w:rFonts w:ascii="IRNazanin" w:hAnsi="IRNazanin" w:eastAsia="IRNazanin"/>
          <w:color w:val="111111"/>
          <w:sz w:val="28"/>
          <w:sz w:val="28"/>
          <w:szCs w:val="28"/>
          <w:rtl w:val="true"/>
          <w:lang w:bidi="fa-IR"/>
        </w:rPr>
        <w:t xml:space="preserve">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الأخبار الخاصّة التي مضى نقلها، ولا إشكال في حجيّتها وتماميّة الاستدلال بها على المدّعى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فيما فيها وما في الفتاوى من كون الدية على العاقلة، وفي الجملة بالنسبة إلى بعض الموارد مخالفةً للقواعد ولا مورداً للإشكال والكلام أصلاً، وذلك مثل ما كان المجنون مضرّ بالناس ومهاجماً عليهم كما سيظهر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والإشكال بنظري القاصر في إطلاق تلك الأحاديث والفتاوى؛ وذلك لشمولهما المجنون الذي ليس بضارٍّ للناس، ولا خطر فيه عليهم، ولا يهجم عليهم بحيث لابدّ من المحافظة عليه بالحبس والقيد لئلّا يضرّ الناس ويقتلهم، وهذا هو الغالب في المجانين، وأمّا الخَطر والمهاجم منهم فقليل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Style w:val="FootnoteAnchor"/>
          <w:rtl w:val="true"/>
        </w:rPr>
        <w:footnoteReference w:id="783"/>
      </w:r>
      <w:r>
        <w:rPr>
          <w:rFonts w:ascii="Amiri" w:hAnsi="Amiri" w:eastAsia="Amiri" w:cs="Amiri"/>
          <w:color w:val="111111"/>
          <w:sz w:val="28"/>
          <w:sz w:val="28"/>
          <w:szCs w:val="28"/>
          <w:rtl w:val="true"/>
          <w:lang w:bidi="ar-SA"/>
        </w:rPr>
        <w:t xml:space="preserve">لأنّ الحكم بكون الدية 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يكون مضرّاً وخطرياً على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لكون ضمان المجنون وضرره على الغير، أي العاقلة، وجعل وزره عليه، وهل هذا إلّا ظلمٌ وضررٌ على العاقلة ووزر عليها، مع عدم دخالتها في الضمان والوزر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لا يكون إطلاق الخبر الدالّ على ذلك مخالفاً للكتاب والسنّة القطعيّة، وحكم العقل بقبحهما وبناء العقلاء على عدمهما في التشريع؟</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يصّح القول بحجّية إطلاق تلك الأخبار مع ما ورد من ضربالخبر المخالف للكتاب والسنّة على الجدار،</w:t>
      </w:r>
      <w:r>
        <w:rPr>
          <w:rStyle w:val="FootnoteAnchor"/>
          <w:rtl w:val="true"/>
        </w:rPr>
        <w:footnoteReference w:id="784"/>
      </w:r>
      <w:r>
        <w:rPr>
          <w:rFonts w:ascii="IRNazanin" w:hAnsi="IRNazanin" w:eastAsia="IRNazanin"/>
          <w:color w:val="111111"/>
          <w:sz w:val="28"/>
          <w:sz w:val="28"/>
          <w:szCs w:val="28"/>
          <w:rtl w:val="true"/>
          <w:lang w:bidi="fa-IR"/>
        </w:rPr>
        <w:t>وأنّه زخرف، وأنا لم أقله،</w:t>
      </w:r>
      <w:r>
        <w:rPr>
          <w:rStyle w:val="FootnoteAnchor"/>
          <w:rtl w:val="true"/>
        </w:rPr>
        <w:footnoteReference w:id="785"/>
      </w:r>
      <w:r>
        <w:rPr>
          <w:rFonts w:ascii="Amiri" w:hAnsi="Amiri" w:eastAsia="Amiri" w:cs="Amiri"/>
          <w:color w:val="111111"/>
          <w:sz w:val="28"/>
          <w:sz w:val="28"/>
          <w:szCs w:val="28"/>
          <w:rtl w:val="true"/>
          <w:lang w:bidi="ar-SA"/>
        </w:rPr>
        <w:t xml:space="preserve">ومع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دين العقل، وأنّه رسولٌ من الباطن، كما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فيه ما يخالف العقل، لا سيّما مثل مخالفة قبح الظلم، ومع أنّ باب الضمان باب إمضائي عقلائي لا تأسيسي تعبّدي، فكيف يحصل الوثوق والاطمئنان بإعمال التعبّد من الشارع، والحكم على الخلاف رغم أنفهم، من دون جهة مقتضية لذلك بيّنة ولا مبيّنة؟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الوثوق بخلافه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هذا، إطلاق الأخبار غير حجّة قطعاً، وتكون مخصوصة بالمجنون الخطر الذي لابدّ لعاقلته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والعقلاء؛ حفظاً لأنفس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حبسه وقيده؛ لئلّا يهلك الناس ويقتلهم أو يضرّهم، فقتله وضرره ليس إلّا بترك الحفظ والدفع من العاقلة، فالضمان والوزر عليه؛ لأقوائيّة السبب من المباشر، كما هو أوضح من أن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في أزمنتنا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أزمنة الحكومة مع بسط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حفظ غالب المجانين من الناس ودفع خطرهم، وعلى الحكومة رعايتهم وتهيئة الأماكن الخاصّة لهم، فالحكم بالدية على العاقلة في مثل هؤلاء المجانين عدل وموافق للقواعد، وتخصيص للضمان المباشر، بل خروج عنه تخصّصاً،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ضمان دية الخطأ على العاقلة؟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الإشكال موجود فيه أيضاً، والحكم فيه أيضاً مخالف للكتاب والسنّة والقواعد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فيما كانت العاقلة سبباً وموجباً لكون الدية عليه بحيث لا يعدّونه العقلاء والعرف ظلماً ومخالفاً للقواعد بل بناؤهم على ذلك، تكون الدية فيه على العاقلة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إطلاق الحكم بالدية على العاقلة في قتل الخطأ محلّ إشكال ومنع، وتفصيل الكلام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وعليك بالنظر والدقّة في رواية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وحسين بن خالد وغيره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مثله، حتّى تعلم بعدم التعبّد، وبعدم الحكم على خلاف القواعد في دية الخطأ فضلاً عن غيرها، ودونك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يعقوب، عن عدّة من أصحابنا، عن أحمد بن محمّد بن خالد، عن محمّد بن أسلم، عن هارون بن الجهم،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ظئر قوم قتلت صبيّاً لهم وهي نائمة فانقلبت عليه فقتلته، فإنّ عليها الدية من مالها خاصّة إن كانت إنّما ظائرت طلب العزّ والفخر، وإن كانت إنّما ظائرت من الفقر فإنّ الدية على عاقلتها</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محمّد بن الحسن بإسناده عن أحمد بن محمّد بن خالد مثله</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وبإسناده عن محمّد بن أحمد بن يحيى، عن محمّد بن نائحة، عن محمّد بن عليّ، عن عبدالرحمن بن سالم،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8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عن الصفّار، عن محمّد بن الحسين، عن محمّد بن أسلم الجبلّي،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 بن خالد وغيره،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ورواه الصدوق بإسناده عن محمّد بن أحمد بن يحيى، عن محمّد بن ناحية</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ورواه البرقي في المحاسن، عن أبيه، عن هارون بن الجهم مثله</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ولا يخفى عليك أنّ ما في الرواية منقولة في الكافي والتهذيب والفقيه للمشايخ الثلاثة، وفي محاسن البرقي من الكتب المعروفة، وبإسناد متعدّدة مختلفة وعن الإمامين الهامّين الباقر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صلوات الله وصلوات ملائكته وأنبيائه ورسله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فالرواية معتبرة ومعتمدة، فإنّ بناء العقلاء على حجّية مثل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مضمونها موافق للعقل والنقل، ومع هذه الجهات لا حاجة إلى البحث في الإسناد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عدم مخالفة الضمان في المسألة على العاقلة للكتاب والسنّة بتخصيصها بأدلّة دية المجنون على العاقلة، مدفوع بما مرّ من عدم شرطيّة التساوي في الدين والذكوريّة، ومن إباء مثل الألسنة من التخصيص بما لا مزيد عليه، فراجعه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الواضح أنّ كون الدية على العاقلة مطلقاً أو في الجملة منوطبوجودها للقاتل المجنون، وأمّا إن لم تكن فعن النهاية</w:t>
      </w:r>
      <w:r>
        <w:rPr>
          <w:rStyle w:val="FootnoteAnchor"/>
          <w:rtl w:val="true"/>
        </w:rPr>
        <w:footnoteReference w:id="792"/>
      </w:r>
      <w:r>
        <w:rPr>
          <w:rFonts w:ascii="IRNazanin" w:hAnsi="IRNazanin" w:eastAsia="IRNazanin"/>
          <w:color w:val="111111"/>
          <w:sz w:val="28"/>
          <w:sz w:val="28"/>
          <w:szCs w:val="28"/>
          <w:rtl w:val="true"/>
          <w:lang w:bidi="fa-IR"/>
        </w:rPr>
        <w:t>والجامع</w:t>
      </w:r>
      <w:r>
        <w:rPr>
          <w:rFonts w:eastAsia="IRNazanin" w:cs="IRNazanin"/>
          <w:color w:val="111111"/>
          <w:sz w:val="28"/>
          <w:szCs w:val="28"/>
          <w:rtl w:val="true"/>
          <w:lang w:bidi="fa-IR"/>
        </w:rPr>
        <w:t>:</w:t>
      </w:r>
      <w:r>
        <w:rPr>
          <w:rStyle w:val="FootnoteAnchor"/>
          <w:rtl w:val="true"/>
        </w:rPr>
        <w:footnoteReference w:id="793"/>
      </w:r>
      <w:r>
        <w:rPr>
          <w:rFonts w:ascii="Amiri" w:hAnsi="Amiri" w:eastAsia="Amiri" w:cs="Amiri"/>
          <w:color w:val="111111"/>
          <w:sz w:val="28"/>
          <w:sz w:val="28"/>
          <w:szCs w:val="28"/>
          <w:rtl w:val="true"/>
          <w:lang w:bidi="ar-SA"/>
        </w:rPr>
        <w:t xml:space="preserve">أنّ الدية على بيت المال،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الحقّ؛ لئلّا يبطل دم امرءٍ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ويوافقه خبر بريد العجلي</w:t>
      </w:r>
      <w:r>
        <w:rPr>
          <w:rStyle w:val="FootnoteAnchor"/>
          <w:rtl w:val="true"/>
        </w:rPr>
        <w:footnoteReference w:id="794"/>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لا صراحة فيه، بل ولا ظهور في كونه قاتلاً مجنوناً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بيت مال الإمام؛ لأنّه الوارث له، ولذا كان المحكيّ عن السرائر</w:t>
      </w:r>
      <w:r>
        <w:rPr>
          <w:rStyle w:val="FootnoteAnchor"/>
          <w:rtl w:val="true"/>
        </w:rPr>
        <w:footnoteReference w:id="796"/>
      </w:r>
      <w:r>
        <w:rPr>
          <w:rFonts w:ascii="Amiri" w:hAnsi="Amiri" w:eastAsia="Amiri" w:cs="Amiri"/>
          <w:color w:val="111111"/>
          <w:sz w:val="28"/>
          <w:sz w:val="28"/>
          <w:szCs w:val="28"/>
          <w:rtl w:val="true"/>
          <w:lang w:bidi="ar-SA"/>
        </w:rPr>
        <w:t>أنّها على الإمام دون بيت المال</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ولا يخفى أنّه لعلّ نظره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عموم العلّة،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يبطل دم امرءٍ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8"/>
      </w:r>
      <w:r>
        <w:rPr>
          <w:rFonts w:ascii="Amiri" w:hAnsi="Amiri" w:eastAsia="Amiri" w:cs="Amiri"/>
          <w:color w:val="111111"/>
          <w:sz w:val="28"/>
          <w:sz w:val="28"/>
          <w:szCs w:val="28"/>
          <w:rtl w:val="true"/>
          <w:lang w:bidi="ar-SA"/>
        </w:rPr>
        <w:t xml:space="preserve">لا إلى المورد، وإلّا فلابدّ من الإشكال عليه بظهوره في الخلاف، فإنّ المورد مشكوك الجنون حين القتل، لا الإشكال بما أورده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الصراحة، بل عدم الظهور،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عدم العاقلة إعسارها؛ لعموم العلّة، وهو عدم هدر الدم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إطلاق النصّ والفتوى مقتضٍ لكون الدية على بيت المالوإن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للمجنون مال وكان موسراً، لكن مقتضى الأصل في باب الضمان، وأنّه على الجاني والمباشر وذي اليد والمتلِف الاختصاص بحال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اليسر فعلى مال المجنون؛ لأنّه الأصل، وفي رواية بريد إشعار بذلك إن لم نقل بظهورها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المستفاد من الأخبار الواردة في ضمان العاقلة في أبواب مختلفة أنّ الأصل في ضمان العاقلة عدمه أيضاً، وأنّ ضمانها في بعض الموارد على خلاف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خبر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تضمن العاقلة عمداً ولا إقراراً ولا صلحاً</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وفي موثّق السكوني،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العاقلة لا تضمن عمداً ولا إقراراً ولا صلحاً</w:t>
      </w:r>
      <w:r>
        <w:rPr>
          <w:rFonts w:eastAsia="IRNazanin" w:cs="IRNazanin"/>
          <w:color w:val="111111"/>
          <w:sz w:val="28"/>
          <w:szCs w:val="28"/>
          <w:rtl w:val="true"/>
          <w:lang w:bidi="fa-IR"/>
        </w:rPr>
        <w:t>».</w:t>
      </w:r>
      <w:r>
        <w:rPr>
          <w:rStyle w:val="FootnoteAnchor"/>
          <w:rtl w:val="true"/>
        </w:rPr>
        <w:footnoteReference w:id="800"/>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زيد بن عليّ،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تعقل العاقلة إلّا ما قامت عليه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رجل فاعترف عنده، فجعله في ماله خاصّة ولم يجعل علىالعاقلة شيئاً</w:t>
      </w:r>
      <w:r>
        <w:rPr>
          <w:rFonts w:eastAsia="Amiri" w:cs="Amiri" w:ascii="Amiri" w:hAnsi="Amiri"/>
          <w:color w:val="111111"/>
          <w:sz w:val="28"/>
          <w:szCs w:val="28"/>
          <w:rtl w:val="true"/>
          <w:lang w:bidi="ar-SA"/>
        </w:rPr>
        <w:t>».</w:t>
      </w:r>
      <w:r>
        <w:rPr>
          <w:rStyle w:val="FootnoteAnchor"/>
          <w:rtl w:val="true"/>
        </w:rPr>
        <w:footnoteReference w:id="801"/>
      </w:r>
      <w:bookmarkStart w:id="194" w:name="pg9428_72530"/>
    </w:p>
    <w:p>
      <w:pPr>
        <w:pStyle w:val="BookText"/>
        <w:rPr/>
      </w:pPr>
      <w:bookmarkEnd w:id="19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خبر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مكاتب قتل رجلاً خطأً،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ديته بقدر ما اُعتق، وعلى مولاه ما بقي من قيمة المملوك، فإن عجز المكاتب فلا عاقلة له إنّما ذلك على إمام المسلمين</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وفي مجموع هذه الأخبار دلالة على أنّ الحكم بضمان العاقلة 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ما اخترناه من اختصاص ضمان العاقلة في قتل المجنون ببعض الموارد، الظاهر أنّ الضمان فيه عليها ولو مع يسر المجنون فضلاً عن عسره؛ لكونها سبباً أقوى من المباشر، كما مرّ بيانه، فالضمان عليها في تلك الموارد موافق مع الأصل والقواعد في باب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شرطيّة العقل، وهو الرابع من الشرائط على ترتيب المتن</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5797529_2870459653"/>
      <w:bookmarkStart w:id="196" w:name="_Toc65"/>
      <w:bookmarkEnd w:id="195"/>
      <w:r>
        <w:rPr>
          <w:rtl w:val="true"/>
        </w:rPr>
        <w:t>شرطيّة البلوغ أو التمييز في القصاص</w:t>
      </w:r>
      <w:bookmarkEnd w:id="196"/>
    </w:p>
    <w:p>
      <w:pPr>
        <w:pStyle w:val="BookText"/>
        <w:rPr/>
      </w:pPr>
      <w:r>
        <w:rPr>
          <w:rFonts w:ascii="Amiri" w:hAnsi="Amiri" w:eastAsia="Amiri" w:cs="Amiri"/>
          <w:color w:val="111111"/>
          <w:sz w:val="28"/>
          <w:sz w:val="28"/>
          <w:szCs w:val="28"/>
          <w:rtl w:val="true"/>
          <w:lang w:bidi="ar-SA"/>
        </w:rPr>
        <w:t>وأمّا البلوغ وهو الخامس منها على ترتيبه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التمييز ممّا لا كلام ولا بحث فيه أصلاً، بل ضرورة العقل والعقلاء على شرطيّته، وعدم القصاص على الصبيّ مع عدم تمييزه،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كالبهائم والجدران والآلات والأدوات الجمادات، فكيف تصحّ نسبة القتل إليه، وأنّه قاتل، وأنّ عليه القصاص؟</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شرطيّة البلوغ زائداً على التمييز والإدراك ففيها الخلاف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البلوغ شرط في المشهور أيضاً، بل عليه عامّة المتأخّرين، بل نسبه بعض إلى الأصحاب مشعراً بالإجماع عليه، بل عن الغنية </w:t>
      </w:r>
      <w:r>
        <w:rPr>
          <w:rStyle w:val="FootnoteAnchor"/>
          <w:rtl w:val="true"/>
        </w:rPr>
        <w:footnoteReference w:id="803"/>
      </w:r>
      <w:r>
        <w:rPr>
          <w:rFonts w:ascii="Amiri" w:hAnsi="Amiri" w:eastAsia="Amiri" w:cs="Amiri"/>
          <w:color w:val="111111"/>
          <w:sz w:val="28"/>
          <w:sz w:val="28"/>
          <w:szCs w:val="28"/>
          <w:rtl w:val="true"/>
          <w:lang w:bidi="ar-SA"/>
        </w:rPr>
        <w:t>دعواه عليه صريحاً، بل عن الخلاف</w:t>
      </w:r>
      <w:r>
        <w:rPr>
          <w:rFonts w:eastAsia="Amiri" w:cs="Amiri" w:ascii="Amiri" w:hAnsi="Amiri"/>
          <w:color w:val="111111"/>
          <w:sz w:val="28"/>
          <w:szCs w:val="28"/>
          <w:rtl w:val="true"/>
          <w:lang w:bidi="ar-SA"/>
        </w:rPr>
        <w:t>:</w:t>
      </w:r>
      <w:r>
        <w:rPr>
          <w:rStyle w:val="FootnoteAnchor"/>
          <w:rtl w:val="true"/>
        </w:rPr>
        <w:footnoteReference w:id="804"/>
      </w:r>
      <w:r>
        <w:rPr>
          <w:rFonts w:ascii="IRNazanin" w:hAnsi="IRNazanin" w:eastAsia="IRNazanin"/>
          <w:color w:val="111111"/>
          <w:sz w:val="28"/>
          <w:sz w:val="28"/>
          <w:szCs w:val="28"/>
          <w:rtl w:val="true"/>
          <w:lang w:bidi="fa-IR"/>
        </w:rPr>
        <w:t>علیه إجماع الفرقة وأخبارهم</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وفي اللثام بعد نقل ما رواه السكوني، الدالّ على الاقتصاص إذا بلغ الغلام خمسة أشبار، وعليه الدية ما لم يبلغ خمسة أشبار،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الشيخان والصدوق وجماعة</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وبعد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w:t>
      </w:r>
      <w:r>
        <w:rPr>
          <w:rStyle w:val="FootnoteAnchor"/>
          <w:rtl w:val="true"/>
        </w:rPr>
        <w:footnoteReference w:id="807"/>
      </w:r>
      <w:r>
        <w:rPr>
          <w:rFonts w:ascii="IRNazanin" w:hAnsi="IRNazanin" w:eastAsia="IRNazanin"/>
          <w:color w:val="111111"/>
          <w:sz w:val="28"/>
          <w:sz w:val="28"/>
          <w:szCs w:val="28"/>
          <w:rtl w:val="true"/>
          <w:lang w:bidi="fa-IR"/>
        </w:rPr>
        <w:t xml:space="preserve">فيحتمل أن يكون في غلام وامرأة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تعمدا القتل، وأنّ الغلام قد اُدرك، وزعم السائل أنّه لم يدرك، وأنّهما قتلاه خطأً</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رواية مقطوعة ومرسلة 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 من الصبيّ إذا بلغ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عشراً، وإن حُكي عن الشيخ في النهاية و‌المبسوط والاستبصار الفتوى بمضمونها</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ولا يخفى أنّ المستفاد من عبارات اللثام</w:t>
      </w:r>
      <w:r>
        <w:rPr>
          <w:rStyle w:val="FootnoteAnchor"/>
          <w:rtl w:val="true"/>
        </w:rPr>
        <w:footnoteReference w:id="810"/>
      </w:r>
      <w:r>
        <w:rPr>
          <w:rFonts w:ascii="Amiri" w:hAnsi="Amiri" w:eastAsia="Amiri" w:cs="Amiri"/>
          <w:color w:val="111111"/>
          <w:sz w:val="28"/>
          <w:sz w:val="28"/>
          <w:szCs w:val="28"/>
          <w:rtl w:val="true"/>
          <w:lang w:bidi="ar-SA"/>
        </w:rPr>
        <w:t>مخالفة الشيخين والصدوق وجماعة في الصبيّ البالغ خمسة أشبار، وأنّ عليه القصاص، بل مخالفة الشيخ في التهذيب والصدوق في الفقيه والكليني في الكافي في عمد الغلام غير المدرك مطلقاً، وأنّ في عمده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عبارة الجواهر مخالفة الشيخ في كتبه الثلاثة بالنسبة إلى قصاص الصبيّ البالغ عشراً، فالمسألة خلافيّة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أقوال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الطرفين، فقد استدلّ للمشهور بالأصل، والاحتياط في الدماء، وحديث رفع القلم</w:t>
      </w:r>
      <w:r>
        <w:rPr>
          <w:rStyle w:val="FootnoteAnchor"/>
          <w:rtl w:val="true"/>
        </w:rPr>
        <w:footnoteReference w:id="811"/>
      </w:r>
      <w:r>
        <w:rPr>
          <w:rFonts w:ascii="Amiri" w:hAnsi="Amiri" w:eastAsia="Amiri" w:cs="Amiri"/>
          <w:color w:val="111111"/>
          <w:sz w:val="28"/>
          <w:sz w:val="28"/>
          <w:szCs w:val="28"/>
          <w:rtl w:val="true"/>
          <w:lang w:bidi="ar-SA"/>
        </w:rPr>
        <w:t>المجمع عليه، كما عن السرائر</w:t>
      </w:r>
      <w:r>
        <w:rPr>
          <w:rFonts w:eastAsia="Amiri" w:cs="Amiri" w:ascii="Amiri" w:hAnsi="Amiri"/>
          <w:color w:val="111111"/>
          <w:sz w:val="28"/>
          <w:szCs w:val="28"/>
          <w:rtl w:val="true"/>
          <w:lang w:bidi="ar-SA"/>
        </w:rPr>
        <w:t>.</w:t>
      </w:r>
      <w:r>
        <w:rPr>
          <w:rStyle w:val="FootnoteAnchor"/>
          <w:rtl w:val="true"/>
        </w:rPr>
        <w:footnoteReference w:id="81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وخصوص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الصبيّ وخطأه واحد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الصبيان خطأ تحمله العاقلة</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كقوله في المرويّ عن أبي البختري،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 في المجنون والمعتوّه الذي لا يفيق، والصبيّ الذي لم يبلغ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عمدهما خطأ تحمله العاقلة</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والاحتياط لا محلّ لهما مع الدليل ولو على الوفاق، فضلاً عن الخلاف، فهما ليسا بدليل اصطلاحيّ قابل للمعارضة مع الدليل المخالف، كما هو أوضح من أن يُبيّن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رفع القلم، فمضافاً إلى عدم كونه بأزيد من عموم قابل للتخصيص، أنّه قد مرّ في الاستدلال به لشرطيّة العقل عدم كون القصاص مرفوعاً به بما هو هو؛ لعدم كونه وضعاً على القاتل أوّلاً، واحتمال اختصاصه بالتكليفيّات ثانياً، بل غاية الأمر في الاستدلال به إنّما هو القول برفعه باعتبار رفع الحرمة، وقد بدا لي الآن في الاستدلال به كذلك للمقام نظراً وإشكالاً، حيث إنّ الحديث بما هو حديث امتنان لا يناسبه رفع التكليف والنهي في المحرّمات والمعاصي التي فيها مفاسدٌ عنالصبيّ، وجعلها له مباحةً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بخلاف التكاليف الواجبة، فرفع التكليف فيها رفع مستلزم لعدم وجوب جلب المصلحة، وذلك بخلاف رفع الحرمة، حيث إنّه إذنٌ وإجازةٌ في جلب المفسدة، وهو كما ترى غير مناسب في مقام التشريع من الحكيم الرؤوف اللطيف بعباده المحرّم للمحرمات؛ ردعاً للناس عن الوقوع في المفاسد ونجاة لهم عن المهالك والخسران والخذلان في الدنيا والآخرة، ومع أنّ الأحكام الشرعيّة ألطاف في الأحكام العقلية، فضلاً عن مقام الامتنان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شمول حديث الرفع لرفع قلم الحرمة عن المجنون أو الصبيّ غير المدرك قضاءً لإطلاقه لا بأس به، ولا يتنافى مع الامتنان؛ لعدم كون الحرمة بالنسبة إليهما زاجراً ومانعاً عن إرتكاب الحرام ودفع المفسدة؛ لعدم التفاتهم وإدراكهم الحرمة والمفاسد المترتّبة عليها، والعواقب اللازمة 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في أخبار البلوغ من اشتراط الحدود التامّة به لا أصل الحدود، وكذلك ما في مثل أخبار</w:t>
      </w:r>
      <w:r>
        <w:rPr>
          <w:rStyle w:val="FootnoteAnchor"/>
          <w:rtl w:val="true"/>
        </w:rPr>
        <w:footnoteReference w:id="816"/>
      </w:r>
      <w:r>
        <w:rPr>
          <w:rFonts w:ascii="Amiri" w:hAnsi="Amiri" w:eastAsia="Amiri" w:cs="Amiri"/>
          <w:color w:val="111111"/>
          <w:sz w:val="28"/>
          <w:sz w:val="28"/>
          <w:szCs w:val="28"/>
          <w:rtl w:val="true"/>
          <w:lang w:bidi="ar-SA"/>
        </w:rPr>
        <w:t>سرقة الصبيّ من حَكّ أنامله وإدمائه وقطعه من التأييد؛ لاختصاص الرفع بالواجبات وعدم شموله للمحرّمات، كما لا يخفى،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فحديث رفع القلم ليس بأزيد من عموم وإطلاق قابل للتخصيص والتقييد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ابن مسلم فعلى تسليم التنزيل في الآثار وإن كان مقتضىإطلاقه عدم القصاص في عمد الصبيّ كخطائه، وكون ديته في العمد على عاقلته، لكنّه ليس بأزيد من الإطلاق، إلّا أنّ الشأن مع ذلك في وجه التنزيل، فمن المحتمل 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قيمة لأعماله، بمعنى أنّه كما لا قيمة لخطأ الصبيّ فكذلك الحال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عمده، فلا قيمة لأفعاله وأقواله من حيث الحقوق المدنيّة، فعقده وإيقاعه غير موجب للإلزام وترتيب الأثر؛ لكونها فاقدة للقيمة، فالصبيّ مسلوب العبارة والأفعال بذلك المعنى، فالتنزيل في نفي القيمة وأنّ عمده كخطائه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ذلك الإشارة والنصّ فيما يقال في شرائط المتعاملين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الصبيّ مسلوب العبارة، فلا ارتباط للحديث بمسألة نفي القصاص وإثبات الدية على العاقلة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الاحتمال يبطل الاستدلال، فضلاً عن القول بظهور الحديث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مثل خبر إسحاق بن عمّار، فالظاهر أو المحتمل مع التوجّه إلى القواعد العقلائيّة في باب ضمان السبب إن كان أقوى من المباشر، أن يكون مختصّاً بالصبيان الذين لم يكن لهم تمييز ولا إدراك ممّن تُنْتسب أعمالهم إلى أوليائهم، ويكونون هم السبب الأقوى من المباشر عند العرف، مثل ما مرّ في دية العاقلة في قتل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الفهم كذلك وجمدتَ على ظاهر الألفاظ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كذلك مخالف للكتاب والسنّة والقواعد، فلابدّ من تقييد الحديث، مثل ما مرّ من التقييد في حديث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ذكرناه يظهر عدم تماميّة الاستدلال بخبر أبي البختري،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كان يقول في المجنون والمعتوّه الذي لا يفيق والصبيّ الذي لم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عمدهما خطأ تحملهالعاقلة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xml:space="preserve">لأنّه على تسليم إطلاقه، وعدم انصرافه </w:t>
      </w:r>
      <w:bookmarkStart w:id="197" w:name="pg9428_72542"/>
    </w:p>
    <w:p>
      <w:pPr>
        <w:pStyle w:val="BookText"/>
        <w:rPr/>
      </w:pPr>
      <w:bookmarkEnd w:id="197"/>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بقرينة مقارنة الصبيّ مع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الصبيّ غير المدرك المماثل للمجنون والمعتوّه فإطلاقه غير حجّة؛ للمخالفة مع الكتاب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على المراد من مثل خبر إسحاق بن عمّار كما لا يخفى</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5797531_2870459653"/>
      <w:bookmarkStart w:id="199" w:name="_Toc66"/>
      <w:bookmarkEnd w:id="198"/>
      <w:r>
        <w:rPr>
          <w:rtl w:val="true"/>
        </w:rPr>
        <w:t>الاستدلال على عدم شرطيّ ة البلوغ وكفاية الإدراك والتمييز</w:t>
      </w:r>
      <w:bookmarkEnd w:id="199"/>
    </w:p>
    <w:p>
      <w:pPr>
        <w:pStyle w:val="BookText"/>
        <w:rPr/>
      </w:pPr>
      <w:r>
        <w:rPr>
          <w:rFonts w:ascii="Amiri" w:hAnsi="Amiri" w:eastAsia="Amiri" w:cs="Amiri"/>
          <w:color w:val="111111"/>
          <w:sz w:val="28"/>
          <w:sz w:val="28"/>
          <w:szCs w:val="28"/>
          <w:rtl w:val="true"/>
          <w:lang w:bidi="ar-SA"/>
        </w:rPr>
        <w:t>وأمّا ما يمكن أن يستدلّ به للقول بعدم شرطيّة البلوغ بما هو هو، وكفاية الإدراك والتمييز ممّا يمكن حصوله بالبلوغ عشراً أو كون طوله خمسة أشبار أو بغيرهما وإن لم يحصل البلوغ الشرعي، فوجوهٌ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القصاص وإطلاقاته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وغلام اشتركا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فقتلاه، فقال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الغُلام خمسة أشبار اقتصّ منه، وإذا لم يكن بلغ خمسة أشبار قضى بالدية</w:t>
      </w:r>
      <w:r>
        <w:rPr>
          <w:rFonts w:eastAsia="IRNazanin" w:cs="IRNazanin"/>
          <w:color w:val="111111"/>
          <w:sz w:val="28"/>
          <w:szCs w:val="28"/>
          <w:rtl w:val="true"/>
          <w:lang w:bidi="fa-IR"/>
        </w:rPr>
        <w:t>».</w:t>
      </w:r>
      <w:r>
        <w:rPr>
          <w:rStyle w:val="FootnoteAnchor"/>
          <w:rtl w:val="true"/>
        </w:rPr>
        <w:footnoteReference w:id="81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والموثّق منقول في الكافي والفقيه والتهذيب، والاستبصار الكتب الأربعة للمشايخ الثلاثة</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اللثام بعد نقله الموثّق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الشيخان والصدوق وجماعة</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غلام لم يدرك وامرأة قتلا رجلاً خطأً؟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خطأ المرأة والغلام عمد، فإن أحبّ أولياء المقتول أن يقتلوهما قتلوهما ويردّوا على أولياء الغلام خمسة الآف درهم، وإن أحبّوا أن يقتلوا الغلام قتلوه وتردّ المرأة على أولياء الغلام ربع الدية، وإن أحبّ أولياء المقتول أن يقتل المرأة قتلوها ويردّ الغلام على أولياء المرأة ربع الدية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أحبّ أولياء المقتول أن يأخذوا الدية كان على الغلام نصف الدية، وعلى المرأة نصف الدية</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ومن المعلوم أنّ المراد من خطأ الغلام والمرأة ليس معناه الاصطلاحي الذي ليس فيه القصاص بالكتاب والسنّة والضرورة العقليّة والعقلائيّة، بل والفقه، بل والدين؛ لكون الصحيح على ذلك مخالفاً للضرورة وهو كما ترى، بل المراد منه الخطأ بنظر العرف وبالنسبة إلى الرجل الكامل البالغ، حيث إنّ العرف لا سيّما في مثل زمان السؤال والرواية يرى الغفلةوالجهالة في النساء والغلمان أكثر من الرجال، فالتعبير بالخطأ نسبي لا حقيقي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الصحيح وكذا صحيح الكناسي في قتل العبد والمرأة، ممّا يكون مثله على كونهما في مقام الردّ على ما يعتقده بعض المخالفين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العامّة بعد بيان مخالفتهما للكتاب وأنّهما غير حجّة، ففي التهذيب بعد نقلهما 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أوردتُ هاتين الروايتين لما تتضمّنان من أحكام قتل العمد، فأمّا قوله في الخبر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خطأ المرأة والعبد 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الرواية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خطأ المرأة والغلام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مخالف لقول الله تعالى؛ لأنّ الله حكم في قتل الخطأ الدية دون القود، فلا يجوز أن يكون الخطأ عمداً، كما لا يجوز أن يكون العمد خطأً إلّا فيمن ليس بمكلّف، مثل المجانين والذين ليسوا 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قدّمنا من الأخبار ما يدلّ على أنّ العبد إذا قتل خطأ سُلّم إلى أولياء المقتول أو يفتديه مولاه، وليس لهم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قد بيّنا أنّ الصبيّ إذا لم يبلغ فإنّ عمده خطأ، وتتحمّل الدية عاقلته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يجوز أن نقول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خطأه عمد؟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كان الخبران على ما قلناه من الاختلاط، لم ينبغِ أن يكون العمل عليهما فيما يتعلّق بأن يجعل الخطأ عمداً، على أنّه يشبه أن يكون الوجه فیه أنّ خطأهما عمد، علی ما يعتقده بعض مخالفينا أنّه خطأ؛ لأنّ 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من يقتل بغير حديدة فإنّ قتله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بيّنا نحن خلاف ذلك، وأنّ القتل بأيّ شيء كان إذا قصد كان عمداً، ويكون القول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لم يدرك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لم يدرك حدّ الكمال؛ لأنّا قدبيّنا أنّه إذا بلغ خمسة أشبار اقتصّ منه</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المقطوعة المرسلة المنقولة في طائفة من الكتب على ما في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يُقتصّ من الصبيّ إذا بلغ عشراً، كذا في طائفة من الكتب حكيت الرواية مرسلة مقطوعة، وأفتى بمضمونها الشيخ في النهاية</w:t>
      </w:r>
      <w:r>
        <w:rPr>
          <w:rStyle w:val="FootnoteAnchor"/>
          <w:rtl w:val="true"/>
        </w:rPr>
        <w:footnoteReference w:id="823"/>
      </w:r>
      <w:r>
        <w:rPr>
          <w:rFonts w:ascii="IRNazanin" w:hAnsi="IRNazanin" w:eastAsia="IRNazanin"/>
          <w:color w:val="111111"/>
          <w:sz w:val="28"/>
          <w:sz w:val="28"/>
          <w:szCs w:val="28"/>
          <w:rtl w:val="true"/>
          <w:lang w:bidi="fa-IR"/>
        </w:rPr>
        <w:t>والمبسوط</w:t>
      </w:r>
      <w:r>
        <w:rPr>
          <w:rStyle w:val="FootnoteAnchor"/>
          <w:rtl w:val="true"/>
        </w:rPr>
        <w:footnoteReference w:id="824"/>
      </w:r>
      <w:r>
        <w:rPr>
          <w:rFonts w:ascii="IRNazanin" w:hAnsi="IRNazanin" w:eastAsia="IRNazanin"/>
          <w:color w:val="111111"/>
          <w:sz w:val="28"/>
          <w:sz w:val="28"/>
          <w:szCs w:val="28"/>
          <w:rtl w:val="true"/>
          <w:lang w:bidi="fa-IR"/>
        </w:rPr>
        <w:t>والاستبصار،</w:t>
      </w:r>
      <w:r>
        <w:rPr>
          <w:rStyle w:val="FootnoteAnchor"/>
          <w:rtl w:val="true"/>
        </w:rPr>
        <w:footnoteReference w:id="825"/>
      </w:r>
      <w:r>
        <w:rPr>
          <w:rFonts w:ascii="Amiri" w:hAnsi="Amiri" w:eastAsia="Amiri" w:cs="Amiri"/>
          <w:color w:val="111111"/>
          <w:sz w:val="28"/>
          <w:sz w:val="28"/>
          <w:szCs w:val="28"/>
          <w:rtl w:val="true"/>
          <w:lang w:bidi="ar-SA"/>
        </w:rPr>
        <w:t>ولم نظفر بها مستندة</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وفي الجواهر بعد ذكره مثل ما ذكره اللثام،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النصوص المسندة بجواز طلاقه ووصاياه وإقامة الحدود عليه موجودة، ولعلّ من رواها أراد هذه النصوص بإدخال القصاص في الحدود، أو أنّ مبنی ما تضمّنته على ثبوت البلوغ بذلك، ولا فرق بينه وبين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كان، فلم نقف عليها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في المرويّ عن سليمان بن حفص، والحسن بن راشد، عن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إذا بلغ ثمان سنين فجائز أمره في ماله، وقد وجبت عليه الفرائض والحدود</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ولم نجد به عاملاً</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الوجوه تامّة كافية للقول بعدم الشرطيّة، والإرسال والقطع في الوجه الرابع غير مضرّ بحجيّته؛ لما عرفت من كونها منقولة في كتب الجماعة، وفتوى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بمضمونها في كتبه الثلاثة،</w:t>
      </w:r>
      <w:r>
        <w:rPr>
          <w:rStyle w:val="FootnoteAnchor"/>
          <w:rtl w:val="true"/>
        </w:rPr>
        <w:footnoteReference w:id="829"/>
      </w:r>
      <w:r>
        <w:rPr>
          <w:rFonts w:ascii="Amiri" w:hAnsi="Amiri" w:eastAsia="Amiri" w:cs="Amiri"/>
          <w:color w:val="111111"/>
          <w:sz w:val="28"/>
          <w:sz w:val="28"/>
          <w:szCs w:val="28"/>
          <w:rtl w:val="true"/>
          <w:lang w:bidi="ar-SA"/>
        </w:rPr>
        <w:t>لا سيّما النهاية التي هي متون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في البقيّة كفاية، والرابع وإن لم يكن حجّةً ودليلاً فلا أقلّ من كونه مؤ‌يّداً للبقيّة، وما ذكره الشيخ من المحمل لصحيح أبي بصير غير منافٍ للاستدلال به؛ لعدم شرطيّة البلوغ إن لم نقل بمناسبته مع عدمها،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الجواهر من احتماله كون المبنى فيما تضمّنته النصوص المسندة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ثبوت البلوغ بذلك ولا فرق بينه وبين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احتمال تبرّعي لا دليل عليه، بل الظاهر من تلك الأخبار كون البلوغ إلى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للإدراك والتمييز الكافي في مواردها من الوصيّة والطلاق والقصاص وإقامة الحدود التامّة، لا أنّه أمارة على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الظاهر منها طريقيّة ذلك القدر من العمر للكشف عن الإدراك والتمييز، لا أماريّته على البلوغ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ذكرناه كفاية التمييز في القصاص، وعدم شرطيّة البلوغ فيه؛ قضاءً لإطلاقات القصاص وعموماته، والأخبار الخاصّة من الصحيحة والموثّقة والمرسلة المقطوعة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المسألة من المسائل المهمّة التي جرّت صاحب الجواهر إلى نسبة الخرافة إلى ما في مجمع الفائدة والبرهان، فيما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للترديدفي شرطيّة البلوغ، بل في ميله إلى عدمه مطلقاً، فيما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الجمع بين النصوص بحمل ما دلّ على الاقتصاص منه في صورة القصد، وحمل ما دلّ على عدمه على صورة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القصد، فينبغي، بل لابدّ من نقل ما في الجواهر في المقام وذكر بعد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النقض والإبرام،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فالوجه أنّ عمد الصبيّ خطأ محض يلزم أرشه العاقلة حتّى يبلغ الصبيّ خمس عشرة سنة؛ وفاقاً لمن عرفت، لما سمعت، بل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الروايات مع ضعف سندها شاذّة مخالفة للأُصول الممهّدة، بل لما أجمع عليه المسلمون إلّا مَن شذّ، فلا يلتفت إليها</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كلّ ذلك مضافاً إلى ما مرّ في الحجر</w:t>
      </w:r>
      <w:r>
        <w:rPr>
          <w:rStyle w:val="FootnoteAnchor"/>
          <w:rtl w:val="true"/>
        </w:rPr>
        <w:footnoteReference w:id="831"/>
      </w:r>
      <w:r>
        <w:rPr>
          <w:rFonts w:ascii="Amiri" w:hAnsi="Amiri" w:eastAsia="Amiri" w:cs="Amiri"/>
          <w:color w:val="111111"/>
          <w:sz w:val="28"/>
          <w:sz w:val="28"/>
          <w:szCs w:val="28"/>
          <w:rtl w:val="true"/>
          <w:lang w:bidi="ar-SA"/>
        </w:rPr>
        <w:t>من النصّ والفتوى على عدم حصول البلوغ، إلّا بأماراته المعلومة التي يمكن حمل خبر السكوني</w:t>
      </w:r>
      <w:r>
        <w:rPr>
          <w:rStyle w:val="FootnoteAnchor"/>
          <w:rtl w:val="true"/>
        </w:rPr>
        <w:footnoteReference w:id="832"/>
      </w:r>
      <w:r>
        <w:rPr>
          <w:rFonts w:ascii="Amiri" w:hAnsi="Amiri" w:eastAsia="Amiri" w:cs="Amiri"/>
          <w:color w:val="111111"/>
          <w:sz w:val="28"/>
          <w:sz w:val="28"/>
          <w:szCs w:val="28"/>
          <w:rtl w:val="true"/>
          <w:lang w:bidi="ar-SA"/>
        </w:rPr>
        <w:t>على ما إذا وجد أحدها مع الخمسة، بل وخبر العشر وإن كان نادراً، بل هي كافية في ردّه إن كان مراد القائل تحقّق البلوغ بالعشر وبالخمسة أشبار، ضرورة قصورها عن تخصيصها بها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أنّه صبيّ يُقتصّ منه، فقد عرفت قصورها عن تقييد ما دلّ على أنّ عمده خطأٌ </w:t>
      </w:r>
      <w:r>
        <w:rPr>
          <w:rStyle w:val="FootnoteAnchor"/>
          <w:rtl w:val="true"/>
        </w:rPr>
        <w:footnoteReference w:id="833"/>
      </w:r>
      <w:r>
        <w:rPr>
          <w:rFonts w:ascii="IRNazanin" w:hAnsi="IRNazanin" w:eastAsia="IRNazanin"/>
          <w:color w:val="111111"/>
          <w:sz w:val="28"/>
          <w:sz w:val="28"/>
          <w:szCs w:val="28"/>
          <w:rtl w:val="true"/>
          <w:lang w:bidi="fa-IR"/>
        </w:rPr>
        <w:t>منوجوه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وسوسة الأردبيلي</w:t>
      </w:r>
      <w:r>
        <w:rPr>
          <w:rStyle w:val="FootnoteAnchor"/>
          <w:rtl w:val="true"/>
        </w:rPr>
        <w:footnoteReference w:id="834"/>
      </w:r>
      <w:r>
        <w:rPr>
          <w:rFonts w:ascii="Amiri" w:hAnsi="Amiri" w:eastAsia="Amiri" w:cs="Amiri"/>
          <w:color w:val="111111"/>
          <w:sz w:val="28"/>
          <w:sz w:val="28"/>
          <w:szCs w:val="28"/>
          <w:rtl w:val="true"/>
          <w:lang w:bidi="ar-SA"/>
        </w:rPr>
        <w:t xml:space="preserve">في الحكم المزبور من تخصيص القرآن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الكريم والأخبار المتواترة بالإجماع وأخبار الآحاد، مع أنّ بناء الفقه عليه، ومن احتمال اختصاص حديث رفع القلم</w:t>
      </w:r>
      <w:r>
        <w:rPr>
          <w:rStyle w:val="FootnoteAnchor"/>
          <w:rtl w:val="true"/>
        </w:rPr>
        <w:footnoteReference w:id="835"/>
      </w:r>
      <w:r>
        <w:rPr>
          <w:rFonts w:ascii="Amiri" w:hAnsi="Amiri" w:eastAsia="Amiri" w:cs="Amiri"/>
          <w:color w:val="111111"/>
          <w:sz w:val="28"/>
          <w:sz w:val="28"/>
          <w:szCs w:val="28"/>
          <w:rtl w:val="true"/>
          <w:lang w:bidi="ar-SA"/>
        </w:rPr>
        <w:t>بغير القصاص الذي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القلم الوضعي الذي لم يرفع عن الصبيان، ولذا يضمن لو أتلف مال الغير، ومن احتمال الجمع بين النصوص بحمل ما دلّ على الاقتصاص منه في صورة القصد، وحمل ما دلّ على عدمه على صورة عدم القصد، والكلّ كما ترى، كاد يكون خرافة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من ذلك أنّه غير موافق لما هو المعلوم من احتياطه وتقدّسه المانعين من التهجّم على الدماء بمثل ذلك، خصوصاً بعد عدم الموافق له على ما ذكره من القصاص من الصبيّ مطلقاً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ابن زهرة أنّ ظاهر القرآن الاقتصاص من الصغير</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والموجود في غنيته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شروط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القاتل بالغاً كامل العقل، فإنّ حكم العمد ممّن ليست هذه حاله حكم الخطأ بدليل إجماع الطائفة،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المقتول مجنوناً بلا خلاف،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صغيراً على خلاف بينهم، وظاهر القرآن يقتضي الاستقادةبه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ونحوها عن عبارة السرائر،</w:t>
      </w:r>
      <w:r>
        <w:rPr>
          <w:rStyle w:val="FootnoteAnchor"/>
          <w:rtl w:val="true"/>
        </w:rPr>
        <w:footnoteReference w:id="838"/>
      </w:r>
      <w:r>
        <w:rPr>
          <w:rFonts w:ascii="Amiri" w:hAnsi="Amiri" w:eastAsia="Amiri" w:cs="Amiri"/>
          <w:color w:val="111111"/>
          <w:sz w:val="28"/>
          <w:sz w:val="28"/>
          <w:szCs w:val="28"/>
          <w:rtl w:val="true"/>
          <w:lang w:bidi="ar-SA"/>
        </w:rPr>
        <w:t xml:space="preserve">وهما صريحان في خلاف ذلك، وإنّما استند إلى ظاهر القرآن فيما إذا قتله البالغ، لا فيما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أبي بصير</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في مسألة اشتراك الرجل والمرأة في القتل، المتضمّن أنّ خطأ المرأة والغلام عمد جواب السؤال عن الغلام لم يدرك وامرأة قتلا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محمول على قضيّة في واقعة يعلم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حالها، وأنّ الغلام فيها مدرك، وأنّهما تعمّدا القتل، أو 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فالمسألة خالية من الإشكال على وجه لا يشكلها أمثال هذه النصوص المحتملة وجوهاً عديدة مع شذوذها والإعراض عنها</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انتهى كلامه رفع في الخلد مقام من سبقه المقدّس الأردبيلي ومقامه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موارد للإشكال والمناقشة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تسليمه تماميّة ما في المسالك من نسبة الروايات إلى الضعف وغيره، مع عدم تماميّة النسبة في جلّها بل في كلّها لا سيّما الأخير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تلك الأخبار رواية السكوني وهي موثّقة على التحقيق، ورواية أبي بصير وهي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نسبة الشذوذ إليها مع ما في اللثام من حكاية العمل بالموثّقة عنالشيخين والصدوق وجماعة، ومع ما في المسالك حكاية عمل الصدوق والمفيد كما ترى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المخالفة مع الأُصول الممهّدة، فتلك الأُصول غير بيّنة ولا مبيّنة في كلامه، فكيف يصح الحكم والإذعان الجزمي بالمخالفة؟ فتأ‌مّل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كلامه من حمل خبر السكوني، بل وخبر العشر، على ما إذا وجد معهما إحدى أمارات البلوغ وعلائمه وإن كان نادراً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حمل تبرّعي بعيدٌ جدّاً؛ لعدم الخصوصيّة لهما في ذلك، فإنّه على ذلك، تلك الأمارات والعلائم أمارات البلوغ وعلائمه كلّما تحقّقت كانت مع خمسة أشبار أو مضيّ عشر سنين، أو لم تكن معهما مثل ما كانت مع ثلاثة أشبار أو مضيّ سبع سنين من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في خبر السكوني وخبر العشر لا خصوصيّة لهما، ولم يبق لمثل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لم يكن يبلغ خمسة أشبار قضى بالدية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موجّهاً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الحمل لا خصوصيّة لما في الخبرين، وذلك مخالف للظاهر جدّاً، فإنّ الظاهر عرفاً في القيود المأخوذة لا سيّما العدد منها القيديّة والخصوصيّة، واللازم في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قصور تلك الأخبار؛ لتقييد ما دلّ على أنّ عمد الصبيّ خطأ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قابلة للتقييد كما بيّناه على تسليم دلالته على أنّ عمده في القتل خطأ، لكنّه قد مرّ منع دلالته على ذلك وحقّقناه بما لا مزيد عليه، فلا تغفل وكن على ذكر ممّا ذكرناه يفيدك في غير واحد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بعد نقل ما كان سبباً لوسوسة الأردبيلي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المزبور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 كما ترى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مراجعة المجمع والدقّة في عباراته قاضية وحاكمة بما في مطالبه من الدقّة والمتانة المختصّة به، وكم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الكتاب من المطالب الدقيقة الموجبة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عاقل ثمّ خولط وذهب عقله لم يسقط عنه القود؛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للفتاوى النادرة المطابقة مع الكتاب والسنّة القائمة، فجزاه الله عن الإسلام خيراً وحشرنا الله معه، ومع مثل صاحب الجواهر من العلماء المحقّقين، ومع مثل سيّدنا الأُستاذ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الفقهاء المتّقين الموفّقين،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صحيح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على قضيّة في واقعة يعلم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إلى آخره،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 كذلك حمل لما هو كالصريح أو الصريح، ففيه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غلام لم يدرك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 التصريح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يُحمل على أنّ الغلام فيها 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 أنّ مقتضى عموم الكبرى الكلّية فيها،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خطأ المرأة والغلام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بيان لضابطة كلّية، ولا يضرّها القول بكون مورد السؤال قضيّة 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جيّداً، ووكّل الأمر في القضاء بين هذين العلمين في أزيد من ذلك إلى الله العالم الخبير، وفيما ذكرناه لنا كفاية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إلّا من العامّة، حيث منع بعضهم من الاقتصاص حال الجنون، وآخرون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 حين قُدّم للقصاص اقتُصّ منه، وإن جَنّ قبله لم يقتصّ منه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والدليل على القصاص إطلاقاته وعموماته، وخبر بريد بن معاوية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عمداً فلم يقم عليه الحدّ ولم تصحّ الشهادة عليه حتّى خولط وذهب عقله، ثمّ إنّ قوماًآخرين شهدوا عليه بعد ما خولط أنّه قتله؟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شهدوا عليه أنّه قتله حين قتله وهو صحيح ليس به علّة من فساد عقل قتل به، وإن لم يشهدوا عليه بذلك، وكان له مال يعرف دفع إلى ورثة المقتول الدية من مال القاتل، وإن لم يكن له مال اُعطي الدية من بيت المال، ولا يبطل </w:t>
      </w:r>
    </w:p>
    <w:p>
      <w:pPr>
        <w:pStyle w:val="BookText"/>
        <w:rPr/>
      </w:pPr>
      <w:r>
        <w:rPr>
          <w:rFonts w:ascii="Amiri" w:hAnsi="Amiri" w:eastAsia="Amiri" w:cs="Amiri"/>
          <w:color w:val="111111"/>
          <w:sz w:val="28"/>
          <w:sz w:val="28"/>
          <w:szCs w:val="28"/>
          <w:rtl w:val="true"/>
          <w:lang w:bidi="ar-SA"/>
        </w:rPr>
        <w:t>سواء ثبت القتل بالبيّنة أو بإقراره حال صحّته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الرشد بالمعنى المعهود في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قتل بالغ</w:t>
      </w:r>
    </w:p>
    <w:p>
      <w:pPr>
        <w:pStyle w:val="BookText"/>
        <w:rPr/>
      </w:pPr>
      <w:r>
        <w:rPr>
          <w:rFonts w:ascii="IRNazanin" w:hAnsi="IRNazanin" w:eastAsia="IRNazanin"/>
          <w:color w:val="111111"/>
          <w:sz w:val="28"/>
          <w:sz w:val="28"/>
          <w:szCs w:val="28"/>
          <w:rtl w:val="true"/>
          <w:lang w:bidi="fa-IR"/>
        </w:rPr>
        <w:t>دم امرءٍ مسلم</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وضعف الحديث بجهالة خضر الصيرفي منجبر بعمل الأصحاب وبموافقته مع الكتاب والسنّة والعقل، وبكونه منقولاً عن المشايخ الثلاثة في الفقيه</w:t>
      </w:r>
      <w:r>
        <w:rPr>
          <w:rStyle w:val="FootnoteAnchor"/>
          <w:rtl w:val="true"/>
        </w:rPr>
        <w:footnoteReference w:id="842"/>
      </w:r>
      <w:r>
        <w:rPr>
          <w:rFonts w:ascii="Amiri" w:hAnsi="Amiri" w:eastAsia="Amiri" w:cs="Amiri"/>
          <w:color w:val="111111"/>
          <w:sz w:val="28"/>
          <w:sz w:val="28"/>
          <w:szCs w:val="28"/>
          <w:rtl w:val="true"/>
          <w:lang w:bidi="ar-SA"/>
        </w:rPr>
        <w:t>والكافي</w:t>
      </w:r>
      <w:r>
        <w:rPr>
          <w:rStyle w:val="FootnoteAnchor"/>
          <w:rtl w:val="true"/>
        </w:rPr>
        <w:footnoteReference w:id="843"/>
      </w:r>
      <w:r>
        <w:rPr>
          <w:rFonts w:ascii="Amiri" w:hAnsi="Amiri" w:eastAsia="Amiri" w:cs="Amiri"/>
          <w:color w:val="111111"/>
          <w:sz w:val="28"/>
          <w:sz w:val="28"/>
          <w:szCs w:val="28"/>
          <w:rtl w:val="true"/>
          <w:lang w:bidi="ar-SA"/>
        </w:rPr>
        <w:t>والتهذيب</w:t>
      </w:r>
      <w:r>
        <w:rPr>
          <w:rStyle w:val="FootnoteAnchor"/>
          <w:rtl w:val="true"/>
        </w:rPr>
        <w:footnoteReference w:id="844"/>
      </w:r>
      <w:r>
        <w:rPr>
          <w:rFonts w:ascii="Amiri" w:hAnsi="Amiri" w:eastAsia="Amiri" w:cs="Amiri"/>
          <w:color w:val="111111"/>
          <w:sz w:val="28"/>
          <w:sz w:val="28"/>
          <w:szCs w:val="28"/>
          <w:rtl w:val="true"/>
          <w:lang w:bidi="ar-SA"/>
        </w:rPr>
        <w:t>من الكتب الأربعة المعتمدة،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بالأصل، بمعنى الاستصحاب غير تامّ؛ لكون الشبهة حكميّة، وفي العمومات والإطلاقات كفاية، ولا احتياج إلى الأصل ولا إلى خبر بريد أيضاً وإن كان حجّة،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خلاف العامّة مع ما ذكر من الدليل 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للإطلاق، وإنّما السقوط بإسقاط الوليّ، وهذا بخلاف الرجم الثابت بالزنا، فإنّه لو ثبت الزنا الموجب له بالإقرار، ثمّ جَنّ لم يرجم؛ لدرئ الحدود بالشبهة، ولكون البناء فيها على التخفيف، ولسقوطه بإنكاره إقراره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بالإنكار بعد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أقررتُ أو كانإقراري فاسداً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رشيد فعليه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عن التحرير</w:t>
      </w:r>
      <w:r>
        <w:rPr>
          <w:rStyle w:val="FootnoteAnchor"/>
          <w:rtl w:val="true"/>
        </w:rPr>
        <w:footnoteReference w:id="845"/>
      </w:r>
      <w:r>
        <w:rPr>
          <w:rFonts w:ascii="Amiri" w:hAnsi="Amiri" w:eastAsia="Amiri" w:cs="Amiri"/>
          <w:color w:val="111111"/>
          <w:sz w:val="28"/>
          <w:sz w:val="28"/>
          <w:szCs w:val="28"/>
          <w:rtl w:val="true"/>
          <w:lang w:bidi="ar-SA"/>
        </w:rPr>
        <w:t>من اشتراط الرشد مع البلوغ لا وجه له، إلّا أن يريد به كمال العقل لا الرشد بالمعنى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ونفيه الوجه له باعتبار عدم الدليل عليه في القصاص، بل إطلاقات القصاص دليل على عدم الشرطيّة، وذلك بخلاف باب العقود والأموال ممّا دلّ الكتاب على اشتراط الرشد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القول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قوّة وتحقيق، وتوضيح ذلك يتوقّف على بيان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الرشد في كلّ أمر من الأُمور مقابل للسفاهة فيه، فالرشد في التجارة مقابل للسفاهة فيها، وفي النكاح للسفاهة فيه، وهكذا في بقيّة الأُمور، فإنّه ليس للرشد إلّا معنى واحد ومفهوم واحد مقابل للسفاهة، وذلك المفهوم تختلف مصاديقه باختلاف الموارد، كما هو أوضح من أن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في القصاص على ما في كتاب الله تعالى الحياة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 يَا أُولِي الأَلْبَابِ</w:t>
      </w:r>
      <w:r>
        <w:rPr>
          <w:rStyle w:val="FootnoteAnchor"/>
          <w:rtl w:val="true"/>
        </w:rPr>
        <w:footnoteReference w:id="847"/>
      </w:r>
      <w:r>
        <w:rPr>
          <w:rFonts w:ascii="Amiri" w:hAnsi="Amiri" w:eastAsia="Amiri" w:cs="Amiri"/>
          <w:color w:val="111111"/>
          <w:sz w:val="28"/>
          <w:sz w:val="28"/>
          <w:szCs w:val="28"/>
          <w:rtl w:val="true"/>
          <w:lang w:bidi="ar-SA"/>
        </w:rPr>
        <w:t>وذلك لكون القصاص مانعاً لمريد القتل من القتل؛ خوفاً منه، فالعلّة في الحقيقة خوف المريد للقتل من القصاص، ومن المعلوم في تحقّق الحياة، والعلّة لزوم كون القاتل مدركاً لعواقب قتله وقصاصه به، وإلّا فمع عدم إدراكه ذلك لا يكون القصاص مانعاً ورادعاً،ولا تكون العلّة التي يدور الحكم مدارها متحقّقة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فلا قصاص مع عدم ذلك الإدراك من القاتل؛ لعدم العلّة، والمعلول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الوليّ والجاني بعد بلوغه أو بعد إفاقته، فقال الوليّ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قتلته حال بلوغك أو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 الجاني، فالقول قول الجاني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تثبت الدية في مالهما بإقرارهما لا العاقلة؛ من غير فرق بين الجهل بتاريخهما أو بتاريخ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فرض الاختلاف في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الاختلاف في عروض الجنون، فيمكن الفرق بين ما إذا كان القتل معلوم التاريخ، وشكّ في تاريخ عروض الجنون، فالقول قول الوليّ، وبين سائر الصور فالقول قول الجاني، ولو لم يعهد للقاتل حال جنون فالظاهر أنّ القول قول الوليّ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يدور مدارها وجوداً وكمّيةً وكيفيّة،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الأمرين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القاتل السفيه وغير الرشيد في القتل وعواقبه، بمعنى عدم إدراكه، وعدم التفاته إلى عقوبة القصاص، وبمعنى أنّ إدراكه ليس بأزيد من كون القتل عمداً مذموماً، جزاؤه عدد من الضربات والجلدات، ليس في قصاصه حياة ولا سببيّة، لخوف أمثاله من القتل؛ لأنّهم غير ملتفتين إلى القصاص، ولا يصير القصاص سبباً لخوفهم من القتل، فعلّة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متحقّقة في قصاصهم، فلابدّ من عدم المعلول، أي عدم جواز القصاص، ولعلّ ذلك مراد الشرائع </w:t>
      </w:r>
      <w:r>
        <w:rPr>
          <w:rStyle w:val="FootnoteAnchor"/>
          <w:rtl w:val="true"/>
        </w:rPr>
        <w:footnoteReference w:id="848"/>
      </w:r>
      <w:r>
        <w:rPr>
          <w:rFonts w:ascii="Amiri" w:hAnsi="Amiri" w:eastAsia="Amiri" w:cs="Amiri"/>
          <w:color w:val="111111"/>
          <w:sz w:val="28"/>
          <w:sz w:val="28"/>
          <w:szCs w:val="28"/>
          <w:rtl w:val="true"/>
          <w:lang w:bidi="ar-SA"/>
        </w:rPr>
        <w:t>من كمال العقل في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وبيّنه في المسألة تامّ وواضح، وغير محتاج إلى الشرح</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فيه من إمكان الفرق في فرض الاختلاف في عروض الجنون لا بيّن ولا مبيّن، فالحقّ عدم الفرق بينه وبين بقيّة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bookmarkStart w:id="200" w:name="pg9428_72568"/>
    </w:p>
    <w:p>
      <w:pPr>
        <w:pStyle w:val="BookText"/>
        <w:rPr/>
      </w:pPr>
      <w:bookmarkEnd w:id="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الجاني صغره فعلاً وكان ممكناً في حقّه، فإن أمكن إثبات بلوغه فهو، وإلّا فالقول قوله بلا يمين، ولا أثر لإقراره بالقتل، إلّا بعد زمان العلم ببلوغه وبقائه على الإقرار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البالغ الصبيّ قتل به على الأشبه؛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5797533_2870459653"/>
      <w:bookmarkStart w:id="202" w:name="_Toc67"/>
      <w:bookmarkEnd w:id="201"/>
      <w:r>
        <w:rPr>
          <w:rtl w:val="true"/>
        </w:rPr>
        <w:t>قصاص القاتل بقتل الصبيّ</w:t>
      </w:r>
      <w:bookmarkEnd w:id="2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المشهور نقلاً وتحصيلاً، وفي الجواهر</w:t>
      </w:r>
      <w:r>
        <w:rPr>
          <w:rStyle w:val="FootnoteAnchor"/>
          <w:rtl w:val="true"/>
        </w:rPr>
        <w:footnoteReference w:id="849"/>
      </w: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هو المذهب، وفي محكيّ السرائر</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هو الأظهر بين أصحابنا، والمعمول عليه عند المحصّلين منهم، بل لم أجد فيه خلافاً بين المتأخّرين من الأصحاب ولا بين قدمائهم، عدا ما يحكى عن أبي الصلاح الحلبي</w:t>
      </w:r>
      <w:r>
        <w:rPr>
          <w:rStyle w:val="FootnoteAnchor"/>
          <w:rtl w:val="true"/>
        </w:rPr>
        <w:footnoteReference w:id="852"/>
      </w:r>
      <w:r>
        <w:rPr>
          <w:rFonts w:ascii="Amiri" w:hAnsi="Amiri" w:eastAsia="Amiri" w:cs="Amiri"/>
          <w:color w:val="111111"/>
          <w:sz w:val="28"/>
          <w:sz w:val="28"/>
          <w:szCs w:val="28"/>
          <w:rtl w:val="true"/>
          <w:lang w:bidi="ar-SA"/>
        </w:rPr>
        <w:t>من عدم قتله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فعدم كون المقتول صبيّاً يكون من الشرائط عنده، كعدم كونه مجنوناً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فحجّة المشهور عمومات القصاص وإطلاقاته كتاباً وسنّةً، وخصوص مرسل ابن فضّال،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قتل شيئاً صغيراً أو كبيراً بعد أن يتعمّد فعليه القود</w:t>
      </w:r>
      <w:r>
        <w:rPr>
          <w:rFonts w:eastAsia="IRNazanin" w:cs="IRNazanin"/>
          <w:color w:val="111111"/>
          <w:sz w:val="28"/>
          <w:szCs w:val="28"/>
          <w:rtl w:val="true"/>
          <w:lang w:bidi="fa-IR"/>
        </w:rPr>
        <w:t>».</w:t>
      </w:r>
      <w:r>
        <w:rPr>
          <w:rStyle w:val="FootnoteAnchor"/>
          <w:rtl w:val="true"/>
        </w:rPr>
        <w:footnoteReference w:id="853"/>
      </w:r>
      <w:r>
        <w:rPr>
          <w:rFonts w:ascii="Amiri" w:hAnsi="Amiri" w:eastAsia="Amiri" w:cs="Amiri"/>
          <w:color w:val="111111"/>
          <w:sz w:val="28"/>
          <w:sz w:val="28"/>
          <w:szCs w:val="28"/>
          <w:rtl w:val="true"/>
          <w:lang w:bidi="ar-SA"/>
        </w:rPr>
        <w:t>وضعفه منجبرٌ بما عرفت من الشهرة وغيرها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وحجّة الخلاف عموم الموصول فيما يكون بمنزلة العلّة في صحيح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المرادي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مجنوناً،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المجنون أراده فدفعه عن نفسه فقتله فلا شيء عليه من قود ولا دية، ويعطي ورثته ديته من بيت مال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قتله من غير أن يكون المجنون أراده فلا قود لمن لا يُقاد منه، فأری أنّ على قاتله الدية في ماله يدفعها إلى ورثة المجنون ويستغفر الله ويتوب إليه</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قود لمَن لا يُقاد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عامّ شامل لجميع مصاديقه، وتكون الجملة بياناً لضابطة كلّية، وخصوصيّة المورد غير مضرّة بالإطلاق إن لم تكن مؤ‌يّدة له، كما حقّقناه في محلّه، فإنّ في إعراضه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الجواب المختصّ بمورد السؤال بالجواب عنه على العموم والإطلاق شهادة على العموميّة، وأنّ 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الجواب بيان ضابطة كلّية،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الموصول في الصحيح غير قابل للأخذ ولابدّ من الاقتصار على مورد السؤال فيه؛ لاستلزامه التخصيص الأكثر استهجاناً،فإنّه يقتل الكافر بالمسلم والعبد بالحرّ والابن بالأب، واللازم من العموم في الموصول عدم القتل بعكس الجميع، كما لا يخفى، فقتلهم فيه لابدّ من كونه تخصيصاً لذلك العموم، ويكون لكثرته تخصيصاً مستهجناً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تسليم كون باب الإطلاق كالعموم في الاستهجان، وعلى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تسليم كون التخصيص في تلك الموارد من الكثرة بمرتبة الاستهجان، تلك الموارد خارجة عن العموم تخصّصاً لا تخصيصاً؛ وذلك لأنّ المراد من الموصول المنفيّ فيه القود، القود المطلق لا القود الخاصّ بنوع من الأنواع، حيث إنّ المنفي ماهية القود وطبيعته، وانتفاء الطبيعة بانتفاء جميع الأفراد،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القود في قتل الكافر مختصّ بما كان القاتل مسلماً، وكذلك الأمر في العبد والابن، كما يظهر بالدقّة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عدم القود في قتل الصبيّ أو المجنون فإنّه غير مختصّ بنوع من القتلة، بل حكم عامّ لمطلق من 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ضعف ما في اللثام ، فإنّه بعد نقله خلاف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نظفر له بمستند، والحمل على المجنون قياس، ولا دليل على أنّه لا يقتصّ من الكامل للناقص</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وضعفه ظاهر ممّا ذكرناه، فلا نعيده، فإنّ المستند صحيح أبي بصير</w:t>
      </w:r>
      <w:r>
        <w:rPr>
          <w:rStyle w:val="FootnoteAnchor"/>
          <w:rtl w:val="true"/>
        </w:rPr>
        <w:footnoteReference w:id="856"/>
      </w:r>
      <w:r>
        <w:rPr>
          <w:rFonts w:ascii="Amiri" w:hAnsi="Amiri" w:eastAsia="Amiri" w:cs="Amiri"/>
          <w:color w:val="111111"/>
          <w:sz w:val="28"/>
          <w:sz w:val="28"/>
          <w:szCs w:val="28"/>
          <w:rtl w:val="true"/>
          <w:lang w:bidi="ar-SA"/>
        </w:rPr>
        <w:t>وفيه الكفاية، ومعه لا حاجة إلى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معارض بمرسل ابن فضّال، فعمومات القصاص وإطلاقاته في محلّها وتكون محكّمة؛ لتساقط الخبرين بالتعارض</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غير مكافئ الصحيح من جهة الإرسال تارة،والاختلال في المتن أُخرى، حيث إنّ التعبير عن الإنسان بالشيء بعيدٌ وغير مأنوس في المكالمات، وأنّ الصغير أعمّ من غير البالغ ثالثاً، ومن الاختلاف في نقل الفقيه </w:t>
      </w:r>
      <w:r>
        <w:rPr>
          <w:rStyle w:val="FootnoteAnchor"/>
          <w:rtl w:val="true"/>
        </w:rPr>
        <w:footnoteReference w:id="857"/>
      </w:r>
      <w:r>
        <w:rPr>
          <w:rFonts w:ascii="Amiri" w:hAnsi="Amiri" w:eastAsia="Amiri" w:cs="Amiri"/>
          <w:color w:val="111111"/>
          <w:sz w:val="28"/>
          <w:sz w:val="28"/>
          <w:szCs w:val="28"/>
          <w:rtl w:val="true"/>
          <w:lang w:bidi="ar-SA"/>
        </w:rPr>
        <w:t>مع التهذيب</w:t>
      </w:r>
      <w:r>
        <w:rPr>
          <w:rStyle w:val="FootnoteAnchor"/>
          <w:rtl w:val="true"/>
        </w:rPr>
        <w:footnoteReference w:id="8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قتل شيئاً صغيراً أو كبيراً بعد أن يتعمّد فعليه القود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ومن المحتمل 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فهمه المجلسي الأوّل في روضة المتّقين</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الصغير والكبير صفة للشيء، فيكون مضمونه عدم الفرق في قتل العمد بين أن تكون الآلة كبيرة قتّالة أو صغيرة غير قتّالة، كالحجر الصغير، والترجيح مع نقل الفقيه، وأنّ في نقل التهذيب حصل غلط، وإلّا فالشيء مجرور بالباء، وكأنّ الصغير والكبير مجروران وصفتان له، فعلى هذا لا ارتباط للحديث بمحلّ البحث، كما إنّه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لما كان المختار عدم القود للصغير إذا لم يكن مميّزاً، فعدم قتل البالغ به مختصّ بالصبيّ إذا كان غير مميّز، كما لا يخفى، فإنّه صغرى؛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قود لمن لا يقاد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المعروف من عدم القود في الصبيّ مطلقاً، فعدم قتل البالغ به يكون في مطلق الصبيّ، فإنّه الصغرى لتلك الكبرى على ذلك المبنى،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الفائدة والبرهان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ويقتل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دليل قتل البالغ بغير البالغ عموم الكتاب، والسنّة،</w:t>
      </w:r>
      <w:r>
        <w:rPr>
          <w:rStyle w:val="FootnoteAnchor"/>
          <w:rtl w:val="true"/>
        </w:rPr>
        <w:footnoteReference w:id="861"/>
      </w:r>
      <w:r>
        <w:rPr>
          <w:rFonts w:ascii="IRNazanin" w:hAnsi="IRNazanin" w:eastAsia="IRNazanin"/>
          <w:color w:val="111111"/>
          <w:sz w:val="28"/>
          <w:sz w:val="28"/>
          <w:szCs w:val="28"/>
          <w:rtl w:val="true"/>
          <w:lang w:bidi="fa-IR"/>
        </w:rPr>
        <w:t xml:space="preserve">والإجماع الدالّ على وجوب قصاصالنفس بالنفس،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غير مخصّص صريح في إخراج قتل البالغ الصبيّ من العقل والنقل، وليس عدم تكليفه مانعاً،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صحيحة أبي بصير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قود لمن لا يقاد منه</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عامّ لم يصلح مخصّصاً؛ لعموم ذلك كلّه، لما تقدّم من أنّ الخبر الواحد الصحيح إن سُلّم التخصيص به إنّما يُخصّص إذا كان خاصّاً صريحاً دلالته يقينياً لا ظنيّاً، وظاهر أنّه ليس هنا كذلك، فإنّه يُحتمل أن يكون مخصوصاً بالمجنون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أنّ البحث في المجنون في لزوم الدية في ماله،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وأرى أنّ على عاقلته</w:t>
      </w:r>
      <w:r>
        <w:rPr>
          <w:rStyle w:val="FootnoteAnchor"/>
          <w:rtl w:val="true"/>
        </w:rPr>
        <w:footnoteReference w:id="863"/>
      </w:r>
      <w:r>
        <w:rPr>
          <w:rFonts w:ascii="Amiri" w:hAnsi="Amiri" w:eastAsia="Amiri" w:cs="Amiri"/>
          <w:color w:val="111111"/>
          <w:sz w:val="28"/>
          <w:sz w:val="28"/>
          <w:szCs w:val="28"/>
          <w:rtl w:val="true"/>
          <w:lang w:bidi="ar-SA"/>
        </w:rPr>
        <w:t>الدية في ماله يدفعها إلى ورثة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أبا بصير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86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الواحد بما هو حجّة مخصّص لعموم الكتاب الذي هو حجّة مثله، من دون الفرق بين النصّ والظهور، وكيف الفرق مع بناء العقلاء على تخصيص العامّ بالخاصّ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الفرق مع أنّ سيرة الفقهاء على التخصيص مطلقاً؟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مراده من التفصيل التفصيل بين الظنّ واليقين في تخصيص العامّ الكتابي بعدم جوازه بالأوّل دون الثاني، حتّى يرد عليه ما ذكرت من عدم الفرق ووجود السيرة، بل إنّما يكون تفصيله بين اليقين والظنّ في تخصيص مثل عمومات القصاص في الكتاب ممّا تكون كثيرة محكمة، فإنّ الاكتفاء وإن كان في تخصيصه بالظنّ حجّة في نفسه غير صحيح؛ لعدم إحراز بناء العقلاء في التخصيص كذلك فضلاً عن إحراز عدمه، كما مرّ تحقيقه في أمثال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مع أنّ ظهور الموصول في العموم غير ثابت مع اختصاص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بعده بالمجنون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وأرى أنّ على قاتله الديه في ماله يدفعها إلى ورثة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كان الموصول عامّاً كان الأنسب بل المتعيّن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الحكم على نحو الكلّي بأن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وأرى أنّ على قاتل من لا يقاد منه الديه في ماله يدفعها إلى ورثة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فتخصيصه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 بالذكر في التفريع على الكبرى الكلّي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إن لم يكن قرينة على عدم العموم في الموصول، فلا أقلّ من كونه صالحاً للقرينيّة ولاحتمال الاختصاص في الموصول، ومعه لا يتمّ الاستدلال، فإنّه إذا جاء الاحتمال بطل الاستدلال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المتن من كون قتل البالغ بالصبيّ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وفي محلّه؛ لكونه موافقاً مع القواعد والعمومات، حتّى على المعروف بين الأصحاب من شرطيّة البلوغ في القصاص، فضلاً عمّا هو المختار من عدمشرطيّته، وإنّما الشرط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والموصول في صحيح أبي بصير لم يثبت ظهوره في العموم حتّى يكون مخصّصاً لهما على الإطلاق على المبنى المعروف بين الأصحاب، وهو عدم القصاص للصغير </w:t>
      </w:r>
    </w:p>
    <w:p>
      <w:pPr>
        <w:pStyle w:val="BookText"/>
        <w:rPr/>
      </w:pPr>
      <w:r>
        <w:rPr>
          <w:rFonts w:ascii="Amiri" w:hAnsi="Amiri" w:eastAsia="Amiri" w:cs="Amiri"/>
          <w:color w:val="111111"/>
          <w:sz w:val="28"/>
          <w:sz w:val="28"/>
          <w:szCs w:val="28"/>
          <w:rtl w:val="true"/>
          <w:lang w:bidi="ar-SA"/>
        </w:rPr>
        <w:t>وإن كان الاحتياط أن لا يختار وليّ المقتول قتله، بل يصالح عنه بالدية،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يقتل العاقل بالمجنون وإن كان أدواريّاً مع كون القتل حال جنونه،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w:t>
      </w:r>
    </w:p>
    <w:p>
      <w:pPr>
        <w:pStyle w:val="BookText"/>
        <w:rPr/>
      </w:pPr>
      <w:r>
        <w:rPr>
          <w:rFonts w:ascii="Amiri" w:hAnsi="Amiri" w:eastAsia="Amiri" w:cs="Amiri"/>
          <w:color w:val="111111"/>
          <w:sz w:val="28"/>
          <w:sz w:val="28"/>
          <w:szCs w:val="28"/>
          <w:rtl w:val="true"/>
          <w:lang w:bidi="ar-SA"/>
        </w:rPr>
        <w:t>وغير البالغ أو في المميّز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الاحتياط ظاهر ممّا مرّ من احتمال العموميّة في الموصول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كما عن الغنية </w:t>
      </w:r>
      <w:r>
        <w:rPr>
          <w:rStyle w:val="FootnoteAnchor"/>
          <w:rtl w:val="true"/>
        </w:rPr>
        <w:footnoteReference w:id="865"/>
      </w:r>
      <w:r>
        <w:rPr>
          <w:rFonts w:ascii="Amiri" w:hAnsi="Amiri" w:eastAsia="Amiri" w:cs="Amiri"/>
          <w:color w:val="111111"/>
          <w:sz w:val="28"/>
          <w:sz w:val="28"/>
          <w:szCs w:val="28"/>
          <w:rtl w:val="true"/>
          <w:lang w:bidi="ar-SA"/>
        </w:rPr>
        <w:t>وغيرها الاعتراف به، بل في كشف اللثام</w:t>
      </w:r>
      <w:r>
        <w:rPr>
          <w:rStyle w:val="FootnoteAnchor"/>
          <w:rtl w:val="true"/>
        </w:rPr>
        <w:footnoteReference w:id="866"/>
      </w:r>
      <w:r>
        <w:rPr>
          <w:rFonts w:ascii="Amiri" w:hAnsi="Amiri" w:eastAsia="Amiri" w:cs="Amiri"/>
          <w:color w:val="111111"/>
          <w:sz w:val="28"/>
          <w:sz w:val="28"/>
          <w:szCs w:val="28"/>
          <w:rtl w:val="true"/>
          <w:lang w:bidi="ar-SA"/>
        </w:rPr>
        <w:t>نسبة قطع الأصحاب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كشف الرموز</w:t>
      </w:r>
      <w:r>
        <w:rPr>
          <w:rStyle w:val="FootnoteAnchor"/>
          <w:rtl w:val="true"/>
        </w:rPr>
        <w:footnoteReference w:id="867"/>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والحجّة قبل الإجماع صحيح أبي بصير،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مجنوناً؟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المجنون أراده فدفعه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شيء عليه من قود ولا دية، ويعطي ورثته ديته من بيت مال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قتله من غير أن يكون المجنون أراده فلا قود لمن لا يقاد منه، وأرى أنّ على قاتله الدية في ماله يدفعها إلى ورثة المجنون، ويستغفر الله ويتوب إليه</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خبر أبي الورد،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رجل حمل عليه رجل مجنون فضربه المجنون ضربة فتناول الرجل السيف من المجنون فضربه فقتله؟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أرى أن لا يُقتل به، ولا يُغرم ديته، وتكون ديته على </w:t>
      </w:r>
    </w:p>
    <w:p>
      <w:pPr>
        <w:pStyle w:val="BookText"/>
        <w:rPr/>
      </w:pPr>
      <w:r>
        <w:rPr>
          <w:rFonts w:ascii="Amiri" w:hAnsi="Amiri" w:eastAsia="Amiri" w:cs="Amiri"/>
          <w:color w:val="111111"/>
          <w:sz w:val="28"/>
          <w:sz w:val="28"/>
          <w:szCs w:val="28"/>
          <w:rtl w:val="true"/>
          <w:lang w:bidi="ar-SA"/>
        </w:rPr>
        <w:t>الدية على القاتل إن كان عمداً أو شبهه،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العاقلة إن كان خطأً محضاً،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المجنون أراده فدفعه عن نفسه، فلا شيء عليه من قود ولا 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ويعطى ورثته الدية من بيت مال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ولا يبطل دمه</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وبالجملة؛ فالحكم مفروغ منه لو كان القاتل أدواريّاً فقتل حال عقله آخر، كذلك حال جنونه؛ عملاً بإطلاق النصّ والفتوى، وإن كان لا يخلو من إشكال احتمال انصراف المجنون المقتول في الصحيح وغيره إلى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وجود الفرق بين الدائم والأدواري في النقص، لكنّ شمول إطلاق الكبرى الكلّية في الصحيح الأدواري لا يخلو من قوّة؛ لعدم القود للمجنون الأدواري حال جنونه بقتله العاقل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ولصحيح أبي بصير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وأرى أنّ على قاتله الدية في ماله يدفعها إلى ورثة المجنون</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للقاعدة المعروفة فيه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دلّ عليه صحيح أبي بصير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فلصحيح أبي بصير،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المجنون أراده فدفعه عن نفسه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 من قود ولا دية، ويعطي ورثته ديته من بيت مال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بل ولخبر أبي الورد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وتكون ديته على الإمام</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فما في المتن من الأحكام للدية ولغيره لا إشكال ولا كلام فيه، وهو على القاعده والنصّ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الكلام في المقام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دم المدفوع هدر، نصّاً وفتوىً، فكيف يوجّه ما في النصّ والفتوى من دية المجنون من بيت المال فيما كان مقتولاً دفاعاً للعاقل عن نفسه حينما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 منصرف عن المدفوع المجنون، ومختصّ بغيره من المتعارف في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تسليم منع الانصراف، فعموم ذلك الهدر مخصّص في المقام بالخبرين، فلا إشكال في المسألة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الخبرين تعارضاً واختلافاً في محل الدية، 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على بيت مال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خبر أبي الورد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المعلوم أنّ ما في بيت المال من الزكوات والخراجات لمصالح المسلمين، وما للإمام كالخمس فهو 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القود على السكران الآثم في شرب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به عن العمد والاختيار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وعونه لدينه وعياله، فكيف الجمع بين الحديثين؟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الجمع بإرادة التأدية والتنفيذ على الإمام في خبر أبي الورد، وبكون محلّه من بيت المال في الصحيح، فكأنّ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عهدة الإمام التنفيذ، فإنّه الحاكم والتنفيذ عليه، وتأدية ديته من بيت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يمكن الجمع بالعكس، بكون المراد أنّ الدية على الإمام؛ أي في ماله، لكنّه مع ذلك على بيت المال باعتبار كونه محلاً لأمواله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الجمع الأوّل أولى، بل متعيّن؛ قضاءً لوظيفة الإمام الحاكم المنفّذ للشرائع والقوانين، بل لا قائل بالثاني،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للمقدّس الأردبيلي هنا نكتة ينبغي نقلها وبيانها، ففي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بدفعها إلى ورثة المجنون كونها من متروكات المجنون، يخرج منها الديون والوصايا إن كان، ثمّ القسمة بين من يرث الدية</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هذا لبيان أنّ دفع الدية إلى الورثة ليس من جهة استحقاقهم لها بما هي هي، بل الدفع من باب دفع تركة الميّت إلى وارثه، فاللازم منه إخراج الديون والوصايا منها، كما أنّ استحقاقهم لها لما كان من باب الإرث، فالديون والوصايا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 وانظر إلى الدقّة في الفقه، وكم له في المجمع من هذه الدقائق؟ فعليك بمراجعته في كلّ ما فيه من المباحثوالكتب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المتن شبيهة لما في الجواهر ، ففيه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ثبوت القود على السكران الآثم في سكره تردّد وخلاف، ولكنّ </w:t>
      </w:r>
      <w:bookmarkStart w:id="203" w:name="pg9428_72588"/>
    </w:p>
    <w:p>
      <w:pPr>
        <w:pStyle w:val="BookText"/>
        <w:rPr/>
      </w:pPr>
      <w:bookmarkEnd w:id="203"/>
      <w:r>
        <w:rPr>
          <w:rFonts w:ascii="IRNazanin" w:hAnsi="IRNazanin" w:eastAsia="IRNazanin"/>
          <w:color w:val="111111"/>
          <w:sz w:val="28"/>
          <w:sz w:val="28"/>
          <w:szCs w:val="28"/>
          <w:rtl w:val="true"/>
          <w:lang w:bidi="fa-IR"/>
        </w:rPr>
        <w:t>والأقرب الأحوط عدم القود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الثبوت أشبه؛ وفاقاً للأكثر، كما في المسالك</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بل قد يظهر من غاية المراد</w:t>
      </w:r>
      <w:r>
        <w:rPr>
          <w:rStyle w:val="FootnoteAnchor"/>
          <w:rtl w:val="true"/>
        </w:rPr>
        <w:footnoteReference w:id="875"/>
      </w:r>
      <w:r>
        <w:rPr>
          <w:rFonts w:ascii="Amiri" w:hAnsi="Amiri" w:eastAsia="Amiri" w:cs="Amiri"/>
          <w:color w:val="111111"/>
          <w:sz w:val="28"/>
          <w:sz w:val="28"/>
          <w:szCs w:val="28"/>
          <w:rtl w:val="true"/>
          <w:lang w:bidi="ar-SA"/>
        </w:rPr>
        <w:t>نسبته إلى الأصحاب، مشعراً بالإجماع عليه، بل في الإيضاح</w:t>
      </w:r>
      <w:r>
        <w:rPr>
          <w:rStyle w:val="FootnoteAnchor"/>
          <w:rtl w:val="true"/>
        </w:rPr>
        <w:footnoteReference w:id="876"/>
      </w:r>
      <w:r>
        <w:rPr>
          <w:rFonts w:ascii="Amiri" w:hAnsi="Amiri" w:eastAsia="Amiri" w:cs="Amiri"/>
          <w:color w:val="111111"/>
          <w:sz w:val="28"/>
          <w:sz w:val="28"/>
          <w:szCs w:val="28"/>
          <w:rtl w:val="true"/>
          <w:lang w:bidi="ar-SA"/>
        </w:rPr>
        <w:t>دعواه صريحاً عليه، ناسباً له مع ذلك إلى النصّ، ذكر ذلك في مسألة شارب المرقد والمبنج</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منشأ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انتفاء العمد والقصد فيه والاحتياط في الدم فلا قود عليه، ومن أنّه كالصاحي في تعلّق الأحكام، فإنّ الامتناع بالاختيار لا ينافي الاختيار، فهو من الخارج عن الاختيار بسوء اختياره، المعامل معه معاملة المختار في إجراء الأحكام، حتّى طلاق زوجته وغيره من الأحكام فعليه القود</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5797535_2870459653"/>
      <w:bookmarkStart w:id="205" w:name="_Toc68"/>
      <w:bookmarkEnd w:id="204"/>
      <w:r>
        <w:rPr>
          <w:rtl w:val="true"/>
        </w:rPr>
        <w:t>ثبوت القود على السكران</w:t>
      </w:r>
      <w:bookmarkEnd w:id="2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الأقرب القود، والحجّة على ذلك وجوهٌ أربعة مؤيّدة ومعتضدة بالإجماع المصرّح به في الإيضاح،</w:t>
      </w:r>
      <w:r>
        <w:rPr>
          <w:rStyle w:val="FootnoteAnchor"/>
          <w:rtl w:val="true"/>
        </w:rPr>
        <w:footnoteReference w:id="878"/>
      </w:r>
      <w:r>
        <w:rPr>
          <w:rFonts w:ascii="Amiri" w:hAnsi="Amiri" w:eastAsia="Amiri" w:cs="Amiri"/>
          <w:color w:val="111111"/>
          <w:sz w:val="28"/>
          <w:sz w:val="28"/>
          <w:szCs w:val="28"/>
          <w:rtl w:val="true"/>
          <w:lang w:bidi="ar-SA"/>
        </w:rPr>
        <w:t>والمشعر به في غاية المراد،</w:t>
      </w:r>
      <w:r>
        <w:rPr>
          <w:rStyle w:val="FootnoteAnchor"/>
          <w:rtl w:val="true"/>
        </w:rPr>
        <w:footnoteReference w:id="879"/>
      </w:r>
      <w:r>
        <w:rPr>
          <w:rFonts w:ascii="Amiri" w:hAnsi="Amiri" w:eastAsia="Amiri" w:cs="Amiri"/>
          <w:color w:val="111111"/>
          <w:sz w:val="28"/>
          <w:sz w:val="28"/>
          <w:szCs w:val="28"/>
          <w:rtl w:val="true"/>
          <w:lang w:bidi="ar-SA"/>
        </w:rPr>
        <w:t>كما عرفت من عبارة الجواهر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القصاص وإطلاقاته لا سيّما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قُتِلَمَظْلُوماً فَقَدْ جَعَلْنَا لِوَلِيِّهِ سُلْطَاناً فَلَا يُسْرِفْ فِي الْقَتْلِ</w:t>
      </w:r>
      <w:r>
        <w:rPr>
          <w:rFonts w:ascii="IRNazanin" w:hAnsi="IRNazanin" w:eastAsia="IRNazanin"/>
          <w:color w:val="111111"/>
          <w:sz w:val="28"/>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وَلَكُمْ فِي القِصَاصِ</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حَياةٌ يا أُولي الأَلبَابِ</w:t>
      </w:r>
      <w:r>
        <w:rPr>
          <w:rFonts w:ascii="IRNazanin" w:hAnsi="IRNazanin" w:eastAsia="IRNazanin"/>
          <w:color w:val="111111"/>
          <w:sz w:val="28"/>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 xml:space="preserve">فأيّ قاتل أظلم ممّن شرب الخمر حراماً ولذّة ولهواً وصار سكراناً فقتل نفساً محترمة،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طريقه إلى المسجد لأداء الصلاة أو في طريق أو أمر آخر من دون اعتراض أو مهاجمة لذلك السكران القاتل؟ وأيّ مظلوم يكون مثل ذلك المقتول في المظلوميّة؟ وهل يُتصوّر أن لا يجعل الله الحكيم تعالى ولاية لوليّه في القصاص، ويكتفي الشرع بالدية والمال؟ وهل لا يكون لمثله الموت والقود عوضاً عن الحياة؟ 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قوم يشربون فيسكرون فيتباعجون</w:t>
      </w:r>
      <w:r>
        <w:rPr>
          <w:rStyle w:val="FootnoteAnchor"/>
          <w:rtl w:val="true"/>
        </w:rPr>
        <w:footnoteReference w:id="882"/>
      </w:r>
      <w:r>
        <w:rPr>
          <w:rFonts w:ascii="IRNazanin" w:hAnsi="IRNazanin" w:eastAsia="IRNazanin"/>
          <w:color w:val="111111"/>
          <w:sz w:val="28"/>
          <w:sz w:val="28"/>
          <w:szCs w:val="28"/>
          <w:rtl w:val="true"/>
          <w:lang w:bidi="fa-IR"/>
        </w:rPr>
        <w:t xml:space="preserve">بسكّاكين كانت معهم، فرفعوا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فسجنهم فمات منهم رجلان وبقي رجلان، فقال أهل المقتولين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أقدهما بصاحبينا،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نرى أن تقيدهما،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 ذينك اللذين ماتا قتل كلّ واحد منهما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ندري،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أجعل دية المقتولين على قبائل الأربعة، وآخذ دية جراحة الباقين من دية المقتولين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إسماعيل بن الحجّاج بن أرطاة، عن سمّاك بن حرب، عن عبيدالله بن أبي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أنارابعهم، فقضى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القضيّة فينا</w:t>
      </w:r>
      <w:r>
        <w:rPr>
          <w:rFonts w:eastAsia="IRNazanin" w:cs="IRNazanin"/>
          <w:color w:val="111111"/>
          <w:sz w:val="28"/>
          <w:szCs w:val="28"/>
          <w:rtl w:val="true"/>
          <w:lang w:bidi="fa-IR"/>
        </w:rPr>
        <w:t>.</w:t>
      </w:r>
      <w:r>
        <w:rPr>
          <w:rStyle w:val="FootnoteAnchor"/>
          <w:rtl w:val="true"/>
        </w:rPr>
        <w:footnoteReference w:id="883"/>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جواب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المقتولين الذين يريدون قصاص الرجلين الباقين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 ذينك اللذين 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الظاهر في أنّ عدم القود للباقين إنّما هو لعدم العلم دلالة مفهوميّة على ثبوت القود عليهما مع إحراز كونهما قاتلين، وإن كانا سكرانين، فمفهوم الحديث عدم كون السكر مانعاً عن القصاص، وأنّ على السكران القصاص، كما على غيره من القتلة، والمفهوم حجّة كالمنطوق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المسالك وغيره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الشارع لم يعذر السكران مطلقاً، بل نزّله منزلة الصاحي</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وذلك لما عليه من مثل قضاء الصلاة، ومن صحّة أقاريره على نفسه، وصحّة طلاقه وغيرها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الثالث؛ الاستقراء وإلغاء الخصوصيّة من الموارد؛ لكثرتها، فالحكم بجريان تلك الأحكام على السكران إنّما هو بما هو سكران، لا لخصوصيّته في تلك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وعدم المانع، أمّا عدم الثاني؛ فلعدم الإشكال والكلام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فلأنّ العمد والقصد الذي يكون من شرائط القصاص وإن كان غير موجود في السكران، كما هو المفروض، إلّا أنّ الامتناع بالاختيار لا ينافي الاختيار تكليفاً وملاكاً أو ملاكاً فقط</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كيفما كان، لا يكون سكره الناشئ عن المعصية والإثم عذراً رافعاً للقصاص والقود إن لم نقل بكونه متأكّداً له، 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شرطيّة العمد منصرفة عن العاصي والناقض للشرع والقانون، فإنّ الشارع لايحمي بشرعه الناقض له، والمولى الحكيم لا يجعل العاصي معافاً عن الجزاء والقصاص الذي فيه الحياة، 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يمكن ذلك له عقلاً؛ لكونه سبباً للتجرّي على المعصية،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عدم تماميّة ما استُدلّ به؛ لعدم القصاص بعدم العمد وبالاحتياط 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فلا محلّ له مع الدليل، وأمّا أوّلهما، مع أنّه اجتهاد في مقابل النصّ، غير مضرّ؛ لأنّ الامتناع بالاختيار لا ينافي الاختيار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أربعة شربوا مسكراً فأخذ بعضهم على بعض السلاح فاقتتلوا، فقُتِل اثنان وجُرِح اثنان، فأمر المجروحين فضرب كلّ واحد منهما ثمانين جلدة، وقضى بدية المقتولين على المجروحين، وأمر أن یقاس جراحة المجروحين فترفع من الدية، فإن مات المجروحان فليس على أحد من أولياء المقتولين شيء</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بما أنّ في هذه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المشابهة مورداً مع موثّقة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ثلاثة مخالفة للقواعد والضوابط، فلا يصحّ الاعتماد عليها بجعلها معارضاً للموثّقة كما سيأتي توضيحه، أو مؤ‌يّدة له، كما يظهر من الجواهر؛</w:t>
      </w:r>
      <w:r>
        <w:rPr>
          <w:rStyle w:val="FootnoteAnchor"/>
          <w:rtl w:val="true"/>
        </w:rPr>
        <w:footnoteReference w:id="886"/>
      </w:r>
      <w:r>
        <w:rPr>
          <w:rFonts w:ascii="Amiri" w:hAnsi="Amiri" w:eastAsia="Amiri" w:cs="Amiri"/>
          <w:color w:val="111111"/>
          <w:sz w:val="28"/>
          <w:sz w:val="28"/>
          <w:szCs w:val="28"/>
          <w:rtl w:val="true"/>
          <w:lang w:bidi="ar-SA"/>
        </w:rPr>
        <w:t>حملاً لها على عدم العلم كالموثّقة، والأحكام الثلاثة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دية المقتولين على المجروحين، مع أنّ الظاهر عدم العلم بكونهما قاتلين لهما، ومن المعلوم كون الدية منوطةً بالثبوت والإحراز</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دية جرحهما من دية المقتولين، وهذا كالأوّل في المخالفة للقواعد، </w:t>
      </w:r>
    </w:p>
    <w:p>
      <w:pPr>
        <w:pStyle w:val="BookText"/>
        <w:rPr/>
      </w:pPr>
      <w:r>
        <w:rPr>
          <w:rFonts w:ascii="Amiri" w:hAnsi="Amiri" w:eastAsia="Amiri" w:cs="Amiri"/>
          <w:color w:val="111111"/>
          <w:sz w:val="28"/>
          <w:sz w:val="28"/>
          <w:szCs w:val="28"/>
          <w:rtl w:val="true"/>
          <w:lang w:bidi="ar-SA"/>
        </w:rPr>
        <w:t>نعم، لو شكّ في زوال العمد والاختيار منه يلحق بالعامد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كلّ ما يسلب العمد والاختيار، فلو فرض أنّ في البنج وشرب المرقد حصول ذلك يلحق بالسكران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شيء على المقتولين من موت المجروحين، فكيف يمكن الجمع بين أخذ دية جرحهما من دية المقتولين، الظاهر في كون الجراحة منهما، وبين عدم الشيء عليهما مع موت المجروحين بسراية الجراحة المضمونة عليهما؟ وهل هذا إلّا تعارض وتناف بين الحكمين؟</w:t>
      </w:r>
    </w:p>
    <w:p>
      <w:pPr>
        <w:pStyle w:val="BookText"/>
        <w:rPr/>
      </w:pPr>
      <w:r>
        <w:rPr>
          <w:rFonts w:ascii="IRNazanin" w:hAnsi="IRNazanin" w:eastAsia="IRNazanin"/>
          <w:color w:val="111111"/>
          <w:sz w:val="28"/>
          <w:sz w:val="28"/>
          <w:szCs w:val="28"/>
          <w:rtl w:val="true"/>
          <w:lang w:bidi="fa-IR"/>
        </w:rPr>
        <w:t xml:space="preserve">وتوهُّم أنّه لما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بالقضيّة، وأنّ قتل المقتولين بالمجروحين وجرحهما بالمقتولين، فلا مخالفة فيهما مع القواعد أصلاً، وتكون الصحيحة معارضة مع الموثّقة، للدلالة على عدم القود على السكران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ليس إلّا توجيهاً تبرعيّاً، بل وليس إلّا رجماً بالغيب أوّلاً، وبقاء الحكم الثالث على المخالفة ثانياً، كما لا يخفى، وأنّ المعارضة فرع الظهور دون الاحتمال والرجم بالغيب ثالثاً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الإلحاق لابدّ وأن يكون للأصل، وهو مثبت؛ لأنّه مقتضٍ لبقاء عمده واختياره، وموضوع القود القتل عن عمد، وتقارن القتل مع العمد من المثبتات العقليّة،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عدم إلحاق السكران بالعامد، كما قرّبه الماتن، وأمّا على المختار في إلحاق السكران بالعامد فالمشكوك أولى</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كلّ ما يسلب العمد والاختيار بالسكران في 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لكون السبب السكر إثماً، وأمّا مع عدم الإثم فيه، كالمُكْرَه على شرب الخمر وما يوجب سلب الاختيار والقصد والعمد فلا قود ولا قصاص عليه؛ لعدم </w:t>
      </w:r>
      <w:bookmarkStart w:id="206" w:name="pg9428_72598"/>
    </w:p>
    <w:p>
      <w:pPr>
        <w:pStyle w:val="BookText"/>
        <w:rPr/>
      </w:pPr>
      <w:bookmarkEnd w:id="206"/>
      <w:r>
        <w:rPr>
          <w:rFonts w:ascii="Amiri" w:hAnsi="Amiri" w:eastAsia="Amiri" w:cs="Amiri"/>
          <w:color w:val="111111"/>
          <w:sz w:val="28"/>
          <w:sz w:val="28"/>
          <w:szCs w:val="28"/>
          <w:rtl w:val="true"/>
          <w:lang w:bidi="ar-SA"/>
        </w:rPr>
        <w:t>ومع الشكّ يعمل معه معاملة العمد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السكر ونحوه من غير إثم فلا شبهة في عدم القود، ولا قود على النائم والمغمى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العمد، ولكون الامتناع بلا اختيار، وهو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الدية على السبب إن كان أقوى كالمُكرِه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بل عليه القود مع علمه بالإنجرار وقصده القتل بالسكران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 ظاهر ممّا ذكرناه قبيل ذلك</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5797537_2870459653"/>
      <w:bookmarkStart w:id="208" w:name="_Toc69"/>
      <w:bookmarkEnd w:id="207"/>
      <w:r>
        <w:rPr>
          <w:rtl w:val="true"/>
        </w:rPr>
        <w:t>هل القود على النائم والمغمى عليه؟</w:t>
      </w:r>
      <w:bookmarkEnd w:id="2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القود فيهما لا إشكال ولا كلام فيه، بل الإجماع بقسميه عليه في النائم؛ لانتفاء التعمّد فيهما بعدم القصد الذي يدرجهما في اسم العمد، وكونهما معذورين من حيث التسبيب</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حديث رفع القلم عن النائم،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غلب الله عليه فهو أولى بالعذر</w:t>
      </w:r>
      <w:r>
        <w:rPr>
          <w:rFonts w:eastAsia="IRNazanin" w:cs="IRNazanin"/>
          <w:color w:val="111111"/>
          <w:sz w:val="28"/>
          <w:szCs w:val="28"/>
          <w:rtl w:val="true"/>
          <w:lang w:bidi="fa-IR"/>
        </w:rPr>
        <w:t>»</w:t>
      </w:r>
      <w:r>
        <w:rPr>
          <w:rStyle w:val="FootnoteAnchor"/>
          <w:rtl w:val="true"/>
        </w:rPr>
        <w:footnoteReference w:id="887"/>
      </w:r>
      <w:r>
        <w:rPr>
          <w:rFonts w:ascii="Amiri" w:hAnsi="Amiri" w:eastAsia="Amiri" w:cs="Amiri"/>
          <w:color w:val="111111"/>
          <w:sz w:val="28"/>
          <w:sz w:val="28"/>
          <w:szCs w:val="28"/>
          <w:rtl w:val="true"/>
          <w:lang w:bidi="ar-SA"/>
        </w:rPr>
        <w:t>في المغمى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الكلام والخلاف واقع في ضامن الدية، فهل هو النائم أو عاقلته؟</w:t>
      </w:r>
    </w:p>
    <w:p>
      <w:pPr>
        <w:pStyle w:val="BookText"/>
        <w:rPr/>
      </w:pPr>
      <w:r>
        <w:rPr>
          <w:rFonts w:ascii="Amiri" w:hAnsi="Amiri" w:eastAsia="Amiri" w:cs="Amiri"/>
          <w:color w:val="111111"/>
          <w:sz w:val="28"/>
          <w:sz w:val="28"/>
          <w:szCs w:val="28"/>
          <w:rtl w:val="true"/>
          <w:lang w:bidi="ar-SA"/>
        </w:rPr>
        <w:t>فعن الشيخين</w:t>
      </w:r>
      <w:r>
        <w:rPr>
          <w:rStyle w:val="FootnoteAnchor"/>
          <w:rtl w:val="true"/>
        </w:rPr>
        <w:footnoteReference w:id="888"/>
      </w:r>
      <w:r>
        <w:rPr>
          <w:rFonts w:ascii="Amiri" w:hAnsi="Amiri" w:eastAsia="Amiri" w:cs="Amiri"/>
          <w:color w:val="111111"/>
          <w:sz w:val="28"/>
          <w:sz w:val="28"/>
          <w:szCs w:val="28"/>
          <w:rtl w:val="true"/>
          <w:lang w:bidi="ar-SA"/>
        </w:rPr>
        <w:t>ويحيى بن سعيد</w:t>
      </w:r>
      <w:r>
        <w:rPr>
          <w:rStyle w:val="FootnoteAnchor"/>
          <w:rtl w:val="true"/>
        </w:rPr>
        <w:footnoteReference w:id="889"/>
      </w:r>
      <w:r>
        <w:rPr>
          <w:rFonts w:ascii="Amiri" w:hAnsi="Amiri" w:eastAsia="Amiri" w:cs="Amiri"/>
          <w:color w:val="111111"/>
          <w:sz w:val="28"/>
          <w:sz w:val="28"/>
          <w:szCs w:val="28"/>
          <w:rtl w:val="true"/>
          <w:lang w:bidi="ar-SA"/>
        </w:rPr>
        <w:t>والحلّي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الدية في ماله، بل عن السرائر نسبته إلى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السرائر في أوّل كلامه</w:t>
      </w:r>
      <w:r>
        <w:rPr>
          <w:rStyle w:val="FootnoteAnchor"/>
          <w:rtl w:val="true"/>
        </w:rPr>
        <w:footnoteReference w:id="890"/>
      </w:r>
      <w:r>
        <w:rPr>
          <w:rFonts w:ascii="IRNazanin" w:hAnsi="IRNazanin" w:eastAsia="IRNazanin"/>
          <w:color w:val="111111"/>
          <w:sz w:val="28"/>
          <w:sz w:val="28"/>
          <w:szCs w:val="28"/>
          <w:rtl w:val="true"/>
          <w:lang w:bidi="fa-IR"/>
        </w:rPr>
        <w:t>و‌القواعد</w:t>
      </w:r>
      <w:r>
        <w:rPr>
          <w:rStyle w:val="FootnoteAnchor"/>
          <w:rtl w:val="true"/>
        </w:rPr>
        <w:footnoteReference w:id="891"/>
      </w:r>
      <w:r>
        <w:rPr>
          <w:rFonts w:ascii="Amiri" w:hAnsi="Amiri" w:eastAsia="Amiri" w:cs="Amiri"/>
          <w:color w:val="111111"/>
          <w:sz w:val="28"/>
          <w:sz w:val="28"/>
          <w:szCs w:val="28"/>
          <w:rtl w:val="true"/>
          <w:lang w:bidi="ar-SA"/>
        </w:rPr>
        <w:t>و‌كشف الرموز</w:t>
      </w:r>
      <w:r>
        <w:rPr>
          <w:rStyle w:val="FootnoteAnchor"/>
          <w:rtl w:val="true"/>
        </w:rPr>
        <w:footnoteReference w:id="892"/>
      </w:r>
      <w:r>
        <w:rPr>
          <w:rFonts w:ascii="Amiri" w:hAnsi="Amiri" w:eastAsia="Amiri" w:cs="Amiri"/>
          <w:color w:val="111111"/>
          <w:sz w:val="28"/>
          <w:sz w:val="28"/>
          <w:szCs w:val="28"/>
          <w:rtl w:val="true"/>
          <w:lang w:bidi="ar-SA"/>
        </w:rPr>
        <w:t>والإيضاح</w:t>
      </w:r>
      <w:r>
        <w:rPr>
          <w:rStyle w:val="FootnoteAnchor"/>
          <w:rtl w:val="true"/>
        </w:rPr>
        <w:footnoteReference w:id="893"/>
      </w:r>
      <w:r>
        <w:rPr>
          <w:rFonts w:ascii="Amiri" w:hAnsi="Amiri" w:eastAsia="Amiri" w:cs="Amiri"/>
          <w:color w:val="111111"/>
          <w:sz w:val="28"/>
          <w:sz w:val="28"/>
          <w:szCs w:val="28"/>
          <w:rtl w:val="true"/>
          <w:lang w:bidi="ar-SA"/>
        </w:rPr>
        <w:t>والتنقيح</w:t>
      </w:r>
      <w:r>
        <w:rPr>
          <w:rStyle w:val="FootnoteAnchor"/>
          <w:rtl w:val="true"/>
        </w:rPr>
        <w:footnoteReference w:id="894"/>
      </w:r>
      <w:r>
        <w:rPr>
          <w:rFonts w:ascii="Amiri" w:hAnsi="Amiri" w:eastAsia="Amiri" w:cs="Amiri"/>
          <w:color w:val="111111"/>
          <w:sz w:val="28"/>
          <w:sz w:val="28"/>
          <w:szCs w:val="28"/>
          <w:rtl w:val="true"/>
          <w:lang w:bidi="ar-SA"/>
        </w:rPr>
        <w:t>والروضة</w:t>
      </w:r>
      <w:r>
        <w:rPr>
          <w:rStyle w:val="FootnoteAnchor"/>
          <w:rtl w:val="true"/>
        </w:rPr>
        <w:footnoteReference w:id="895"/>
      </w:r>
      <w:r>
        <w:rPr>
          <w:rFonts w:ascii="Amiri" w:hAnsi="Amiri" w:eastAsia="Amiri" w:cs="Amiri"/>
          <w:color w:val="111111"/>
          <w:sz w:val="28"/>
          <w:sz w:val="28"/>
          <w:szCs w:val="28"/>
          <w:rtl w:val="true"/>
          <w:lang w:bidi="ar-SA"/>
        </w:rPr>
        <w:t xml:space="preserve">و المسالك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الدية على العاقلة، بل نسبه بعض إلى عامّة المتأخّرين</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واستُدلّ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ضمان المتلف دون غيره، وبمرسل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من نام، فانقلب على غيره فقتله، كان ذلك شبيه العمد، يلزمه الدية في ماله خاصّة، وليس عليه قود</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وللثاني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خطأ محض والدية فيه على العاقلة؛ نصّاً وإجماعاً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تسليم كون الدية على العاقلة في الخطأ المحض، لما أنّ الحكم على خلاف القاعدة الشرعيّة والعقليّة من ضمان المتلف، وأنّه لا تَزِرُ وَازِرَةٌ وِزْرَ</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أُخْرى</w:t>
      </w:r>
      <w:r>
        <w:rPr>
          <w:rFonts w:ascii="IRNazanin" w:hAnsi="IRNazanin" w:eastAsia="IRNazanin"/>
          <w:color w:val="111111"/>
          <w:sz w:val="28"/>
          <w:sz w:val="28"/>
          <w:szCs w:val="28"/>
          <w:rtl w:val="true"/>
          <w:lang w:bidi="fa-IR"/>
        </w:rPr>
        <w:t>،</w:t>
      </w:r>
      <w:r>
        <w:rPr>
          <w:rStyle w:val="FootnoteAnchor"/>
          <w:rtl w:val="true"/>
        </w:rPr>
        <w:footnoteReference w:id="899"/>
      </w:r>
      <w:r>
        <w:rPr>
          <w:rFonts w:ascii="Amiri" w:hAnsi="Amiri" w:eastAsia="Amiri" w:cs="Amiri"/>
          <w:color w:val="111111"/>
          <w:sz w:val="28"/>
          <w:sz w:val="28"/>
          <w:szCs w:val="28"/>
          <w:rtl w:val="true"/>
          <w:lang w:bidi="ar-SA"/>
        </w:rPr>
        <w:t>فلابدّ من الاقتصار على مورد النصّ، وهو في غير النائم، فإنّه لا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النائم غير الظئر، وأمّا هي ففيها أقوال ثلاثة،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الإظئار للفخر والعزّة وبينه للحاجة،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مالها،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العاقلة، وهو الأقوى عندي؛ للرواية ومناسبة الاعتبار، وتمام الكلام في ذلك كلّه في كتاب الديات،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في النائم يظهر حال المغمى عليه، فالأقوى فيه أيضاً كون الدية عليه لا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للعلّامة في المختلف في ضمان العاقلة واستقراره عليها أو على القاتل كلام جيّد جدّاً، لابدّ من نقله في المقام وإن كان محلاً للبحث، كما أنّ ما ذكرناه من مسألة الدية في النائم كان خارجاً عن المقام، ومقام البحث عنها كتاب الديات، لكنّنا تبعنا الجواهر واقتدينا به في الاستطراد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علمائنا أنّ دية الخطأ تجب على العاقلة ابتداءً، ولا يرجع بها على القاتل؛ سواء كان موسراً أو معسراً، اختاره الشيخ في كتبه</w:t>
      </w:r>
      <w:r>
        <w:rPr>
          <w:rStyle w:val="FootnoteAnchor"/>
          <w:rtl w:val="true"/>
        </w:rPr>
        <w:footnoteReference w:id="900"/>
      </w:r>
      <w:r>
        <w:rPr>
          <w:rFonts w:ascii="IRNazanin" w:hAnsi="IRNazanin" w:eastAsia="IRNazanin"/>
          <w:color w:val="111111"/>
          <w:sz w:val="28"/>
          <w:sz w:val="28"/>
          <w:szCs w:val="28"/>
          <w:rtl w:val="true"/>
          <w:lang w:bidi="fa-IR"/>
        </w:rPr>
        <w:t>وابن البرّاج</w:t>
      </w:r>
      <w:r>
        <w:rPr>
          <w:rStyle w:val="FootnoteAnchor"/>
          <w:rtl w:val="true"/>
        </w:rPr>
        <w:footnoteReference w:id="901"/>
      </w:r>
      <w:r>
        <w:rPr>
          <w:rFonts w:ascii="IRNazanin" w:hAnsi="IRNazanin" w:eastAsia="IRNazanin"/>
          <w:color w:val="111111"/>
          <w:sz w:val="28"/>
          <w:sz w:val="28"/>
          <w:szCs w:val="28"/>
          <w:rtl w:val="true"/>
          <w:lang w:bidi="fa-IR"/>
        </w:rPr>
        <w:t>وأبو‌الصلاح</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الخلاف</w:t>
      </w:r>
      <w:r>
        <w:rPr>
          <w:rStyle w:val="FootnoteAnchor"/>
          <w:rtl w:val="true"/>
        </w:rPr>
        <w:footnoteReference w:id="903"/>
      </w:r>
      <w:r>
        <w:rPr>
          <w:rFonts w:ascii="IRNazanin" w:hAnsi="IRNazanin" w:eastAsia="IRNazanin"/>
          <w:color w:val="111111"/>
          <w:sz w:val="28"/>
          <w:sz w:val="28"/>
          <w:szCs w:val="28"/>
          <w:rtl w:val="true"/>
          <w:lang w:bidi="fa-IR"/>
        </w:rPr>
        <w:t>والمبسوط</w:t>
      </w:r>
      <w:r>
        <w:rPr>
          <w:rFonts w:eastAsia="IRNazanin" w:cs="IRNazanin"/>
          <w:color w:val="111111"/>
          <w:sz w:val="28"/>
          <w:szCs w:val="28"/>
          <w:rtl w:val="true"/>
          <w:lang w:bidi="fa-IR"/>
        </w:rPr>
        <w:t>:</w:t>
      </w:r>
      <w:r>
        <w:rPr>
          <w:rStyle w:val="FootnoteAnchor"/>
          <w:rtl w:val="true"/>
        </w:rPr>
        <w:footnoteReference w:id="904"/>
      </w:r>
      <w:r>
        <w:rPr>
          <w:rFonts w:ascii="Amiri" w:hAnsi="Amiri" w:eastAsia="Amiri" w:cs="Amiri"/>
          <w:color w:val="111111"/>
          <w:sz w:val="28"/>
          <w:sz w:val="28"/>
          <w:szCs w:val="28"/>
          <w:rtl w:val="true"/>
          <w:lang w:bidi="ar-SA"/>
        </w:rPr>
        <w:t xml:space="preserve">الدية في قتل الخطأ تجب ابتداءً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العاقلة على القاتل بها، ولا أعرف به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خلافاً في أنّ دية المقتول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بالقتل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عاقلة القاتل؛ سواء كان القاتل ذا مال أو معدماً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الجاني في ضمان دية مَن قتله خطأً مع عاقلته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دية الخطأ على العاقلة، ولا ترجع العاقلة بها على القاتل؛ سواء كان في حال الأداء موسراً أو معسراً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شيخنا المفيد</w:t>
      </w:r>
      <w:r>
        <w:rPr>
          <w:rStyle w:val="FootnoteAnchor"/>
          <w:rtl w:val="true"/>
        </w:rPr>
        <w:footnoteReference w:id="906"/>
      </w:r>
      <w:r>
        <w:rPr>
          <w:rFonts w:ascii="Amiri" w:hAnsi="Amiri" w:eastAsia="Amiri" w:cs="Amiri"/>
          <w:color w:val="111111"/>
          <w:sz w:val="28"/>
          <w:sz w:val="28"/>
          <w:szCs w:val="28"/>
          <w:rtl w:val="true"/>
          <w:lang w:bidi="ar-SA"/>
        </w:rPr>
        <w:t>إلى أنّ العاقلة ترجع بها على القاتل،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إجماع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جهل من ابن إدريس، وتخطئة لشيخنا الأعظم، مع أنّه الأصل في إنشاء المذهب وتقريره، والعارف بمذاهب الناس، والمجمع عليه والمختلف فيه، القيم بالأُصولين، المهذّب لهما، الباحث مع الخصوم، العالم بما يجوز له فيه المخالفة والموافقة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القائل الجاهل إنّما يعتدّ بإجماع الطائفة، ويعتقد رئاسة شيخنا المفيد، وأنّه رأس هذه الطائفة، وأوّل من أظهر علم الإماميّة وفقه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السلف</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وسلّار رحمه الله </w:t>
      </w:r>
      <w:r>
        <w:rPr>
          <w:rStyle w:val="FootnoteAnchor"/>
          <w:rtl w:val="true"/>
        </w:rPr>
        <w:footnoteReference w:id="907"/>
      </w:r>
      <w:r>
        <w:rPr>
          <w:rFonts w:ascii="Amiri" w:hAnsi="Amiri" w:eastAsia="Amiri" w:cs="Amiri"/>
          <w:color w:val="111111"/>
          <w:sz w:val="28"/>
          <w:sz w:val="28"/>
          <w:szCs w:val="28"/>
          <w:rtl w:val="true"/>
          <w:lang w:bidi="ar-SA"/>
        </w:rPr>
        <w:t>ذهب إلى ما ذهب إليه شيخنا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بُعد فيه، بلفيه أيضاً الجمع بين المعقول والمنقول، فإنّ الإجماع لما دلّ على تضمين العاقلة، والعقل لما دلّ على أنّ العقوبة إنّما تجب على الجاني، جمع شيخنا المفيد </w:t>
      </w:r>
      <w:bookmarkStart w:id="209" w:name="pg9428_72606"/>
    </w:p>
    <w:p>
      <w:pPr>
        <w:pStyle w:val="BookText"/>
        <w:rPr/>
      </w:pPr>
      <w:bookmarkEnd w:id="209"/>
      <w:r>
        <w:rPr>
          <w:rFonts w:ascii="Amiri" w:hAnsi="Amiri" w:eastAsia="Amiri" w:cs="Amiri"/>
          <w:color w:val="111111"/>
          <w:sz w:val="28"/>
          <w:sz w:val="28"/>
          <w:szCs w:val="28"/>
          <w:rtl w:val="true"/>
          <w:lang w:bidi="ar-SA"/>
        </w:rPr>
        <w:t>وفي الأعمى تردّد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بذهنه الثاقب وفكره الصائب بين الدليلين، وألزم العاقلة ضمان الدية؛ لدلالة الإجماع عليه، وجعل لها الرجوع على الجاني، تعويلاً على دليل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أبو‌جعفر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به نصّاً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فإنّه لا يقتضي نسبة شيخنا إلى تخطئة وتغليط ومخالفة للإجماع، فإنّ عدم معرفته لا يستلزم عدم النصّ، فلعلّ شيخنا المفيد وقف عليه، أو عوّل على دليل قاده العقل إليه</w:t>
      </w:r>
      <w:r>
        <w:rPr>
          <w:rFonts w:eastAsia="Amiri" w:cs="Amiri" w:ascii="Amiri" w:hAnsi="Amiri"/>
          <w:color w:val="111111"/>
          <w:sz w:val="28"/>
          <w:szCs w:val="28"/>
          <w:rtl w:val="true"/>
          <w:lang w:bidi="ar-SA"/>
        </w:rPr>
        <w:t>.</w:t>
      </w:r>
      <w:r>
        <w:rPr>
          <w:rStyle w:val="FootnoteAnchor"/>
          <w:rtl w:val="true"/>
        </w:rPr>
        <w:footnoteReference w:id="909"/>
      </w:r>
    </w:p>
    <w:p>
      <w:pPr>
        <w:pStyle w:val="Heading3"/>
        <w:numPr>
          <w:ilvl w:val="2"/>
          <w:numId w:val="1"/>
        </w:numPr>
        <w:rPr/>
      </w:pPr>
      <w:bookmarkStart w:id="210" w:name="__RefHeading___Toc5797539_2870459653"/>
      <w:bookmarkStart w:id="211" w:name="_Toc70"/>
      <w:bookmarkEnd w:id="210"/>
      <w:r>
        <w:rPr>
          <w:rtl w:val="true"/>
        </w:rPr>
        <w:t>جناية الأعمى</w:t>
      </w:r>
      <w:bookmarkEnd w:id="2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ما أشار إليه الشرائع من العمد، وعمومات القصاص، ومن رواية الحلبي</w:t>
      </w:r>
      <w:r>
        <w:rPr>
          <w:rStyle w:val="FootnoteAnchor"/>
          <w:rtl w:val="true"/>
        </w:rPr>
        <w:footnoteReference w:id="910"/>
      </w:r>
      <w:r>
        <w:rPr>
          <w:rFonts w:ascii="Amiri" w:hAnsi="Amiri" w:eastAsia="Amiri" w:cs="Amiri"/>
          <w:color w:val="111111"/>
          <w:sz w:val="28"/>
          <w:sz w:val="28"/>
          <w:szCs w:val="28"/>
          <w:rtl w:val="true"/>
          <w:lang w:bidi="ar-SA"/>
        </w:rPr>
        <w:t>الدالّة على أنّ جنايته خطأ تلزم عاقلته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علي،</w:t>
      </w:r>
      <w:r>
        <w:rPr>
          <w:rStyle w:val="FootnoteAnchor"/>
          <w:rtl w:val="true"/>
        </w:rPr>
        <w:footnoteReference w:id="911"/>
      </w:r>
      <w:r>
        <w:rPr>
          <w:rFonts w:ascii="Amiri" w:hAnsi="Amiri" w:eastAsia="Amiri" w:cs="Amiri"/>
          <w:color w:val="111111"/>
          <w:sz w:val="28"/>
          <w:sz w:val="28"/>
          <w:szCs w:val="28"/>
          <w:rtl w:val="true"/>
          <w:lang w:bidi="ar-SA"/>
        </w:rPr>
        <w:t>والشيخ في النهاية،</w:t>
      </w:r>
      <w:r>
        <w:rPr>
          <w:rStyle w:val="FootnoteAnchor"/>
          <w:rtl w:val="true"/>
        </w:rPr>
        <w:footnoteReference w:id="912"/>
      </w:r>
      <w:r>
        <w:rPr>
          <w:rFonts w:ascii="Amiri" w:hAnsi="Amiri" w:eastAsia="Amiri" w:cs="Amiri"/>
          <w:color w:val="111111"/>
          <w:sz w:val="28"/>
          <w:sz w:val="28"/>
          <w:szCs w:val="28"/>
          <w:rtl w:val="true"/>
          <w:lang w:bidi="ar-SA"/>
        </w:rPr>
        <w:t>والصهرشتي والطبرسي المحكيّ عنهما في الجواهر،</w:t>
      </w:r>
      <w:r>
        <w:rPr>
          <w:rStyle w:val="FootnoteAnchor"/>
          <w:rtl w:val="true"/>
        </w:rPr>
        <w:footnoteReference w:id="913"/>
      </w:r>
      <w:r>
        <w:rPr>
          <w:rFonts w:ascii="Amiri" w:hAnsi="Amiri" w:eastAsia="Amiri" w:cs="Amiri"/>
          <w:color w:val="111111"/>
          <w:sz w:val="28"/>
          <w:sz w:val="28"/>
          <w:szCs w:val="28"/>
          <w:rtl w:val="true"/>
          <w:lang w:bidi="ar-SA"/>
        </w:rPr>
        <w:t>وابني البرّاج</w:t>
      </w:r>
      <w:r>
        <w:rPr>
          <w:rStyle w:val="FootnoteAnchor"/>
          <w:rtl w:val="true"/>
        </w:rPr>
        <w:footnoteReference w:id="914"/>
      </w:r>
      <w:r>
        <w:rPr>
          <w:rFonts w:ascii="Amiri" w:hAnsi="Amiri" w:eastAsia="Amiri" w:cs="Amiri"/>
          <w:color w:val="111111"/>
          <w:sz w:val="28"/>
          <w:sz w:val="28"/>
          <w:szCs w:val="28"/>
          <w:rtl w:val="true"/>
          <w:lang w:bidi="ar-SA"/>
        </w:rPr>
        <w:t>وحمزة،</w:t>
      </w:r>
      <w:r>
        <w:rPr>
          <w:rStyle w:val="FootnoteAnchor"/>
          <w:rtl w:val="true"/>
        </w:rPr>
        <w:footnoteReference w:id="915"/>
      </w:r>
      <w:r>
        <w:rPr>
          <w:rFonts w:ascii="Amiri" w:hAnsi="Amiri" w:eastAsia="Amiri" w:cs="Amiri"/>
          <w:color w:val="111111"/>
          <w:sz w:val="28"/>
          <w:sz w:val="28"/>
          <w:szCs w:val="28"/>
          <w:rtl w:val="true"/>
          <w:lang w:bidi="ar-SA"/>
        </w:rPr>
        <w:t xml:space="preserve">بل والصدوق فيظاهره العمل بها؛ لنقلها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w:t>
      </w:r>
      <w:r>
        <w:rPr>
          <w:rStyle w:val="FootnoteAnchor"/>
          <w:rtl w:val="true"/>
        </w:rPr>
        <w:footnoteReference w:id="916"/>
      </w:r>
      <w:r>
        <w:rPr>
          <w:rFonts w:ascii="Amiri" w:hAnsi="Amiri" w:eastAsia="Amiri" w:cs="Amiri"/>
          <w:color w:val="111111"/>
          <w:sz w:val="28"/>
          <w:sz w:val="28"/>
          <w:szCs w:val="28"/>
          <w:rtl w:val="true"/>
          <w:lang w:bidi="ar-SA"/>
        </w:rPr>
        <w:t>المحتوي على ما يفتى به، ويحكم بصحّته،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أقصد فيه قصد المصنّفين في إيراد جميع ما رووه، بل قصدت إلى إيراد ما أفتي به وأحكم بصحّته، وأعتقد فيه أنّه حجّة فيما بيني وبين ربّي تقدّس ذكره وتعالت قدرته</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بل وفي غاية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القول مشهور بين الأصحاب</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لكنّ المتأخّرين</w:t>
      </w:r>
      <w:r>
        <w:rPr>
          <w:rStyle w:val="FootnoteAnchor"/>
          <w:rtl w:val="true"/>
        </w:rPr>
        <w:footnoteReference w:id="919"/>
      </w:r>
      <w:r>
        <w:rPr>
          <w:rFonts w:ascii="Amiri" w:hAnsi="Amiri" w:eastAsia="Amiri" w:cs="Amiri"/>
          <w:color w:val="111111"/>
          <w:sz w:val="28"/>
          <w:sz w:val="28"/>
          <w:szCs w:val="28"/>
          <w:rtl w:val="true"/>
          <w:lang w:bidi="ar-SA"/>
        </w:rPr>
        <w:t>يقولون بكون الأعمى كالمبصر وأنّ عليه القود، وطعنوا بتلك الرواية ورواية أبي عبيدة</w:t>
      </w:r>
      <w:r>
        <w:rPr>
          <w:rStyle w:val="FootnoteAnchor"/>
          <w:rtl w:val="true"/>
        </w:rPr>
        <w:footnoteReference w:id="920"/>
      </w:r>
      <w:r>
        <w:rPr>
          <w:rFonts w:ascii="Amiri" w:hAnsi="Amiri" w:eastAsia="Amiri" w:cs="Amiri"/>
          <w:color w:val="111111"/>
          <w:sz w:val="28"/>
          <w:sz w:val="28"/>
          <w:szCs w:val="28"/>
          <w:rtl w:val="true"/>
          <w:lang w:bidi="ar-SA"/>
        </w:rPr>
        <w:t>اللتين كانتا دليل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فلتحقيق الحقّ في المسألة وبيانه ننقل عبارة المسالك أوّلاً، ونتبعها بعبارة الجواهر مع ما فيه من الإيراد ثانياً، ونبيّن الحقّ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المسالك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الأعمى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ذهب الشيخ في النهاية</w:t>
      </w:r>
      <w:r>
        <w:rPr>
          <w:rStyle w:val="FootnoteAnchor"/>
          <w:rtl w:val="true"/>
        </w:rPr>
        <w:footnoteReference w:id="921"/>
      </w:r>
      <w:r>
        <w:rPr>
          <w:rFonts w:ascii="Amiri" w:hAnsi="Amiri" w:eastAsia="Amiri" w:cs="Amiri"/>
          <w:color w:val="111111"/>
          <w:sz w:val="28"/>
          <w:sz w:val="28"/>
          <w:szCs w:val="28"/>
          <w:rtl w:val="true"/>
          <w:lang w:bidi="ar-SA"/>
        </w:rPr>
        <w:t>إلى أنّ عمد الأعمى وخطأه سواء، تجب فيه الدية على عاقلته، وتبعهابن البرّاج،</w:t>
      </w:r>
      <w:r>
        <w:rPr>
          <w:rStyle w:val="FootnoteAnchor"/>
          <w:rtl w:val="true"/>
        </w:rPr>
        <w:footnoteReference w:id="9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قول ابن الجنيد</w:t>
      </w:r>
      <w:r>
        <w:rPr>
          <w:rStyle w:val="FootnoteAnchor"/>
          <w:rtl w:val="true"/>
        </w:rPr>
        <w:footnoteReference w:id="923"/>
      </w:r>
      <w:r>
        <w:rPr>
          <w:rFonts w:ascii="Amiri" w:hAnsi="Amiri" w:eastAsia="Amiri" w:cs="Amiri"/>
          <w:color w:val="111111"/>
          <w:sz w:val="28"/>
          <w:sz w:val="28"/>
          <w:szCs w:val="28"/>
          <w:rtl w:val="true"/>
          <w:lang w:bidi="ar-SA"/>
        </w:rPr>
        <w:t>وابن بابويه</w:t>
      </w:r>
      <w:r>
        <w:rPr>
          <w:rFonts w:eastAsia="Amiri" w:cs="Amiri" w:ascii="Amiri" w:hAnsi="Amiri"/>
          <w:color w:val="111111"/>
          <w:sz w:val="28"/>
          <w:szCs w:val="28"/>
          <w:rtl w:val="true"/>
          <w:lang w:bidi="ar-SA"/>
        </w:rPr>
        <w:t>.</w:t>
      </w:r>
      <w:r>
        <w:rPr>
          <w:rStyle w:val="FootnoteAnchor"/>
          <w:rtl w:val="true"/>
        </w:rPr>
        <w:footnoteReference w:id="924"/>
      </w:r>
      <w:r>
        <w:rPr>
          <w:rFonts w:ascii="IRNazanin" w:hAnsi="IRNazanin" w:eastAsia="IRNazanin"/>
          <w:color w:val="111111"/>
          <w:sz w:val="28"/>
          <w:sz w:val="28"/>
          <w:szCs w:val="28"/>
          <w:rtl w:val="true"/>
          <w:lang w:bidi="fa-IR"/>
        </w:rPr>
        <w:t xml:space="preserve">والمستند رواية الحلبي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الأعمى جنايته خطأ تلزم عاقلته، يؤخذون بها في ثلاث سنين، في كلّ سنة نجماً، فإن لم يكن للأعمى عاقلة لزمته دية ما جنى في ماله، يؤخذ بها في ثلاث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أبو‌عبيدة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أعمى فقأ عين رجل صحيحٌ متعمّداً،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عمد الأعمى مثل الخطأ، هذا فيه الدية من ماله، فإن لم يكن له مال فإنّ دية</w:t>
      </w:r>
      <w:r>
        <w:rPr>
          <w:rStyle w:val="FootnoteAnchor"/>
          <w:rtl w:val="true"/>
        </w:rPr>
        <w:footnoteReference w:id="926"/>
      </w:r>
      <w:r>
        <w:rPr>
          <w:rFonts w:ascii="Amiri" w:hAnsi="Amiri" w:eastAsia="Amiri" w:cs="Amiri"/>
          <w:color w:val="111111"/>
          <w:sz w:val="28"/>
          <w:sz w:val="28"/>
          <w:szCs w:val="28"/>
          <w:rtl w:val="true"/>
          <w:lang w:bidi="ar-SA"/>
        </w:rPr>
        <w:t>ذلك على الإمام، ولا يبطل حقّ مسلم</w:t>
      </w:r>
      <w:r>
        <w:rPr>
          <w:rFonts w:eastAsia="Amiri" w:cs="Amiri" w:ascii="Amiri" w:hAnsi="Amiri"/>
          <w:color w:val="111111"/>
          <w:sz w:val="28"/>
          <w:szCs w:val="28"/>
          <w:rtl w:val="true"/>
          <w:lang w:bidi="ar-SA"/>
        </w:rPr>
        <w:t>».</w:t>
      </w:r>
      <w:r>
        <w:rPr>
          <w:rStyle w:val="FootnoteAnchor"/>
          <w:rtl w:val="true"/>
        </w:rPr>
        <w:footnoteReference w:id="92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الروايتان مشتركتان في الدلالة على أنّ عمد الأعمى خطأ، وفي ضعف السند، ومختلفتان في الحكم، ومخالفتان للأُصول؛ لاشتمال الأُولى على كون الدية تجب ابتداءً علىالعاقلة، ومع عدمها تجب على الجاني، وهذا مخالف لحكم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مع جعله الجناية كالخطأ أوجب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الدية على الجاني، ومع عدم ماله على الإمام، ولم يوجبها 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اختلاف الحكمين ومخالفتهما لحكم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إدريس</w:t>
      </w:r>
      <w:r>
        <w:rPr>
          <w:rStyle w:val="FootnoteAnchor"/>
          <w:rtl w:val="true"/>
        </w:rPr>
        <w:footnoteReference w:id="928"/>
      </w:r>
      <w:r>
        <w:rPr>
          <w:rFonts w:ascii="Amiri" w:hAnsi="Amiri" w:eastAsia="Amiri" w:cs="Amiri"/>
          <w:color w:val="111111"/>
          <w:sz w:val="28"/>
          <w:sz w:val="28"/>
          <w:szCs w:val="28"/>
          <w:rtl w:val="true"/>
          <w:lang w:bidi="ar-SA"/>
        </w:rPr>
        <w:t>وجملة المتأخّرين</w:t>
      </w:r>
      <w:r>
        <w:rPr>
          <w:rStyle w:val="FootnoteAnchor"/>
          <w:rtl w:val="true"/>
        </w:rPr>
        <w:footnoteReference w:id="929"/>
      </w:r>
      <w:r>
        <w:rPr>
          <w:rFonts w:ascii="Amiri" w:hAnsi="Amiri" w:eastAsia="Amiri" w:cs="Amiri"/>
          <w:color w:val="111111"/>
          <w:sz w:val="28"/>
          <w:sz w:val="28"/>
          <w:szCs w:val="28"/>
          <w:rtl w:val="true"/>
          <w:lang w:bidi="ar-SA"/>
        </w:rPr>
        <w:t>إلى أنّ الأعمى كالمبصر في وجوب القصاص عليه بعمده؛ لوجود المقتضي له، وهو قصده إلى القتل وانتفاء المانع؛ لأنّ العمى لا يصلح مانعاً مع اجتماع شروط القصاص من التكليف والقصد ونحوهما، ولعموم الأدلّة من الآيات والروايات المتناولة له، وانتفاء المخصّص، لما ذكرناه من الموجب لاطّراحه، مع أنّ الرواية الأُولى ليست صريحة في مطلوبهم، لجواز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والجملة الفعليّة بعده الخبر، وإنّما يتمّ استدلالهم بها على تقدير جعله مرفوعاً على الخبريّة، وأمّا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خطأ واضح</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والظاهر أنّ وضوح الخطأ من جهة اعتبار الجمود في التمييز والخطأ مشتقّ، هذا كلّه في نقل عبارة المسالك التي وعدنا نقلها بالوعد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الرواية الأُولى بالحمل على قصد الدفع،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مناف لظاهر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لما فيهمن إلزام العاقلة الدية، بل لا شيء فيه حينئذٍ، كما أنّ في احتمال النصب منافاة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متعدّيان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وللاستدلال، بل ولقوله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فوثب المضروب</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بل لعلّ المناقشة في السند ضعيفة؛ لأنّ الأُولى رواها في الفقيه</w:t>
      </w:r>
      <w:r>
        <w:rPr>
          <w:rStyle w:val="FootnoteAnchor"/>
          <w:rtl w:val="true"/>
        </w:rPr>
        <w:footnoteReference w:id="932"/>
      </w:r>
      <w:r>
        <w:rPr>
          <w:rFonts w:ascii="Amiri" w:hAnsi="Amiri" w:eastAsia="Amiri" w:cs="Amiri"/>
          <w:color w:val="111111"/>
          <w:sz w:val="28"/>
          <w:sz w:val="28"/>
          <w:szCs w:val="28"/>
          <w:rtl w:val="true"/>
          <w:lang w:bidi="ar-SA"/>
        </w:rPr>
        <w:t xml:space="preserve">عن العلاء بن رزين عن الحلبي، وطريقه إليه صحيح، والثانية موثّقة بعمّار، واختلافهما في الخارج عن موضوع المسألة غير ضائر، خصوصاً بعد اتّفاق القائلين على أنّه على العاقلة، عدا الصدوق في ظاهره؛ لأنّه روى رواية الحلبي، 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باقياً على ما قدّمه في كتابه من العمل بما يرويه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 وعلى تقديره فهو شاذٌّ؛ لأنّ المعروف بين القائلين كونه على العاقلة، كعمد الصبيّ والمجنون، وعلى كلّ حال لا قدح في الرواية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عدم صلاحية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صحّت لتخصيص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فسادها في الأُصول، ولكن الإنصاف مع ذلك كلّه عدم الجرأة بها على تخصيص العمومات، بعد مخالفة المتأخّرين، واحتمال إرادة أنّ الأعمى غالباً لا يعلم تعمّده إلّا بإقراره منها، والله العالم</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إشكال المسالك </w:t>
      </w:r>
      <w:r>
        <w:rPr>
          <w:rStyle w:val="FootnoteAnchor"/>
          <w:rtl w:val="true"/>
        </w:rPr>
        <w:footnoteReference w:id="934"/>
      </w:r>
      <w:r>
        <w:rPr>
          <w:rFonts w:ascii="Amiri" w:hAnsi="Amiri" w:eastAsia="Amiri" w:cs="Amiri"/>
          <w:color w:val="111111"/>
          <w:sz w:val="28"/>
          <w:sz w:val="28"/>
          <w:szCs w:val="28"/>
          <w:rtl w:val="true"/>
          <w:lang w:bidi="ar-SA"/>
        </w:rPr>
        <w:t xml:space="preserve">باختلافهما في الحكم، بأنّ الاختلاف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الخارج عن موضوع المسألة، وهو غير ضائر كما ترى، حيث إنّ الكلام في الخارج إن كان بدلالة مستقلّة فالاختلاف فيه غير ضائر بحجيّتها بالنسبة إلى غيره، كالموضوع في المسألة، فإنّ التبعيض في حجّية المتن ممّا لا بأس به، وعليه بناء العقلاء في موارد، مثل التبعيض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واجب، وغسل الجمعة واجب، بحجيّته في وجوب الجنابة دون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التبعيض فيما تكون الجملات مترابطة ارتباطاً دلالياً، كارتباط المطابقة مع الالتزام، واسم الإشارة مع المشار إليه فغير ثابت، بل خلافه ثابت من العقلاء، فإنّهم لا يتعبّدون بحجّية الجملة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الالتزاميّة دون المطابقة أو في الإشارة دون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قوله في الخمر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الفقّاع خمر، فلا يكون نجساً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يصحّ القول بحجّية الخبر بالنسبة إلى نجاسة الفقاع دون الخمريّة أو العكس، كما لاشكّ في عدم بناء العقلاء على التبعّض في إعمال الترجيح في مورد التعارض في العامّين من وجه،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مسألة دية الخطأ، وأنّها على العاقلة من اللوازم الواضحة لها، وأنّ الخطأ يُعرف بذلك اللازم قبل أن يُعرف بعدم القود، بل عدم القود فيه واضح عقلاً وشرعاً، وغير محتاج إلى البيان، فالاختلاف فيه في الروايتين مضرٌّ كما ذكره المسالك ،</w:t>
      </w:r>
      <w:r>
        <w:rPr>
          <w:rStyle w:val="FootnoteAnchor"/>
          <w:rtl w:val="true"/>
        </w:rPr>
        <w:footnoteReference w:id="935"/>
      </w:r>
      <w:r>
        <w:rPr>
          <w:rFonts w:ascii="Amiri" w:hAnsi="Amiri" w:eastAsia="Amiri" w:cs="Amiri"/>
          <w:color w:val="111111"/>
          <w:sz w:val="28"/>
          <w:sz w:val="28"/>
          <w:szCs w:val="28"/>
          <w:rtl w:val="true"/>
          <w:lang w:bidi="ar-SA"/>
        </w:rPr>
        <w:t>فتدبّر جيّداً، وهذا كلّه في الوفاء بالوعد الثاني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في المسألة كون الأعمى كالمبصر في توجّه القصاص عليه بعمده، وفاقاً لمن عرفت من المتأخّرين، وعدم المانع، والمخصّص لها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عمّا ذكره الجواهر</w:t>
      </w:r>
      <w:r>
        <w:rPr>
          <w:rStyle w:val="FootnoteAnchor"/>
          <w:rtl w:val="true"/>
        </w:rPr>
        <w:footnoteReference w:id="936"/>
      </w:r>
      <w:r>
        <w:rPr>
          <w:rFonts w:ascii="Amiri" w:hAnsi="Amiri" w:eastAsia="Amiri" w:cs="Amiri"/>
          <w:color w:val="111111"/>
          <w:sz w:val="28"/>
          <w:sz w:val="28"/>
          <w:szCs w:val="28"/>
          <w:rtl w:val="true"/>
          <w:lang w:bidi="ar-SA"/>
        </w:rPr>
        <w:t xml:space="preserve">في آخر كلامه من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الألف واللام للعهد، ففي خبر الحلبي</w:t>
      </w:r>
      <w:r>
        <w:rPr>
          <w:rStyle w:val="FootnoteAnchor"/>
          <w:rtl w:val="true"/>
        </w:rPr>
        <w:footnoteReference w:id="937"/>
      </w:r>
      <w:r>
        <w:rPr>
          <w:rFonts w:ascii="Amiri" w:hAnsi="Amiri" w:eastAsia="Amiri" w:cs="Amiri"/>
          <w:color w:val="111111"/>
          <w:sz w:val="28"/>
          <w:sz w:val="28"/>
          <w:szCs w:val="28"/>
          <w:rtl w:val="true"/>
          <w:lang w:bidi="ar-SA"/>
        </w:rPr>
        <w:t>إشارة إلى الأعمى الذي صار أعمى بضربة المقتول، وفي الثاني</w:t>
      </w:r>
      <w:r>
        <w:rPr>
          <w:rStyle w:val="FootnoteAnchor"/>
          <w:rtl w:val="true"/>
        </w:rPr>
        <w:footnoteReference w:id="938"/>
      </w:r>
      <w:r>
        <w:rPr>
          <w:rFonts w:ascii="Amiri" w:hAnsi="Amiri" w:eastAsia="Amiri" w:cs="Amiri"/>
          <w:color w:val="111111"/>
          <w:sz w:val="28"/>
          <w:sz w:val="28"/>
          <w:szCs w:val="28"/>
          <w:rtl w:val="true"/>
          <w:lang w:bidi="ar-SA"/>
        </w:rPr>
        <w:t>إلى الأعمى الذي فقأ عين رجل صحيحة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فليس في شيء منهما تخصيص لعمومات القصاص مطلقاً؛ لعدم العمد ولا القتل بما يقتل به غالباً ممّا هو شرط في القصاص في الأوّل، وعدم المحلّ للقصاص في الثاني، بل ليس فيهما مخالفة لقواعد أُخرى أيضاً إلّا في مورد خاصّ في الأوّل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قصد القتل والعمد فيه لمن ضرب رأسه بمعوّل فسالت عيناه على خدّيه فوثب على ضاربه بعيدٌ جدّاً ثبوتاً، والعمد منه إحرازه إثباتاً، حيث إنّه لغضبه وسخطه بصيرورته بالضرب أعمى كأنّه ليس له قدرة الاختيار والتعمّد في القتل، بل يكون تمام هدفه المقابلة بالمثل والاعتداء عليه، بل كأنّه غافل عن العمد في القتل، ومتحيّر في الانتخاب، كما أنّه لما لا يعلم ولا يبصر محلّ ما يقتل به بالضرب فالأعمى في الحديث ليس عامداً ولا قاصداً إلى ما يقتل به غالباً آلةً ومحلاً؛ لعدم القود عليه، وليس تخصيصاً لعمومات القصاص بل تخصّصاً وخروجاً موضوعيّاً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فيه من كون ديته على العاقلة مع أنّ قتله على ذلك شبه العمد، للقصد إلى الفعل لا خطأ محض، مخالفٌ لقاعدة ضمان المتلف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المقتول محقون الدم، فلو قتل من كان مهدور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كالسابّ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عليه القود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صحيح الحلبي، وأمّا خبر أبي عبيدة، فعدم القصاص فيه على القاعدة، كما هو واضح؛ لعدم البصر والعين للأعمى حتّى يقتصّ منه، فإنّ الألف واللام للعهد على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كونه للجنس في الخبرين، وأنّ عمد الأعمى خطأ مطلقاً، فلابدّ من التخصيص في أدلّة العمد والقصاص به، لكنّ الاستدلال بهما مع ما ذكر من الاحتمال وإن لم نقل بترجيحه على الجنس لإخراج الحديثين عن المخالفة للقواعد، وإعمال التعبّد في الأعمى مشكلٌ، بل ممنوعٌ، فإنّ الاحتمال مضرٌّ بالاستدلال، وإذا جاء الاحتمال بطل الاستدلال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القود في قتل مهدور الدم ضروري ولا كلام ولا إشكال فيه من رأس، بل يكون شبيهاً بالقضايا التي قياساتها معها، حيث إنّ الضمان والقصاص لحقن الدم واحترامه، فمع هدره لا ضمان ولا قصاص قطعاً، فقتل مهدور الدم كقتل الحيّة والسبع في عدم القصاص وعدم المؤاخذة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على ذلك في عدم القصاص على قاتله من كونه مهدوراً لكلّ أحد أو للقاتل على الأقلّ، وإلّا فعلى القاتل القصاص لمحقونيّة المقتول بالنسبة إليه، فتشمله أدلّة القصاص وعمومه، فالكلام والبحث لابدّ وأن يكون في الصغريات، كما يظهر من التأ‌مّل في المتن وإشكاله فيها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القول بكفاية الهدر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العبائروالفتاوى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بالعكس، بمعنى أنّه لابدّ من البحث في الكبرى دون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البحث والكلام فيها بالنقض والإبرام، وعدم تماميّة الكبرى في الفرع الأخير من لواحق الشرط الأوّل والثاني،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على مسلم قصاص</w:t>
      </w:r>
      <w:r>
        <w:rPr>
          <w:rFonts w:eastAsia="Amiri" w:cs="Amiri" w:ascii="Amiri" w:hAnsi="Amiri"/>
          <w:color w:val="111111"/>
          <w:sz w:val="28"/>
          <w:szCs w:val="28"/>
          <w:rtl w:val="true"/>
          <w:lang w:bidi="ar-SA"/>
        </w:rPr>
        <w:t xml:space="preserve">...» </w:t>
      </w:r>
      <w:bookmarkStart w:id="212" w:name="pg9428_72622"/>
    </w:p>
    <w:p>
      <w:pPr>
        <w:pStyle w:val="BookText"/>
        <w:rPr/>
      </w:pPr>
      <w:bookmarkEnd w:id="21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آخره فلا نعيده، ولنمحّض الكلام في الصغريات على ما في المتن فنقول</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5797541_2870459653"/>
      <w:bookmarkStart w:id="214" w:name="_Toc71"/>
      <w:bookmarkEnd w:id="213"/>
      <w:r>
        <w:rPr>
          <w:rtl w:val="true"/>
        </w:rPr>
        <w:t xml:space="preserve">حكم سابّ النبيّ </w:t>
      </w:r>
      <w:r>
        <w:rPr>
          <w:rtl w:val="true"/>
        </w:rPr>
        <w:t>(</w:t>
      </w:r>
      <w:r>
        <w:rPr>
          <w:rtl w:val="true"/>
        </w:rPr>
        <w:t>صلی الله علیه وآله</w:t>
      </w:r>
      <w:r>
        <w:rPr>
          <w:rtl w:val="true"/>
        </w:rPr>
        <w:t>)</w:t>
      </w:r>
      <w:bookmarkEnd w:id="21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لسامعه قتله ما لم يخف الضرر على نفسه أو ماله أو غيره من أهل الإيمان</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وفي المسالك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موضع وفاقٍ، وبه نصوصٌ</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وعن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وفي الرياض في ذيل عبارة النافع،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يحلّ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دم سابّ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الأئمّة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 سامع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غير توقّف على إذن الإمام، كما هو المشهور، بل عليه في الغنية الإجماع، خلافاً للمحكيّ عن المفيد والمختلف، فلم يجوّزا قتله بغير إذنه</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وفي المختلف</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 في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واحداً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مرتدٌّ عن الإسلام، ودمههدر، يتولّى ذلك منه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سمعه منه غير الإمام فبدر إلى قتله عصى الله، ولم يكن عليه قود ولا دية؛ لاستحقاقه القتل على ما ذكرناه، لكنّه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مخطئاً بتقدّمه على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الشيخ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واحداً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دمه هدراً، وحلّ لمن سمع ذلك منه قتله ما لم يخف في قتله على نفسه أو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ما قاله المفيد؛ لأنّه حدٌّ، والمستوفي للحدود هو الإمام، ورواية أبي عاصم السجستاني</w:t>
      </w:r>
      <w:r>
        <w:rPr>
          <w:rStyle w:val="FootnoteAnchor"/>
          <w:rtl w:val="true"/>
        </w:rPr>
        <w:footnoteReference w:id="943"/>
      </w:r>
      <w:r>
        <w:rPr>
          <w:rFonts w:ascii="Amiri" w:hAnsi="Amiri" w:eastAsia="Amiri" w:cs="Amiri"/>
          <w:color w:val="111111"/>
          <w:sz w:val="28"/>
          <w:sz w:val="28"/>
          <w:szCs w:val="28"/>
          <w:rtl w:val="true"/>
          <w:lang w:bidi="ar-SA"/>
        </w:rPr>
        <w:t>دالّة عليه</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انتهى كلامه رفع في الخلد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عدم جواز قتله للسامع من دون إذن الإمام، وأنّ عليه القصاص؛ لعدم هدر دمه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استُدِلّ به على الجواز والهدر من الإجماع، وإطلاق النصوص، وخصوصها غير تامّ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فلوجود الخلاف، لا سيّما مع أنّ المخالف مثل شيخ المفيد</w:t>
      </w:r>
      <w:r>
        <w:rPr>
          <w:rStyle w:val="FootnoteAnchor"/>
          <w:rtl w:val="true"/>
        </w:rPr>
        <w:footnoteReference w:id="945"/>
      </w:r>
      <w:r>
        <w:rPr>
          <w:rFonts w:ascii="Amiri" w:hAnsi="Amiri" w:eastAsia="Amiri" w:cs="Amiri"/>
          <w:color w:val="111111"/>
          <w:sz w:val="28"/>
          <w:sz w:val="28"/>
          <w:szCs w:val="28"/>
          <w:rtl w:val="true"/>
          <w:lang w:bidi="ar-SA"/>
        </w:rPr>
        <w:t>مثل السيّد المرتضى</w:t>
      </w:r>
      <w:r>
        <w:rPr>
          <w:rStyle w:val="FootnoteAnchor"/>
          <w:rtl w:val="true"/>
        </w:rPr>
        <w:footnoteReference w:id="946"/>
      </w:r>
      <w:r>
        <w:rPr>
          <w:rFonts w:ascii="Amiri" w:hAnsi="Amiri" w:eastAsia="Amiri" w:cs="Amiri"/>
          <w:color w:val="111111"/>
          <w:sz w:val="28"/>
          <w:sz w:val="28"/>
          <w:szCs w:val="28"/>
          <w:rtl w:val="true"/>
          <w:lang w:bidi="ar-SA"/>
        </w:rPr>
        <w:t>والشيخ الطوسي</w:t>
      </w:r>
      <w:r>
        <w:rPr>
          <w:rStyle w:val="FootnoteAnchor"/>
          <w:rtl w:val="true"/>
        </w:rPr>
        <w:footnoteReference w:id="947"/>
      </w:r>
      <w:r>
        <w:rPr>
          <w:rFonts w:ascii="Amiri" w:hAnsi="Amiri" w:eastAsia="Amiri" w:cs="Amiri"/>
          <w:color w:val="111111"/>
          <w:sz w:val="28"/>
          <w:sz w:val="28"/>
          <w:szCs w:val="28"/>
          <w:rtl w:val="true"/>
          <w:lang w:bidi="ar-SA"/>
        </w:rPr>
        <w:t>وغيرهما من أئمّة الفقه والحديث، ومثل العلّامة الملّقب به في ألسنة العلماء والفقهاء من غير ترديد وإنكار، المؤلّف لغير واحد من الكتب الفقهيّة المعتمدة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القواعدوالتذكرة وغيرهما ممّا يبلغ أزيد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خمسة عشر كتاباً</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هذا، مع أنّ الاتّفاق على تحقّقه وحجيّته غير حجّة في مثل المسألة من المسائل الاجتهاديّة والمسائل المنصوصة،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الذي استدلّ به الجواهر ،</w:t>
      </w:r>
      <w:r>
        <w:rPr>
          <w:rStyle w:val="FootnoteAnchor"/>
          <w:rtl w:val="true"/>
        </w:rPr>
        <w:footnoteReference w:id="949"/>
      </w:r>
      <w:r>
        <w:rPr>
          <w:rFonts w:ascii="Amiri" w:hAnsi="Amiri" w:eastAsia="Amiri" w:cs="Amiri"/>
          <w:color w:val="111111"/>
          <w:sz w:val="28"/>
          <w:sz w:val="28"/>
          <w:szCs w:val="28"/>
          <w:rtl w:val="true"/>
          <w:lang w:bidi="ar-SA"/>
        </w:rPr>
        <w:t>ففيه ما لا يخفى؛ لأنّ الإطلاق في مقام بيان سببيّة السبّ للقتل، كالرجم والارتداد وأمثالهما دون كيفيّة الإجراء وشرائطه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الثالث؛ أي النصوص الخاصّة الثلاثة من صحيح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عمّن شتم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يقتله الأدنى فالأدنى قبل أن يرفع إلى الإمام</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وموثّق عليّ بن جعفر، عن أخيه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أبي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اُسوة سواء، من سمع أحداً يذكرني فالواجب عليه أن يقتل من شتمني ولا يرفع إلى السلطان، والواجب على السلطان إذا رفع إليه أن يقتل من نال منّي</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وصحيح محمّد بن مسلم،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أرأيت لو أنّ رجلاً الآن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أيقتل؟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تخف على نفسك فاقتله</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صحيح هشام، ففيه احتمال كون القضيّة شخصيّة، وكون السؤال عن واقعة خارجيّة لا عن أمر كلّي فقهي، حتّى يتمّ الاستدلال به حيث إنّه 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بكونه مسؤولاً عمّن شتم وهو هشام، فالراوي ليس بسائل بل هو ناقل عن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نائباً للفاعل عن الفعل المبنيّ للمجهول عن مادّة السؤال، فلعلّه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بمن سئل عن شتمه، ويؤ‌يّده التعبير في الحديث بالفعل الماضي من مادّة الشتم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شتم الدالّ على وقوعه، ومع هذا الاحتمال لا يصّح الاستدلال، وإذا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دعوى ظهور الحديث في كونه قضيّة 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ذكر من الوجهين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دعوى جزافيّة خالية عن القرينة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موثّق عليّ بن جعفر فمعارض مع صحيح ابن مسلم، حيث إنّ المتفاهم من سؤال ابن مسلم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لو أنّ رجلا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قضيّة رجل من هذيل، أنّ ما فيها من جواز قتل سابّ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ظاهراً في الدوام، وإلّا لم يسأل ابنمسلم الفقيه عن الجواز في زمانه وفي الآن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المتفاهم من توجيه الأمر والخطاب من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شخصاً مع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عن العموم، كون الأمر إذناً شخصيّاً لا حكماً كلّياً إلهياً، وإلّا كان المناسب بل اللازم في الجواب، الجواب بما يدلّ على الحكم الكلّي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ذلك فلا دلالة للصحيح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صدره وهو قضيّة هذيل ولا من ذيله وهو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سؤال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أزيد من جواز القتل مع الإذن الشخصي، بل فيه الدلالة على اعتباره وشرطيته وعدم الإباحة وهدر الدم على الإطلاق؛ حيث إنّه مع عدم اعتبار إذنه كذلك كان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محلّه وهو كما ترى، فإنّ بعد إذن الله تعالى وإباحته لا احتياج إلى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فالصحيح كما أنّه ظاهر في شرطيته عدم الخوف في جواز قتل السابّ فكذلك ظاهر في اعتبار الإذن في قتله فليس للسامع لسبّ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إلّا مع الإذن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فصحيح محمّد بن مسلم معارض مع موثّق عليّ بن جعفر، الظاهر في جواز القتل لكلّ سامع للشتم في كلّ الأزمنة من دون احتياج إلى الإذن والمراجعة إلى الحكومة، والترجيح مع صحيح ابن مسلم؛ لصحّة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وسند الموثّق وإن كان حجّة ومعتبراً، لكنّه موثّق لا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ذكرناه يظهر عدم الدليل على ما هو المشهور من جواز قتل السامع لسابّ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وهدر دمه على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فعلى قاتله من دون إذن الحكومة والحاكم القصاص، كما مرّ بيانه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عن المفيد من عدم القود والدية عليه؛ لاستحقاقه القتل،</w:t>
      </w:r>
      <w:r>
        <w:rPr>
          <w:rStyle w:val="FootnoteAnchor"/>
          <w:rtl w:val="true"/>
        </w:rPr>
        <w:footnoteReference w:id="953"/>
      </w:r>
      <w:r>
        <w:rPr>
          <w:rFonts w:ascii="Amiri" w:hAnsi="Amiri" w:eastAsia="Amiri" w:cs="Amiri"/>
          <w:color w:val="111111"/>
          <w:sz w:val="28"/>
          <w:sz w:val="28"/>
          <w:szCs w:val="28"/>
          <w:rtl w:val="true"/>
          <w:lang w:bidi="ar-SA"/>
        </w:rPr>
        <w:t>فضعفه ظاهرممّا مرّ</w:t>
      </w:r>
      <w:r>
        <w:rPr>
          <w:rFonts w:eastAsia="Amiri" w:cs="Amiri" w:ascii="Amiri" w:hAnsi="Amiri"/>
          <w:color w:val="111111"/>
          <w:sz w:val="28"/>
          <w:szCs w:val="28"/>
          <w:rtl w:val="true"/>
          <w:lang w:bidi="ar-SA"/>
        </w:rPr>
        <w:t>.</w:t>
      </w:r>
      <w:r>
        <w:rPr>
          <w:rStyle w:val="FootnoteAnchor"/>
          <w:rtl w:val="true"/>
        </w:rPr>
        <w:footnoteReference w:id="95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بعدم خوف الضرر على </w:t>
      </w:r>
    </w:p>
    <w:p>
      <w:pPr>
        <w:pStyle w:val="BookText"/>
        <w:rPr/>
      </w:pPr>
      <w:r>
        <w:rPr>
          <w:rFonts w:ascii="Amiri" w:hAnsi="Amiri" w:eastAsia="Amiri" w:cs="Amiri"/>
          <w:color w:val="111111"/>
          <w:sz w:val="28"/>
          <w:sz w:val="28"/>
          <w:szCs w:val="28"/>
          <w:rtl w:val="true"/>
          <w:lang w:bidi="ar-SA"/>
        </w:rPr>
        <w:t>وكذا لا قود على من قتله بحقّ كالقصاص والقتل دفاعاً،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القود على</w:t>
      </w:r>
    </w:p>
    <w:p>
      <w:pPr>
        <w:pStyle w:val="BookText"/>
        <w:rPr/>
      </w:pPr>
      <w:r>
        <w:rPr>
          <w:rFonts w:ascii="IRNazanin" w:hAnsi="IRNazanin" w:eastAsia="IRNazanin"/>
          <w:color w:val="111111"/>
          <w:sz w:val="28"/>
          <w:sz w:val="28"/>
          <w:szCs w:val="28"/>
          <w:rtl w:val="true"/>
          <w:lang w:bidi="fa-IR"/>
        </w:rPr>
        <w:t xml:space="preserve">القاتل نفسه وماله وعرضه، وكذا سائر المسلمين؛ لصحيح ابن مسلم السابق، ولفحوى ما ورد في قتل السابّ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ولقاعدة نفي الضرر والحرج، بل لا ينبغي الإشكال في تقيّده بعدم الخوف على الضرر على الإسلام وعزّته أيضاً، بتضييع حرمته وصيرورته متهماً بالفوضى وعدم الأمن والأمان فيه، وبأنّه مع كون المقتول غير قادر على الدفاع فكيف يحكم عليه بارتكابه السبّ واستحقاقه التعزير أو الحدّ، وبغير ذلك ممّا يوجب الضرر بعزّته، فضلاً عمّا يوجب الوهن فيه،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فعلى المشهور لا ينبغي الشكّ في القصاص في بعض تلك الصور، ممّا يكون المنع من جهة الضرر على الإسلام، أو من جهة الضرر العظيم على الغير، كما يظهر بالمراجعة والدقّة في القواعد والضوابط التي بيّناها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القود فيهما ضروري ولابدّ منه بعد جواز القتل، فإنّ اللازم من جوازه بهما هو الهدر وعدم الحرمة لدم المقتول بهما، كما هو أظهر من الشمس وأبين من الأمس</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القصاص بهما منافٍ لجوازهما ومباين ذاتي لهما، وإلى ذلك يشير خبر أبي الصباح الكناني،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قتله القصاص، له دية؟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ذلك لم يقتصّأحد من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قتله الحدّ فلا دية له</w:t>
      </w:r>
      <w:r>
        <w:rPr>
          <w:rFonts w:eastAsia="IRNazanin" w:cs="IRNazanin"/>
          <w:color w:val="111111"/>
          <w:sz w:val="28"/>
          <w:szCs w:val="28"/>
          <w:rtl w:val="true"/>
          <w:lang w:bidi="fa-IR"/>
        </w:rPr>
        <w:t>».</w:t>
      </w:r>
      <w:r>
        <w:rPr>
          <w:rStyle w:val="FootnoteAnchor"/>
          <w:rtl w:val="true"/>
        </w:rPr>
        <w:footnoteReference w:id="955"/>
      </w:r>
      <w:r>
        <w:rPr>
          <w:rFonts w:ascii="Amiri" w:hAnsi="Amiri" w:eastAsia="Amiri" w:cs="Amiri"/>
          <w:color w:val="111111"/>
          <w:sz w:val="28"/>
          <w:sz w:val="28"/>
          <w:szCs w:val="28"/>
          <w:rtl w:val="true"/>
          <w:lang w:bidi="ar-SA"/>
        </w:rPr>
        <w:t xml:space="preserve">هذا، مع ما يدلّ على عدم القصاص في القصاص والحدّ، من </w:t>
      </w:r>
    </w:p>
    <w:p>
      <w:pPr>
        <w:pStyle w:val="BookText"/>
        <w:rPr/>
      </w:pPr>
      <w:r>
        <w:rPr>
          <w:rFonts w:ascii="Amiri" w:hAnsi="Amiri" w:eastAsia="Amiri" w:cs="Amiri"/>
          <w:color w:val="111111"/>
          <w:sz w:val="28"/>
          <w:sz w:val="28"/>
          <w:szCs w:val="28"/>
          <w:rtl w:val="true"/>
          <w:lang w:bidi="ar-SA"/>
        </w:rPr>
        <w:t xml:space="preserve">قتل من وجب قتله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كاللائط والزاني والمرتدّ فطرةً بعد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وإشكال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قود على من هلك بسراية القصاص أو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الأخبار الكثيرة المنقولة في الوسائل في 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القصاص في النفس</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كما مرّ في اللواحق القصاص بالقتل كذلك؛ لعموم أدلّة القصاص، وعدم الدليل على هدر دمهم بالنسبة إلى المسلمين على الإطلاق ولكلّ واحد منهم، بل دليل هدرهم مختصٌّ بالحكومة والحاكم 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كاختصاص إجراء بقيّة الحدود بهما، فكما لا دليل على هدر دمهم بالنسبة إلى الكفّار، ولذلك كان على الذمّي القود في قتله المرتدّ كذلك بالنسبة إلى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أجاد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جعله القود فيهم محلّ إشكال وتأ‌مّل، بعد ما كان عدم القود في مثل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قرآن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مرسلاً إرسال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المقتول محقون الدم، احترازاً من المرتدّ بالنظر إلى المسلم، فإنّ المسلم لو قتله لم يثبت القود، وكذا كلّ من أباح الشرع قتله، ومثله من هلك بسراية القصاص أو الحدّ</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كلّه ظهر الوجه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قود على من هلك بسراية القصاص أو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حاجة إلى بيانه</w:t>
      </w:r>
      <w:r>
        <w:rPr>
          <w:rFonts w:eastAsia="Amiri" w:cs="Amiri" w:ascii="Amiri" w:hAnsi="Amiri"/>
          <w:color w:val="111111"/>
          <w:sz w:val="28"/>
          <w:szCs w:val="28"/>
          <w:rtl w:val="true"/>
          <w:lang w:bidi="ar-SA"/>
        </w:rPr>
        <w:t xml:space="preserve">. </w:t>
      </w:r>
      <w:bookmarkStart w:id="215" w:name="pg9428_72636"/>
    </w:p>
    <w:p>
      <w:pPr>
        <w:pStyle w:val="Heading2"/>
        <w:numPr>
          <w:ilvl w:val="1"/>
          <w:numId w:val="1"/>
        </w:numPr>
        <w:rPr/>
      </w:pPr>
      <w:bookmarkStart w:id="216" w:name="__RefHeading___Toc5797543_2870459653"/>
      <w:bookmarkStart w:id="217" w:name="_Toc72"/>
      <w:bookmarkEnd w:id="215"/>
      <w:bookmarkEnd w:id="216"/>
      <w:r>
        <w:rPr>
          <w:rtl w:val="true"/>
        </w:rPr>
        <w:t>القول فيما يثبت به القود</w:t>
      </w:r>
      <w:bookmarkEnd w:id="217"/>
    </w:p>
    <w:p>
      <w:pPr>
        <w:pStyle w:val="Heading3"/>
        <w:numPr>
          <w:ilvl w:val="2"/>
          <w:numId w:val="1"/>
        </w:numPr>
        <w:rPr/>
      </w:pPr>
      <w:bookmarkStart w:id="218" w:name="__RefHeading___Toc5797545_2870459653"/>
      <w:bookmarkStart w:id="219" w:name="_Toc73"/>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وهو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بالقتل</w:t>
      </w:r>
    </w:p>
    <w:p>
      <w:pPr>
        <w:pStyle w:val="BookText"/>
        <w:rPr/>
      </w:pPr>
      <w:r>
        <w:rPr>
          <w:rFonts w:ascii="Amiri" w:hAnsi="Amiri" w:eastAsia="Amiri" w:cs="Amiri"/>
          <w:color w:val="111111"/>
          <w:sz w:val="28"/>
          <w:sz w:val="28"/>
          <w:szCs w:val="28"/>
          <w:rtl w:val="true"/>
          <w:lang w:bidi="ar-SA"/>
        </w:rPr>
        <w:t>ويكفي فيه مرّة واحدة، ومنهم من يشترط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وجيه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والبیّنة، والقسامة</w:t>
      </w:r>
      <w:r>
        <w:rPr>
          <w:rFonts w:eastAsia="IRNazanin" w:cs="IRNazanin"/>
          <w:color w:val="111111"/>
          <w:sz w:val="28"/>
          <w:szCs w:val="28"/>
          <w:rtl w:val="true"/>
          <w:lang w:bidi="fa-IR"/>
        </w:rPr>
        <w:t>.</w:t>
      </w:r>
    </w:p>
    <w:p>
      <w:pPr>
        <w:pStyle w:val="Heading3"/>
        <w:numPr>
          <w:ilvl w:val="2"/>
          <w:numId w:val="1"/>
        </w:numPr>
        <w:rPr/>
      </w:pPr>
      <w:bookmarkStart w:id="220" w:name="__RefHeading___Toc5797547_2870459653"/>
      <w:bookmarkStart w:id="221" w:name="_Toc74"/>
      <w:bookmarkEnd w:id="220"/>
      <w:r>
        <w:rPr>
          <w:rtl w:val="true"/>
        </w:rPr>
        <w:t>الإقرار بالقتل</w:t>
      </w:r>
      <w:bookmarkEnd w:id="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خلافٌ، وفي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بثبوته بالإقرار مرّة مذهب أكثر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الشيخ في النهاية</w:t>
      </w:r>
      <w:r>
        <w:rPr>
          <w:rStyle w:val="FootnoteAnchor"/>
          <w:rtl w:val="true"/>
        </w:rPr>
        <w:footnoteReference w:id="958"/>
      </w:r>
      <w:r>
        <w:rPr>
          <w:rFonts w:ascii="Amiri" w:hAnsi="Amiri" w:eastAsia="Amiri" w:cs="Amiri"/>
          <w:color w:val="111111"/>
          <w:sz w:val="28"/>
          <w:sz w:val="28"/>
          <w:szCs w:val="28"/>
          <w:rtl w:val="true"/>
          <w:lang w:bidi="ar-SA"/>
        </w:rPr>
        <w:t>والقاضي</w:t>
      </w:r>
      <w:r>
        <w:rPr>
          <w:rStyle w:val="FootnoteAnchor"/>
          <w:rtl w:val="true"/>
        </w:rPr>
        <w:footnoteReference w:id="959"/>
      </w:r>
      <w:r>
        <w:rPr>
          <w:rFonts w:ascii="Amiri" w:hAnsi="Amiri" w:eastAsia="Amiri" w:cs="Amiri"/>
          <w:color w:val="111111"/>
          <w:sz w:val="28"/>
          <w:sz w:val="28"/>
          <w:szCs w:val="28"/>
          <w:rtl w:val="true"/>
          <w:lang w:bidi="ar-SA"/>
        </w:rPr>
        <w:t>وابن إدريس</w:t>
      </w:r>
      <w:r>
        <w:rPr>
          <w:rStyle w:val="FootnoteAnchor"/>
          <w:rtl w:val="true"/>
        </w:rPr>
        <w:footnoteReference w:id="960"/>
      </w:r>
      <w:r>
        <w:rPr>
          <w:rFonts w:ascii="Amiri" w:hAnsi="Amiri" w:eastAsia="Amiri" w:cs="Amiri"/>
          <w:color w:val="111111"/>
          <w:sz w:val="28"/>
          <w:sz w:val="28"/>
          <w:szCs w:val="28"/>
          <w:rtl w:val="true"/>
          <w:lang w:bidi="ar-SA"/>
        </w:rPr>
        <w:t>وجماعة إلى اعتبار المرّتين</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 بعموم أدلّة الإقرار،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2"/>
      </w:r>
      <w:r>
        <w:rPr>
          <w:rFonts w:ascii="IRNazanin" w:hAnsi="IRNazanin" w:eastAsia="IRNazanin"/>
          <w:color w:val="111111"/>
          <w:sz w:val="28"/>
          <w:sz w:val="28"/>
          <w:szCs w:val="28"/>
          <w:rtl w:val="true"/>
          <w:lang w:bidi="fa-IR"/>
        </w:rPr>
        <w:t xml:space="preserve">وغيره ممّا هو مذكور في كتاب الإقرار، وبخصوص الروايات الدالّة على أخذ المقرّ والحكم عليه بمجرّد المرّة، مثل ما في حكاية قضاء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أقرّ الرجل الخارج من الخربة وبيده سكّين متلطّخة بالدم، وفيها رجل مذبوح وقضى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بالقود، فأقرّ آخر بأنّه القاتل، قبل منه وأسقط القود</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وما يدلّ على كون دية الخطأ على المقرّ،</w:t>
      </w:r>
      <w:r>
        <w:rPr>
          <w:rStyle w:val="FootnoteAnchor"/>
          <w:rtl w:val="true"/>
        </w:rPr>
        <w:footnoteReference w:id="964"/>
      </w:r>
      <w:r>
        <w:rPr>
          <w:rFonts w:ascii="Amiri" w:hAnsi="Amiri" w:eastAsia="Amiri" w:cs="Amiri"/>
          <w:color w:val="111111"/>
          <w:sz w:val="28"/>
          <w:sz w:val="28"/>
          <w:szCs w:val="28"/>
          <w:rtl w:val="true"/>
          <w:lang w:bidi="ar-SA"/>
        </w:rPr>
        <w:t>فإنّ المذكور فيها الإقرار مرّة لا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يدلّ على حكم لو أقرّ واحد بالعمد والآخر بالخطأ</w:t>
      </w:r>
      <w:r>
        <w:rPr>
          <w:rFonts w:eastAsia="Amiri" w:cs="Amiri" w:ascii="Amiri" w:hAnsi="Amiri"/>
          <w:color w:val="111111"/>
          <w:sz w:val="28"/>
          <w:szCs w:val="28"/>
          <w:rtl w:val="true"/>
          <w:lang w:bidi="ar-SA"/>
        </w:rPr>
        <w:t>.</w:t>
      </w:r>
      <w:r>
        <w:rPr>
          <w:rStyle w:val="FootnoteAnchor"/>
          <w:rtl w:val="true"/>
        </w:rPr>
        <w:footnoteReference w:id="96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صحيحة زرارة،</w:t>
      </w:r>
      <w:r>
        <w:rPr>
          <w:rStyle w:val="FootnoteAnchor"/>
          <w:rtl w:val="true"/>
        </w:rPr>
        <w:footnoteReference w:id="966"/>
      </w: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شخصاًأقرّ بأنّه القاتل بعد أن شهد جماعة على غيره أنّه القاتل، وغير ذلك</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والعمدة من هذه الوجوه هو عموم أدلّة الإقرار؛ لما في الأخبار الخاصّة من المناقشة بكونها واردة مورد تعارض الإقرار مع إقرار آخر أو مع الشهود، وفي مورد التعارض خصوصيّة الاتّهام بتبرئة القاتل موجودة، فلعلّ كفاية المرّة كانت دفعاً للتآمر والتوطئة، وتلك الخصوصيّة منتفية في غير مورد التعارض، فالاستدلال بتلك الأخبار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يدلّ من الأخبار على كون دية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فما وجدناه في مثل الوسائل وغيره من كتب الأخبار، ولم يبيّنه المستدلّ 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نظره إلى ما دلّ من الأخبار</w:t>
      </w:r>
      <w:r>
        <w:rPr>
          <w:rStyle w:val="FootnoteAnchor"/>
          <w:rtl w:val="true"/>
        </w:rPr>
        <w:footnoteReference w:id="967"/>
      </w:r>
      <w:r>
        <w:rPr>
          <w:rFonts w:ascii="Amiri" w:hAnsi="Amiri" w:eastAsia="Amiri" w:cs="Amiri"/>
          <w:color w:val="111111"/>
          <w:sz w:val="28"/>
          <w:sz w:val="28"/>
          <w:szCs w:val="28"/>
          <w:rtl w:val="true"/>
          <w:lang w:bidi="ar-SA"/>
        </w:rPr>
        <w:t>على أنّه لا تضمن العاقلة عمداً ولا إقراراً ولا صلحاً، ومن المعلوم أنّه ليس من ذكر الإقرار مرّة فيه أثر أصلاً، بل ولا يدلّ على كفاية المرّة من جهة الإطلاق أيضاً؛ لأنّه في مقام بيان موارد عدم ضمان العاقلة بعد ثبوت أصل القتل والضمان لا في مقام بيان كفاية الإقرار وعدمها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وللثاني وهو الأحوط بل الأقرب؛ بالاحتياط في الدماء، وبالأولويّة عن السرقة، فلا تقلّ عن الإقرار بالسرقة التي يشترط فيها التعدد، فهي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الجواهر وغيره</w:t>
      </w:r>
      <w:r>
        <w:rPr>
          <w:rStyle w:val="FootnoteAnchor"/>
          <w:rtl w:val="true"/>
        </w:rPr>
        <w:footnoteReference w:id="968"/>
      </w:r>
      <w:r>
        <w:rPr>
          <w:rFonts w:ascii="Amiri" w:hAnsi="Amiri" w:eastAsia="Amiri" w:cs="Amiri"/>
          <w:color w:val="111111"/>
          <w:sz w:val="28"/>
          <w:sz w:val="28"/>
          <w:szCs w:val="28"/>
          <w:rtl w:val="true"/>
          <w:lang w:bidi="ar-SA"/>
        </w:rPr>
        <w:t>من الإيراد على الوجهين وردّهما بأنّ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الاحتياط في الدماء الذي لا يعارض مع الأدلّة مع أنّه معارضٌ بمثله، وعدم بطلان دم المسلم، ولذا قبلت فيه في الجملة شهادة النساء والصبيان وقسامة المدّعي؛ تحقيقاً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فِيالْقِصَاصِ حَياةٌ</w:t>
      </w:r>
      <w:r>
        <w:rPr>
          <w:rStyle w:val="FootnoteAnchor"/>
          <w:rtl w:val="true"/>
        </w:rPr>
        <w:footnoteReference w:id="969"/>
      </w:r>
      <w:r>
        <w:rPr>
          <w:rFonts w:ascii="Amiri" w:hAnsi="Amiri" w:eastAsia="Amiri" w:cs="Amiri"/>
          <w:color w:val="111111"/>
          <w:sz w:val="28"/>
          <w:sz w:val="28"/>
          <w:szCs w:val="28"/>
          <w:rtl w:val="true"/>
          <w:lang w:bidi="ar-SA"/>
        </w:rPr>
        <w:t xml:space="preserve">وإلّا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القياس على السرقة ممنوع عندنا، على أنّه مع الفارق، ضرورة كونها من الحقوق الإلهيّة المبنيّة على التخفيف والمسامحة، ولذا يسقط بالتوبة بخلاف حقوق الآدميّين</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ليس بأزيد من عموم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وشموله لمثل باب الدم والقصاص الذي ليس بقابل للاستيفاء على فرض وقوع خطأ وسهو في الإثبات محلّ تأ‌مّل بل منع، فإنّ انصرافه إلى الأموال والأُمور القابلة للتدارك أو الجزئيّة وإن لم تكن قابلةً له، غير بعيد بل قريب، فالاحتياط منشأ للانصراف، لا أنّه معارض له حتّى يُقال بعدم قابليّة معارضة الأصل والاحتياط مع الدليل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معارضته بمثله، فمذبوبة باختلافهما في المحلّ، فلا معارضة من رأس؛ وذلك لأنّ مورد عدم البطلان بعد ثبوت القتل،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دم امرءٍ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ولذا تكون ديته في بعض الموارد على بيت المال أو الإمام، ومورد الاحتياط في الدماء قبل الثبوت، وفي مقام الإثبات المبحوث عنه في المقام، وقبول شهادة النساء وما بعدها ليس تحقيقاً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w:t>
      </w:r>
      <w:r>
        <w:rPr>
          <w:rFonts w:ascii="IRNazanin" w:hAnsi="IRNazanin" w:eastAsia="IRNazanin"/>
          <w:color w:val="111111"/>
          <w:sz w:val="28"/>
          <w:sz w:val="28"/>
          <w:szCs w:val="28"/>
          <w:rtl w:val="true"/>
          <w:lang w:bidi="fa-IR"/>
        </w:rPr>
        <w:t>،</w:t>
      </w:r>
      <w:r>
        <w:rPr>
          <w:rStyle w:val="FootnoteAnchor"/>
          <w:rtl w:val="true"/>
        </w:rPr>
        <w:footnoteReference w:id="973"/>
      </w:r>
      <w:r>
        <w:rPr>
          <w:rFonts w:ascii="Amiri" w:hAnsi="Amiri" w:eastAsia="Amiri" w:cs="Amiri"/>
          <w:color w:val="111111"/>
          <w:sz w:val="28"/>
          <w:sz w:val="28"/>
          <w:szCs w:val="28"/>
          <w:rtl w:val="true"/>
          <w:lang w:bidi="ar-SA"/>
        </w:rPr>
        <w:t xml:space="preserve">كيف والعفو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والاختيار والقصد والحرّيّة، فلا‌عبرة بإقرار الصبيّ وإن كان مراهقاً، ولا المجنون، ولا المكره، ولا الساهي والنائم والغافل والسكران الذي ذهب عقله واختياره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يكون تخفيفاً لحصول الاطمئنان وتماميّة الحجّة، فإن الباب باب حقوق الناس، فلابدّ من رعاية حقّ المقتول والقاتل بجعل الشارع شهادة النساء وغيرها، ممّا يوجب الاطمئنان حجّةً في الإثبات، ففي الحقيقة حجّية تلك الأُمور راجعة إلى كون القصاص من حقوق الناس لا إلى تحقيق القصاص والحياة،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الإيراد على الأولويّة باحتمال الخصوصيّة في السرقة، فليست الأولويّة قطعيّة، بأنّ القطع من حقوق الله المبنيّة على التخفيف والمسامحة،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الاستدلال كان بالأولويّة لا القياس كما هو الظاهر والواضح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فالإيراد عليها بالقياس، وأنّه ممنوعٌ عندنا فكما ترى، حيث إنّ المستدلّ من الإماميّة لا يستدلّ به في شيء من الفقه فضلاً عمّا في المقام من الاستدلال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الجواهر من الإشكال بممنوعيّة القياس ممّا لا ينبغي صدوره من مثله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المستدلّ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فالعمدة في أقربيّة الثاني انصراف العمومات، فلابدّ من الاحتياط في الدماء والعمل بأصالة عدم جواز قتل المقرّ إلّا في المتيقّن من حجّية الإقرار المتحقّق بالإقرار مرّتين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الإجمالي في اعتبار تلك الشرائط، اعتبارها في المقرّ، وتفصيلها في كتاب الإقرار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إقرار المحجور عليه لسفه أو فلس بالقتل العمدي، فيؤخذ بإقراره، ويقتصّ منه في الحال من غير انتظار لفكّ حجره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شخص بقتله عمداً وآخر بقتله خطأً، كان للوليّ الأخذ بقول صاحب العمد، فيقتصّ منه، والأخذ بقول صاحب الخطأ،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فيلزمه بالدية، وليس له الأخذ بقولهما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الحجر عليه، فتشمله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Style w:val="FootnoteAnchor"/>
          <w:rtl w:val="true"/>
        </w:rPr>
        <w:footnoteReference w:id="974"/>
      </w:r>
      <w:r>
        <w:rPr>
          <w:rFonts w:ascii="IRNazanin" w:hAnsi="IRNazanin" w:eastAsia="IRNazanin"/>
          <w:color w:val="111111"/>
          <w:sz w:val="28"/>
          <w:sz w:val="28"/>
          <w:szCs w:val="28"/>
          <w:rtl w:val="true"/>
          <w:lang w:bidi="fa-IR"/>
        </w:rPr>
        <w:t>بل عن الانتصار</w:t>
      </w:r>
      <w:r>
        <w:rPr>
          <w:rFonts w:eastAsia="IRNazanin" w:cs="IRNazanin"/>
          <w:color w:val="111111"/>
          <w:sz w:val="28"/>
          <w:szCs w:val="28"/>
          <w:rtl w:val="true"/>
          <w:lang w:bidi="fa-IR"/>
        </w:rPr>
        <w:t>:</w:t>
      </w:r>
      <w:r>
        <w:rPr>
          <w:rStyle w:val="FootnoteAnchor"/>
          <w:rtl w:val="true"/>
        </w:rPr>
        <w:footnoteReference w:id="975"/>
      </w:r>
      <w:r>
        <w:rPr>
          <w:rFonts w:ascii="Amiri" w:hAnsi="Amiri" w:eastAsia="Amiri" w:cs="Amiri"/>
          <w:color w:val="111111"/>
          <w:sz w:val="28"/>
          <w:sz w:val="28"/>
          <w:szCs w:val="28"/>
          <w:rtl w:val="true"/>
          <w:lang w:bidi="ar-SA"/>
        </w:rPr>
        <w:t>الإجماع عليه؛ وذلك لأنّ إقرار كلٍّ منهما حجّة وسبب مستقلّ في إيجاب مقتضاه على المقرّ به، ولا يمكن الجمع بين الأمرين، فيتخيّر الوليّ في العمل بأ‌يّهما شاء وإن جهل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إلى خبر الحسن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وجد مقتولاً فجاء رجلان إلى وليّه،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عمداً،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خطأ؟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أخذ بقول صاحب العمد فليس له على صاحب الخطأ سبيل، وإن أخذ بقول صاحب الخطأ فليس له على صاحب العمد سبيل</w:t>
      </w:r>
      <w:r>
        <w:rPr>
          <w:rFonts w:eastAsia="IRNazanin" w:cs="IRNazanin"/>
          <w:color w:val="111111"/>
          <w:sz w:val="28"/>
          <w:szCs w:val="28"/>
          <w:rtl w:val="true"/>
          <w:lang w:bidi="fa-IR"/>
        </w:rPr>
        <w:t>».</w:t>
      </w:r>
      <w:r>
        <w:rPr>
          <w:rStyle w:val="FootnoteAnchor"/>
          <w:rtl w:val="true"/>
        </w:rPr>
        <w:footnoteReference w:id="97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أنّه ليس في الحديث أمر أزيد ممّا قبله من قاعدة الإقرار، وتخيير الوليّ لعدم إمكان الجمع بين الأمرين المدلول عليه بنفيه السبيل على الآخر بعد أخذ أحدهما بإقراره، فلا يكون دليلاً مستقلاً زائداً عليه، بل يكون شاهداً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اتّهم رجل بقتل وأقرّ المتّهم بقتله عمداً، فجاء آخر وأقرّ أنّه هو الذي قتله، ورجع المُقرّ الأوّل عن إقراره، درئ عنهما القصاص والدية، ويؤدّى دية المقتول من بيت المال على رواية عمل بها الأصحاب، ولا بأس به، لكن يقتصر على موردها والمتيقّن من مورد فتوى الأصحاب، فلو لم يرجع الأوّل عن إقراره عمل على القواعد، ولو لم يكن بيت مال للمسلمين فلا يبعد إلزامهما أو إلزام أحدهما بالدية، ولو لم يكن لهما مال ففي القود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معتضداً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العامّة من قتلهما أو أخذ الدية منهما واضح الفساد؛ لما فيه من المخالفة لأحد الإقرارين، بل وكذا ما عن الغنية</w:t>
      </w:r>
      <w:r>
        <w:rPr>
          <w:rStyle w:val="FootnoteAnchor"/>
          <w:rtl w:val="true"/>
        </w:rPr>
        <w:footnoteReference w:id="977"/>
      </w:r>
      <w:r>
        <w:rPr>
          <w:rFonts w:ascii="IRNazanin" w:hAnsi="IRNazanin" w:eastAsia="IRNazanin"/>
          <w:color w:val="111111"/>
          <w:sz w:val="28"/>
          <w:sz w:val="28"/>
          <w:szCs w:val="28"/>
          <w:rtl w:val="true"/>
          <w:lang w:bidi="fa-IR"/>
        </w:rPr>
        <w:t>والإصباح</w:t>
      </w:r>
      <w:r>
        <w:rPr>
          <w:rStyle w:val="FootnoteAnchor"/>
          <w:rtl w:val="true"/>
        </w:rPr>
        <w:footnoteReference w:id="978"/>
      </w:r>
      <w:r>
        <w:rPr>
          <w:rFonts w:ascii="Amiri" w:hAnsi="Amiri" w:eastAsia="Amiri" w:cs="Amiri"/>
          <w:color w:val="111111"/>
          <w:sz w:val="28"/>
          <w:sz w:val="28"/>
          <w:szCs w:val="28"/>
          <w:rtl w:val="true"/>
          <w:lang w:bidi="ar-SA"/>
        </w:rPr>
        <w:t>من تخيّر الوليّ بين قتل المقرّ بالعمد وأخذ الدية منهما نصفين؛ لما فيه من ترجيح الإقرار بالعمد بما لا دليل عليه، بل عموم أدلّة الإقرار وشمولها للإقرارين دليل وحجّة على خلافه، كما أنّ أخذ الدية منهما نصفين طرح لكلا الإقرارين، 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المسألة وفي الاقتصار على مورد الرواية، وفي فرع عدم بيت المال يتمّ في مقامات ثلاثة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المتن من حكم المسألة، وهو المشهور بين الأصحاب، بل في كشف الرموز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والأصحاب ذاهبون إليها، وما أعرفلها مخالفاً</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بل ظاهر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وفيه مضافاً إلى ذلك جعل النصّ هو المستند للأصحاب، حيث قال في المسألة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ولأننّا نسند ما نذهب إليه في هذه المسألة إلى نصٍّ، وتوقيف، ويرجع المخالف لنا إلى الظنّ والحسبان</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والمخالف للمشهور الشهيد الثاني في المسالك</w:t>
      </w:r>
      <w:r>
        <w:rPr>
          <w:rStyle w:val="FootnoteAnchor"/>
          <w:rtl w:val="true"/>
        </w:rPr>
        <w:footnoteReference w:id="981"/>
      </w:r>
      <w:r>
        <w:rPr>
          <w:rFonts w:ascii="Amiri" w:hAnsi="Amiri" w:eastAsia="Amiri" w:cs="Amiri"/>
          <w:color w:val="111111"/>
          <w:sz w:val="28"/>
          <w:sz w:val="28"/>
          <w:szCs w:val="28"/>
          <w:rtl w:val="true"/>
          <w:lang w:bidi="ar-SA"/>
        </w:rPr>
        <w:t>والروضة</w:t>
      </w:r>
      <w:r>
        <w:rPr>
          <w:rStyle w:val="FootnoteAnchor"/>
          <w:rtl w:val="true"/>
        </w:rPr>
        <w:footnoteReference w:id="982"/>
      </w:r>
      <w:r>
        <w:rPr>
          <w:rFonts w:ascii="Amiri" w:hAnsi="Amiri" w:eastAsia="Amiri" w:cs="Amiri"/>
          <w:color w:val="111111"/>
          <w:sz w:val="28"/>
          <w:sz w:val="28"/>
          <w:szCs w:val="28"/>
          <w:rtl w:val="true"/>
          <w:lang w:bidi="ar-SA"/>
        </w:rPr>
        <w:t>وأبو‌العبّاس في المهذّب</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ففي المسالك بعد الإشكال على مستندهم بكونه مرسلاً مخالفاً للأصل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تخيير الوليّ في تصديق أ‌يّهما شاء، والاستيفاء منه</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ومثله الروضة،</w:t>
      </w:r>
      <w:r>
        <w:rPr>
          <w:rStyle w:val="FootnoteAnchor"/>
          <w:rtl w:val="true"/>
        </w:rPr>
        <w:footnoteReference w:id="985"/>
      </w:r>
      <w:r>
        <w:rPr>
          <w:rFonts w:ascii="Amiri" w:hAnsi="Amiri" w:eastAsia="Amiri" w:cs="Amiri"/>
          <w:color w:val="111111"/>
          <w:sz w:val="28"/>
          <w:sz w:val="28"/>
          <w:szCs w:val="28"/>
          <w:rtl w:val="true"/>
          <w:lang w:bidi="ar-SA"/>
        </w:rPr>
        <w:t>ويظهر من اللثام التردّد،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 مرسلٌ مرفوعٌ مخالفٌ للأُصول</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والظاهر انحصار المخالف فيهم؛ لعدم نقل الخلاف ممّن سواهم، بل في تعليقات صاحب مفتاح الكرامة على قصاص اللثام بعد نقل الخلاف والتردّد منهم،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نجد الخلاف إلّا ممّن عرفت، وقد سبقهم الإجماع</w:t>
      </w:r>
      <w:r>
        <w:rPr>
          <w:rFonts w:eastAsia="Amiri" w:cs="Amiri" w:ascii="Amiri" w:hAnsi="Amiri"/>
          <w:color w:val="111111"/>
          <w:sz w:val="28"/>
          <w:szCs w:val="28"/>
          <w:rtl w:val="true"/>
          <w:lang w:bidi="ar-SA"/>
        </w:rPr>
        <w:t>».</w:t>
      </w:r>
      <w:r>
        <w:rPr>
          <w:rStyle w:val="FootnoteAnchor"/>
          <w:rtl w:val="true"/>
        </w:rPr>
        <w:footnoteReference w:id="987"/>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فدليل المشهور ومستندهم خبر عليّ بن إبراهيم، عن بعض أصحابنا رفعه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وجد في خربة وبيده سكّين ملطّخ بالدم، وإذا رجل مذبوح يتشحّط في دمه، فقال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أنا قتلته،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إذهبوا به فأقيدوه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ذهبوا به أقبل رجل مسرعاً،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قتلته، فقال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حملك على إقرارك على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كنت أستطيع أن أقول، وقد شهد عليّ أمثال هؤلاء الرجال وأخذوني وبيدي سكّين ملطّخ بالدم، والرجل يتشحّط في دمه، وأنا قائم عليه، وخفت الضرب فأقررت، وأنا رجل كنت ذبحت بجنب هذه الخربة شاة، فأخذني البول فدخلت الخربة فرأيت الرجل متشحّطاً في دمه، فقمت متعجّباً، فدخل عليّ هؤلاء، فأخذوني، فقال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خذوا هذين، فإذهبوا بهما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الحكم فيهما؟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فذهبوا إلى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وقصّوا عليه قصّتهما، 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قولوا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إن كان ذبح ذاك فقد أحيا هذا، وقد قال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أَحْيَاهَا فَكَأَنَّما أَحْيَا النَّاسَ جَمِيعاً</w:t>
      </w:r>
      <w:r>
        <w:rPr>
          <w:rStyle w:val="FootnoteAnchor"/>
          <w:rtl w:val="true"/>
        </w:rPr>
        <w:footnoteReference w:id="988"/>
      </w:r>
      <w:r>
        <w:rPr>
          <w:rFonts w:ascii="Amiri" w:hAnsi="Amiri" w:eastAsia="Amiri" w:cs="Amiri"/>
          <w:color w:val="111111"/>
          <w:sz w:val="28"/>
          <w:sz w:val="28"/>
          <w:szCs w:val="28"/>
          <w:rtl w:val="true"/>
          <w:lang w:bidi="ar-SA"/>
        </w:rPr>
        <w:t>يخلّى عنهما، وتخرج دية المذبوح من بيت المال</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وفي فتوى المشهور واستنادهم إلى الخبر محاذير، ومخالفة للقواعد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اختصاص الحكم بالإقرارين، بل يكون للأعمّ منهما ومن ثبوت الأوّل بالبيّنة أو القسامة، مع أنّ المشهور الاختصاص لما في الخبر من عموميّة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الكبرى، فإنّها هي قول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هذا ذبح ذاك فقد أحيا هذا، وقد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أَحْيَاهَا فَكَأَنَّمَا أَحْيَا النَّاسَ جَمِيعاً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إن ثَبت كون المتّهم قاتلاً بالبيّنة أو القسامة، ثمّ جاء آخر وأقرّ بأنّه القاتل والمتّهم بريء من القتل، وأنكر المتّهم القتل وأنّه بريء، كما يقول المقرّ، فالحكم فيه أيضاً درئ القصاص والدية عنهما، وتأدية الدية من بيت المال، فتخصيصهم الحكم بالإقرارين مع عموميّة الدليل،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أداء الدية من بيت المال فضلاً عن لزومه المفتى به مشكلٌ، بل ممنوعٌ؛ لأنّ المقرّ الثاني إن كان بإحياء النفس مستحقّاً للجزاء بالمثوبة فعلى الأوّل جزاؤه بأداء الدية؛ لأنّه المنتفع من إقرار الثاني، فمن له الغنم فعليه الغرم، وبيت المال وإن كان معدّاً للصرف في مصالح المسلمين لكنّه مشروطٌ قطعاً بعدم المكلّف والملزَم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بالصرف، وإلّا فإن لم يكن مشروطاً بذلك لكان صرفه في دية المقتول في شبه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القاتل الملزم، المتمكن للأداء والمريد لها جائز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القاعدة في المسألة كون الدية على المقرّ الأوّل دون بيت المال المخالف للقواعد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من ذلك الحكم سقوط حقّ القصاص الموجب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 يا أُوْلِي الأَلْبَابِ</w:t>
      </w:r>
      <w:r>
        <w:rPr>
          <w:rFonts w:ascii="IRNazanin" w:hAnsi="IRNazanin" w:eastAsia="IRNazanin"/>
          <w:color w:val="111111"/>
          <w:sz w:val="28"/>
          <w:sz w:val="28"/>
          <w:szCs w:val="28"/>
          <w:rtl w:val="true"/>
          <w:lang w:bidi="fa-IR"/>
        </w:rPr>
        <w:t>،</w:t>
      </w:r>
      <w:r>
        <w:rPr>
          <w:rStyle w:val="FootnoteAnchor"/>
          <w:rtl w:val="true"/>
        </w:rPr>
        <w:footnoteReference w:id="990"/>
      </w:r>
      <w:r>
        <w:rPr>
          <w:rFonts w:ascii="Amiri" w:hAnsi="Amiri" w:eastAsia="Amiri" w:cs="Amiri"/>
          <w:color w:val="111111"/>
          <w:sz w:val="28"/>
          <w:sz w:val="28"/>
          <w:szCs w:val="28"/>
          <w:rtl w:val="true"/>
          <w:lang w:bidi="ar-SA"/>
        </w:rPr>
        <w:t>وتضييع حقوق أولياء الدم، بلولك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كذلك مخالف للكتاب والسنّة القطعيّة؛ وذلك لكونه موجباً لجواز التواطؤ من المقرّين على قتله بالإقرارين كذلك من القاتل وغيره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لإسقاط القود والدية، ولا لوم ولاذنب على ذلك التواطؤ؛ لكونه مسبّباً ومستنداً إلى الشرع وقانونه،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يشير ما عن المهذّب البارع</w:t>
      </w:r>
      <w:r>
        <w:rPr>
          <w:rStyle w:val="FootnoteAnchor"/>
          <w:rtl w:val="true"/>
        </w:rPr>
        <w:footnoteReference w:id="991"/>
      </w:r>
      <w:r>
        <w:rPr>
          <w:rFonts w:ascii="Amiri" w:hAnsi="Amiri" w:eastAsia="Amiri" w:cs="Amiri"/>
          <w:color w:val="111111"/>
          <w:sz w:val="28"/>
          <w:sz w:val="28"/>
          <w:szCs w:val="28"/>
          <w:rtl w:val="true"/>
          <w:lang w:bidi="ar-SA"/>
        </w:rPr>
        <w:t>في مفتاح الكرامة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يجوز للفقيه أن يحكم بمثل هذا الحكم بجواز التواطؤ من المقرّين على قتل المسلم وإسقاط القصاص والدية</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وفي الجواهر الإشكال عليه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كما ترى مجرّد اعتبار لا يعارض ما سمعت من النصّ والفتوى المشتمل على الكرامة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باعتبار أنّه لو كان غيره لأخذ بقاعدة الإقرار، إلّا أنّه لمّا كان مؤ‌يّداً بروح القدس ومسدّداً بتسديداته، والفرض أنّ الحكم عند الله تعالى شأنه على خلاف قاعدة الإقرار، للحكمة التي ذكرها أبو‌محمّد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فيها بما سمعت، وأراد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أمر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من معادن أسرار الله تعالى</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وفيه ما لا يخفى، حيث إنّ تضييع حقوق الناس وتجويز التوطئة لدفع القصاص الذي فيه الحياة كيف يكون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ذلك الحكم المخالف للعقل والكتاب والسنّة مؤ‌يّداً بروح القدس ومسدّداً بتسديداته؟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يصحّ القول بحجّية ما يدلّ على الحكم المخالف لتلك الحجج الباهرةوالأنوار الساطعة؟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أنّه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خبر مخالف للكتاب أصلاً، حيث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إن كان مخالفاً على نحو التباين يكون حجّة وقابلاً للعمل وواصلاً من المؤ‌يّدين بروح القدس، فإنّ المخالفة تكون بما عندنا من الفهم والظواهر، وإلّا فالحكم عند الله على خلاف القرآن بما يفهمه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كما ترى، فإنّه خلاف التحقيق، وخلاف مذهب الجواهر وغيره، بل خلاف سيرة الفقهاء، كما هو الظاهر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إنّما يكون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النحو من الحكم كرامة على ما نبيّنه ونوضحه من مورد الحديث من دون مخالفة فيه للكتاب والسنّة، فانتظر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استنادهم إلى الخبر، وأنّ إرساله ورفعه منجبر بعمل الأصحاب ما لا يخفى؛ لما بين الخبر والفتوى من التغاير والتفاوت موضوعاً، فكيف يحرز الاستناد؟ فإنّ مورد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الإقراران بضميمة القرائن والشواهد موجباً للاطمئنان بصحّتهما، وذلك بخلاف مورد الفتوى من الإقرارين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بأنّ مقتضى الجمع بين استنادهم المعلوم إلى الحديث وبين عدم كونه قائلاً لاستنادهم إليه؛ لما عرفت من التفاوت بين الحديث وفتواهم، كون الخطأ منهم في فقه الحديث، وما يكون جابراً نفس الاستناد والفتوى بالرواية، الذي يكون معلوماً ولا شكّ فيه، فإنّها كاف في اعتبار سند الرواية لامطابقة فتوى المستند مع الرواية زائداً على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محاذير فتوى المشهور، ومنه يعلم أنّ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وفاقاًللمسالك</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 الوليّ في الإقرارين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مورد فتوى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تصديق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أ‌يّهما شاء والاستيفاء منه، كما سبق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مقتضى عموم العلّة في الرواية عدم اختصاص الحكم بموردها، وأنّه ثابت في أمثال المورد من مصاديق العلّة، وهذا ممّا لا ينبغي الإشكال والبحث فيه، وإنّما الشأن في فقه الرواية، والظاهر بل المقطوع أنّ موردها الإقراران الموجبان للاطمئنان بصحّتهما من جهة الشواهد والقرائن، وذلك في الأوّل واضح؛ لما فيه من الشواهد والقرائن التي بيّنها في جواب السؤال عنه بالإقرار بعد التبرئة، وكذا الثاني؛ لأنّ من يرى المتّهم بالقتل المحكوم بالقصاص ومع ذلك يقرّ بتبرئته، وأنّ القاتل نفسه لا داعي له قطعاً إلّا بيان الحقيقة والواقع، وهذا بخلاف ما يكون مورداً لفتوى الأصحاب من كفاية الإقرار بما هو هو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 تماميته بما ذكرناه في فقه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عدم التخيير في الرواية مطابق للقواعد، فالمعتمد هو الرواية المعتضدة بالقواعد، ويُقال في إرسالها ورفعها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منجبر بعمل الأصحاب، بل في الجواهر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لولا ظهور الاتّفاق على النصّ المزبور، المشتمل على كرامة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أمكن حمل ما وقع من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قضيّة في واقعة أو غير ذلك</w:t>
      </w:r>
      <w:r>
        <w:rPr>
          <w:rFonts w:eastAsia="IRNazanin" w:cs="IRNazanin"/>
          <w:color w:val="111111"/>
          <w:sz w:val="28"/>
          <w:szCs w:val="28"/>
          <w:rtl w:val="true"/>
          <w:lang w:bidi="fa-IR"/>
        </w:rPr>
        <w:t>.</w:t>
      </w:r>
      <w:r>
        <w:rPr>
          <w:rStyle w:val="FootnoteAnchor"/>
          <w:rtl w:val="true"/>
        </w:rPr>
        <w:footnoteReference w:id="99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عدم تماميّة الحمل كذلك مع ما فيها من الكبرى الكلّية والتعليل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التعدّي عن مورد الرواية إنّما يكون فيما كان إقرار الأوّل من باب اللابدّية، وأنّه لا طريق لإنكاره من جهة الشواهد، بحيث كان في طريقه نحو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القصاص، وكان إقرار الثاني لتبرئته وبداعي إجراء القصاص في حقّه؛ لأنّه القاتل، ومن المعلوم أنّ ذلك غير متحقّق إلّا مع الجهل بحكم المسألة، من عدم القصاص، ومن أداء الدية من بيت المال، وإلّا فمع علمه بالحكم بل واحتمال كون الحكم كذلك لا يحصل القطع بانحصار داعي المقرّ الثاني في القصاص، فلعلّه يكون توطئة في براءتهما عن القصاص، وذهاب حقّ أولياء الدم فيه، وذلك غير مماثل لمورد الرواية، ولا ممّا ينطبق عليه التعليل والكبرى الكلّية،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المتن، تفريعاً على لزوم الاقتصار على مورد الرواية، وعلى المتيقّن من فتوى الأصحاب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لم يرجع الأوّل عن إقراره عمل على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مع قاعدة الاقتصار فيما خالف الأُصول على المتيقّن، لكنّه مخالف لعموم التعليل،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العموم فيه، الاقتصار على المتيقّن مخالف لظهور التعليل في العموم، والظهور حجّة بالنسبة إلى تمام أفراده الشامل لها على السويّة، فالأقوى عدم القصاص في مثل مورد الرواية، ولو مع عدم رجوع الأوّل، ولا فرق في ذلك بين جعل المورد على المشهور الإقرارين بما هما هما، أو الإقرارين على نحو ما بيّنّاه حيث إنّ المناط 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التعليل المزبور عدم الفرق بين وجود بيت مال وعدمه، بل لعلّه ظاهر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المشهور، لو لم يكن بيت مال أشكل درئ القصاصعنهما وإذهاب حقّ المقرّ له</w:t>
      </w:r>
      <w:r>
        <w:rPr>
          <w:rFonts w:eastAsia="Amiri" w:cs="Amiri" w:ascii="Amiri" w:hAnsi="Amiri"/>
          <w:color w:val="111111"/>
          <w:sz w:val="28"/>
          <w:szCs w:val="28"/>
          <w:rtl w:val="true"/>
          <w:lang w:bidi="ar-SA"/>
        </w:rPr>
        <w:t>.</w:t>
      </w:r>
      <w:r>
        <w:rPr>
          <w:rStyle w:val="FootnoteAnchor"/>
          <w:rtl w:val="true"/>
        </w:rPr>
        <w:footnoteReference w:id="996"/>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يتمّ مع عدم القول بإلزامهما أو إلزام أحدهما بالدية؛ لئلّا </w:t>
      </w:r>
      <w:bookmarkStart w:id="222" w:name="pg9428_72662"/>
    </w:p>
    <w:p>
      <w:pPr>
        <w:pStyle w:val="BookText"/>
        <w:rPr/>
      </w:pPr>
      <w:bookmarkEnd w:id="222"/>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p>
    <w:p>
      <w:pPr>
        <w:pStyle w:val="BookText"/>
        <w:rPr/>
      </w:pPr>
      <w:r>
        <w:rPr>
          <w:rFonts w:ascii="Amiri" w:hAnsi="Amiri" w:eastAsia="Amiri" w:cs="Amiri"/>
          <w:color w:val="111111"/>
          <w:sz w:val="28"/>
          <w:sz w:val="28"/>
          <w:szCs w:val="28"/>
          <w:rtl w:val="true"/>
          <w:lang w:bidi="ar-SA"/>
        </w:rPr>
        <w:t xml:space="preserve">لا يثبت ما يوجب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النفس أو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بشاهدين عدلين، ولا اعتبار بشهادة النساء فيه منفردات ولا منضمّات إلى الرجل، ولا توجب بشهادتهنّ الدية فيما يوجب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يبطل دم امرءٍ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القول بدرئ القصاص والدية عنهما، الإشكال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الرياض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لم يكن بيت مال كهذا الزمان أشكل درئ القصاص والدية عنهما وإذهاب حقّ المقرّ له رأساً</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تامٌّ، ولعلّه كان إليه نظر المسالك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لهما مال، ولم يؤدّ الدية شخص، فالظاهر كون القصاص على الثاني؛ لأنّه القاتل على ما بيّنّاه، كما لا يخفى، وعليهما على التخيير، وعلى كون مورد الحكم هو الإقراران بما هما هما؛ قضاءً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المتن من الإشكال في القود في هذه الصورة، ففيه ما لا يخفى، لما مرّ</w:t>
      </w:r>
      <w:r>
        <w:rPr>
          <w:rStyle w:val="FootnoteAnchor"/>
          <w:rtl w:val="true"/>
        </w:rPr>
        <w:footnoteReference w:id="998"/>
      </w:r>
      <w:r>
        <w:rPr>
          <w:rFonts w:ascii="Amiri" w:hAnsi="Amiri" w:eastAsia="Amiri" w:cs="Amiri"/>
          <w:color w:val="111111"/>
          <w:sz w:val="28"/>
          <w:sz w:val="28"/>
          <w:szCs w:val="28"/>
          <w:rtl w:val="true"/>
          <w:lang w:bidi="ar-SA"/>
        </w:rPr>
        <w:t>من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العلّة معارض بعدم بطلان دم امرءٍ مسلم، فعمومات القصاص محكّمة</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5797549_2870459653"/>
      <w:bookmarkStart w:id="224" w:name="_Toc75"/>
      <w:bookmarkEnd w:id="223"/>
      <w:r>
        <w:rPr>
          <w:rtl w:val="true"/>
        </w:rPr>
        <w:t>شهادة النساء في القتل</w:t>
      </w:r>
      <w:bookmarkEnd w:id="22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 بشهادتهنّ منفردات في القتل الموجب للقصاص ممّا لا خلاف فيه بينهم، بل في شهادات المسالك عند البحث عن شهادتهنّ فيالقصاص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تجوز شهادتهنّ فيما يوجب الدية، كالقتل خطأً أو شبه عمد، وفي الجراحات التي لا توجب القصاص كالهاشمة وما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يثبت ما يوجب القصاص بشهادة شاهد ويمين المدّعي على قول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محلّ الإشكال شهادتهنّ منضمّات إلى الرجال، أمّا على الانفراد فلا تقبل شهادتهنّ قطعاً</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القطع بذلك من الإماميّة لا سيّما من مثل شيوخهم في الفقه، ومن مثله من العمد للمتأخّرين المحقّقين في الفقه، مع صحيح جميل بن درّاج ومحمّد بن حمران،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أتجوز شهادة النساء في الحدود؟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القتل وحده،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يبطل دم امرءٍ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0"/>
      </w:r>
      <w:r>
        <w:rPr>
          <w:rFonts w:ascii="Amiri" w:hAnsi="Amiri" w:eastAsia="Amiri" w:cs="Amiri"/>
          <w:color w:val="111111"/>
          <w:sz w:val="28"/>
          <w:sz w:val="28"/>
          <w:szCs w:val="28"/>
          <w:rtl w:val="true"/>
          <w:lang w:bidi="ar-SA"/>
        </w:rPr>
        <w:t>الدالّ بإطلاقه في كفاية شهادتهنّ على الإنفراد في القصاص كصورة الانضمام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لم يكن فيه الاستدلال بقول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القتل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حدّاً مثل الزنا بذات محرم أو السرقة في المرتبة الرابعة وغيرهما، لكن الاستدلال جعله نصّاً في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كونه معتضداً ومؤ‌يّداً بما دلّ من الأخبار على جواز شهادتهنّ فيه مع الرجال،كخبري زيد الشحّام</w:t>
      </w:r>
      <w:r>
        <w:rPr>
          <w:rStyle w:val="FootnoteAnchor"/>
          <w:rtl w:val="true"/>
        </w:rPr>
        <w:footnoteReference w:id="1001"/>
      </w:r>
      <w:r>
        <w:rPr>
          <w:rFonts w:ascii="Amiri" w:hAnsi="Amiri" w:eastAsia="Amiri" w:cs="Amiri"/>
          <w:color w:val="111111"/>
          <w:sz w:val="28"/>
          <w:sz w:val="28"/>
          <w:szCs w:val="28"/>
          <w:rtl w:val="true"/>
          <w:lang w:bidi="ar-SA"/>
        </w:rPr>
        <w:t xml:space="preserve">وأبي الصباح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الكناني،</w:t>
      </w:r>
      <w:r>
        <w:rPr>
          <w:rStyle w:val="FootnoteAnchor"/>
          <w:rtl w:val="true"/>
        </w:rPr>
        <w:footnoteReference w:id="1002"/>
      </w:r>
      <w:r>
        <w:rPr>
          <w:rFonts w:ascii="Amiri" w:hAnsi="Amiri" w:eastAsia="Amiri" w:cs="Amiri"/>
          <w:color w:val="111111"/>
          <w:sz w:val="28"/>
          <w:sz w:val="28"/>
          <w:szCs w:val="28"/>
          <w:rtl w:val="true"/>
          <w:lang w:bidi="ar-SA"/>
        </w:rPr>
        <w:t>هذا، مع أنّ ضمّ الرجال إلى شهادة النساء في حديث زيد الشحّام مذكور في السؤال لا في الجواب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يتوهّم أنّ الصحيح لإعراض الأصحاب عنه وعدم الفتوى بمضمونه ساقط عن الحجّية؛ لأنّه لا يخفى على من راجع الكتب الفقهيّة في الشهادات اعتناء الأصحاب بالصحيح كاعتنائهم بالخبرين، بالجمع بينه وبين الأخبار المعارضة، والقول بأنّه يثبت بشهادتهنّ مع الرجال الدية دون القصاص وبغيره ممّا يدلّ على عدم السقوط عن الحجّية وعدم الإعراض الموجب لكونه ممّا لا ريب في بطلانه، اللازم من عدم الريب في بطلان معارض المجمع عليه بين الأصحاب على ما في مقبولة ابن حنظلة</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فتأ‌مّل وتدبّر جيّداً حتّى تطمئنّ بلزوم العمل بالصحيح والمؤ‌يّدين له، وأنّه لابدّ من القول بأنّ الأقوى الاعتبار بشهادتهنّ على الانفراد في القصاص، فضلاً عن الانضمام، كما أنّ الأقوى أيضاً الاكتفاء بشهادةالاثنين منهنّ كالرجال؛ قضاءً للأصل في الشهادة، والعلّة في الصحيح</w:t>
      </w:r>
      <w:r>
        <w:rPr>
          <w:rStyle w:val="FootnoteAnchor"/>
          <w:rtl w:val="true"/>
        </w:rPr>
        <w:footnoteReference w:id="1004"/>
      </w:r>
      <w:r>
        <w:rPr>
          <w:rFonts w:ascii="IRNazanin" w:hAnsi="IRNazanin" w:eastAsia="IRNazanin"/>
          <w:color w:val="111111"/>
          <w:sz w:val="28"/>
          <w:sz w:val="28"/>
          <w:szCs w:val="28"/>
          <w:rtl w:val="true"/>
          <w:lang w:bidi="fa-IR"/>
        </w:rPr>
        <w:t xml:space="preserve">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الدلالة على أنّ الاثنين من النساء بمنزلة الواحد من الرجال، فلابدّ في شهادتهنّ من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يَكُونَا رَجُلَيْنِ فَرَجُلٌ وَامْرَأَتَانِ مِمَّنْ تَرْضَوْنَ مِنَ الشُّهَدَاءِ أَنْ تَضِلَّ إِحْدَاهُمَا فَتُذَكِّرَ إِحْدَاهُمَا الأُخْرى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مضافاً إلى أنّ في ذكر النساء بالخصوص في مورد الآية شهادة بل دلالة على أنّ الأصل عدم الفرق في اعتبار العدد والعدالة في الشهادة بين الرجل والمرأة، وأنّ الأصل الاكتفاء بالاثنين مطلقاً، وأنّ في التعليل بما فيها دلالة على الاختصاص بما تكون المرأة في مورد الشهادة حفظها أقلّ من الرجل بحسب المتعارف، فإنّ العلّة تخصّص كما أنّها تعمّم، مثل باب الدين في زمان نزول الآية، بل إلى ما يقرب من خمسين سنة في بلادنا قبل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عامّ ثمانية عشر وأربع مائة بعد الألف من الهجرة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بحسب المتعارف لم يكنّ عالمات بمسائل الاقتصاد والرياضيّات؛ لعدم ابتلائهنّ بتلك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عدم الفرق في باب الشهادة على القتل بين الرجل والمرأة في أسبابها من النظر والعلم بالقتل والقاتل دون باب الدين،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على تسليم الدلالة فعمومها مخصّص بما في الصحيح من العلّة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مختصر من الكلام في البحث، وتفصيله في كتاب الشهادات؛ ثمّ إنّه بما ذكرناه يظهر إجمالاً حال ما في المسألة من الأحكام، وأنّ الأقوى فيجميعها عدم الفرق بين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تفصيل الكلام فيها، ففي الشهادات أيضاً فإنّها المناسب للتفصيل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قبول الشهادة بالقتل أن تكون الشهادة صريحة أو كالصريحة،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قتله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 به فمات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أراق دمه فمات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فيه إجمال أو احتمال 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عدم الاعتبار بالاحتمالات العقليّة التي لا تنافي الظهور أو الصراحة عرفاً، مثل أن يقال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ضربه بالسيف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الموت بغير الضرب، بل الظاهر اعتبار الظهور العقلائي، ولا يلزم التصريح بما لا يتخلّل فيه الاحتمال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قبول الشهادة أن ترد شهادتهما على موضوع واحد ووصف واحد، فلو شهد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قتله غدوة،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أو شهد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قتله بالسمّ،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بالسيف، أو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قتله في السوق،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لم يقبل قولهما، والظاهر أنّه ليس من اللوث أيضاً، نعم، لو شهد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أقرّ بالقتل، والآخر بمشاهدته، لم يقبل شهادتهما، ولكنّه من اللوث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أحد الشاهدين بالإقرار بالقتل مطلقاً، وشهد الآخر بالإقرار عمداً، ثبت أصل القتل الذي اتّفقا عليه، فحينئذٍ يكلّف المدّعى عليه بالبيان، فإن أنكر أصل القتل لا يقبل منه، وإن أقرّ بالعمد قبل منه، وإن أنكر العمد وادّعاه الوليّ فالقول قول الجاني مع يمينه، وإن ادّعى الخطأ وأنكر الوليّ،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قول الجاني بيمينه،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إشكال، بل الظاهر أنّ القول قول الوليّ، ولو ادّعى الجاني الخطأ وادّعى الوليّ العمد فالظاهر هو التداعي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لأنّه المنكر، والوليّ هو المدّعي كالفرع السابقعليه، فإنّه الذي لو ترك الدعوى تُركت، فالجاني منكرٌ يقبل قوله بيمينه، فما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كون القول قول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لما ذكرناه من تشخيص المدّعي والمنكر، والاستناد إلى ظهور القتل في العمد، فالوليّ الموافق قوله للظاهر هو المنكر</w:t>
      </w:r>
      <w:r>
        <w:rPr>
          <w:rFonts w:eastAsia="Amiri" w:cs="Amiri" w:ascii="Amiri" w:hAnsi="Amiri"/>
          <w:color w:val="111111"/>
          <w:sz w:val="28"/>
          <w:szCs w:val="28"/>
          <w:rtl w:val="true"/>
          <w:lang w:bidi="ar-SA"/>
        </w:rPr>
        <w:t xml:space="preserve">. </w:t>
      </w:r>
      <w:bookmarkStart w:id="225" w:name="pg9428_72667"/>
    </w:p>
    <w:p>
      <w:pPr>
        <w:pStyle w:val="BookText"/>
        <w:rPr/>
      </w:pPr>
      <w:bookmarkEnd w:id="2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أحدهما بمشاهدة القتل عمداً والآخر بالقتل المطلق، وأنكر القاتل العمد وادّعاه الوليّ كان شهادة الواحد لوثاً، فإن أراد الوليّ إثبات دعواه فلابدّ من القسامة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القاتل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عمرو دونه،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القصاص، ووجب الدية عليهما نصفين لو كان القتل المشهود به عمداً أو شبيهاً به، وعلى عاقلتهما لو كان خطأً،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 مخيّر في تصديق أ‌يّهما شاء، كما لو أقرّ اثنان كلّ واحد بقتله منفرداً، والوجه سقوط القود والدية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ما فيه مبناءً وبناءً، وبذلك يظهر عدم الإشكال فيما قيل، فما في المتن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هذا، مع الإشكال أنّه لا بيّن ولا مبيّن</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5797551_2870459653"/>
      <w:bookmarkStart w:id="227" w:name="_Toc76"/>
      <w:bookmarkEnd w:id="226"/>
      <w:r>
        <w:rPr>
          <w:rtl w:val="true"/>
        </w:rPr>
        <w:t>تعارض البيّنتين</w:t>
      </w:r>
      <w:bookmarkEnd w:id="2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الورود في البحث ينبغي بل لابدّ من تصوير تعارض البيّنتين في مثل المورد، حيث إنّه كيف يتصوّر التعارض مع أنّ بيّنة المدّعى عليه وكذا البيّنة المتبرّع بها غير حجّة وغير مسموعة؟ وتصويره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مبنيّ على القول بصحّة التبرّع في الشهادة بالدم وإن لم يكن صحيحاً في غيره، وإمّا بفرض المسألة فيما كان للمدّعى وكيلان فادّعى أحدهما أنّ القاتل زيد، والآخر أنّ القاتل عمرو دونه، وإمّا بالقول بأنّ للمدّعى عليه تبرئة نفسه بإقامة البيّنة على أنّ القاتل غيره، وإمّا لما كان أولياء الدم متعدّداً فكلٌّ منهم يدّعي القتل على مَن أقام البيّنةعليه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من المسائل المشكلة، ولم يستقرّ على شيء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 فيها إجماع محقّق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الفتوى الفلانية خرق له؛ ضرورة بقائها في غالب الإشكال عندهم، حتّى أنّ الفاضل في الرياض </w:t>
      </w:r>
      <w:r>
        <w:rPr>
          <w:rStyle w:val="FootnoteAnchor"/>
          <w:rtl w:val="true"/>
        </w:rPr>
        <w:footnoteReference w:id="1006"/>
      </w:r>
      <w:r>
        <w:rPr>
          <w:rFonts w:ascii="Amiri" w:hAnsi="Amiri" w:eastAsia="Amiri" w:cs="Amiri"/>
          <w:color w:val="111111"/>
          <w:sz w:val="28"/>
          <w:sz w:val="28"/>
          <w:szCs w:val="28"/>
          <w:rtl w:val="true"/>
          <w:lang w:bidi="ar-SA"/>
        </w:rPr>
        <w:t>لم يخرج منها على حاصل معتدٍّ به، كما لا يخفى على من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والاحتمالات والوجوه فيها كثيرة تبلغ ثمانية، ولبعضها بل أكثرها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المرحّجات من الأكثريّة والأعدليّة وغيرها، ومع عدمها الرجوع إلى القرعة في تقديم إحدى البيّنتين وإحلاف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إعمال ما في المتعارضين من البيّنة في مثل ادّعاء الوارد من الاثنين، من الترجيح بالمرجّحات والقرعة، والحلف لمن أصاب بيّنته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الرجوع إلى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ويكون الترجيح في تعارضهما مختصّاً بما إذا كان كلّ واحد من أصحاب الدعوى مدّعياً لموردها وأنّه له، مثل التنازع في الدار أو في الجمل أو في الوصيّة بمائة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أو لعمرو، أو في أنّ الدين الكذائي لزيد أو لعمرو وغيرها ممّا فيه الدعويان، لا في مثل المقام ممّا يكون فيه الادّعاء والإنكار، فوليّ الدم مدّع للقتل، والمتّهم منكر له، وذلك لعدم الدليل في غير ذلك المورد، فإنّ أخباره مختصّة به،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يكون كذلك مع أنّ صاحب المستند قائل باختصاص أخبار التعارض والترجيح بالأعيان من الأموال مستدلاً بقوله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في الجميع أن يبنى على أصالة عدم قبول بيّنة المنكروعلى تعيين القرعة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الأخبار المتضمّنة لسماع بيّنة المنكر أيضاً ومزاحمتها لبيّنة المدّعي كانت مخصوصةً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بالأعيان من الأموال، فلا أثر لها في غيرها أصلاً</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إلى آخر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الاحتياط في الدماء إمّا مانع ومخصّص لأخبار الترجيح على الإطلاق والشمول، وإمّا موجب للانصراف، ولعلّه لذلك مقتضى إطلاقهم عدم الاعتبار بالترجيح، ومع ما في أخبار الترجيح والأقوال فيه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كتاب القضاء من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تعارضت البيّنات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بيد أحد الطرفين، أو بيدهما، أو بيد ثالث، أو لا 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وللعلماء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مختلفة وآراء متشتّ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تة، جملة منها غير منطبقة على أخبار المقام، ولا على القواعد العامّة، بل قد يختلف فتوى واحد منهم فيفتي في مقام ويفتي بخلافه في مقام آخر، وربّما يُدّعى الإجماع في مورد ويُدّعى على خلافه الإجماع في مقام آخر، وقد يُحكم بضعف خبر ويُعمل به في مورد آخر، وقد يحملون الخبر على محمل بلا شاهد ويفتون به، ويفرّقون بين الصور بقيود لا تستفاد من الأخبار، من ذكر الشاهد السبب وعدمه، أو كون الشيء ممّا يتكرّر كالبيع والشراء والصياغة ونحوها، أو ممّا لا يتكرّر كالنتاج والنساجة والخياطة ونحوها، وليس الغرض الإزراء عليهم، بل بيان الحال مقدّمةلتوضيح الحقّ من الأقوال، فإنّ المسألة في غاية الإشكال وليست محرّرة</w:t>
      </w:r>
      <w:r>
        <w:rPr>
          <w:rFonts w:eastAsia="Amiri" w:cs="Amiri" w:ascii="Amiri" w:hAnsi="Amiri"/>
          <w:color w:val="111111"/>
          <w:sz w:val="28"/>
          <w:szCs w:val="28"/>
          <w:rtl w:val="true"/>
          <w:lang w:bidi="ar-SA"/>
        </w:rPr>
        <w:t>.</w:t>
      </w:r>
      <w:r>
        <w:rPr>
          <w:rStyle w:val="FootnoteAnchor"/>
          <w:rtl w:val="true"/>
        </w:rPr>
        <w:footnoteReference w:id="1008"/>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يصحّ الذهاب إلى احتمال الترجيح في المقام مع ما ذكره الفقيه اليزدي،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ما في الدماء من الاحتياط بل ومع الدرئ بالشبهة؛ قضاءً لأولويّة القصاص عن الحدّ في الدرئ،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فإنّها لكلّ أمر مشكل، وتعيين القاتل هنا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في الجواهر هنا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لم يعتبر أحد القرعة هنا</w:t>
      </w:r>
      <w:r>
        <w:rPr>
          <w:rFonts w:eastAsia="Amiri" w:cs="Amiri" w:ascii="Amiri" w:hAnsi="Amiri"/>
          <w:color w:val="111111"/>
          <w:sz w:val="28"/>
          <w:szCs w:val="28"/>
          <w:rtl w:val="true"/>
          <w:lang w:bidi="ar-SA"/>
        </w:rPr>
        <w:t>»</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القرعة وأخبارها غير شاملة لمثل المورد، من قتل العمد والقصاص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واردة في الأُمور الماليّة والحقوقيّة دون غيرها، كالدم وقصاص الأعضاء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اختصاصها بكون المشكل فيها تعيين صاحب المال والحقّ، الذي يتعيّن بالقرعة ويصير محقّاً وصاحباً للسهم وآخذاً للحق دون غيره ممّا لا يكون كذلك، ففي أخبار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قوم تنازعوا، ثمّ فوّضوا أمرهم إلى الله، إلّا خرج سهم المحقّ</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وذلك غير متحقّق في المورد حيث إنّ المعيّن بالقرعة يقتله الوليّ، ويأخذ روحه ونفسه فلم يبق المعيّن حتّى يأخذ سهمه، فهذا مباين مع المشكل والموضوع في أخبار القرعة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محلّ البحث غير مشمول لأخبار القرعة وأدلّتها، من جهة اختصاصها بغير القصاص في النفس والأعضاء، ومن جهة اختصاصها بما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التنازع بين الأفراد راجعاً إلى الاستحقاق والأخذ بأن تكون القرعة موجبة لصيرورة من أصابته القرعة مستحقّاً للأخذ، وتكون الإصابة بنفع المصاب وبضرر الآخر بنفي استحقاقه وبعدم وصول شيء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وأ‌نّى ذلك مع باب القصاص في مفروض البحث الذي لا تكون القرعة فيه إلّا موجباً لذهاب النفس أو العضو بالنسبة إلى المصاب، وتبرئة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الأخذ والاستحقاق للعين أو الحقّ من الأُمور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ترك الأصحاب الفتوى بالقرعة في المقام وأمثاله من القصاص كان لما ذكر، المؤ‌يّد بالاحتياط في الدماء</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الوليّ في تصديق أ‌يّهما شاء كما يتخيّر المجتهد بين الخبرين المتعارضين، وهو المحكيّ عن ابن إدريس؛</w:t>
      </w:r>
      <w:r>
        <w:rPr>
          <w:rStyle w:val="FootnoteAnchor"/>
          <w:rtl w:val="true"/>
        </w:rPr>
        <w:footnoteReference w:id="1011"/>
      </w:r>
      <w:r>
        <w:rPr>
          <w:rFonts w:ascii="Amiri" w:hAnsi="Amiri" w:eastAsia="Amiri" w:cs="Amiri"/>
          <w:color w:val="111111"/>
          <w:sz w:val="28"/>
          <w:sz w:val="28"/>
          <w:szCs w:val="28"/>
          <w:rtl w:val="true"/>
          <w:lang w:bidi="ar-SA"/>
        </w:rPr>
        <w:t>محتجّاً عليه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جَعَلْنَا لِوَلِيّهِ سُلْطَاناً</w:t>
      </w:r>
      <w:r>
        <w:rPr>
          <w:rFonts w:ascii="IRNazanin" w:hAnsi="IRNazanin" w:eastAsia="IRNazanin"/>
          <w:color w:val="111111"/>
          <w:sz w:val="28"/>
          <w:sz w:val="28"/>
          <w:szCs w:val="28"/>
          <w:rtl w:val="true"/>
          <w:lang w:bidi="fa-IR"/>
        </w:rPr>
        <w:t>،</w:t>
      </w:r>
      <w:r>
        <w:rPr>
          <w:rStyle w:val="FootnoteAnchor"/>
          <w:rtl w:val="true"/>
        </w:rPr>
        <w:footnoteReference w:id="1012"/>
      </w:r>
      <w:r>
        <w:rPr>
          <w:rFonts w:ascii="Amiri" w:hAnsi="Amiri" w:eastAsia="Amiri" w:cs="Amiri"/>
          <w:color w:val="111111"/>
          <w:sz w:val="28"/>
          <w:sz w:val="28"/>
          <w:szCs w:val="28"/>
          <w:rtl w:val="true"/>
          <w:lang w:bidi="ar-SA"/>
        </w:rPr>
        <w:t>إذ نفي القتل عنهما ينافي ذلك، وبأنّ البيّنة قائمة على كلٍّ منهما بوجوب القود، فلا وجه لسقوطه، وبأ‌نّا قد أجمعنا على أنّه لو شهد اثنان على واحد بأنّه القاتل، فأقرّ آخر بالقتل، يتخيّر الوليّ في التصديق والإقرار، كالبيّنة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ضرورة دلالة الآية على ثبوت السلطان للوليّ مع العلم بالقاتل، لا في مثل المقام الذي لا إشكال في كونه إسرافاً في القتل إذا قتلهما، خصوصاً مع براءة أحدهما، بل وكذا لو قتل أحدهما المحتمل أنّه بريء، والبيّنتان قد كذّبت كلٌّ منهما الأُخرى، فتساقطا بالتعارض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ممنوع فيمورده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قياس المقام عليه بعد حرمته في مذهبنا، مع أنّه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الفارق أيضاً حيث إنّ المقِرّ بالقتل وتخطئة الشاهدين مقرٌّ على نفسه بالقتل وباستحقاق القصاص، وهذا بخلاف المقام ممّا ليس فيه إقرار بالقتل وبالاستحقاق، بل كلٌّ منهما يدفع عن نفسه الاتّهام ويكذّب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القصاص عنهما، ووجوب نصف الدية على كلٍّ منهما، وهو للشيخين</w:t>
      </w:r>
      <w:r>
        <w:rPr>
          <w:rStyle w:val="FootnoteAnchor"/>
          <w:rtl w:val="true"/>
        </w:rPr>
        <w:footnoteReference w:id="1013"/>
      </w:r>
      <w:r>
        <w:rPr>
          <w:rFonts w:ascii="Amiri" w:hAnsi="Amiri" w:eastAsia="Amiri" w:cs="Amiri"/>
          <w:color w:val="111111"/>
          <w:sz w:val="28"/>
          <w:sz w:val="28"/>
          <w:szCs w:val="28"/>
          <w:rtl w:val="true"/>
          <w:lang w:bidi="ar-SA"/>
        </w:rPr>
        <w:t>والقاضي</w:t>
      </w:r>
      <w:r>
        <w:rPr>
          <w:rStyle w:val="FootnoteAnchor"/>
          <w:rtl w:val="true"/>
        </w:rPr>
        <w:footnoteReference w:id="1014"/>
      </w:r>
      <w:r>
        <w:rPr>
          <w:rFonts w:ascii="Amiri" w:hAnsi="Amiri" w:eastAsia="Amiri" w:cs="Amiri"/>
          <w:color w:val="111111"/>
          <w:sz w:val="28"/>
          <w:sz w:val="28"/>
          <w:szCs w:val="28"/>
          <w:rtl w:val="true"/>
          <w:lang w:bidi="ar-SA"/>
        </w:rPr>
        <w:t>والصهرشتي</w:t>
      </w:r>
      <w:r>
        <w:rPr>
          <w:rStyle w:val="FootnoteAnchor"/>
          <w:rtl w:val="true"/>
        </w:rPr>
        <w:footnoteReference w:id="1015"/>
      </w:r>
      <w:r>
        <w:rPr>
          <w:rFonts w:ascii="Amiri" w:hAnsi="Amiri" w:eastAsia="Amiri" w:cs="Amiri"/>
          <w:color w:val="111111"/>
          <w:sz w:val="28"/>
          <w:sz w:val="28"/>
          <w:szCs w:val="28"/>
          <w:rtl w:val="true"/>
          <w:lang w:bidi="ar-SA"/>
        </w:rPr>
        <w:t>وأبي منصور الطبرسي،</w:t>
      </w:r>
      <w:r>
        <w:rPr>
          <w:rStyle w:val="FootnoteAnchor"/>
          <w:rtl w:val="true"/>
        </w:rPr>
        <w:footnoteReference w:id="1016"/>
      </w:r>
      <w:r>
        <w:rPr>
          <w:rFonts w:ascii="Amiri" w:hAnsi="Amiri" w:eastAsia="Amiri" w:cs="Amiri"/>
          <w:color w:val="111111"/>
          <w:sz w:val="28"/>
          <w:sz w:val="28"/>
          <w:szCs w:val="28"/>
          <w:rtl w:val="true"/>
          <w:lang w:bidi="ar-SA"/>
        </w:rPr>
        <w:t xml:space="preserve">والمحقّق في الشرائع </w:t>
      </w:r>
      <w:r>
        <w:rPr>
          <w:rStyle w:val="FootnoteAnchor"/>
          <w:rtl w:val="true"/>
        </w:rPr>
        <w:footnoteReference w:id="1017"/>
      </w:r>
      <w:r>
        <w:rPr>
          <w:rFonts w:ascii="IRNazanin" w:hAnsi="IRNazanin" w:eastAsia="IRNazanin"/>
          <w:color w:val="111111"/>
          <w:sz w:val="28"/>
          <w:sz w:val="28"/>
          <w:szCs w:val="28"/>
          <w:rtl w:val="true"/>
          <w:lang w:bidi="fa-IR"/>
        </w:rPr>
        <w:t>و‌النافع،</w:t>
      </w:r>
      <w:r>
        <w:rPr>
          <w:rStyle w:val="FootnoteAnchor"/>
          <w:rtl w:val="true"/>
        </w:rPr>
        <w:footnoteReference w:id="1018"/>
      </w:r>
      <w:r>
        <w:rPr>
          <w:rFonts w:ascii="Amiri" w:hAnsi="Amiri" w:eastAsia="Amiri" w:cs="Amiri"/>
          <w:color w:val="111111"/>
          <w:sz w:val="28"/>
          <w:sz w:val="28"/>
          <w:szCs w:val="28"/>
          <w:rtl w:val="true"/>
          <w:lang w:bidi="ar-SA"/>
        </w:rPr>
        <w:t>والعلّامة في المختلف</w:t>
      </w:r>
      <w:r>
        <w:rPr>
          <w:rStyle w:val="FootnoteAnchor"/>
          <w:rtl w:val="true"/>
        </w:rPr>
        <w:footnoteReference w:id="1019"/>
      </w:r>
      <w:r>
        <w:rPr>
          <w:rFonts w:ascii="IRNazanin" w:hAnsi="IRNazanin" w:eastAsia="IRNazanin"/>
          <w:color w:val="111111"/>
          <w:sz w:val="28"/>
          <w:sz w:val="28"/>
          <w:szCs w:val="28"/>
          <w:rtl w:val="true"/>
          <w:lang w:bidi="fa-IR"/>
        </w:rPr>
        <w:t>والإرشاد،</w:t>
      </w:r>
      <w:r>
        <w:rPr>
          <w:rStyle w:val="FootnoteAnchor"/>
          <w:rtl w:val="true"/>
        </w:rPr>
        <w:footnoteReference w:id="1020"/>
      </w:r>
      <w:r>
        <w:rPr>
          <w:rFonts w:ascii="Amiri" w:hAnsi="Amiri" w:eastAsia="Amiri" w:cs="Amiri"/>
          <w:color w:val="111111"/>
          <w:sz w:val="28"/>
          <w:sz w:val="28"/>
          <w:szCs w:val="28"/>
          <w:rtl w:val="true"/>
          <w:lang w:bidi="ar-SA"/>
        </w:rPr>
        <w:t>وولده في الإيضاح،</w:t>
      </w:r>
      <w:r>
        <w:rPr>
          <w:rStyle w:val="FootnoteAnchor"/>
          <w:rtl w:val="true"/>
        </w:rPr>
        <w:footnoteReference w:id="1021"/>
      </w:r>
      <w:r>
        <w:rPr>
          <w:rFonts w:ascii="Amiri" w:hAnsi="Amiri" w:eastAsia="Amiri" w:cs="Amiri"/>
          <w:color w:val="111111"/>
          <w:sz w:val="28"/>
          <w:sz w:val="28"/>
          <w:szCs w:val="28"/>
          <w:rtl w:val="true"/>
          <w:lang w:bidi="ar-SA"/>
        </w:rPr>
        <w:t>وأبي العبّاس في المقتصر</w:t>
      </w:r>
      <w:r>
        <w:rPr>
          <w:rStyle w:val="FootnoteAnchor"/>
          <w:rtl w:val="true"/>
        </w:rPr>
        <w:footnoteReference w:id="1022"/>
      </w:r>
      <w:r>
        <w:rPr>
          <w:rFonts w:ascii="Amiri" w:hAnsi="Amiri" w:eastAsia="Amiri" w:cs="Amiri"/>
          <w:color w:val="111111"/>
          <w:sz w:val="28"/>
          <w:sz w:val="28"/>
          <w:szCs w:val="28"/>
          <w:rtl w:val="true"/>
          <w:lang w:bidi="ar-SA"/>
        </w:rPr>
        <w:t>على المحكيّ عنه في الجواهر،</w:t>
      </w:r>
      <w:r>
        <w:rPr>
          <w:rStyle w:val="FootnoteAnchor"/>
          <w:rtl w:val="true"/>
        </w:rPr>
        <w:footnoteReference w:id="1023"/>
      </w:r>
      <w:r>
        <w:rPr>
          <w:rFonts w:ascii="Amiri" w:hAnsi="Amiri" w:eastAsia="Amiri" w:cs="Amiri"/>
          <w:color w:val="111111"/>
          <w:sz w:val="28"/>
          <w:sz w:val="28"/>
          <w:szCs w:val="28"/>
          <w:rtl w:val="true"/>
          <w:lang w:bidi="ar-SA"/>
        </w:rPr>
        <w:t>لكن في الشرائع و‌النافع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احتياط</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xml:space="preserve">وهذا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القصاص،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عليهما على نحو المناصفة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ويستدلّ لأوّلهما بأنّهما بيّنتان تصادمتا، وليس قبول أحدهما في نظرالشارع أولى من قبول الأُخرى، ولا يمكن العمل بهما؛ لاستلزامه وجوب قتل الشخصين معاً،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باطل إجماعاً، فضلاً عن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غير واحد أيضاً، وهو كذلك خصوصاً بعد العلم ببراءة أحدهما الذي يجب ترك أخذ الحقّ مقدّمة له، لا العكس مقدّمة لوصول الحقّ، ولا العمل بأحديها دون الأُخرى؛ لعدم الأولويّة، فلم يبق إلّا سقوطهما معاً بالنسبة إلى القود؛ لأنّه تهجّم على الدماء المحقونة في نظر الشارع بغير سبب معلوم ولا مظنون، إذ كلّ واحد من الشهادتين يكذّب الأُخرى، ولما قد يقال بأنّ القصاص كالحدّ في السقوط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ثبوت الدية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بطلان دم امرءٍ مسلم، وتساويهما في قيام البيّنة على كلٍّ منهما، وفحوى التنصيف في المشهود به عند تعارضهما، كما إذا كان التعارض بين البيّنتين على الشيء الواحد الذي في يديهما أو يد ثالث من مورد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بطلان الدم أعمّ من ذلك؛ لاحتمال كونه على بيت المال المعدّ لمثل ذلك، أو القرعة التي هي لكلّ أمر مشكل، كما أنّ التساوي في البيّنة غير مقتض للتوزيع المزبور الخارج عن البيّنتين، بل ولا غيره، بل هما بالتعارض متساقطتان بالنسبة إلى الدية أيضاً، كالقود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الدية ليست حكماً مستقلاً في العمد، بل هي ثابتة بعد ثبوت القصاص تخييراً أو صلحاً ورضايةً أو بدلاً، على اختلاف المباني والموارد، فمع عدم القصاص لا محلّ لها في ا لعمد من رأس مطلقاً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عدم تماميّة الاستدلال بالفحوى أيضاً؛ لأنّها إنّما تتمّ فيمورد البيّنة المتعارضة، والدية في المقام ليست كذلك، لا 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التزاماً؛ لتوقّفه على ثبوت القصاص قبله، ومن المعلوم عدم ثبوته كما مرّ، فليس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الحمل على التنصيف في المشهود به إلّا قياساً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بعض ما ذكرناه يرجع ما عن الإيضاح</w:t>
      </w:r>
      <w:r>
        <w:rPr>
          <w:rStyle w:val="FootnoteAnchor"/>
          <w:rtl w:val="true"/>
        </w:rPr>
        <w:footnoteReference w:id="1025"/>
      </w:r>
      <w:r>
        <w:rPr>
          <w:rFonts w:ascii="IRNazanin" w:hAnsi="IRNazanin" w:eastAsia="IRNazanin"/>
          <w:color w:val="111111"/>
          <w:sz w:val="28"/>
          <w:sz w:val="28"/>
          <w:szCs w:val="28"/>
          <w:rtl w:val="true"/>
          <w:lang w:bidi="fa-IR"/>
        </w:rPr>
        <w:t>والمهذّب البارع</w:t>
      </w:r>
      <w:r>
        <w:rPr>
          <w:rStyle w:val="FootnoteAnchor"/>
          <w:rtl w:val="true"/>
        </w:rPr>
        <w:footnoteReference w:id="1026"/>
      </w:r>
      <w:r>
        <w:rPr>
          <w:rFonts w:ascii="Amiri" w:hAnsi="Amiri" w:eastAsia="Amiri" w:cs="Amiri"/>
          <w:color w:val="111111"/>
          <w:sz w:val="28"/>
          <w:sz w:val="28"/>
          <w:szCs w:val="28"/>
          <w:rtl w:val="true"/>
          <w:lang w:bidi="ar-SA"/>
        </w:rPr>
        <w:t>من حساب الدية عليهما، بأنّه إن لم نقل بذلك يلزم أحد محالات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طلّ دم المسلم، أو إيجاب شيء بغير سبب، أو الترجيح بلا مرجّح؛ لأَنّا إن لم نوجب الدية عوضاً لزم الأوّل، وإن أوجبناه على غيرهما لزم الأمر الثاني، وإن وجب على أحدهما بعينه لزم الأمر الثالث، فبقى إمّا على أحدهما لا بعينه أو عليهما، والثاني هو المطلوب، والأوّل إن لم يرد به الثاني فهو المحال الأوّل؛ لعدم الحقيقة في الخارج لأحدهما غير المعيّن،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يظهر ممّا مرّ أنّ ذلك لا يرجع إلى دليل شرعي معتبر؛ ضرورة إمكان أنّ له حكماً شرعاً لا نصل إليه، أنّه يمكن التخيير في الرجوع على كلٍّ منهما، كما عن العلّامة</w:t>
      </w:r>
      <w:r>
        <w:rPr>
          <w:rStyle w:val="FootnoteAnchor"/>
          <w:rtl w:val="true"/>
        </w:rPr>
        <w:footnoteReference w:id="1027"/>
      </w:r>
      <w:r>
        <w:rPr>
          <w:rFonts w:ascii="Amiri" w:hAnsi="Amiri" w:eastAsia="Amiri" w:cs="Amiri"/>
          <w:color w:val="111111"/>
          <w:sz w:val="28"/>
          <w:sz w:val="28"/>
          <w:szCs w:val="28"/>
          <w:rtl w:val="true"/>
          <w:lang w:bidi="ar-SA"/>
        </w:rPr>
        <w:t>الجزم به، بل لعلّه محتمل ما تسمعه من عبارة المصنّف في النكت،</w:t>
      </w:r>
      <w:r>
        <w:rPr>
          <w:rStyle w:val="FootnoteAnchor"/>
          <w:rtl w:val="true"/>
        </w:rPr>
        <w:footnoteReference w:id="1028"/>
      </w:r>
      <w:r>
        <w:rPr>
          <w:rFonts w:ascii="Amiri" w:hAnsi="Amiri" w:eastAsia="Amiri" w:cs="Amiri"/>
          <w:color w:val="111111"/>
          <w:sz w:val="28"/>
          <w:sz w:val="28"/>
          <w:szCs w:val="28"/>
          <w:rtl w:val="true"/>
          <w:lang w:bidi="ar-SA"/>
        </w:rPr>
        <w:t>أو على بيت المال المعدّ لمثل ذلك، أو القرعة التي هي لكلّ أمر مشكل، وعدم بطلان دم المسلم أعمّ من ذلك كلّه ومن غيره ممّا هو عند الشارع ممّا لا نعرفه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القود؛ لما مرّ،</w:t>
      </w:r>
      <w:r>
        <w:rPr>
          <w:rStyle w:val="FootnoteAnchor"/>
          <w:rtl w:val="true"/>
        </w:rPr>
        <w:footnoteReference w:id="1029"/>
      </w:r>
      <w:r>
        <w:rPr>
          <w:rFonts w:ascii="Amiri" w:hAnsi="Amiri" w:eastAsia="Amiri" w:cs="Amiri"/>
          <w:color w:val="111111"/>
          <w:sz w:val="28"/>
          <w:sz w:val="28"/>
          <w:szCs w:val="28"/>
          <w:rtl w:val="true"/>
          <w:lang w:bidi="ar-SA"/>
        </w:rPr>
        <w:t>والتخيير في الرجوع إلى كلٍّ منهما فيأخذ الدية منه؛ لعدم الترجيح</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حيث إنّ التخيير إنّما يكون بعد ثبوت الدية، وقد مرّ عدمه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القود وتعيين المكلّف بأداء الدية منهما بالقرعة، فإنّها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ممّا مرّ</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كان الأولياء مدّعين لكون القاتل أحدهما المعيّن بالقود فيه؛ لقيام البيّنة على الدعوى، وتهدر البيّنة الأُخرى فلا يكون له سبيل، وبين ما لم يكن كذلك بأن ادّعوا عدم العلم بسقوط القود ووجوب الدية فيه؛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للمحقّق في نكت النهاية، وتبعه عليه تلميذه في كشف الرموز،</w:t>
      </w:r>
      <w:r>
        <w:rPr>
          <w:rStyle w:val="FootnoteAnchor"/>
          <w:rtl w:val="true"/>
        </w:rPr>
        <w:footnoteReference w:id="1031"/>
      </w:r>
      <w:r>
        <w:rPr>
          <w:rFonts w:ascii="Amiri" w:hAnsi="Amiri" w:eastAsia="Amiri" w:cs="Amiri"/>
          <w:color w:val="111111"/>
          <w:sz w:val="28"/>
          <w:sz w:val="28"/>
          <w:szCs w:val="28"/>
          <w:rtl w:val="true"/>
          <w:lang w:bidi="ar-SA"/>
        </w:rPr>
        <w:t>وأبو‌العبّاس في المهذّب،</w:t>
      </w:r>
      <w:r>
        <w:rPr>
          <w:rStyle w:val="FootnoteAnchor"/>
          <w:rtl w:val="true"/>
        </w:rPr>
        <w:footnoteReference w:id="1032"/>
      </w:r>
      <w:r>
        <w:rPr>
          <w:rFonts w:ascii="Amiri" w:hAnsi="Amiri" w:eastAsia="Amiri" w:cs="Amiri"/>
          <w:color w:val="111111"/>
          <w:sz w:val="28"/>
          <w:sz w:val="28"/>
          <w:szCs w:val="28"/>
          <w:rtl w:val="true"/>
          <w:lang w:bidi="ar-SA"/>
        </w:rPr>
        <w:t>والمقداد في التنقيح،</w:t>
      </w:r>
      <w:r>
        <w:rPr>
          <w:rStyle w:val="FootnoteAnchor"/>
          <w:rtl w:val="true"/>
        </w:rPr>
        <w:footnoteReference w:id="1033"/>
      </w:r>
      <w:r>
        <w:rPr>
          <w:rFonts w:ascii="Amiri" w:hAnsi="Amiri" w:eastAsia="Amiri" w:cs="Amiri"/>
          <w:color w:val="111111"/>
          <w:sz w:val="28"/>
          <w:sz w:val="28"/>
          <w:szCs w:val="28"/>
          <w:rtl w:val="true"/>
          <w:lang w:bidi="ar-SA"/>
        </w:rPr>
        <w:t>وكأنّه مال إليه الشهيدان في غاية المراد</w:t>
      </w:r>
      <w:r>
        <w:rPr>
          <w:rStyle w:val="FootnoteAnchor"/>
          <w:rtl w:val="true"/>
        </w:rPr>
        <w:footnoteReference w:id="1034"/>
      </w:r>
      <w:r>
        <w:rPr>
          <w:rFonts w:ascii="Amiri" w:hAnsi="Amiri" w:eastAsia="Amiri" w:cs="Amiri"/>
          <w:color w:val="111111"/>
          <w:sz w:val="28"/>
          <w:sz w:val="28"/>
          <w:szCs w:val="28"/>
          <w:rtl w:val="true"/>
          <w:lang w:bidi="ar-SA"/>
        </w:rPr>
        <w:t>و المسالك</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وفي نكت النهاية بعد أن أورد كلام السائل عن عبارة النهاية مورداً عليها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يعمل بشيء من الشهادتين، فإيجاب الدية عليهما حكم بغير بيّنة ولا إقرار، ثمّ الشهادة ليست بأنّهما اشتركا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أنّ الأولياء إمّا أن يدّعوا القتل على أحدهما، أويقولوا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ادّعوه على أحدهما قتلوه؛ لقيام البيّنة بالدعوى، ويهدر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البيّنة الأُخرى، فلا يكون لهم على الآخر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فالبيّنتان متعارضتان على الانفراد لا على مجرّد القتل، فيثبت القتل من أحدهما، ولا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والقصاص يتوقّف على تعيين القاتل فيسقط ويجب الدية؛ لأنّه ليس نسبة القتل إلى أحدهما أولى من نسبته إلى الآخر</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تخصيص لكلام الشيخين والجماعة بالصورة الثانية، وهو مناف لإطلاقهم المبنيّ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البيّنة الثانية وإن كانت على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يتّجه التعارض حينئذٍ، وإن صدّق الوليّ أحدهما، بل لو لم نقل باعتبارها أمكن تصوير المسألة في الوكيلين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احتمال عدم اعتبارها في خصوص المقام، وإن قلنا باعتبارها في غيره فلا أعرف له وجهاً، وإن حكي في كشف اللثام</w:t>
      </w:r>
      <w:r>
        <w:rPr>
          <w:rStyle w:val="FootnoteAnchor"/>
          <w:rtl w:val="true"/>
        </w:rPr>
        <w:footnoteReference w:id="1037"/>
      </w:r>
      <w:r>
        <w:rPr>
          <w:rFonts w:ascii="Amiri" w:hAnsi="Amiri" w:eastAsia="Amiri" w:cs="Amiri"/>
          <w:color w:val="111111"/>
          <w:sz w:val="28"/>
          <w:sz w:val="28"/>
          <w:szCs w:val="28"/>
          <w:rtl w:val="true"/>
          <w:lang w:bidi="ar-SA"/>
        </w:rPr>
        <w:t>القطع به عن المحقّق في النكت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احتمل غير واحد من أتباع المحقّق فيما عرفت ثبوت اللوث لو ادّعى الوليّ عليهما، وهي صورة لم يذكرها المحقّق فيما سمعت من عبارته المشتملة على صورة دعوى الوليّ على أحدهما،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ادّعى عليهما معاً فيتّجه ثبوت اللوث باعتبار اتّفاق الأربعة على القتل والقاتل وإن اختلفوا في التعيين، فيحلف حينئذٍ الوليّ ويثبت له القصاص مع ردّ فاضل الدية عليهما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مقتضاه الثبوت أيضاً في تكاذب الشاهدين في المكان أوالزمان أو الآلة؛ ضرورة الاتّفاق منهما أيضاً على القتل والقاتل، ولكن اختلفا في الزمان أو المكان أو الآلة، بل لعلّه أولى من المقام الذي فيه التكاذب في تعيين القاتل دونهما،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شهدا بأنّه قتل عمداً، فأقرّ آخر أنّه هو القاتل، وأنّ المشهود عليه بريء من قتله، ففي رواية صحيحة معمول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 أولياء المقتول أن يقتلوا الذي أقرّ على نفسه فليقتلوه، ولا سبيل لهم على الآخر، ثمّ لا سبيل لورثة الذي أقرّ على نفسه على ورثة الذي 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أرادوا أن يقتلوا الذي شهد</w:t>
      </w:r>
    </w:p>
    <w:p>
      <w:pPr>
        <w:pStyle w:val="BookText"/>
        <w:rPr/>
      </w:pPr>
      <w:r>
        <w:rPr>
          <w:rFonts w:ascii="Amiri" w:hAnsi="Amiri" w:eastAsia="Amiri" w:cs="Amiri"/>
          <w:color w:val="111111"/>
          <w:sz w:val="28"/>
          <w:sz w:val="28"/>
          <w:szCs w:val="28"/>
          <w:rtl w:val="true"/>
          <w:lang w:bidi="ar-SA"/>
        </w:rPr>
        <w:t>وقد عرفت عدم اللوث فيه؛ للتكاذب، فهنا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كلّه ظهر لك أنّ المسألة لم يستقرّ على شيء منها إجماع محقّق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الفلاني خرق له؛ ضرورة بقائها في قالب الإشكال عندهم، حتّى إنّ الفاضل في الرياض</w:t>
      </w:r>
      <w:r>
        <w:rPr>
          <w:rStyle w:val="FootnoteAnchor"/>
          <w:rtl w:val="true"/>
        </w:rPr>
        <w:footnoteReference w:id="1038"/>
      </w:r>
      <w:r>
        <w:rPr>
          <w:rFonts w:ascii="Amiri" w:hAnsi="Amiri" w:eastAsia="Amiri" w:cs="Amiri"/>
          <w:color w:val="111111"/>
          <w:sz w:val="28"/>
          <w:sz w:val="28"/>
          <w:szCs w:val="28"/>
          <w:rtl w:val="true"/>
          <w:lang w:bidi="ar-SA"/>
        </w:rPr>
        <w:t>لم يخرج منها على حاصل معتدٍّ به، كما لا يخفى على من تأ‌مّله، فلاحظ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والموافق للضوابط ما سمعت، ولكن الاحتياط مهما أمكن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القود والدية جميعاً، وهو المتّجه، كما في الجواهر والمتن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عدم تماميّة الوجوه السابقة، لاسيّما التنصيف في الدية والتخيير في القصاص ممّا كان أوجه من غيره، ولا غيرهما من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 بعد النقض والإبرام في وجه التنصيف</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فتحقّق من ذلك كلّه أنّ المتّجه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القود والدية حتّى يتبيّن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 ذلك خرق للإجماع المركّب واضحة الفساد لمن أحاط بأطراف المسألة، وخصوصاً بعد ذكرالشيخ فيما حكي عنه ذلك احتمالاً، بل هو الذي اختاره في المسالك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0"/>
      </w:r>
      <w:bookmarkStart w:id="228" w:name="pg9428_72678"/>
    </w:p>
    <w:p>
      <w:pPr>
        <w:pStyle w:val="BookText"/>
        <w:rPr/>
      </w:pPr>
      <w:bookmarkEnd w:id="228"/>
      <w:r>
        <w:rPr>
          <w:rFonts w:ascii="Amiri" w:hAnsi="Amiri" w:eastAsia="Amiri" w:cs="Amiri"/>
          <w:color w:val="111111"/>
          <w:sz w:val="28"/>
          <w:sz w:val="28"/>
          <w:szCs w:val="28"/>
          <w:rtl w:val="true"/>
          <w:lang w:bidi="ar-SA"/>
        </w:rPr>
        <w:t>عليه فليقتلوه، ولا سبيل لهم على الذي أقرّ، ثمّ ليؤدّ الذي أقرّ على نفسه إلى أولياء الذي شهد عليه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أرادوا أن يقتلوهما جميعاً ذاك لهم، وعليهم أن يدفعوا إلى أولياء الذي شهد عليه نصف الدية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يقتلوهما، وإن أرادوا أن يأخذوا الدية فهي بينهما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مشكلة جدّاً يجب الاحتياط فيها وعدم التهجّم على قتلهما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5797553_2870459653"/>
      <w:bookmarkStart w:id="230" w:name="_Toc77"/>
      <w:bookmarkEnd w:id="229"/>
      <w:r>
        <w:rPr>
          <w:rtl w:val="true"/>
        </w:rPr>
        <w:t>تعارض البيّنة مع الإقرار</w:t>
      </w:r>
      <w:bookmarkEnd w:id="2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مثل الشرائع </w:t>
      </w:r>
      <w:r>
        <w:rPr>
          <w:rStyle w:val="FootnoteAnchor"/>
          <w:rtl w:val="true"/>
        </w:rPr>
        <w:footnoteReference w:id="1041"/>
      </w:r>
      <w:r>
        <w:rPr>
          <w:rFonts w:ascii="Amiri" w:hAnsi="Amiri" w:eastAsia="Amiri" w:cs="Amiri"/>
          <w:color w:val="111111"/>
          <w:sz w:val="28"/>
          <w:sz w:val="28"/>
          <w:szCs w:val="28"/>
          <w:rtl w:val="true"/>
          <w:lang w:bidi="ar-SA"/>
        </w:rPr>
        <w:t>والمتن من الأحكام هو المحكيّ عن الشيخ في النهاية</w:t>
      </w:r>
      <w:r>
        <w:rPr>
          <w:rStyle w:val="FootnoteAnchor"/>
          <w:rtl w:val="true"/>
        </w:rPr>
        <w:footnoteReference w:id="1042"/>
      </w:r>
      <w:r>
        <w:rPr>
          <w:rFonts w:ascii="Amiri" w:hAnsi="Amiri" w:eastAsia="Amiri" w:cs="Amiri"/>
          <w:color w:val="111111"/>
          <w:sz w:val="28"/>
          <w:sz w:val="28"/>
          <w:szCs w:val="28"/>
          <w:rtl w:val="true"/>
          <w:lang w:bidi="ar-SA"/>
        </w:rPr>
        <w:t>وأبي علي</w:t>
      </w:r>
      <w:r>
        <w:rPr>
          <w:rStyle w:val="FootnoteAnchor"/>
          <w:rtl w:val="true"/>
        </w:rPr>
        <w:footnoteReference w:id="1043"/>
      </w:r>
      <w:r>
        <w:rPr>
          <w:rFonts w:ascii="Amiri" w:hAnsi="Amiri" w:eastAsia="Amiri" w:cs="Amiri"/>
          <w:color w:val="111111"/>
          <w:sz w:val="28"/>
          <w:sz w:val="28"/>
          <w:szCs w:val="28"/>
          <w:rtl w:val="true"/>
          <w:lang w:bidi="ar-SA"/>
        </w:rPr>
        <w:t>والحلبي</w:t>
      </w:r>
      <w:r>
        <w:rPr>
          <w:rStyle w:val="FootnoteAnchor"/>
          <w:rtl w:val="true"/>
        </w:rPr>
        <w:footnoteReference w:id="1044"/>
      </w:r>
      <w:r>
        <w:rPr>
          <w:rFonts w:ascii="Amiri" w:hAnsi="Amiri" w:eastAsia="Amiri" w:cs="Amiri"/>
          <w:color w:val="111111"/>
          <w:sz w:val="28"/>
          <w:sz w:val="28"/>
          <w:szCs w:val="28"/>
          <w:rtl w:val="true"/>
          <w:lang w:bidi="ar-SA"/>
        </w:rPr>
        <w:t>والقاضي</w:t>
      </w:r>
      <w:r>
        <w:rPr>
          <w:rStyle w:val="FootnoteAnchor"/>
          <w:rtl w:val="true"/>
        </w:rPr>
        <w:footnoteReference w:id="1045"/>
      </w:r>
      <w:r>
        <w:rPr>
          <w:rFonts w:ascii="Amiri" w:hAnsi="Amiri" w:eastAsia="Amiri" w:cs="Amiri"/>
          <w:color w:val="111111"/>
          <w:sz w:val="28"/>
          <w:sz w:val="28"/>
          <w:szCs w:val="28"/>
          <w:rtl w:val="true"/>
          <w:lang w:bidi="ar-SA"/>
        </w:rPr>
        <w:t>والكيدري</w:t>
      </w:r>
      <w:r>
        <w:rPr>
          <w:rStyle w:val="FootnoteAnchor"/>
          <w:rtl w:val="true"/>
        </w:rPr>
        <w:footnoteReference w:id="1046"/>
      </w:r>
      <w:r>
        <w:rPr>
          <w:rFonts w:ascii="Amiri" w:hAnsi="Amiri" w:eastAsia="Amiri" w:cs="Amiri"/>
          <w:color w:val="111111"/>
          <w:sz w:val="28"/>
          <w:sz w:val="28"/>
          <w:szCs w:val="28"/>
          <w:rtl w:val="true"/>
          <w:lang w:bidi="ar-SA"/>
        </w:rPr>
        <w:t>ويحيى بن سعيد</w:t>
      </w:r>
      <w:r>
        <w:rPr>
          <w:rStyle w:val="FootnoteAnchor"/>
          <w:rtl w:val="true"/>
        </w:rPr>
        <w:footnoteReference w:id="1047"/>
      </w:r>
      <w:r>
        <w:rPr>
          <w:rFonts w:ascii="Amiri" w:hAnsi="Amiri" w:eastAsia="Amiri" w:cs="Amiri"/>
          <w:color w:val="111111"/>
          <w:sz w:val="28"/>
          <w:sz w:val="28"/>
          <w:szCs w:val="28"/>
          <w:rtl w:val="true"/>
          <w:lang w:bidi="ar-SA"/>
        </w:rPr>
        <w:t>وابني حمزة</w:t>
      </w:r>
      <w:r>
        <w:rPr>
          <w:rStyle w:val="FootnoteAnchor"/>
          <w:rtl w:val="true"/>
        </w:rPr>
        <w:footnoteReference w:id="1048"/>
      </w:r>
      <w:r>
        <w:rPr>
          <w:rFonts w:ascii="Amiri" w:hAnsi="Amiri" w:eastAsia="Amiri" w:cs="Amiri"/>
          <w:color w:val="111111"/>
          <w:sz w:val="28"/>
          <w:sz w:val="28"/>
          <w:szCs w:val="28"/>
          <w:rtl w:val="true"/>
          <w:lang w:bidi="ar-SA"/>
        </w:rPr>
        <w:t>وزهرة،</w:t>
      </w:r>
      <w:r>
        <w:rPr>
          <w:rStyle w:val="FootnoteAnchor"/>
          <w:rtl w:val="true"/>
        </w:rPr>
        <w:footnoteReference w:id="1049"/>
      </w:r>
      <w:r>
        <w:rPr>
          <w:rFonts w:ascii="Amiri" w:hAnsi="Amiri" w:eastAsia="Amiri" w:cs="Amiri"/>
          <w:color w:val="111111"/>
          <w:sz w:val="28"/>
          <w:sz w:val="28"/>
          <w:szCs w:val="28"/>
          <w:rtl w:val="true"/>
          <w:lang w:bidi="ar-SA"/>
        </w:rPr>
        <w:t>بل عن ظاهر الآبي</w:t>
      </w:r>
      <w:r>
        <w:rPr>
          <w:rStyle w:val="FootnoteAnchor"/>
          <w:rtl w:val="true"/>
        </w:rPr>
        <w:footnoteReference w:id="1050"/>
      </w:r>
      <w:r>
        <w:rPr>
          <w:rFonts w:ascii="Amiri" w:hAnsi="Amiri" w:eastAsia="Amiri" w:cs="Amiri"/>
          <w:color w:val="111111"/>
          <w:sz w:val="28"/>
          <w:sz w:val="28"/>
          <w:szCs w:val="28"/>
          <w:rtl w:val="true"/>
          <w:lang w:bidi="ar-SA"/>
        </w:rPr>
        <w:t>أيضاً، ومال إليه الشهيدان،</w:t>
      </w:r>
      <w:r>
        <w:rPr>
          <w:rStyle w:val="FootnoteAnchor"/>
          <w:rtl w:val="true"/>
        </w:rPr>
        <w:footnoteReference w:id="1051"/>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المشهور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بل في الرياض</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صرّحوا بشهرة الرواية مشعرين ببلوغها درجة الإجماع، ولعلّه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فقد أفتى به الشيخ وأتباعه والإسكافي والحلبي وغيرهم، بل لم نرَ لهم مخالفاً عدا مَن مرّ، وعبائرهم غير صريحة في المخالفة عدا الحلّي</w:t>
      </w:r>
      <w:r>
        <w:rPr>
          <w:rStyle w:val="FootnoteAnchor"/>
          <w:rtl w:val="true"/>
        </w:rPr>
        <w:footnoteReference w:id="1053"/>
      </w:r>
      <w:r>
        <w:rPr>
          <w:rFonts w:ascii="Amiri" w:hAnsi="Amiri" w:eastAsia="Amiri" w:cs="Amiri"/>
          <w:color w:val="111111"/>
          <w:sz w:val="28"/>
          <w:sz w:val="28"/>
          <w:szCs w:val="28"/>
          <w:rtl w:val="true"/>
          <w:lang w:bidi="ar-SA"/>
        </w:rPr>
        <w:t>وفخر الدين،</w:t>
      </w:r>
      <w:r>
        <w:rPr>
          <w:rStyle w:val="FootnoteAnchor"/>
          <w:rtl w:val="true"/>
        </w:rPr>
        <w:footnoteReference w:id="1054"/>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لصحّة الرواية واعتضادها بعمل الطائفة</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لكن مختار ابن إدريس</w:t>
      </w:r>
      <w:r>
        <w:rPr>
          <w:rStyle w:val="FootnoteAnchor"/>
          <w:rtl w:val="true"/>
        </w:rPr>
        <w:footnoteReference w:id="1056"/>
      </w:r>
      <w:r>
        <w:rPr>
          <w:rFonts w:ascii="Amiri" w:hAnsi="Amiri" w:eastAsia="Amiri" w:cs="Amiri"/>
          <w:color w:val="111111"/>
          <w:sz w:val="28"/>
          <w:sz w:val="28"/>
          <w:szCs w:val="28"/>
          <w:rtl w:val="true"/>
          <w:lang w:bidi="ar-SA"/>
        </w:rPr>
        <w:t>و‌التحرير</w:t>
      </w:r>
      <w:r>
        <w:rPr>
          <w:rStyle w:val="FootnoteAnchor"/>
          <w:rtl w:val="true"/>
        </w:rPr>
        <w:footnoteReference w:id="1057"/>
      </w:r>
      <w:r>
        <w:rPr>
          <w:rFonts w:ascii="Amiri" w:hAnsi="Amiri" w:eastAsia="Amiri" w:cs="Amiri"/>
          <w:color w:val="111111"/>
          <w:sz w:val="28"/>
          <w:sz w:val="28"/>
          <w:szCs w:val="28"/>
          <w:rtl w:val="true"/>
          <w:lang w:bidi="ar-SA"/>
        </w:rPr>
        <w:t>والإيضاح</w:t>
      </w:r>
      <w:r>
        <w:rPr>
          <w:rStyle w:val="FootnoteAnchor"/>
          <w:rtl w:val="true"/>
        </w:rPr>
        <w:footnoteReference w:id="1058"/>
      </w:r>
      <w:r>
        <w:rPr>
          <w:rFonts w:ascii="IRNazanin" w:hAnsi="IRNazanin" w:eastAsia="IRNazanin"/>
          <w:color w:val="111111"/>
          <w:sz w:val="28"/>
          <w:sz w:val="28"/>
          <w:szCs w:val="28"/>
          <w:rtl w:val="true"/>
          <w:lang w:bidi="fa-IR"/>
        </w:rPr>
        <w:t>والمهذّب البارع</w:t>
      </w:r>
      <w:r>
        <w:rPr>
          <w:rStyle w:val="FootnoteAnchor"/>
          <w:rtl w:val="true"/>
        </w:rPr>
        <w:footnoteReference w:id="1059"/>
      </w:r>
      <w:r>
        <w:rPr>
          <w:rFonts w:ascii="Amiri" w:hAnsi="Amiri" w:eastAsia="Amiri" w:cs="Amiri"/>
          <w:color w:val="111111"/>
          <w:sz w:val="28"/>
          <w:sz w:val="28"/>
          <w:szCs w:val="28"/>
          <w:rtl w:val="true"/>
          <w:lang w:bidi="ar-SA"/>
        </w:rPr>
        <w:t>والتنقيح</w:t>
      </w:r>
      <w:r>
        <w:rPr>
          <w:rStyle w:val="FootnoteAnchor"/>
          <w:rtl w:val="true"/>
        </w:rPr>
        <w:footnoteReference w:id="1060"/>
      </w:r>
      <w:r>
        <w:rPr>
          <w:rFonts w:ascii="IRNazanin" w:hAnsi="IRNazanin" w:eastAsia="IRNazanin"/>
          <w:color w:val="111111"/>
          <w:sz w:val="28"/>
          <w:sz w:val="28"/>
          <w:szCs w:val="28"/>
          <w:rtl w:val="true"/>
          <w:lang w:bidi="fa-IR"/>
        </w:rPr>
        <w:t>والمقتصر</w:t>
      </w:r>
      <w:r>
        <w:rPr>
          <w:rStyle w:val="FootnoteAnchor"/>
          <w:rtl w:val="true"/>
        </w:rPr>
        <w:footnoteReference w:id="1061"/>
      </w:r>
      <w:r>
        <w:rPr>
          <w:rFonts w:ascii="Amiri" w:hAnsi="Amiri" w:eastAsia="Amiri" w:cs="Amiri"/>
          <w:color w:val="111111"/>
          <w:sz w:val="28"/>
          <w:sz w:val="28"/>
          <w:szCs w:val="28"/>
          <w:rtl w:val="true"/>
          <w:lang w:bidi="ar-SA"/>
        </w:rPr>
        <w:t>على المحكيّ عنه</w:t>
      </w:r>
      <w:r>
        <w:rPr>
          <w:rStyle w:val="FootnoteAnchor"/>
          <w:rtl w:val="true"/>
        </w:rPr>
        <w:footnoteReference w:id="1062"/>
      </w:r>
      <w:r>
        <w:rPr>
          <w:rFonts w:ascii="Amiri" w:hAnsi="Amiri" w:eastAsia="Amiri" w:cs="Amiri"/>
          <w:color w:val="111111"/>
          <w:sz w:val="28"/>
          <w:sz w:val="28"/>
          <w:szCs w:val="28"/>
          <w:rtl w:val="true"/>
          <w:lang w:bidi="ar-SA"/>
        </w:rPr>
        <w:t>تخيير الوليّ في قتل أ‌يّهما شاء، وفي المختلف</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 xml:space="preserve">نفى البأس عنه، وفي الشرائع </w:t>
      </w:r>
      <w:r>
        <w:rPr>
          <w:rStyle w:val="FootnoteAnchor"/>
          <w:rtl w:val="true"/>
        </w:rPr>
        <w:footnoteReference w:id="1064"/>
      </w:r>
      <w:r>
        <w:rPr>
          <w:rFonts w:ascii="Amiri" w:hAnsi="Amiri" w:eastAsia="Amiri" w:cs="Amiri"/>
          <w:color w:val="111111"/>
          <w:sz w:val="28"/>
          <w:sz w:val="28"/>
          <w:szCs w:val="28"/>
          <w:rtl w:val="true"/>
          <w:lang w:bidi="ar-SA"/>
        </w:rPr>
        <w:t>والمفاتيح</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فيه وجهٌ قويٌّ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والعمدة في منشأ الخلاف صحيحة زرارة،</w:t>
      </w:r>
      <w:r>
        <w:rPr>
          <w:rStyle w:val="FootnoteAnchor"/>
          <w:rtl w:val="true"/>
        </w:rPr>
        <w:footnoteReference w:id="1066"/>
      </w:r>
      <w:r>
        <w:rPr>
          <w:rFonts w:ascii="Amiri" w:hAnsi="Amiri" w:eastAsia="Amiri" w:cs="Amiri"/>
          <w:color w:val="111111"/>
          <w:sz w:val="28"/>
          <w:sz w:val="28"/>
          <w:szCs w:val="28"/>
          <w:rtl w:val="true"/>
          <w:lang w:bidi="ar-SA"/>
        </w:rPr>
        <w:t xml:space="preserve">و ما فيها من المخالفةللقواعد </w:t>
      </w:r>
      <w:bookmarkStart w:id="231" w:name="pg9428_72680"/>
    </w:p>
    <w:p>
      <w:pPr>
        <w:pStyle w:val="BookText"/>
        <w:rPr/>
      </w:pPr>
      <w:bookmarkEnd w:id="2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ومقتضاها، فإنّ مقتضاها التخيير في العمل بالحجّتين بعد عدم إمكان العمل بهما؛ لاستلزامه قتل الاثنين بقتل الواحد، وعدم الترجيح لأحدهما من البيّنة والإقرار فلابدّ من التخيير، كما أنّ ظاهر الصحيحة، بل صريحها ما هو المذكور في المتن، لكن فيه مخالفة للقواعد كما يأتي بيانها</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5797555_2870459653"/>
      <w:bookmarkStart w:id="233" w:name="_Toc78"/>
      <w:bookmarkEnd w:id="232"/>
      <w:r>
        <w:rPr>
          <w:rtl w:val="true"/>
        </w:rPr>
        <w:t>مقتضى القاعدة في تعارض البيّنة مع الإقرار</w:t>
      </w:r>
      <w:bookmarkEnd w:id="233"/>
    </w:p>
    <w:p>
      <w:pPr>
        <w:pStyle w:val="BookText"/>
        <w:rPr/>
      </w:pPr>
      <w:r>
        <w:rPr>
          <w:rFonts w:ascii="Amiri" w:hAnsi="Amiri" w:eastAsia="Amiri" w:cs="Amiri"/>
          <w:color w:val="111111"/>
          <w:sz w:val="28"/>
          <w:sz w:val="28"/>
          <w:szCs w:val="28"/>
          <w:rtl w:val="true"/>
          <w:lang w:bidi="ar-SA"/>
        </w:rPr>
        <w:t>وكيف كان، فتحقيق الكلام في المسألة مقتضٍ للبحث في مقامين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في حكم المسألة من حيث القواعد، مع قطع النظر عن النصّ والفتوى،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مقتضاها الأخذ بإقرار المقرّ وطرح البيّنة المعارضة له؛ وذلك لعدم الإطلاق في أدلّة حجّية البيّنة الشامل لمورد تعارضها معه أوّلاً، حيث إنّ عموم حجيّتها استقرائيّة، وانصرافها على الإطلاق عن مثل المورد ممّا يكون إقرار المقرّ موجباً لقتله، مع ما في إقراره من تبرئة الآخر المحكوم بالقصاص ثانياً، فإنّ الإقرار كذلك يكون على قتل نفسه، ويكون موجباً للظنّ القويّ بصحّة قوله، ولضعف الظنّ بصحّة البيّنة، وعدم بناء العقلاء على حجّية البيّنة مع ذلك التعارض إن أبيت عن الانصراف ثالثاً، حيث إنّ حجّية البيّنة إمضائيّة لا تأسيسيّة، والمتّبع في موارد الشكّ في الأحكام الإمضائيّة الرجوع إلى البناء؛ لأنّه الأصل والمبنی في الإمضائيّة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مع وجود البناء على عدم حجّية مثل البيّنة على القتل في مقابل الإقرار عليه، وحجّية الإقرار كذلك لا محيص إلّا من الاعتماد علىذلك البناء، إمّا لكونه سبباً للانصراف، أو للشكّ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يكون قرينة على الانصراف،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يكون بنفسها دليلاً على عدم حجيّتها، وحجّية الإقرار على التقريبين بلا معارض، وهو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الإقرار كما كان حجّة بلا معارض في المسألة، فكذلك فيما كان التعارض بينه وبين شهادة القوم الموجب للعلم بكون المشهود عليه هو القاتل، لكن لا لما مرّ من الوجوه، لاختصاصها بالبيّنة، بل لما هو شبيه بها، وهو أنّ إقرار المقرّ بالقتل وتبرئة المشهود عليه بعد تماميّة الشهادة، وثبوت كونه قاتلاً عمداً موجب لانتفاء العلم والاطمئنان الحاصل من شهادة القوم،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 فإنّ المقرّ إقراره المفروض في المسألة موجب للعلم بما أقرّ به بلا كلام ولا إشكال، والعلم بكونه قاتلاً سبب لانتفاء العلم السابق الحاصل من شهادة القوم والشهود بالنسبة إلى المشهود عليه؛ قضاءً للتعارض، كما هو ظاهر، ولا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كون إقراره توطئة لتبرئة القاتل، مع أنّه ضعيف جدّاً، معارض مع احتمال توطئة الشهود بالنسبة إلى المشهود عليه، بل الظاهر انحصار الاحتمال فيهم في ذلك، كما لا يخفى، وإلّا فاحتمال سهو الشهود من القوم الذين تكون شهادتهم لكثرتهم موجبة للعلم منتفٍ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من ابن إدريس، ومَن تبعه من القائلين بتخيير الوليّ في قتل أحدهما خاصّة كالإقرارين، كون التخيير مقتضى القواعد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السرائر بعد بيان حكم الاشتراك في القتل، وهو فيما أقرّ المقرّ بالشركة وشهدت البيّنة كذلك، وأنّ الحكم فيه ما هو الحكم في الاشتراكالثابت بغيرهما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إذا كانا متفرّقين، فالعمل على ما حرّرناه في شهادة الشهود على الاثنين حرفاً فحرفاً</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وما اختاره فيها هو تخيير الوليّ في تصديق إحدى البيّنتين ودونك عبارته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يقتضيه أُصول المذهب ويحكم بصحته الاستدلال، أنّ أولياء المقتول بالخيار في تصديق إحدى البيّنتين وتكذيب الأُخرى، فإذا صدقوا إحداهما قتلوا ذلك المشهود عليه، ولم يكن لهم على الآخر سبيل، ولا يبطل هاهنا القود؛ لأنّه لا دليل عليه من كتاب ولا سنّة متواترة، بل الكتاب قاض بالقود مع البيّنة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جَعَلْنَا لِوَليّهِ سُلْطَاناً</w:t>
      </w:r>
      <w:r>
        <w:rPr>
          <w:rStyle w:val="FootnoteAnchor"/>
          <w:rtl w:val="true"/>
        </w:rPr>
        <w:footnoteReference w:id="1068"/>
      </w:r>
      <w:r>
        <w:rPr>
          <w:rFonts w:ascii="Amiri" w:hAnsi="Amiri" w:eastAsia="Amiri" w:cs="Amiri"/>
          <w:color w:val="111111"/>
          <w:sz w:val="28"/>
          <w:sz w:val="28"/>
          <w:szCs w:val="28"/>
          <w:rtl w:val="true"/>
          <w:lang w:bidi="ar-SA"/>
        </w:rPr>
        <w:t>فمن عمل بهذه الرواية أبطل حكم الآية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لأخذ الدية منهما جميعاً؛ لأنّهما غير مشتركين في القتل، لأنّ البيّنة عليهما بخلاف ذلك، لأنّها تشهد بقتل كلّ واحد منهما على الانفراد دون الاجتماع والاشتراك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ويحقّق ذلك ويزيده بياناً المسألة التي تأتي بعد ذلك</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وهي ما ذكره رحمه الله من مسألة تعارض الإقرارين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تماميّة كلامه غير محتاج إلى البيان، حيث إنّ القاعدة المسلّمة العقلائيّة الممضاة شرعاً بسيرة عمليّة للفقهاء في الفقه بل وبإجماعهمالقولي في الأُصول، على التساقط وعدم الحجّية لشيء منهما في المدلول المطابقي ولا في الالتزامي </w:t>
      </w:r>
      <w:bookmarkStart w:id="234" w:name="pg9428_72683"/>
    </w:p>
    <w:p>
      <w:pPr>
        <w:pStyle w:val="BookText"/>
        <w:rPr/>
      </w:pPr>
      <w:bookmarkEnd w:id="2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الالتزامي المشترك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وكيف لا تكون القاعدة كذلك مع أنّ كلاً من الحجّتين والأمارتين المتعارضين يكذّب الأُخرى؟</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5797557_2870459653"/>
      <w:bookmarkStart w:id="236" w:name="_Toc79"/>
      <w:bookmarkEnd w:id="235"/>
      <w:r>
        <w:rPr>
          <w:rtl w:val="true"/>
        </w:rPr>
        <w:t>دلالة النصّ في تعارض البيّنة مع الإقرار</w:t>
      </w:r>
      <w:bookmarkEnd w:id="236"/>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في حكم المسألة من حيث النصّ،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في المسألة منحصر بصحيح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قتل فحمل إلى الوالي وجاءه قوم فشهدوا عليه الشهود أنّه قتله عمداً، فدفع الوالي القاتل إلى أولياء المقتول ليقاد به، فلم يرتموا حتّى أتاهم رجل فأقرّ عند الوالي أنّه قتل صاحبهم عمداً، وأنّ هذا الرجل الذي شهد عليه الشهود بريء من قتل صاحبکم فلان، فلا تقتلوه به وخذوني بدمه،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أراد أولياء المقتول أن يقتلوا الذي أقرّ على نفسه فليقتلوه ولا سبيل لهم على الآخر، ثمّ لا سبيل لورثة الذي أقرّ على نفسه على ورثة الذي شهد عليه، وإن أرادوا أن يقتلوا الذي شهد عليه فليقتلوه ولا سبيل لهم على الذي أقرّ، ثمّ ليؤدّ الدية الذي أقرّ على نفسه إلى أولياء الذي شهد عليه نصف الدية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أرادوا أن يقتلوهما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لهم، وعليهم أن يدفعوا إلى أولياء الذي شهد عليه نصف الدية خاصّة دون صاحبة، ثمّيقتلونهما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أرادوا أن يأخذوا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بينهما نصفان؛ لأنّ أحدهما أقرّ والآخر شُهد عليه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جعلت لأولياء الذي شُهد عليه على الذي أقرّ نصف الدية حيث قتل، ولم تجعل لأولياء الذي أقرّ على أولياء الذي شُهد عليه ولم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الذي شُهد عليه ليس مثل الذي أقرّ، الذي شُهد عليه لم يقرّ ولم يُبرئ صاحبه، والآخر أقرّ وأبرأ صاحبه، فلزم الذي أقرّو أبرأ صاحبه ما لم يلزم الذي شُهد عليه ولم يقرّ ولم يبرئ صاحبه</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ولا ريب في مخالفته للقواعد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قتلهما معاً مع انتفاء الشركة في القتل، كما هو مقتضى الشهادة والإقرار، بل فيهما بدلالتهما الالتزاميّة دلالة على انتفاء الثالث ودلالةٌ على عدم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إلزامهما بالدية نصفين بعد عدم ثبوت المقتضي لاشتراكهما في موجبه، وهو القتل، بل فيهما دلالة على عدم الشركة،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إلزام المقرّ بردّ النصف، ضرورة أنّه إن كان كذلك لاعترافه ببراءة المقتول، فالمتّجه ردّ الجميع، وإلّا فلا وجه لردّ النصف، فإنّ أقصى ما هناك إقرار المقرّ بأنّه القاتل وأنّ المشهود عليه قتل مظلوماً، فلم يقصّر في الدفع عنه، وليس عليه إلّا تخطئة البيّنة، ولعلّه بهذا لا يلزمه شيء، وإن أبيتم عن إلزامه بشيء فالجميع عليه كما مرّ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إلزام الأولياء بردّ النصف إلى أولياء المشهود عليه مع قتلهما دون أولياء المقرّ، فإنّ القاعدة في قود المتعدّد في مقابل الواحد ردّ دية الزائد على أولياء المقتولين بالسويّة، ففي قتل الاثنين بالواحد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وليّ الدم الدية كاملة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أوليائهما بالمناصفة، وفي الثلاثة بالواحد أثلاثاً، كما مضى في محلّه، فردّ نصف الدية على أولياء أحد المقتولين في الصحيح مخالف لهذه القاعدة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في تخيير وليّ الدم في القود بينهما، مع أنّ الحجّتين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الشهود والإقرار بالتعارض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سقطتا عن الحجّية، فالتخيير بلا وجه،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تخيير الوليّ مع عدم الدليل عليه، فيه احتمال قتل غير القاتل، وهو مخالف للاحتياط في الدماء وحرمة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في إلزام المقرّ بردّ النصف إلى أولياء المشهود عليه المقتول قوداً، كون أولياء المقتول آخذين حينئذٍ دماً ونصفاً، وهو زائد على حقّهم، فإنّما حقّهم واحد، وهم وإن لم يأخذوا النصف مباشرةً، لكنّهم باختيارهم القود على المشهود عليه صاروا سبباً في ردّ الزائد، فكأنّهم الآخذون له، وإلّا فلهم القود على المقرّ، فكان ردّ النصف منتفياً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المحاذير السبعة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ظاهر نكت النهاية للمحقّق حصر الإشكال في ثلاثة مواضع منه، ففيه بعد نقل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 هذه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يتخيّر الأولياء؟</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أحدهما يقتل بالبيّنة والآخر بالإقرار، فإنّ المقرّ أباح نفسه بإقراره بالانفراد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وَجب الردّ لوقتلوهما؟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لا يقتل اثنان بواحد إلّا مع الشركة، ومع الشركة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تردّ فاضل الدية، وهو دية كاملة، لكن المقرّ أسقط حقّه من الردّ، فبقي الردّ على المشهود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إذا قتل المقرّ وحده لا يردّ المشهود عليه، وإذا قتل المشهود عليه يردّ على أوليائه؟</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 سقط حقّه من الردّ، والمشهود عليه لم يقرّ فيرجع على ورثة المقرّ بنصف الدية؛ لاعترافه بالقتل وإنكار المشهود عليه</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ولا يخفى عليك عدم تماميّة جوابه عن الإشكال الأوّل؛ لما مرّ من التعارض والسقوط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إشكاله الثاني وجوابه،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الإشكال في شيء وإن كان جوابه عنه على الشيئية تامّاً، حيث إنّ الإشكال في جواز قتلهما مع عدم الشركة بحسب الظاهر والحجّة لا في وجوب الدية على تقدير قتلهما، فما هو الإشكال لم يتعرّض له، وما تعرّض له فليس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معه في الثالث مثل الكلام في الثاني فلا نعيده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ما في النكت غير رافع لبعض محاذيرالصحيح، فضلاً عن كلّها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فعن الشيخ في النهاية</w:t>
      </w:r>
      <w:r>
        <w:rPr>
          <w:rStyle w:val="FootnoteAnchor"/>
          <w:rtl w:val="true"/>
        </w:rPr>
        <w:footnoteReference w:id="1072"/>
      </w:r>
      <w:r>
        <w:rPr>
          <w:rFonts w:ascii="Amiri" w:hAnsi="Amiri" w:eastAsia="Amiri" w:cs="Amiri"/>
          <w:color w:val="111111"/>
          <w:sz w:val="28"/>
          <w:sz w:val="28"/>
          <w:szCs w:val="28"/>
          <w:rtl w:val="true"/>
          <w:lang w:bidi="ar-SA"/>
        </w:rPr>
        <w:t>وأبي علي</w:t>
      </w:r>
      <w:r>
        <w:rPr>
          <w:rStyle w:val="FootnoteAnchor"/>
          <w:rtl w:val="true"/>
        </w:rPr>
        <w:footnoteReference w:id="1073"/>
      </w:r>
      <w:r>
        <w:rPr>
          <w:rFonts w:ascii="Amiri" w:hAnsi="Amiri" w:eastAsia="Amiri" w:cs="Amiri"/>
          <w:color w:val="111111"/>
          <w:sz w:val="28"/>
          <w:sz w:val="28"/>
          <w:szCs w:val="28"/>
          <w:rtl w:val="true"/>
          <w:lang w:bidi="ar-SA"/>
        </w:rPr>
        <w:t>والحلبي</w:t>
      </w:r>
      <w:r>
        <w:rPr>
          <w:rStyle w:val="FootnoteAnchor"/>
          <w:rtl w:val="true"/>
        </w:rPr>
        <w:footnoteReference w:id="1074"/>
      </w:r>
      <w:r>
        <w:rPr>
          <w:rFonts w:ascii="Amiri" w:hAnsi="Amiri" w:eastAsia="Amiri" w:cs="Amiri"/>
          <w:color w:val="111111"/>
          <w:sz w:val="28"/>
          <w:sz w:val="28"/>
          <w:szCs w:val="28"/>
          <w:rtl w:val="true"/>
          <w:lang w:bidi="ar-SA"/>
        </w:rPr>
        <w:t>والقاضي</w:t>
      </w:r>
      <w:r>
        <w:rPr>
          <w:rStyle w:val="FootnoteAnchor"/>
          <w:rtl w:val="true"/>
        </w:rPr>
        <w:footnoteReference w:id="1075"/>
      </w:r>
      <w:r>
        <w:rPr>
          <w:rFonts w:ascii="Amiri" w:hAnsi="Amiri" w:eastAsia="Amiri" w:cs="Amiri"/>
          <w:color w:val="111111"/>
          <w:sz w:val="28"/>
          <w:sz w:val="28"/>
          <w:szCs w:val="28"/>
          <w:rtl w:val="true"/>
          <w:lang w:bidi="ar-SA"/>
        </w:rPr>
        <w:t>والكيدري</w:t>
      </w:r>
      <w:r>
        <w:rPr>
          <w:rStyle w:val="FootnoteAnchor"/>
          <w:rtl w:val="true"/>
        </w:rPr>
        <w:footnoteReference w:id="10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ويحيى بن سعيد</w:t>
      </w:r>
      <w:r>
        <w:rPr>
          <w:rStyle w:val="FootnoteAnchor"/>
          <w:rtl w:val="true"/>
        </w:rPr>
        <w:footnoteReference w:id="1077"/>
      </w:r>
      <w:r>
        <w:rPr>
          <w:rFonts w:ascii="Amiri" w:hAnsi="Amiri" w:eastAsia="Amiri" w:cs="Amiri"/>
          <w:color w:val="111111"/>
          <w:sz w:val="28"/>
          <w:sz w:val="28"/>
          <w:szCs w:val="28"/>
          <w:rtl w:val="true"/>
          <w:lang w:bidi="ar-SA"/>
        </w:rPr>
        <w:t>وابني حمزة وزهرة،</w:t>
      </w:r>
      <w:r>
        <w:rPr>
          <w:rStyle w:val="FootnoteAnchor"/>
          <w:rtl w:val="true"/>
        </w:rPr>
        <w:footnoteReference w:id="1078"/>
      </w:r>
      <w:r>
        <w:rPr>
          <w:rFonts w:ascii="Amiri" w:hAnsi="Amiri" w:eastAsia="Amiri" w:cs="Amiri"/>
          <w:color w:val="111111"/>
          <w:sz w:val="28"/>
          <w:sz w:val="28"/>
          <w:szCs w:val="28"/>
          <w:rtl w:val="true"/>
          <w:lang w:bidi="ar-SA"/>
        </w:rPr>
        <w:t>بل عن ظاهر الآبي،</w:t>
      </w:r>
      <w:r>
        <w:rPr>
          <w:rStyle w:val="FootnoteAnchor"/>
          <w:rtl w:val="true"/>
        </w:rPr>
        <w:footnoteReference w:id="1079"/>
      </w:r>
      <w:r>
        <w:rPr>
          <w:rFonts w:ascii="Amiri" w:hAnsi="Amiri" w:eastAsia="Amiri" w:cs="Amiri"/>
          <w:color w:val="111111"/>
          <w:sz w:val="28"/>
          <w:sz w:val="28"/>
          <w:szCs w:val="28"/>
          <w:rtl w:val="true"/>
          <w:lang w:bidi="ar-SA"/>
        </w:rPr>
        <w:t>وعن ميل الشهيدين أو جزمهما في غاية المراد</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الفتوى والعمل بالصحيح، بل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وبشهرتها صرّح الفاضل في كتبه المتقدّمة، وغيره من الجماعة، مشعرين ببلوغها درجة الإجماع، ولعلّه كذلك، فقد أفتى به الشيخ وأتباعه والإسكافي والحلبي وغيرهم، بل لم نرَ لهم مخالفاً عدا من مرّ، وعبائرهم غير صريحة في المخالفة عدا الحلّي وفخر الدين</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لكن مع ذلك كلّه، فمختار ابن إدريس في صريح السرائر،</w:t>
      </w:r>
      <w:r>
        <w:rPr>
          <w:rStyle w:val="FootnoteAnchor"/>
          <w:rtl w:val="true"/>
        </w:rPr>
        <w:footnoteReference w:id="1082"/>
      </w:r>
      <w:r>
        <w:rPr>
          <w:rFonts w:ascii="Amiri" w:hAnsi="Amiri" w:eastAsia="Amiri" w:cs="Amiri"/>
          <w:color w:val="111111"/>
          <w:sz w:val="28"/>
          <w:sz w:val="28"/>
          <w:szCs w:val="28"/>
          <w:rtl w:val="true"/>
          <w:lang w:bidi="ar-SA"/>
        </w:rPr>
        <w:t>ومثله العلّامة في التحرير</w:t>
      </w:r>
      <w:r>
        <w:rPr>
          <w:rStyle w:val="FootnoteAnchor"/>
          <w:rtl w:val="true"/>
        </w:rPr>
        <w:footnoteReference w:id="1083"/>
      </w:r>
      <w:r>
        <w:rPr>
          <w:rFonts w:ascii="Amiri" w:hAnsi="Amiri" w:eastAsia="Amiri" w:cs="Amiri"/>
          <w:color w:val="111111"/>
          <w:sz w:val="28"/>
          <w:sz w:val="28"/>
          <w:szCs w:val="28"/>
          <w:rtl w:val="true"/>
          <w:lang w:bidi="ar-SA"/>
        </w:rPr>
        <w:t>وابنه في الإيضاح،</w:t>
      </w:r>
      <w:r>
        <w:rPr>
          <w:rStyle w:val="FootnoteAnchor"/>
          <w:rtl w:val="true"/>
        </w:rPr>
        <w:footnoteReference w:id="1084"/>
      </w:r>
      <w:r>
        <w:rPr>
          <w:rFonts w:ascii="Amiri" w:hAnsi="Amiri" w:eastAsia="Amiri" w:cs="Amiri"/>
          <w:color w:val="111111"/>
          <w:sz w:val="28"/>
          <w:sz w:val="28"/>
          <w:szCs w:val="28"/>
          <w:rtl w:val="true"/>
          <w:lang w:bidi="ar-SA"/>
        </w:rPr>
        <w:t>وظاهره في القواعد</w:t>
      </w:r>
      <w:r>
        <w:rPr>
          <w:rStyle w:val="FootnoteAnchor"/>
          <w:rtl w:val="true"/>
        </w:rPr>
        <w:footnoteReference w:id="1085"/>
      </w:r>
      <w:r>
        <w:rPr>
          <w:rFonts w:ascii="Amiri" w:hAnsi="Amiri" w:eastAsia="Amiri" w:cs="Amiri"/>
          <w:color w:val="111111"/>
          <w:sz w:val="28"/>
          <w:sz w:val="28"/>
          <w:szCs w:val="28"/>
          <w:rtl w:val="true"/>
          <w:lang w:bidi="ar-SA"/>
        </w:rPr>
        <w:t>عدم العمل به، والفتوى بتخيّر الوليّ في قتل كلّ واحد من المشهود عليه ومن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 ردّ السرائر الرواية وعدم العمل بها، ما فيها من بعضالمحاذير التي ذكرناها، مضافاً إلى قاعدته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العمل من غيره فليس إلّا بعض المحاذير قطعاً، وهو وجيه وقويّ، حيث إنّ دليل حجّية خبر الواحد بناء العقلاء، وبناؤهم على العمل بمثل الخبر ممّا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المخالفة للقواعد ولو من جهة واحدة، فضلاً عن جهات متعدّدة، غير محرز إن لم نقل بأنّ عدمها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إناطة الحجّية بإحراز البناء، فمع 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الصحيحة فضلاً عن العلم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فيها من المخالفة الموجبة لإهراق الدم، والإسراف فيه من الأُمور الخطيرة والعقوبات غير القابلة للتدارك على فرض السهو والغفلة، فإنّها كافية؛ لعدم إحراز البناء وإن كانت الرواية متعدّدة فضلاً عن الواحدة، ألا ترى أنّ العقلاء يحتاطون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الأُمور الخطيرة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حصول القطع لا يقدمون؟</w:t>
      </w:r>
    </w:p>
    <w:p>
      <w:pPr>
        <w:pStyle w:val="BookText"/>
        <w:rPr/>
      </w:pPr>
      <w:r>
        <w:rPr>
          <w:rFonts w:ascii="Amiri" w:hAnsi="Amiri" w:eastAsia="Amiri" w:cs="Amiri"/>
          <w:color w:val="111111"/>
          <w:sz w:val="28"/>
          <w:sz w:val="28"/>
          <w:szCs w:val="28"/>
          <w:rtl w:val="true"/>
          <w:lang w:bidi="ar-SA"/>
        </w:rPr>
        <w:t>وفي جامع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كلام بعض الأكابر الإشكال، أو عدم جواز التهجّم في الدماء</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والظاهر أنّ ما نقله من الإشكال وعدم جواز التهجّم مربوط بأصل مسألة حجّية الخبر في الأُمور الخطيرة لا في حكم هذه المسألة، وإلّا فالإشكال فيه في الكلمات معروف ومشهور، ونقلناه سابقاً، فراجع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وقوّيناه من الوجه في عدم حجّية الصحيحة تظهر المناقشة، وعدم تماميّة ما في الرياض في التعليل والتوجيه على أنّ المخالفة مع الرواية مشكلة، وهذا لفظه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مشكلة؛ لصحّة الرواية واعتضادها بعمل الطائفة، فيخصّص بها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هذه بأوّل قارورة، فكم من أُصول قويّة وقواعد كلّية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خصّصت بمثل هذه الرواية، بل وبما دونها، كما لا يخفى على ذي اطّلاع وخبرة، ولكنّ المسألة مع ذلك لعلّها لا تخلو عن شبهة، فالأحوط الاقتصار فيها بقتل أحدهما خاصّة؛ لعدم الخلاف فيه ظاهراً فتوىً وروايةً، وحكى الإجماع عليه الحلّي في السرائر صريحاً</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ولقد أجاد في رعاية الاحتياط؛ لاحتمال عدم خلوّ المسألة من الشبهة، وإن كان عليه القطع بالشبهة وعدم الحجّية؛ لما مرّ بيانه،</w:t>
      </w:r>
      <w:r>
        <w:rPr>
          <w:rStyle w:val="FootnoteAnchor"/>
          <w:rtl w:val="true"/>
        </w:rPr>
        <w:footnoteReference w:id="1088"/>
      </w:r>
      <w:r>
        <w:rPr>
          <w:rFonts w:ascii="Amiri" w:hAnsi="Amiri" w:eastAsia="Amiri" w:cs="Amiri"/>
          <w:color w:val="111111"/>
          <w:sz w:val="28"/>
          <w:sz w:val="28"/>
          <w:szCs w:val="28"/>
          <w:rtl w:val="true"/>
          <w:lang w:bidi="ar-SA"/>
        </w:rPr>
        <w:t>كما أنّه قد مرّ</w:t>
      </w:r>
      <w:r>
        <w:rPr>
          <w:rStyle w:val="FootnoteAnchor"/>
          <w:rtl w:val="true"/>
        </w:rPr>
        <w:footnoteReference w:id="1089"/>
      </w:r>
      <w:r>
        <w:rPr>
          <w:rFonts w:ascii="Amiri" w:hAnsi="Amiri" w:eastAsia="Amiri" w:cs="Amiri"/>
          <w:color w:val="111111"/>
          <w:sz w:val="28"/>
          <w:sz w:val="28"/>
          <w:szCs w:val="28"/>
          <w:rtl w:val="true"/>
          <w:lang w:bidi="ar-SA"/>
        </w:rPr>
        <w:t>أنّ مقتضى القاعدة العمل بالإقرار ترجيحاً له على البيّنة؛ قضاءً لبناء العقلاء لا التخيير، وفي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لا الإجماع، فراجعه</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وكيف كان، بعد عدم حجّية الصحيحة في المسألة لابدّ من الرجوع إلى الأُصول والقواعد، ومقتضاها تقديم الإقرار على البيّنة، كما حقّقناه وبيّنّاه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كون مورد الرواية والفتاوى ما لم يكن للوليّ علم تفصيلي بالقاتل وبصدق الإقرار أو البيّنة، ولا علم إجمالي به وبصدق أحدهما، ولا علم بالشركة حيث إنّ المعلوم كون الرواية والفتاوى ناظرين إلى الحجّتين المتعارضين بما هما هما من دون انضمام العلم من رأس، كما لا يخفى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فلا إشكال ولا كلام في الأوّل في لزوم متابعة العلم التفصيلي وحجّيّته الموافق له من الإقرار والبيّنة دون الآخر المخالف له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إشكال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في المسألة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أولياء الميّت ادّعوا على أحدهما دون الآخر سقط الآخر، فإن ادّعوا على المشهود عليه سقط إقرار المقرّ، وإن ادّعوا على المقرّ سقطت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أيضاً في عدم حجّية شيء منهما في الثاني؛ لكون العلم الإجمالي لكذب أحدهما مانعاً عن الحجّية كالعلم التفصيلي بالكذب بالنسبة إلى المعيّن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فالعلم بالشركة وإن كان مقتضياً لعدم حجّيّة شيء من الإقرار والبيّنة القائمين على عدمها بالدلالة المطابقة، كما هو المفروض، فإنّ المقرّ يبرئ المشهود عليه، لكن للوليّ العمل بعلمه، وله إجراء حكم الشركة في القتل فيما بينه وبين الله تعالى، لكنّه ممنوعٌ بحسب الظاهر؛ لعدم حجّية علمه إلّا لنفسه لا للحاكم وأولياء المقتولين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الإقرار والبيّنة ليستا بحجّة في هذه الصورة من رأس، كالصورتين السابقتين؛ لما بينهما مع علمه من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صورة احتمال الوليّ الشركة هما حجّة بالقوّة؛ لتماميّة شرائط الحجّيّة فيهما، لكنّها غير فعليّة؛ للتعارض، بل الظاهر كون هذه الصورة مشمولة للرواية والفتاوى، حيث إنّ الاحتمال غير رافع للجهل ولا مضرّ بالحجّية، فهذه الصورة كصورة علم الوليّ بعدم الشركة التي هي المتيقّن من النصّ، والفتاوى مشمولة لهما أيضاً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المتن تامٌّ وموافق لما في نكت النهاية فيكون تابعاً له، كأبي‌العبّاس</w:t>
      </w:r>
      <w:r>
        <w:rPr>
          <w:rStyle w:val="FootnoteAnchor"/>
          <w:rtl w:val="true"/>
        </w:rPr>
        <w:footnoteReference w:id="1091"/>
      </w:r>
      <w:r>
        <w:rPr>
          <w:rFonts w:ascii="IRNazanin" w:hAnsi="IRNazanin" w:eastAsia="IRNazanin"/>
          <w:color w:val="111111"/>
          <w:sz w:val="28"/>
          <w:sz w:val="28"/>
          <w:szCs w:val="28"/>
          <w:rtl w:val="true"/>
          <w:lang w:bidi="fa-IR"/>
        </w:rPr>
        <w:t>والمقداد</w:t>
      </w:r>
      <w:r>
        <w:rPr>
          <w:rStyle w:val="FootnoteAnchor"/>
          <w:rtl w:val="true"/>
        </w:rPr>
        <w:footnoteReference w:id="1092"/>
      </w:r>
      <w:r>
        <w:rPr>
          <w:rFonts w:ascii="Amiri" w:hAnsi="Amiri" w:eastAsia="Amiri" w:cs="Amiri"/>
          <w:color w:val="111111"/>
          <w:sz w:val="28"/>
          <w:sz w:val="28"/>
          <w:szCs w:val="28"/>
          <w:rtl w:val="true"/>
          <w:lang w:bidi="ar-SA"/>
        </w:rPr>
        <w:t>والفاضل الأصبهاني</w:t>
      </w:r>
      <w:r>
        <w:rPr>
          <w:rStyle w:val="FootnoteAnchor"/>
          <w:rtl w:val="true"/>
        </w:rPr>
        <w:footnoteReference w:id="1093"/>
      </w:r>
      <w:r>
        <w:rPr>
          <w:rFonts w:ascii="Amiri" w:hAnsi="Amiri" w:eastAsia="Amiri" w:cs="Amiri"/>
          <w:color w:val="111111"/>
          <w:sz w:val="28"/>
          <w:sz w:val="28"/>
          <w:szCs w:val="28"/>
          <w:rtl w:val="true"/>
          <w:lang w:bidi="ar-SA"/>
        </w:rPr>
        <w:t>في نكت النهاية بعد ذكر المسألة السابقة</w:t>
      </w:r>
      <w:r>
        <w:rPr>
          <w:rFonts w:eastAsia="Amiri" w:cs="Amiri" w:ascii="Amiri" w:hAnsi="Amiri"/>
          <w:color w:val="111111"/>
          <w:sz w:val="28"/>
          <w:szCs w:val="28"/>
          <w:rtl w:val="true"/>
          <w:lang w:bidi="ar-SA"/>
        </w:rPr>
        <w:t xml:space="preserve">: </w:t>
      </w:r>
      <w:bookmarkStart w:id="237" w:name="pg9428_72691"/>
    </w:p>
    <w:p>
      <w:pPr>
        <w:pStyle w:val="BookText"/>
        <w:rPr/>
      </w:pPr>
      <w:bookmarkEnd w:id="237"/>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بتقدير أن يقول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القاتل، أمّا لو ادّعوا على أحدهما سقط الآخر</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والوجه في ذلك أنّه مع فرض كون الدعوى على المقرّ لا عبرة بالبيّنة بعد توافق مَن له الحقّ وعليه على خلافها، كما لا عبرة بالإقرار بعد دعوى المدّعي على غيره، وقيام البيّنة له بذلك، وعلمه بكذب المقرّ، أمّا إذا لم يكن دعوى من المدّعي، ولا طريق له إلّا البيّنة والإقرار فالحكم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البحث فيها ينبغي تقديم أُمورٍ</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5797559_2870459653"/>
      <w:bookmarkStart w:id="239" w:name="_Toc80"/>
      <w:bookmarkEnd w:id="238"/>
      <w:r>
        <w:rPr>
          <w:rtl w:val="true"/>
        </w:rPr>
        <w:t>في معنى القسامة</w:t>
      </w:r>
      <w:bookmarkEnd w:id="239"/>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اُقيم مقام المصدر،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إقساماً قسامةً، وهي الاسم له،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إكراماً وكرامةً، من القسَم بالتحريك، بمعنى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الله استعملت صيغة المفاعلة منه بذلك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وَقاسَمَهُمَا إنّي لَكُمَا لَمِنَ النّاصِحِينَ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هذا بحسب معناها الأصلي المطابق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الأيمان، تقسّم على جماعة يحلفونها</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والجماعةُ يُقْسِمُون على الشيء ويأخذونه أو يشهدون</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وفي المصباح المنير، بل والمنجد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بصدقها على الأيمان التي تقسّم، وعلى الجماعة الذي يقسمون، فلها معنى آخر مناسباً مع المعنى الأصلي</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والظاهر أنّه ليس في الصحاح والقاموس دلالة على حصر معناها في المعنى الواحد المذكور فيهما حتّى يكون بينهما وبين المصباح والمنجد تخالفاً وافتراقاً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الاقتصار منهما على أحد المعنيين لعدم اطّلاعهم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الظهور في الحصر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مقدّم؛ لعدم التعارض بين الوجدان وعدمه، كما لا يخفى، هذا بحسب اللغة أصلاً وحدوثاً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الاصطلاح ولسان الفقهاء، اسم للأيمان</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ففي المسالك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اختصاص لها بأيمان الدماء لغة، لكن الفقهاء خصّوها بها، وصورتها أن يوجد قتيل في موضع لا يُعرف من قتله، ولا تقوم عليه بيّنة، ويدّعي الوليّ على واحد أو جماعة، ويقترن بالواقعةما يشعر بصدق الوليّ في دعواه،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اللوث، فيحلف على ما يدّعيه، ويحكم بما سيذكر</w:t>
      </w:r>
      <w:r>
        <w:rPr>
          <w:rFonts w:eastAsia="Amiri" w:cs="Amiri" w:ascii="Amiri" w:hAnsi="Amiri"/>
          <w:color w:val="111111"/>
          <w:sz w:val="28"/>
          <w:szCs w:val="28"/>
          <w:rtl w:val="true"/>
          <w:lang w:bidi="ar-SA"/>
        </w:rPr>
        <w:t>.</w:t>
      </w:r>
      <w:r>
        <w:rPr>
          <w:rStyle w:val="FootnoteAnchor"/>
          <w:rtl w:val="true"/>
        </w:rPr>
        <w:footnoteReference w:id="1100"/>
      </w:r>
      <w:bookmarkStart w:id="240" w:name="pg9428_72693"/>
    </w:p>
    <w:p>
      <w:pPr>
        <w:pStyle w:val="BookText"/>
        <w:rPr/>
      </w:pPr>
      <w:bookmarkEnd w:id="24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فتلخّص من جميع ما ذكرناه صحّة إطلاقها واستعمالها على نفس الأيمان، وعلى جماعة الحالفين التي تقسّم الأيمان عليهم، هذا كلّه في القسامة بفتح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القُسامة بالضمّ، فلها معنيان، كما يظهر من لسان العرب،</w:t>
      </w:r>
      <w:r>
        <w:rPr>
          <w:rStyle w:val="FootnoteAnchor"/>
          <w:rtl w:val="true"/>
        </w:rPr>
        <w:footnoteReference w:id="1101"/>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يأخذه القاسم لنفسه من أصل المال المقسوم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وبالكسر منها تطلق على من تكون حرفته التقسيم كالتجارة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فللقسامة بحركاتها الثلاثة للقاف معانٍ ثلاثة، هذا كلّه في المزيد فيه من القسم، وأمّا الثلاثي المجرّد منه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وبكسرها، فالمصدر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بالسكون بمعنى السهم، وبالفتح بمعنى الحلف</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5797561_2870459653"/>
      <w:bookmarkStart w:id="242" w:name="_Toc81"/>
      <w:bookmarkEnd w:id="241"/>
      <w:r>
        <w:rPr>
          <w:rtl w:val="true"/>
        </w:rPr>
        <w:t>القسامة إمضائيّة أم تأسيسيّة؟</w:t>
      </w:r>
      <w:bookmarkEnd w:id="242"/>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القسامة إمضائيّة، كما يظهر من نهاية ابن الأثير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القسامة جاهليّة وأقرّها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إبداعيّة وتأسيسيّة؟ وتظهر الفائدة في الشكّ في الشروط، وفي اعتبار الأُمور التي لا على شرطيّتها واعتبارها الدليل ولا على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لابدّ من الرجوع إلى العقلاء الذين هم الأصل فيها، كما هي القاعدة في الأبنية الإمضائيّة، مثل حجّيّة الظواهر والخبر الواحد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لابدّ من الرجوع إلى مقتضى القواعد والأُصول فيها،وبذلك يظهر أنّ ما في الجواهر </w:t>
      </w:r>
      <w:r>
        <w:rPr>
          <w:rStyle w:val="FootnoteAnchor"/>
          <w:rtl w:val="true"/>
        </w:rPr>
        <w:footnoteReference w:id="1102"/>
      </w:r>
      <w:r>
        <w:rPr>
          <w:rFonts w:ascii="Amiri" w:hAnsi="Amiri" w:eastAsia="Amiri" w:cs="Amiri"/>
          <w:color w:val="111111"/>
          <w:sz w:val="28"/>
          <w:sz w:val="28"/>
          <w:szCs w:val="28"/>
          <w:rtl w:val="true"/>
          <w:lang w:bidi="ar-SA"/>
        </w:rPr>
        <w:t>من عدم الفائدة في ذلك في غير محلّه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إثبات الإمضائيّة مشكلٌ؛ لما في أخبار العامّة من الدلالة على الإمضائيّة،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القسامة جاهليّة، والمراد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الذمّ وعدم حجيّتها، وإمّا المدح وأنّها كانت موجودة قبل الإسلام أيضاً، فيكون أمراً شرعيّاً وعقلائيّاً، بل في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القَسامة جاهليّة، أي كان أهل الجاهليّة يدينون بها وقرّرها الإسلام</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ولما قيل ربّما يظهر من أخبارنا</w:t>
      </w:r>
      <w:r>
        <w:rPr>
          <w:rStyle w:val="FootnoteAnchor"/>
          <w:rtl w:val="true"/>
        </w:rPr>
        <w:footnoteReference w:id="1104"/>
      </w:r>
      <w:r>
        <w:rPr>
          <w:rFonts w:ascii="IRNazanin" w:hAnsi="IRNazanin" w:eastAsia="IRNazanin"/>
          <w:color w:val="111111"/>
          <w:sz w:val="28"/>
          <w:sz w:val="28"/>
          <w:szCs w:val="28"/>
          <w:rtl w:val="true"/>
          <w:lang w:bidi="fa-IR"/>
        </w:rPr>
        <w:t xml:space="preserve">أنّها من 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فتكون تأسيسيّة وإبداعيّة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في هذا الأمر من الأخبار خبر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القسامة أين كان بدؤها؟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كان بعد فتح خيبر تخلّف رجل من الأنصار عن أصحابه، فرجعوا في طلبه فوجدوه متشحّطاً في دمه قتيلاً، فجاءت الأنصار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اليهود صاحبنا،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ليقسم منكم خمسون رجلاً على أنّهم 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0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في قراءة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كون الأخبار منقولة إلينا بالقراءة، كما كانت في عصر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قاربه منالأعصار، بل تكون منقولة بالوجادة، احتمالين، كما صرّح به الجواهر</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وفتح القاف؛ بمعنى الزمان المتقدّم المقابل للفظ البُعد الزماني،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 وفتح الباء؛ بمعنى الناحية والجهة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يكون الحديث سنداً للإمضاء، وعلى الثاني دليلاً على التأسيس، ولا ترجيح لأحدهما على الآخر، بل لكلٍّ منهما مبعّد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فمبعّد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عليه لاحاجة معه إلى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ذكر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كافياً للدلالة على أنّها كانت قبل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تزيد في هذا المعنى شيئاً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فرق بين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الأمر الفلاني قبل رسول الله؛ أي في زمان قبله أو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هو واضح غير محتاج إلى التفصيل والبيان، 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زيادة أو كالزيادة، وهو كما ترى، عدم المناسبة بين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كون القسامة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بعد فتح خيبر 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الحديث؛ لعدم الارتباط والمناسبة بينهما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ومبعّد الثاني زيادة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الناحية كما هو المعروف، فإنّ حرف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للبيان ويكون كافياً في الجواب عن السؤال عن بدؤها،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كانت من ناحية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ما يدلّ على الناحية والجهة؛ أي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القاف وفتح الباء يكون ذكر للزائد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الحكم بإمضائيّة القسامة وترتيب أثر الإمضاء مع عدمالحجّة والدليل المعتبر عليها مشكلٌ، فالمتّبع في موارد الشكّ القواعد والأُصول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في غير واحد من أخبار الباب من تعليل القسامة بأنّها مجعولة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احتياطاً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7"/>
      </w:r>
      <w:r>
        <w:rPr>
          <w:rFonts w:ascii="Amiri" w:hAnsi="Amiri" w:eastAsia="Amiri" w:cs="Amiri"/>
          <w:color w:val="111111"/>
          <w:sz w:val="28"/>
          <w:sz w:val="28"/>
          <w:szCs w:val="28"/>
          <w:rtl w:val="true"/>
          <w:lang w:bidi="ar-SA"/>
        </w:rPr>
        <w:t xml:space="preserve">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القسامة نجاة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أو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حقن دماء المسلمين بالقسامة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9"/>
      </w:r>
      <w:r>
        <w:rPr>
          <w:rFonts w:ascii="Amiri" w:hAnsi="Amiri" w:eastAsia="Amiri" w:cs="Amiri"/>
          <w:color w:val="111111"/>
          <w:sz w:val="28"/>
          <w:sz w:val="28"/>
          <w:szCs w:val="28"/>
          <w:rtl w:val="true"/>
          <w:lang w:bidi="ar-SA"/>
        </w:rPr>
        <w:t>متّبع ومحكّم في رفع الشكوك فيما تكون مرتبطة بتلك العلل، وفيما تكون تلك العلل أيضاً رافعة للشكّ، فالعلّة المذكورة منالأُصول والقواعد، فلا تغفل وكن على ذكر من ذلك؛ لرفع الشكّ في شرائط القسامة وموانعها</w:t>
      </w:r>
      <w:r>
        <w:rPr>
          <w:rFonts w:eastAsia="Amiri" w:cs="Amiri" w:ascii="Amiri" w:hAnsi="Amiri"/>
          <w:color w:val="111111"/>
          <w:sz w:val="28"/>
          <w:szCs w:val="28"/>
          <w:rtl w:val="true"/>
          <w:lang w:bidi="ar-SA"/>
        </w:rPr>
        <w:t xml:space="preserve">. </w:t>
      </w:r>
      <w:bookmarkStart w:id="243" w:name="pg9428_72697"/>
    </w:p>
    <w:p>
      <w:pPr>
        <w:pStyle w:val="BookText"/>
        <w:rPr/>
      </w:pPr>
      <w:bookmarkEnd w:id="24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5797563_2870459653"/>
      <w:bookmarkStart w:id="245" w:name="_Toc82"/>
      <w:bookmarkEnd w:id="244"/>
      <w:r>
        <w:rPr>
          <w:rtl w:val="true"/>
        </w:rPr>
        <w:t>الفرق بين حلف القسامة وغيرها</w:t>
      </w:r>
      <w:bookmarkEnd w:id="245"/>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القسامة ويمينها متفاوت ومفترق عن يمين المنكر وحلفه في الدعاوي في غير الدم من جهات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القسامة للمدّعي، وفي اليمين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القسامة خمسون، وفي المنكر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الحلف للغير ولإثبات حقّه في القسامة ممكن وجائز دون حلف الدعاوي، فإنّ الحلف من غير المنكر غير نافذ، فإنّ البيّنة على المدّعي واليمين على المدّعى عليه، وذلك بخلاف باب القسامة، فإنّ حلف غير الأولياء لتكميل القسامة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من الغير للنفي في القسامة جائز فيما كانت القسامة للمدّعى عليه، فله تكميل القسامة بحلف غيره على نفي القتل عنه، وهذا بخلاف باب الدعاوي فليس لغير المنكر الحلف على النفي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نكول المدّعى عن القسامة التي هي حقّه موجب لقسامة المدّعى عليه إجماعاً، لكن نكول المدّعى عليه عن الحلف الذي هو حقّه في باب الدعاوي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يردّ الحلف على المدّعي بمحض النكول، أو محتاج إلى ردّه إليه مضافاً إلى نكوله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بين اليمين في القسامة وفي الدعاوي فروق خمسة، 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حلف القسامة مخالفة للقواعد من جهات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اليمين على المدّعي، ومن تعدّد الأيمان فيها، ومن جواز حلف الإنسان لإثباتحقّ غيره، ولنفي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الدعوى عن غيره، ولعدم سقوط الدعوى بنكول من توجّهت عليه اليمين والقسامة؛ أي المدّعى، إجماعاً على ما في المسالك ،</w:t>
      </w:r>
      <w:r>
        <w:rPr>
          <w:rStyle w:val="FootnoteAnchor"/>
          <w:rtl w:val="true"/>
        </w:rPr>
        <w:footnoteReference w:id="1110"/>
      </w:r>
      <w:r>
        <w:rPr>
          <w:rFonts w:ascii="Amiri" w:hAnsi="Amiri" w:eastAsia="Amiri" w:cs="Amiri"/>
          <w:color w:val="111111"/>
          <w:sz w:val="28"/>
          <w:sz w:val="28"/>
          <w:szCs w:val="28"/>
          <w:rtl w:val="true"/>
          <w:lang w:bidi="ar-SA"/>
        </w:rPr>
        <w:t>بل تردّ اليمين والقسامة على غيره؛ أي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القسامة في الجملة، عليها إجماع علماء الشيعة، بل علماء الإسلام إلّا أبا حنيفة،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أعتبر اللوث ولا أراعيه ولا أجعل اليمين في جنبة المدّعي</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وفي الجواهر بعد نقله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له من نحو ذلك، وإلّا فهي من الضروريّات بين علماء المسلمين، والنصوص فيها من الطرفين متواترة أو قطعيّة المضمون</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القسامة مخالفة للقواعد من جهات، كما بيّناه في الأمر الثالث، فمقتضى الأصل العملي في شروطها وموانعها الاقتصار على القدر المتيقّن ومورد الدليل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كون الأصل عدم الحكم إلّا بالحجّة والدليل، وما مرّ من الرجوع إلى عموم العلّة هو فيما قبل الأصل وفي فرض عدمه، كما لا يخفى</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9428_72700"/>
      <w:bookmarkStart w:id="247" w:name="pg9428_72700"/>
      <w:bookmarkEnd w:id="247"/>
    </w:p>
    <w:p>
      <w:pPr>
        <w:pStyle w:val="BookText"/>
        <w:rPr/>
      </w:pPr>
      <w:bookmarkStart w:id="248" w:name="pg9428_72700"/>
      <w:bookmarkEnd w:id="248"/>
      <w:r>
        <w:rPr>
          <w:rFonts w:ascii="Amiri" w:hAnsi="Amiri" w:eastAsia="Amiri" w:cs="Amiri"/>
          <w:color w:val="111111"/>
          <w:sz w:val="28"/>
          <w:sz w:val="28"/>
          <w:szCs w:val="28"/>
          <w:rtl w:val="true"/>
          <w:lang w:bidi="ar-SA"/>
        </w:rPr>
        <w:t>والبحث فيها في مقاصد</w:t>
      </w:r>
      <w:r>
        <w:rPr>
          <w:rFonts w:eastAsia="Amiri" w:cs="Amiri" w:ascii="Amiri" w:hAnsi="Amiri"/>
          <w:color w:val="111111"/>
          <w:sz w:val="28"/>
          <w:szCs w:val="28"/>
          <w:rtl w:val="true"/>
          <w:lang w:bidi="ar-SA"/>
        </w:rPr>
        <w:t>:</w:t>
      </w:r>
    </w:p>
    <w:p>
      <w:pPr>
        <w:pStyle w:val="Heading2"/>
        <w:numPr>
          <w:ilvl w:val="1"/>
          <w:numId w:val="1"/>
        </w:numPr>
        <w:rPr/>
      </w:pPr>
      <w:bookmarkStart w:id="249" w:name="__RefHeading___Toc5797565_2870459653"/>
      <w:bookmarkStart w:id="250" w:name="_Toc83"/>
      <w:bookmarkEnd w:id="249"/>
      <w:r>
        <w:rPr>
          <w:rtl w:val="true"/>
        </w:rPr>
        <w:t>[</w:t>
      </w:r>
      <w:r>
        <w:rPr>
          <w:rtl w:val="true"/>
        </w:rPr>
        <w:t>المقصد</w:t>
      </w:r>
      <w:r>
        <w:rPr>
          <w:rtl w:val="true"/>
        </w:rPr>
        <w:t xml:space="preserve">] </w:t>
      </w:r>
      <w:r>
        <w:rPr>
          <w:rtl w:val="true"/>
        </w:rPr>
        <w:t>الأوّل</w:t>
      </w:r>
      <w:r>
        <w:rPr>
          <w:rtl w:val="true"/>
        </w:rPr>
        <w:t xml:space="preserve">: </w:t>
      </w:r>
      <w:r>
        <w:rPr>
          <w:rtl w:val="true"/>
        </w:rPr>
        <w:t xml:space="preserve">في اللوث </w:t>
      </w:r>
      <w:r>
        <w:rPr>
          <w:rtl w:val="true"/>
        </w:rPr>
        <w:t>(</w:t>
      </w:r>
      <w:r>
        <w:rPr/>
        <w:t>1</w:t>
      </w:r>
      <w:r>
        <w:rPr>
          <w:rtl w:val="true"/>
        </w:rPr>
        <w:t>)</w:t>
      </w:r>
      <w:bookmarkEnd w:id="250"/>
    </w:p>
    <w:p>
      <w:pPr>
        <w:pStyle w:val="Heading3"/>
        <w:numPr>
          <w:ilvl w:val="2"/>
          <w:numId w:val="1"/>
        </w:numPr>
        <w:rPr/>
      </w:pPr>
      <w:bookmarkStart w:id="251" w:name="__RefHeading___Toc5797567_2870459653"/>
      <w:bookmarkStart w:id="252" w:name="_Toc84"/>
      <w:bookmarkEnd w:id="251"/>
      <w:r>
        <w:rPr>
          <w:rtl w:val="true"/>
        </w:rPr>
        <w:t>اشارة</w:t>
      </w:r>
      <w:bookmarkEnd w:id="252"/>
    </w:p>
    <w:p>
      <w:pPr>
        <w:pStyle w:val="Heading3"/>
        <w:numPr>
          <w:ilvl w:val="2"/>
          <w:numId w:val="1"/>
        </w:numPr>
        <w:rPr/>
      </w:pPr>
      <w:bookmarkStart w:id="253" w:name="__RefHeading___Toc5797569_2870459653"/>
      <w:bookmarkStart w:id="254" w:name="_Toc85"/>
      <w:bookmarkEnd w:id="253"/>
      <w:r>
        <w:rPr>
          <w:rtl w:val="true"/>
        </w:rPr>
        <w:t>معنى اللوث</w:t>
      </w:r>
      <w:bookmarkEnd w:id="2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أو من التلوّث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التلطّخ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فهو مناسب لما تسمعه من المراد به هنا في لسان الفقهاء وإن لم نجده في شيء ممّا وصل إلينا من النصوص، إلّا أنّه لاريب في اعتباره عندنا فيها</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ولا يخفى أنّ اعتباره فيها تابع لما عليه الأخبار من الظنّ مطلقاً، أو الظنّ الغالب أو المتاخم للعلم على كونه متفاوتاً مع الغالب، فإنّها الحجّة للاعتبار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ليس فيها لفظ اللوث، كما صرّح به الجواهر في العبارة المنقولة حتّى يلزم البحث عن معناه المعتبر وتفسيره، وإنّما الموجود فيها بعض أسباب الظنّ وموجباته، كما يظهر ممّا ننقله منها في مباحث القسامة وأحكامها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كلمات الأصحاب من تفسيره وبيان المراد منه فمأخوذ من تلك الأخبار دلالة للسبب على المسبّب</w:t>
      </w:r>
      <w:r>
        <w:rPr>
          <w:rFonts w:eastAsia="Amiri" w:cs="Amiri" w:ascii="Amiri" w:hAnsi="Amiri"/>
          <w:color w:val="111111"/>
          <w:sz w:val="28"/>
          <w:szCs w:val="28"/>
          <w:rtl w:val="true"/>
          <w:lang w:bidi="ar-SA"/>
        </w:rPr>
        <w:t xml:space="preserve">. </w:t>
      </w:r>
      <w:bookmarkStart w:id="255" w:name="pg9428_72701"/>
    </w:p>
    <w:p>
      <w:pPr>
        <w:pStyle w:val="BookText"/>
        <w:rPr/>
      </w:pPr>
      <w:bookmarkEnd w:id="25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5797571_2870459653"/>
      <w:bookmarkStart w:id="257" w:name="_Toc86"/>
      <w:bookmarkEnd w:id="256"/>
      <w:r>
        <w:rPr>
          <w:rtl w:val="true"/>
        </w:rPr>
        <w:t>اعتبار اللوث في القسامة</w:t>
      </w:r>
      <w:bookmarkEnd w:id="257"/>
    </w:p>
    <w:p>
      <w:pPr>
        <w:pStyle w:val="BookText"/>
        <w:rPr/>
      </w:pPr>
      <w:r>
        <w:rPr>
          <w:rFonts w:ascii="Amiri" w:hAnsi="Amiri" w:eastAsia="Amiri" w:cs="Amiri"/>
          <w:color w:val="111111"/>
          <w:sz w:val="28"/>
          <w:sz w:val="28"/>
          <w:szCs w:val="28"/>
          <w:rtl w:val="true"/>
          <w:lang w:bidi="ar-SA"/>
        </w:rPr>
        <w:t>وكيف كان، فالكلام في اللوث يقع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اعتباره،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منه على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المقام الثاني يأتي في ذيل عبارة المتن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المقام الأوّل، فهو معتبر بلا خلاف أجده فيه، وظاهرهم الإجماع عليه، كما صرّح به في الغنية،</w:t>
      </w:r>
      <w:r>
        <w:rPr>
          <w:rStyle w:val="FootnoteAnchor"/>
          <w:rtl w:val="true"/>
        </w:rPr>
        <w:footnoteReference w:id="1114"/>
      </w:r>
      <w:r>
        <w:rPr>
          <w:rFonts w:ascii="IRNazanin" w:hAnsi="IRNazanin" w:eastAsia="IRNazanin"/>
          <w:color w:val="111111"/>
          <w:sz w:val="28"/>
          <w:sz w:val="28"/>
          <w:szCs w:val="28"/>
          <w:rtl w:val="true"/>
          <w:lang w:bidi="fa-IR"/>
        </w:rPr>
        <w:t>بل و‌الخلاف،</w:t>
      </w:r>
      <w:r>
        <w:rPr>
          <w:rStyle w:val="FootnoteAnchor"/>
          <w:rtl w:val="true"/>
        </w:rPr>
        <w:footnoteReference w:id="1115"/>
      </w:r>
      <w:r>
        <w:rPr>
          <w:rFonts w:ascii="IRNazanin" w:hAnsi="IRNazanin" w:eastAsia="IRNazanin"/>
          <w:color w:val="111111"/>
          <w:sz w:val="28"/>
          <w:sz w:val="28"/>
          <w:szCs w:val="28"/>
          <w:rtl w:val="true"/>
          <w:lang w:bidi="fa-IR"/>
        </w:rPr>
        <w:t>وعن السرائر</w:t>
      </w:r>
      <w:r>
        <w:rPr>
          <w:rFonts w:eastAsia="IRNazanin" w:cs="IRNazanin"/>
          <w:color w:val="111111"/>
          <w:sz w:val="28"/>
          <w:szCs w:val="28"/>
          <w:rtl w:val="true"/>
          <w:lang w:bidi="fa-IR"/>
        </w:rPr>
        <w:t>:</w:t>
      </w:r>
      <w:r>
        <w:rPr>
          <w:rStyle w:val="FootnoteAnchor"/>
          <w:rtl w:val="true"/>
        </w:rPr>
        <w:footnoteReference w:id="1116"/>
      </w:r>
      <w:r>
        <w:rPr>
          <w:rFonts w:ascii="Amiri" w:hAnsi="Amiri" w:eastAsia="Amiri" w:cs="Amiri"/>
          <w:color w:val="111111"/>
          <w:sz w:val="28"/>
          <w:sz w:val="28"/>
          <w:szCs w:val="28"/>
          <w:rtl w:val="true"/>
          <w:lang w:bidi="ar-SA"/>
        </w:rPr>
        <w:t>أنّ عليه في النفس إجماع المسلمين وفي الأعضاء إجماعنا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ناقشهم بعض الأجلّة،</w:t>
      </w:r>
      <w:r>
        <w:rPr>
          <w:rStyle w:val="FootnoteAnchor"/>
          <w:rtl w:val="true"/>
        </w:rPr>
        <w:footnoteReference w:id="1117"/>
      </w:r>
      <w:r>
        <w:rPr>
          <w:rFonts w:ascii="Amiri" w:hAnsi="Amiri" w:eastAsia="Amiri" w:cs="Amiri"/>
          <w:color w:val="111111"/>
          <w:sz w:val="28"/>
          <w:sz w:val="28"/>
          <w:szCs w:val="28"/>
          <w:rtl w:val="true"/>
          <w:lang w:bidi="ar-SA"/>
        </w:rPr>
        <w:t>حيث قال بعد نقله جملة الأخبار المتعلّقة بالقسامة الدالّة على ثبوتها في الشريعة من طرق العامّة والخاصّة، كالنبويّ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من أنكر إلّا في القسامة</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القسامة، كيف كانت؟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حقّ، وهي مكتوبة عندنا، ولولا ذلك لقتل الناس بعضهم بعضاً، ثمّ لم يكن شيء، وإنّما القسامة نجاة للناس</w:t>
      </w:r>
      <w:r>
        <w:rPr>
          <w:rFonts w:eastAsia="Amiri" w:cs="Amiri" w:ascii="Amiri" w:hAnsi="Amiri"/>
          <w:color w:val="111111"/>
          <w:sz w:val="28"/>
          <w:szCs w:val="28"/>
          <w:rtl w:val="true"/>
          <w:lang w:bidi="ar-SA"/>
        </w:rPr>
        <w:t>».</w:t>
      </w:r>
      <w:r>
        <w:rPr>
          <w:rStyle w:val="FootnoteAnchor"/>
          <w:rtl w:val="true"/>
        </w:rPr>
        <w:footnoteReference w:id="1119"/>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القسامة؟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الحقوق كلّها البيّنة على المدّعي واليمين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المدّعى عليه، إلّا في الدم خاصّة،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هو بخيبر إذ فقدت الأنصار رجلاً منهم فوجدوه قتيلاً،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اليهودي قتل صاحبنا،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رجلين عدلين من غيركم اقيدوه برمّته، فإن لم تجدوا شاهدين فأقيموا قسامة خمسين رجلاً اقيدوه برمّته،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عندنا شاهدان من غيرنا، وإنّا لنكره أن نقسم على ما لم نره، فودّاه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حقن دماء المسلمين بالقسامة لكي إذ رأى الفاجر الفاسق فرصة من عدوّه حجزه مخافة القسامة أن يقتل به فكفّ عن قتله، وإلّا حلف المدّعى عليه قسامة خمسين رجلاً ما قتلنا ولا علمنا قاتلاً، وإلّا اُغرموا الدية إذا وجدوا قتيلاً بين أظهرهم إذا لم يقسم المدّعون</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واستفادته قدس سره أحكام تسعة منه، حيث قال ما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الأخبار خالية من اعتبار اللوث لفظاً؛ يعني لم يوجد للقسامة شرط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بعضها وجد القتيل في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وقرية ونحو ذلك، وليس ذلك بواضح ولا صريح في اشتراطة،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وكأنّ لهم على ذلك إجماعاً أو نصّاً ما اطّلعتعليه</w:t>
      </w:r>
      <w:r>
        <w:rPr>
          <w:rFonts w:eastAsia="IRNazanin" w:cs="IRNazanin"/>
          <w:color w:val="111111"/>
          <w:sz w:val="28"/>
          <w:szCs w:val="28"/>
          <w:rtl w:val="true"/>
          <w:lang w:bidi="fa-IR"/>
        </w:rPr>
        <w:t>.</w:t>
      </w:r>
      <w:r>
        <w:rPr>
          <w:rStyle w:val="FootnoteAnchor"/>
          <w:rtl w:val="true"/>
        </w:rPr>
        <w:footnoteReference w:id="1121"/>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الذي يظهر من الرياض</w:t>
      </w:r>
      <w:r>
        <w:rPr>
          <w:rStyle w:val="FootnoteAnchor"/>
          <w:rtl w:val="true"/>
        </w:rPr>
        <w:footnoteReference w:id="1122"/>
      </w:r>
      <w:r>
        <w:rPr>
          <w:rFonts w:ascii="Amiri" w:hAnsi="Amiri" w:eastAsia="Amiri" w:cs="Amiri"/>
          <w:color w:val="111111"/>
          <w:sz w:val="28"/>
          <w:sz w:val="28"/>
          <w:szCs w:val="28"/>
          <w:rtl w:val="true"/>
          <w:lang w:bidi="ar-SA"/>
        </w:rPr>
        <w:t>ومن حواشي صاحب مفتاح الكرامة على قصاص اللثام ، استدلالهم على اعتباره بوجوهٍ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المعلوم والمنقول، ففي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فإنّما ثبتت القسامة في الدماء مع اللوث بالإجماع المعلوم والمنقول في الغنية</w:t>
      </w:r>
      <w:r>
        <w:rPr>
          <w:rStyle w:val="FootnoteAnchor"/>
          <w:rtl w:val="true"/>
        </w:rPr>
        <w:footnoteReference w:id="1123"/>
      </w:r>
      <w:r>
        <w:rPr>
          <w:rFonts w:ascii="IRNazanin" w:hAnsi="IRNazanin" w:eastAsia="IRNazanin"/>
          <w:color w:val="111111"/>
          <w:sz w:val="28"/>
          <w:sz w:val="28"/>
          <w:szCs w:val="28"/>
          <w:rtl w:val="true"/>
          <w:lang w:bidi="fa-IR"/>
        </w:rPr>
        <w:t>و الخلاف ،</w:t>
      </w:r>
      <w:r>
        <w:rPr>
          <w:rStyle w:val="FootnoteAnchor"/>
          <w:rtl w:val="true"/>
        </w:rPr>
        <w:footnoteReference w:id="1124"/>
      </w:r>
      <w:r>
        <w:rPr>
          <w:rFonts w:ascii="Amiri" w:hAnsi="Amiri" w:eastAsia="Amiri" w:cs="Amiri"/>
          <w:color w:val="111111"/>
          <w:sz w:val="28"/>
          <w:sz w:val="28"/>
          <w:szCs w:val="28"/>
          <w:rtl w:val="true"/>
          <w:lang w:bidi="ar-SA"/>
        </w:rPr>
        <w:t>بل يظهر من السرائر</w:t>
      </w:r>
      <w:r>
        <w:rPr>
          <w:rStyle w:val="FootnoteAnchor"/>
          <w:rtl w:val="true"/>
        </w:rPr>
        <w:footnoteReference w:id="1125"/>
      </w:r>
      <w:r>
        <w:rPr>
          <w:rFonts w:ascii="Amiri" w:hAnsi="Amiri" w:eastAsia="Amiri" w:cs="Amiri"/>
          <w:color w:val="111111"/>
          <w:sz w:val="28"/>
          <w:sz w:val="28"/>
          <w:szCs w:val="28"/>
          <w:rtl w:val="true"/>
          <w:lang w:bidi="ar-SA"/>
        </w:rPr>
        <w:t>أنّ عليه في القتل إجماع المسلمين، وفي الإيضاح</w:t>
      </w:r>
      <w:r>
        <w:rPr>
          <w:rFonts w:eastAsia="Amiri" w:cs="Amiri" w:ascii="Amiri" w:hAnsi="Amiri"/>
          <w:color w:val="111111"/>
          <w:sz w:val="28"/>
          <w:szCs w:val="28"/>
          <w:rtl w:val="true"/>
          <w:lang w:bidi="ar-SA"/>
        </w:rPr>
        <w:t>:</w:t>
      </w:r>
      <w:r>
        <w:rPr>
          <w:rStyle w:val="FootnoteAnchor"/>
          <w:rtl w:val="true"/>
        </w:rPr>
        <w:footnoteReference w:id="1126"/>
      </w:r>
      <w:r>
        <w:rPr>
          <w:rFonts w:ascii="IRNazanin" w:hAnsi="IRNazanin" w:eastAsia="IRNazanin"/>
          <w:color w:val="111111"/>
          <w:sz w:val="28"/>
          <w:sz w:val="28"/>
          <w:szCs w:val="28"/>
          <w:rtl w:val="true"/>
          <w:lang w:bidi="fa-IR"/>
        </w:rPr>
        <w:t>إجماعنا</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مسعدة بن زياد،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يقم القوم المدّعون البيّنة على قتل قتيلهم، ولم يقسموا بأنّ المتّهمين قتلوه، حلّف المتّهمين بالقتل خمسين يميناً بالله ما قتلناه ولا علمنا له قاتلاً، ثمّ يؤدّي الدية إلى أولياء القتيل، وذلك إذا قتل في حيٍّ واحد، فأمّا إذا قتل في عسكر أو سوق مدينة فديته تدفع إلى أوليائه من بيت المال</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وفيه الدلالة من جهة ما فيه من ذكر التهمة، ومن جهة الفرق بين ما قتل في حيٍّ، وما قتل في عسكر، ففيه الدلالة على اعتبار اللوث من وجهين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وأظهر منه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جعلتالقسامة ليغلظ بها في الرجل المعروف بالشرّ المتّهم، فإن شهدوا عليه جازت شهادتهم</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إطباق المسلمين، وفي الحاشية بعد الاستدلال بالإجماع والصحيح المذكور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إطباق المسلمين على ذلك؛ أي اعتبار اللوث، سوى الكوفي</w:t>
      </w:r>
      <w:r>
        <w:rPr>
          <w:rStyle w:val="FootnoteAnchor"/>
          <w:rtl w:val="true"/>
        </w:rPr>
        <w:footnoteReference w:id="1130"/>
      </w:r>
      <w:r>
        <w:rPr>
          <w:rFonts w:ascii="Amiri" w:hAnsi="Amiri" w:eastAsia="Amiri" w:cs="Amiri"/>
          <w:color w:val="111111"/>
          <w:sz w:val="28"/>
          <w:sz w:val="28"/>
          <w:szCs w:val="28"/>
          <w:rtl w:val="true"/>
          <w:lang w:bidi="ar-SA"/>
        </w:rPr>
        <w:t>على ما حكي عنه في الخلاف ،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أعتبر اللوث، ولا أرى بحثه، ولا أرى جعل اليمين في جانب المدّعي</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الاقتصار على القدر المتيقّن من القسامة، وهو ما فيه اللوث لما فيها من المخالفة للقواعد، ففي الرياض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 الوجه فيما ذكروه من اشتراط اللوث مخالفة القسامة للقاعدة، فإنّ إثبات الدعوى بقول المدّعي ويمينه على خلاف القاعدة؛ لأنّه حكم بغير دليل،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يعطى الناس بأقوالهم لاستباح قوم دماء قوم وأموالهم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فيجب الاقتصار فيها على المتيقّن من النصّ والفتوى، وليس إلّا ما ذكرنا؛ لورود أكثر النصوص في قضيّة عبدالله بن سهل المشهورة، وفيها اللوث بلا شبهة</w:t>
      </w:r>
      <w:r>
        <w:rPr>
          <w:rFonts w:eastAsia="IRNazanin" w:cs="IRNazanin"/>
          <w:color w:val="111111"/>
          <w:sz w:val="28"/>
          <w:szCs w:val="28"/>
          <w:rtl w:val="true"/>
          <w:lang w:bidi="fa-IR"/>
        </w:rPr>
        <w:t>.</w:t>
      </w:r>
      <w:r>
        <w:rPr>
          <w:rStyle w:val="FootnoteAnchor"/>
          <w:rtl w:val="true"/>
        </w:rPr>
        <w:footnoteReference w:id="1133"/>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بين ما مورد الأسئلة فيها وجدان القتيل في محلّ التهمة وهيكالأوّل، وبين مطلقة ولكن إطلاقها لبيان أصل المشروعيّة لا لبيان ثبوتها على الإطلاق،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حينئذٍ عن المجملات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اعتبار اللوث يستلزم عدم الفرق بين قتيل يوجد في قرية أو محلّة أو نحو ذلك من الأمثلة الآتية للوث، وقتيل يوجد في سوق أو فلاة أو جمعة، مع أنّ الفتاوى والنصوص مطبقة بالفرق بينهما بثبوت القسامة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الحاشية بعد ذكر الأدلّة على التفصيل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دلّت على اعتبار هذا الشرط الأُصول، والقواعد، والأخبار، والإجماعات من الخاصّة والعامّة</w:t>
      </w:r>
      <w:r>
        <w:rPr>
          <w:rFonts w:eastAsia="Amiri" w:cs="Amiri" w:ascii="Amiri" w:hAnsi="Amiri"/>
          <w:color w:val="111111"/>
          <w:sz w:val="28"/>
          <w:szCs w:val="28"/>
          <w:rtl w:val="true"/>
          <w:lang w:bidi="ar-SA"/>
        </w:rPr>
        <w:t>.</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لكن مع ذلك كلّه ناقش الجواهر في الأدلّة وقال بعد بيان جلّ الأدلّة إن لم يكن كلّها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العمدة ما عرفته من الإجماع السابق ضرورة منع الإجمال في الإطلاقات المزبورة الفارقة بين الدماء والأموال، وصحيح مسعدة</w:t>
      </w:r>
      <w:r>
        <w:rPr>
          <w:rStyle w:val="FootnoteAnchor"/>
          <w:rtl w:val="true"/>
        </w:rPr>
        <w:footnoteReference w:id="1135"/>
      </w:r>
      <w:r>
        <w:rPr>
          <w:rFonts w:ascii="Amiri" w:hAnsi="Amiri" w:eastAsia="Amiri" w:cs="Amiri"/>
          <w:color w:val="111111"/>
          <w:sz w:val="28"/>
          <w:sz w:val="28"/>
          <w:szCs w:val="28"/>
          <w:rtl w:val="true"/>
          <w:lang w:bidi="ar-SA"/>
        </w:rPr>
        <w:t>لا ظهور فيه في الاشتراط على وجه إن لم تحصل أمارة للحاكم لم تشرع القسامة، ولا الخبر الآخر،</w:t>
      </w:r>
      <w:r>
        <w:rPr>
          <w:rStyle w:val="FootnoteAnchor"/>
          <w:rtl w:val="true"/>
        </w:rPr>
        <w:footnoteReference w:id="1136"/>
      </w:r>
      <w:r>
        <w:rPr>
          <w:rFonts w:ascii="Amiri" w:hAnsi="Amiri" w:eastAsia="Amiri" w:cs="Amiri"/>
          <w:color w:val="111111"/>
          <w:sz w:val="28"/>
          <w:sz w:val="28"/>
          <w:szCs w:val="28"/>
          <w:rtl w:val="true"/>
          <w:lang w:bidi="ar-SA"/>
        </w:rPr>
        <w:t xml:space="preserve">والفرق المزبوربين قتيل الزحام وغيره إنّما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بالنسبة إلى أداء الدية لا في اللوث، كما ستعرفه في نصوصه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ولقد أجاد في أمره بالتأ‌مّل جيّداً؛ لما في كلامه من المناقشة ما لا يخفى، حيث إنّ الإطلاقات الفارقة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عدم كونها إلّا واحدة، وهي خبر أبي بصير</w:t>
      </w:r>
      <w:r>
        <w:rPr>
          <w:rStyle w:val="FootnoteAnchor"/>
          <w:rtl w:val="true"/>
        </w:rPr>
        <w:footnoteReference w:id="1138"/>
      </w:r>
      <w:r>
        <w:rPr>
          <w:rFonts w:ascii="Amiri" w:hAnsi="Amiri" w:eastAsia="Amiri" w:cs="Amiri"/>
          <w:color w:val="111111"/>
          <w:sz w:val="28"/>
          <w:sz w:val="28"/>
          <w:szCs w:val="28"/>
          <w:rtl w:val="true"/>
          <w:lang w:bidi="ar-SA"/>
        </w:rPr>
        <w:t xml:space="preserve">كما بيّنوه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لأصل المشروعيّة، وللفرق بين الأموال والدماء فيها، ولذلك لا يصحّ التمسّك بها لعدم شرطيّة بقيّة شرائط القسامة أيضاً، فلا يمكن التمسّك بمثل ذلك الإطلاق على عدم اشتراط اللوث ولا على عدم اعتبار بقيّة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الخبر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خبر زرارة</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اعتبار اللوث بالحصر وبكلمة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يقال بعدم ظهوره في الاشتراط؟ وحيث إنّ في جعله العمدة من الأدلّة الإجماع ما لا يخفى، فإنّه في مسألة 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العمدة من الثلاثة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والخامس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واللازم منه الاقتصار على المتيقّن منه، وهو الظنّ الغالب المتآخم للعلم، كما هوواضح، لا مطلقه ولا الغالب في إفادة الظنّ للغالب من دون التآخم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قسامة مع ارتفاع التهمة وعدم الأمارة التي تورث ظنّا </w:t>
      </w:r>
      <w:bookmarkStart w:id="258" w:name="pg9428_72707"/>
    </w:p>
    <w:p>
      <w:pPr>
        <w:pStyle w:val="BookText"/>
        <w:rPr/>
      </w:pPr>
      <w:bookmarkEnd w:id="258"/>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أمارة ظنّيّة قامت عند الحاكم على صدق المدّعي،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كالشاهد الواحد، أو الشاهدين مع عدم استجماع شرائط القبول، وكذا لو وجد متشحّطاً بدمه وعنده ذو سلاح عليه الدم، أو وجد كذلك في دار قوم أو في محلّة منفردة عن البلد؛ لا يدخل فيها غير أهلها، أو في صفّ قتال مقابل الخصم بعد المراماة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كلّ أمارة ظنّيّة عند الحاكم توجب اللوث؛ من غير فرق بين الأسباب المفيدة للظنّ، فيحصل اللوث بإخبار الصبيّ المميّز المعتمد عليه، والفاسق الموثوق به في إخباره، والكافر كذلك، والمرأة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بصدق المدّعى، فضلاً عن كونه متآخماً للعلم بلا خلاف فيه، بل الإجماع بقسمية عليه، فللوليّ إحلاف المنكر يميناً واحدة، كما في غيره من الدعاوي، ولا يجب التغليظ عليه فيها عدداً أو قولاً أو غيرهما وإن دعاه إليه الوليّ أو الحاكم، خلافاً للنافع،</w:t>
      </w:r>
      <w:r>
        <w:rPr>
          <w:rStyle w:val="FootnoteAnchor"/>
          <w:rtl w:val="true"/>
        </w:rPr>
        <w:footnoteReference w:id="1140"/>
      </w:r>
      <w:r>
        <w:rPr>
          <w:rFonts w:ascii="Amiri" w:hAnsi="Amiri" w:eastAsia="Amiri" w:cs="Amiri"/>
          <w:color w:val="111111"/>
          <w:sz w:val="28"/>
          <w:sz w:val="28"/>
          <w:szCs w:val="28"/>
          <w:rtl w:val="true"/>
          <w:lang w:bidi="ar-SA"/>
        </w:rPr>
        <w:t>فأوجب خمسين يميناً على منكر القتل مطلقاً، وهو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نكل فعلى قولين من القضاء عليه بالنكول أو مع يمين المدّعي</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5797573_2870459653"/>
      <w:bookmarkStart w:id="260" w:name="_Toc87"/>
      <w:bookmarkEnd w:id="259"/>
      <w:r>
        <w:rPr>
          <w:rtl w:val="true"/>
        </w:rPr>
        <w:t>المراد باللوث في القسامة</w:t>
      </w:r>
      <w:bookmarkEnd w:id="26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المتن و الشرائع</w:t>
      </w:r>
      <w:r>
        <w:rPr>
          <w:rStyle w:val="FootnoteAnchor"/>
          <w:rtl w:val="true"/>
        </w:rPr>
        <w:footnoteReference w:id="1141"/>
      </w:r>
      <w:r>
        <w:rPr>
          <w:rFonts w:ascii="IRNazanin" w:hAnsi="IRNazanin" w:eastAsia="IRNazanin"/>
          <w:color w:val="111111"/>
          <w:sz w:val="28"/>
          <w:sz w:val="28"/>
          <w:szCs w:val="28"/>
          <w:rtl w:val="true"/>
          <w:lang w:bidi="fa-IR"/>
        </w:rPr>
        <w:t>و الجواهر</w:t>
      </w:r>
      <w:r>
        <w:rPr>
          <w:rStyle w:val="FootnoteAnchor"/>
          <w:rtl w:val="true"/>
        </w:rPr>
        <w:footnoteReference w:id="1142"/>
      </w:r>
      <w:r>
        <w:rPr>
          <w:rFonts w:ascii="Amiri" w:hAnsi="Amiri" w:eastAsia="Amiri" w:cs="Amiri"/>
          <w:color w:val="111111"/>
          <w:sz w:val="28"/>
          <w:sz w:val="28"/>
          <w:szCs w:val="28"/>
          <w:rtl w:val="true"/>
          <w:lang w:bidi="ar-SA"/>
        </w:rPr>
        <w:t>وغيره اعتبار مطلق الظنّ في اللوث، وكفايته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عدم كفاية ذلك الظنّ فيه، بل لابدّ منكونه قويّاً اطمئنانياً وظنّاً متآخماً للعلم، بحيث لو كان مورد الدعوى غير الدم والقتل من الأُمور الماليّة لكان للقاضي الاكتفاء بالأمارات الموجبة لذلك القسم من الظنّ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والحكم على طبقها؛ لكون الاطمئنان كذلك علماً عاديّاً حجّة في القضاء، كما يظهر من قضايا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تلك القضايا مخصّصة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أقضي بينكم بالبيّنات والأيمان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3"/>
      </w:r>
      <w:r>
        <w:rPr>
          <w:rFonts w:ascii="Amiri" w:hAnsi="Amiri" w:eastAsia="Amiri" w:cs="Amiri"/>
          <w:color w:val="111111"/>
          <w:sz w:val="28"/>
          <w:sz w:val="28"/>
          <w:szCs w:val="28"/>
          <w:rtl w:val="true"/>
          <w:lang w:bidi="ar-SA"/>
        </w:rPr>
        <w:t>كما حقّقناه في تعليقنا على ملحقات العروة في كتاب القضاء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 له الاكتفاء بذلك العلم في المقام؛ لكون باب الدم والقصاص خطيراً محتاجاً إلى الاحتياط فيه أكثر من سائر الموارد؛ وذلك، أي الظهور، لوجوهٍ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w:t>
      </w:r>
      <w:r>
        <w:rPr>
          <w:rStyle w:val="FootnoteAnchor"/>
          <w:rtl w:val="true"/>
        </w:rPr>
        <w:footnoteReference w:id="1144"/>
      </w:r>
      <w:r>
        <w:rPr>
          <w:rFonts w:ascii="Amiri" w:hAnsi="Amiri" w:eastAsia="Amiri" w:cs="Amiri"/>
          <w:color w:val="111111"/>
          <w:sz w:val="28"/>
          <w:sz w:val="28"/>
          <w:szCs w:val="28"/>
          <w:rtl w:val="true"/>
          <w:lang w:bidi="ar-SA"/>
        </w:rPr>
        <w:t>في الوجه الرابع من وجوه اعتبار أصل اللوث، من لزوم الاقتصار على القدر المتيقّن، فإنّ القسامة خلاف الأصل، فلابدّ من الاقتصار على مورد اليقين، ولا يجوز الحكم بها مع الشكّ في مشروعيّتها وحجّيّتها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غير واحد من أخبار أصل القسامة</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فقدان أنصاري فوجدوه قتيلاً، وادّعى الأنصار كونه مقتولاً بفلان اليهودي أو اليهود،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لنكره أن نقسم على ما لم نره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نحلف على ما لم نعلم ولم نشهد؟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نقسم على ما لم نر؟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 عدم حلفهم على غير العلم وغير الرؤية بالعين من الظنّ والأمارات المفيدة له، بل للاطمئنان أيضاً؛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قضاءً لظاهر حالهم في النسبة، كما لا يخفى، فضلاً عن الشكّ، دلالةٌ وشهادةٌ على أنّهم كانوا من الأخيار ومن المقيّدين في أمر الشهادة والحلف والقضاء، فإخبارهم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 وأنّ الأنصاري مقتول بيد اليهود موجبٌ لاطمئنان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 وبصحّة ادّعائهم، فحكمه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بالقسامة يكون أيضاً مع ذلك الاطمئنان، فهو المعتبر في القسامة دون مطلق الظنّ؛ لاختصاص تلك الأخبار بذلك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عدّة من الأنصار المصاحبين لرسول الله وإخبارهم بقتل رجل من الأنصار بنفسه موجب الاطمئنان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رضى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حلف اليهود وقسامتهم لعدم رضى الأنصار به، مع علمهم بأنّهم كفّار، وبأنّه لا أحد يصدّق اليهود، وبغير ذلك من أمثال تلك التوجيهات، فإنّه لو لم يكن قولهم موجباً لاطمئنان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بصدق الأنصار وكذب اليهود لم يصحّ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الرضى بترك حلفهم، حيث إنّه على فرض الظنّ بكذبهم يصحّ منهم الحلف، فإنّ الحلف حقّ لهم، ورافع للتهمة عنهم، وإنّما لا يصحّ حلفهم مع اطمئنان الحاكم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بكذبهم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التعليل الواقع في أخبار القسامة، من أنّها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القسامه احتياطاً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 xml:space="preserve">وأنّها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حوط يحاط به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لولاذلك لقتل الناس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8"/>
      </w:r>
      <w:r>
        <w:rPr>
          <w:rFonts w:ascii="Amiri" w:hAnsi="Amiri" w:eastAsia="Amiri" w:cs="Amiri"/>
          <w:color w:val="111111"/>
          <w:sz w:val="28"/>
          <w:sz w:val="28"/>
          <w:szCs w:val="28"/>
          <w:rtl w:val="true"/>
          <w:lang w:bidi="ar-SA"/>
        </w:rPr>
        <w:t xml:space="preserve">وأنّه جعل اليمين في الدم للمدّعي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يبطل دم امرءٍ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فإنّ الحاصل من مجموعها أنّ العلّة حفظ الأنفس والدماء، ومن المعلوم أنّ القول بكفاية مطلق الظنّ معارضٌ ومخالفٌ لتلك العلّة؛ لاستلزامه هدر الدماء بقسامة الأفراد الفاسقين والمجهولين في مورد مطلق الظنّ الذي حصوله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الاطمئنان، فإنّ حصوله وتحقّقه للحاكم مشكلٌ؛ لاحتياجه إلى أمارات مفيدة له بحسب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مع حصوله كذلك لابدّ للحاكم من الحكم، وليس حكمه موجباً للهدر؛ لأنّ الحكم كذلك عقلائي، والشارع شرّع القسامة معه احتياطاً في الدماء</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بعد ما لم يكن اللوث ولا الظنّ مورداً للنصّ، وإنّما الموجود في النصوص عدّة من الأمارات في غير واحد منها، وبعد ما كانت القسامة على خلاف القواعد، فلابدّ من الاقتصار على المتيقّن، وهو الظنّ الاطمئناني المتآخم للعلم، وهو المراد من اللوث أيضاً كما لا يخفى؛ قضاءً للأصل المؤ‌يّد والمعتضد بما مرّ من الوجوه الأربعة، وبالاعتبار العقلائي،حيث إنّهم يعتبرون القسامة كذلك؛ أي القسامة مع الاطمئنان للحاكم بالقتل على النحو الذي لو كان ذلك الاطمئنان الحاصل من الأمارات في غير الدماء من الأموال للزم الحكم على طبقه بلا قسامة،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ويحكمون أيضاً برعاية الشارع في الحكم بها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القسامة مع الظنّ، فإنّها موجبة عندهم لهدر الدماء بقسامة المجهولين والفسّاق؛ لعنادهم مع المتّهم، ويعتبرونها خالية عن الحكمة، وغير مناسبة مع الشارع تعالى، الذي أُحْكِمَتْ ءَايَاتُهُ ثُمَّ فُصِّلَتْ مِن لَّدُنْ حَكِيمٍ خَبِيرٍ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ولك أن تجعل هذا الوجه وجهاً سادساً، يرجع حاصله إلى كون صحّة القسامة مع الظنّ خلاف العقل؛ لما يراه العقلاء خلاف الحكمة، بل تكون مخالفةً لآيات الكتاب المتضمّنة لكون الشارع حكيماً في شرعه وتكوينه، وأنّ أحكامه مع الحكمة اُحكمت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الجواهر في مسألة تحقّق اللوث وعدمه فيما لو كان جماعة المخبرين صبياناً أو كفّاراً، الاستدلال على كفاية مطلق الظنّ في اللوث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القسامة،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الأمثلة المذكورة في عبارات الفقهاء مثالاً للوث، ودونك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عدم اللوث مع شهادة الصبيّ أو الفاسق أو الكافر ولو كان مأموناً في نحلته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الجماعة صبياناً أو كفّاراً لم يثبت اللوث ما لم يبلغ حدّ التواتر، مع أنّ بلوغه حدّ التواتر يوجب ثبوت القتل لا اللوث، وحمله في كشف اللثام</w:t>
      </w:r>
      <w:r>
        <w:rPr>
          <w:rStyle w:val="FootnoteAnchor"/>
          <w:rtl w:val="true"/>
        </w:rPr>
        <w:footnoteReference w:id="1151"/>
      </w:r>
      <w:r>
        <w:rPr>
          <w:rFonts w:ascii="Amiri" w:hAnsi="Amiri" w:eastAsia="Amiri" w:cs="Amiri"/>
          <w:color w:val="111111"/>
          <w:sz w:val="28"/>
          <w:sz w:val="28"/>
          <w:szCs w:val="28"/>
          <w:rtl w:val="true"/>
          <w:lang w:bidi="ar-SA"/>
        </w:rPr>
        <w:t>على الشياع</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اعتباره أيضاً؛ لما سمعته من النصوصالدالّة بإطلاقها على سماع دعوى المدّعي في الدماء، أقصى ما تقيّدت من جهة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الإجماع وغيره بعدم القسامة مع عدم أمارة توجب ظنّاً، وحينئذٍ فمتى حصل الظنّ بصدق المدّعي من أمارة من أماراته سمعت دعواه بالقسامة من غير فرق بين أسباب الظنّ، بل وأفراده؛ إذ الظاهر إرادة حصول الظنّ من قول المصنّف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 تعريف اللوث، لا اعتبار الظنّ الغالب، نحو ما عبّروا به في الشكّ في عدد الركعات من غلبة الظنّ نصّاً</w:t>
      </w:r>
      <w:r>
        <w:rPr>
          <w:rStyle w:val="FootnoteAnchor"/>
          <w:rtl w:val="true"/>
        </w:rPr>
        <w:footnoteReference w:id="1152"/>
      </w:r>
      <w:r>
        <w:rPr>
          <w:rFonts w:ascii="Amiri" w:hAnsi="Amiri" w:eastAsia="Amiri" w:cs="Amiri"/>
          <w:color w:val="111111"/>
          <w:sz w:val="28"/>
          <w:sz w:val="28"/>
          <w:szCs w:val="28"/>
          <w:rtl w:val="true"/>
          <w:lang w:bidi="ar-SA"/>
        </w:rPr>
        <w:t>وفتوىً، وإلّا كان منافياً لإطلاق الأدلّة، بل ولما ذكروه من الأمارات التي تفيد الظنّ، لا الظنّ الغالب، ومنه المتآخم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الانتقاد للأفراد المشتبهة بالظنّ، فإنّ بعض أفراد الشكّ قد تشتبه به، وإلّا فمتى حصل ثبت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القول بأنّ الإطلاق عُلم تقييده باللوث، والمتيقّن منه ظنٌّ مخصوصٌ، يدفعه ما عرفت من عدم وجود لفظ اللوث، وعلى تقديره فقد عرفت ما ذكروه في تفسيره وما ذكروه من الأمثلة له، وأنّه على تقديره لا دليل عليه، وليس المقام من التقييد بالمحلّ،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وجود أمارة تقتضي الظنّ بصدق المدّعي</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إطلاق الأدلّة، فمقيّدة بما فيها من العلّة بأنّها نجاة للناسوحوط يُحاط بها الناس وغيرهما ممّا يقرب بهما، وقد مرّ</w:t>
      </w:r>
      <w:r>
        <w:rPr>
          <w:rStyle w:val="FootnoteAnchor"/>
          <w:rtl w:val="true"/>
        </w:rPr>
        <w:footnoteReference w:id="1154"/>
      </w:r>
      <w:r>
        <w:rPr>
          <w:rFonts w:ascii="Amiri" w:hAnsi="Amiri" w:eastAsia="Amiri" w:cs="Amiri"/>
          <w:color w:val="111111"/>
          <w:sz w:val="28"/>
          <w:sz w:val="28"/>
          <w:szCs w:val="28"/>
          <w:rtl w:val="true"/>
          <w:lang w:bidi="ar-SA"/>
        </w:rPr>
        <w:t>أنّ مقتضاها عدم جواز القسامة مع الظنّ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في قرية مطروقة فيها الإياب والذهاب، أو محلّة منفردة كانت مطروقة، فلا لوث إلّا إذا كانت هناك عداوة فيثبت اللوث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قتيل بين القريتين فاللوث لأقربهما إليه، ومع التساوي فهما سواء في اللوث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إحداهما عداوة فاللوث فيها وإن كانت أبعد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عبارات الأصحاب من أمثلة اللوث ومورده، فليس إلّا بياناً للموضوع، حسب آرائهم في الموارد، وحسب بنائهم على كفاية مطلق الظنّ، فلا تعبّد فيها حتّى يكون الإجماع القولي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الاستنباطي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لهم من الاختلاف كثيراً في تلك الموارد، ففي مثل القتيل في القرية ذهب بعضهم إلى أنّه لوث على الإطلاق، وآخرون إلى أنّه لوث مع التهمة، وثالث إلى أنّه لوث مع العداوة ومن الاضطراب؛ حيث إنّ الشرائع</w:t>
      </w:r>
      <w:r>
        <w:rPr>
          <w:rStyle w:val="FootnoteAnchor"/>
          <w:rtl w:val="true"/>
        </w:rPr>
        <w:footnoteReference w:id="1155"/>
      </w:r>
      <w:r>
        <w:rPr>
          <w:rFonts w:ascii="Amiri" w:hAnsi="Amiri" w:eastAsia="Amiri" w:cs="Amiri"/>
          <w:color w:val="111111"/>
          <w:sz w:val="28"/>
          <w:sz w:val="28"/>
          <w:szCs w:val="28"/>
          <w:rtl w:val="true"/>
          <w:lang w:bidi="ar-SA"/>
        </w:rPr>
        <w:t>اكتفى بالعدل الواحد للوث دون شهادة الصبيان والنساء والكفّار، مع أنّه لا فرق بينه وبينهم في إفادة الظنّ، بل لعلّ الظنّ الحاصل منهم قد يكون أقوى من الحاصل من شهادته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المذكورة في المتن في هذه المسألة والمسألة الأُولى وما قبلها وفي غيره من كتب الأصحاب بيان لأسباب اللوث وموجباته، ويكون النظر فيها نظراً موضوعيّاً وبنائيّاً لا نظراً فقهيّاً وبياناً حكميّاً، وعليه فلا حجّة فيها للحاكم، ولا يلزمه اتّباع هذه الآراء والفتاوى، بل عليه اتّباع رأيهوإن كان مخالفاً رأي مرجعه، حيث إنّ المتّبع في مثل الموضوع رأي المقلّد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دخالة الفقاهة والاجتهاد في تشخيص الموضوع الخارجي من رأس</w:t>
      </w:r>
      <w:r>
        <w:rPr>
          <w:rFonts w:eastAsia="Amiri" w:cs="Amiri" w:ascii="Amiri" w:hAnsi="Amiri"/>
          <w:color w:val="111111"/>
          <w:sz w:val="28"/>
          <w:szCs w:val="28"/>
          <w:rtl w:val="true"/>
          <w:lang w:bidi="ar-SA"/>
        </w:rPr>
        <w:t xml:space="preserve">. </w:t>
      </w:r>
      <w:bookmarkStart w:id="261" w:name="pg9428_72714"/>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يحصل اللوث فالحكم فيه كغيره من الدعاوي، فلا قسامة ولا تغليظ، والبيّنة على المدّعي واليمين على المدّعى عليه، فللوليّ مع عدم البيّنة إحلاف المنكر يميناً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له من مراجعة مَن يقلّده في أنّ المعيار في اللوث المراد منه مطلق الظنّ، كما هو المعروف، أو الظنّ الخاصّ الاطمئناني المتآخم للعلم، كما هو المختار؟</w:t>
      </w:r>
    </w:p>
    <w:p>
      <w:pPr>
        <w:pStyle w:val="BookText"/>
        <w:rPr/>
      </w:pPr>
      <w:r>
        <w:rPr>
          <w:rFonts w:ascii="Amiri" w:hAnsi="Amiri" w:eastAsia="Amiri" w:cs="Amiri"/>
          <w:color w:val="111111"/>
          <w:sz w:val="28"/>
          <w:sz w:val="28"/>
          <w:szCs w:val="28"/>
          <w:rtl w:val="true"/>
          <w:lang w:bidi="ar-SA"/>
        </w:rPr>
        <w:t>ثمّ إنّه على أيّ حال، ليس على الحاكم مع شكّه في كون الأمارة موجبة للوث وعدمها ترتيب أثر اللوث والحكم بالقسامة، بل عليه الرجوع إلى القواعد،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ذكرناه أنّه لابدّ على المختار من تقييد الأمارة في المتن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كلّ أمارة ظنّيّة بالظنّ الغالب المتآخم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جعله الشاهدين مع عدم استجماع شرائط القبول على الإطلاق لوثاً غير تامٍّ حتّى على مبناه من كفاية مطلق الظنّ؛ لأنّ منه ما كان لهما داء النسيان، بل ولو لم يكن لهما الحفظ المتعارف فإنّ من المعلوم عدم إفادة شهادتهما الظنّ أصلاً لاسيّما في المبتلى بالنسيان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الأمر في أمثال المناقشات سهلٌ؛ لأنّها 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5797575_2870459653"/>
      <w:bookmarkStart w:id="263" w:name="_Toc88"/>
      <w:bookmarkEnd w:id="262"/>
      <w:r>
        <w:rPr>
          <w:rtl w:val="true"/>
        </w:rPr>
        <w:t>حكم ما لو لم يحصل اللوث</w:t>
      </w:r>
      <w:bookmarkEnd w:id="263"/>
    </w:p>
    <w:p>
      <w:pPr>
        <w:pStyle w:val="Heading4"/>
        <w:numPr>
          <w:ilvl w:val="3"/>
          <w:numId w:val="1"/>
        </w:numPr>
        <w:rPr/>
      </w:pPr>
      <w:bookmarkStart w:id="264" w:name="__RefHeading___Toc5797577_2870459653"/>
      <w:bookmarkStart w:id="265" w:name="_Toc89"/>
      <w:bookmarkEnd w:id="264"/>
      <w:r>
        <w:rPr>
          <w:rtl w:val="true"/>
        </w:rPr>
        <w:t>اشارة</w:t>
      </w:r>
      <w:bookmarkEnd w:id="2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 الحكم في الدم مع عدم اللوث حكم بقيّة الدعاوي، هو إطلاق أدلّة القضاء والدعاوي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المتن من نفي التغليظ وأنّ للوليّ إحلاف المنكر يميناً واحدة، يكون ردّاً للشافعي القائل بالتغليظ بخمسين يميناً في أحد قوليه، كما يظهر من الخلاف،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شخص في زحام الناس ليوم جمعة أو عيد، أو وجد في فلاة أو سوق أو على جسر، ولم يعلم من قتله، فديته من بيت مال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يكن لوث ولا شاهد، ويكون دعوى محضة، فاليمين في جنبة المدّعى عليه بلا خلاف، وهل تغلّظ أم لا؟ عندنا أنّه لا يلزمه أكثر من يمين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تغلّظ خمسين يميناً</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ويدلّ عليه الأخبار المستفيضة أو المتواترة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ازدحم الناس يوم الجمعة في امرة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فقتلوا رجلاً، فودى ديته إلى أهله من بيت مال المسلمين</w:t>
      </w:r>
      <w:r>
        <w:rPr>
          <w:rFonts w:eastAsia="IRNazanin" w:cs="IRNazanin"/>
          <w:color w:val="111111"/>
          <w:sz w:val="28"/>
          <w:szCs w:val="28"/>
          <w:rtl w:val="true"/>
          <w:lang w:bidi="fa-IR"/>
        </w:rPr>
        <w:t>».</w:t>
      </w:r>
      <w:r>
        <w:rPr>
          <w:rStyle w:val="FootnoteAnchor"/>
          <w:rtl w:val="true"/>
        </w:rPr>
        <w:footnoteReference w:id="1157"/>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مسمع بن عبدالملك،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في زحام الناس يوم الجمعة، أو يوم عرفة، أو على جسر لا يعلمون مَن قتله، فديته من بيت المال</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زحام جمعة أو عرفة أو على جسر لا يعلمون من قتله، فديته على بيت المال</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وأشار إليه الوسائل بعد نقل خبر مسمع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أحمد بن يحيى، عن بنان بن محمّد، عن أبيه، عن ابن المغيرة، عن السكوني، عن جعفر، عن أبيه،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ورواه الصدوق بإسناده عن السكوني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عيد أو على بئر</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ابني سنان وبكير،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وجد مقتولاً لا يدري 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عرف وکان له أولياء يطلبون ديته أعطوا ديته من بيت مال المسلمين، ولا يبطل دم امرءٍ مسلم؛ لأنّ ميراثه للإمام، فكذلك تكون ديته على الإمام، ويصلّون عليه ويدفنونه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زحمه الناس يوم الجمعة في زحام الناس فمات، أنّ ديته من بيت مال المسلمين</w:t>
      </w:r>
      <w:r>
        <w:rPr>
          <w:rFonts w:eastAsia="IRNazanin" w:cs="IRNazanin"/>
          <w:color w:val="111111"/>
          <w:sz w:val="28"/>
          <w:szCs w:val="28"/>
          <w:rtl w:val="true"/>
          <w:lang w:bidi="fa-IR"/>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سوار، عن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هزم طلحة والزبير أقبل الناس منهزمين، فمرّوا بامرأة حامل على الطريق، ففزعت منهم، فطرحت ما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بطنها حيّاً فاضطرب حتّى مات، ثمّ ماتت أُمّه من بعده، فمرّ بها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وهي مطروحة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وولدها على الطريق فسألهم عن أمرها،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حبلى، ففزعت حين رأت القتال والهزيمة،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مات قبل صاحبه؟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ابنها مات قبلها،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بزوجها أبي الغلام الميّت، فورّثه من ابنه ثلثي الدية، وورّث أُمّه ثلث الدية، ثمّ ورّث الزوج من المرأة الميتة نصف ثلث الديه التي ورّثه من ابنها، وورّث قرابة المرأة الميتة الباقي، ثمّ ورّث الزوج أيضاً من دية امرأته الميتة نصف الدية، وهو ألفان وخمسمائة درهم، وورّث قرابة المرأة الميتة نصف الدية، وهو ألفان وخمسمائة درهم، وذلك أنّه لم يكن لها ولد غير الذي رمت به حين فزعت،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وأدّى ذلك كلّه من بيت مال البصرة</w:t>
      </w:r>
      <w:r>
        <w:rPr>
          <w:rFonts w:eastAsia="IRNazanin" w:cs="IRNazanin"/>
          <w:color w:val="111111"/>
          <w:sz w:val="28"/>
          <w:szCs w:val="28"/>
          <w:rtl w:val="true"/>
          <w:lang w:bidi="fa-IR"/>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يعلم أنّ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السكوني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الهايشات عقل ولا قصاص والهايشات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الفزعة تقع بالليل والنهار فيشجّ الرجل فيها، أو يقع قتيل لا يدری من قتله وشجّه</w:t>
      </w:r>
      <w:r>
        <w:rPr>
          <w:rFonts w:eastAsia="IRNazanin" w:cs="IRNazanin"/>
          <w:color w:val="111111"/>
          <w:sz w:val="28"/>
          <w:szCs w:val="28"/>
          <w:rtl w:val="true"/>
          <w:lang w:bidi="fa-IR"/>
        </w:rPr>
        <w:t>»</w:t>
      </w:r>
      <w:r>
        <w:rPr>
          <w:rStyle w:val="FootnoteAnchor"/>
          <w:rtl w:val="true"/>
        </w:rPr>
        <w:footnoteReference w:id="1164"/>
      </w:r>
      <w:r>
        <w:rPr>
          <w:rFonts w:ascii="IRNazanin" w:hAnsi="IRNazanin" w:eastAsia="IRNazanin"/>
          <w:color w:val="111111"/>
          <w:sz w:val="28"/>
          <w:sz w:val="28"/>
          <w:szCs w:val="28"/>
          <w:rtl w:val="true"/>
          <w:lang w:bidi="fa-IR"/>
        </w:rPr>
        <w:t xml:space="preserve">أيعلى غير بيت المال، بل يشهد له ما عن الكافي متّصلاً بالخبر المزبور، وقال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آخر يرفعه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فوداه من بيت المال</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إلى غير ذلك من النصوص المعلوم كون المراد منها ذلك، مع عدم اللوث على معيّن، وادّعاه الوليّ وإلّا ترتّب حكمه، وكأنّ الإطلاق فيها مبنيّ على الغالب، كإطلاق الدية في الأخبار في قتيل القرية ونحوها؛ ضرورة عدمها مع عدم التهمة أيضاً، ولكن يترتّب اللوث لو ادّعاه عليها أو على غيرها مع فرض تحقّقه، وذلك كلّه واضح بحمد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مضافاً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يبطل دم امرءٍ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خبر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وجد قتيل بأرض فلاة، أدّيت ديته من بيت المال، فإنّ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يبطل دم امرءٍ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6"/>
      </w:r>
      <w:r>
        <w:rPr>
          <w:rFonts w:ascii="Amiri" w:hAnsi="Amiri" w:eastAsia="Amiri" w:cs="Amiri"/>
          <w:color w:val="111111"/>
          <w:sz w:val="28"/>
          <w:sz w:val="28"/>
          <w:szCs w:val="28"/>
          <w:rtl w:val="true"/>
          <w:lang w:bidi="ar-SA"/>
        </w:rPr>
        <w:t>وكأنّه لا فرق بين الفلاة وغيرها من المذكورات</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في صحيح عبدالله بن سنان وموثّق ابن بكير من تعليل لزوم إعطاء دية من لا يدري من قتله من بيت مال المسلمين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يبطل دم امرءٍ مسلم؛ لأنّ ميراثه للإمام، فكذلك تكون ديته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7"/>
      </w:r>
      <w:r>
        <w:rPr>
          <w:rFonts w:ascii="Amiri" w:hAnsi="Amiri" w:eastAsia="Amiri" w:cs="Amiri"/>
          <w:color w:val="111111"/>
          <w:sz w:val="28"/>
          <w:sz w:val="28"/>
          <w:szCs w:val="28"/>
          <w:rtl w:val="true"/>
          <w:lang w:bidi="ar-SA"/>
        </w:rPr>
        <w:t>ففيه ما لا يخفى من الصعوبة، فيردّ علمه إلى أهله</w:t>
      </w:r>
      <w:r>
        <w:rPr>
          <w:rFonts w:eastAsia="Amiri" w:cs="Amiri" w:ascii="Amiri" w:hAnsi="Amiri"/>
          <w:color w:val="111111"/>
          <w:sz w:val="28"/>
          <w:szCs w:val="28"/>
          <w:rtl w:val="true"/>
          <w:lang w:bidi="ar-SA"/>
        </w:rPr>
        <w:t xml:space="preserve">. </w:t>
      </w:r>
      <w:bookmarkStart w:id="266" w:name="pg9428_72719"/>
    </w:p>
    <w:p>
      <w:pPr>
        <w:pStyle w:val="BookText"/>
        <w:rPr/>
      </w:pPr>
      <w:bookmarkEnd w:id="266"/>
      <w:r>
        <w:rPr>
          <w:rFonts w:ascii="Amiri" w:hAnsi="Amiri" w:eastAsia="Amiri" w:cs="Amiri"/>
          <w:color w:val="111111"/>
          <w:sz w:val="28"/>
          <w:sz w:val="28"/>
          <w:szCs w:val="28"/>
          <w:rtl w:val="true"/>
          <w:lang w:bidi="ar-SA"/>
        </w:rPr>
        <w:t xml:space="preserve">نعم، لو كان في الموارد المذكورة أمارة ظنّيّة على كون القتل بفعل شخص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اللوث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مجمع الفائدة والبرهان أضاف إلى استدلاله بأخبار المسألة احتمال كون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قضيّة الأنصاري وكونه مقتولاً في الأخبار التي كانت أصلاً في القسامة ومضى نقلها، دليلاً على المسألة أيضاً، وهو غير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دليله أيضاً ما تقدّم من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عدم إمكان القسامة، فودّاه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مع أنّه كان هناك مدّع على أنّ اليهود قتلوه، ووجد اللوث، إلّا أنّه لابدّ من العلم على القتل حتّى يحلف، وادّعوا عدم ذلك وقابليّة المدّعى عليه للحلف أيضاً، بأن يقبل منه ولم يقبلونها من اليهود؛ لكفرهم، فسقط القسامة فودّاه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كأنّه من بيت مال المسلمين، لئلّا يبطل دم امرءٍ مسلم، فهنا بالطريق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 xml:space="preserve">ولعلّ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بالتأ‌مّل إشارة إلى أنّ أداءه الدية من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كان لرفع الاختلاف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حصول اللوث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المختار لابدّ أن تكون الأمارة الظنّيّة قويّة</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5797579_2870459653"/>
      <w:bookmarkStart w:id="268" w:name="_Toc90"/>
      <w:bookmarkEnd w:id="267"/>
      <w:r>
        <w:rPr>
          <w:rtl w:val="true"/>
        </w:rPr>
        <w:t>تنبيهٌ وفرعٌ</w:t>
      </w:r>
      <w:r>
        <w:rPr>
          <w:rtl w:val="true"/>
        </w:rPr>
        <w:t>:</w:t>
      </w:r>
      <w:bookmarkEnd w:id="268"/>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عليك انصراف تلك الأخبار عن المقتول في مثل زحام المعصية أو مكانها؛ لاستبعاد ضمان بيت المال دية من خالف قوانين الإسلام وشرائعه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الأمارات الظنّيّة بطل اللوث، كما لو وجد بالقرب من القتيل ذو سلاح ملطّخ بالدم، وسبع من شأنه قتل الإنسان، ولم تكن أمارة لحصول القتل بأ‌يّهما وفي كلّ طرف شكّ محض، فلابدّ في مثله فصل الخصومة بالطرق المعهودة غير القسامة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اللوث وجود أثر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قيام الأمارة الظنّيّة على أصل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الذهاب إلى محلّ المعصية ومحل التخلّف عن أحكام الله تعالى للمعصية والتخلّف، كيف واللازم من عدم الانصراف دفاع الشارع والمقنّن عن ناقض القانون والشريعة وحمايته للعاصي والمتخلّف؟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آخر للانصراف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في صحيح ابن سنان، وموثّق ابن بكير من تعليله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دية المقتول المجهول قاتله على بيت المال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ميراثه للإمام، فكذلك تكون ديته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9"/>
      </w:r>
      <w:r>
        <w:rPr>
          <w:rFonts w:ascii="Amiri" w:hAnsi="Amiri" w:eastAsia="Amiri" w:cs="Amiri"/>
          <w:color w:val="111111"/>
          <w:sz w:val="28"/>
          <w:sz w:val="28"/>
          <w:szCs w:val="28"/>
          <w:rtl w:val="true"/>
          <w:lang w:bidi="ar-SA"/>
        </w:rPr>
        <w:t>الدالّ على الملازمة بين إرث الإمام وديته للمقتول، فقد مضى</w:t>
      </w:r>
      <w:r>
        <w:rPr>
          <w:rStyle w:val="FootnoteAnchor"/>
          <w:rtl w:val="true"/>
        </w:rPr>
        <w:footnoteReference w:id="1170"/>
      </w:r>
      <w:r>
        <w:rPr>
          <w:rFonts w:ascii="Amiri" w:hAnsi="Amiri" w:eastAsia="Amiri" w:cs="Amiri"/>
          <w:color w:val="111111"/>
          <w:sz w:val="28"/>
          <w:sz w:val="28"/>
          <w:szCs w:val="28"/>
          <w:rtl w:val="true"/>
          <w:lang w:bidi="ar-SA"/>
        </w:rPr>
        <w:t xml:space="preserve">أنّ فهمه مشكلٌ يردّ علمه إلى أهله،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الميراث للإمام فالدية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علّة وجهة لكون دية المقتول المجهول على بيت المال، فإنّ بيت المال للمسلمين وما للإمام فللإمام؟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المسألة من بطلان اللوث بالتعارض والرجوع إلى الطرق المعهودة، وجهه واضح غير محتاج إلى الذكر والبيان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الأقوائيّة أنّ المعتبر أصل اللوث كيف ما كان، من دون خصوصيّة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الأمارة المفيدة له؛ لعدم الدليل على الأزيد منه، وأنّ غاية الأمر في المستفاد من الوجوه الخمسة التي استدلّ بها على اعتبار اللوث هو وجود ما يقتضيه من الأمارات، كيف ما كانت، والأمارة الظنّيّة قائمة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إلّا على اعتبار وجود الأثر ودلالة الأخبار عليه، فخصوصيّته مرتفعة بإلغاء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للشرائع </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عدم اشتراطه أشبه، ما 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يشترط في اللوث وجود أثر القتل على الأشبه بأُصول المذهب وإطلاق الأدلّة، بل لا أجد فيه خلافاً بيننا إلّا من أبي علي؛ إذ قد يخلو القتل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 أبي حنيفة اشتراطه،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تكن جراحة ولا دم فلا قسامة، وإن كانت جراحة ثبتت، وإن لم یكن وكان دم فإن خرج من أذنه ثبتت، لا إن خرج من أنفه، وهو كما ترى، وإن حكي عن الشيخ في المبسوط</w:t>
      </w:r>
      <w:r>
        <w:rPr>
          <w:rStyle w:val="FootnoteAnchor"/>
          <w:rtl w:val="true"/>
        </w:rPr>
        <w:footnoteReference w:id="1172"/>
      </w:r>
      <w:r>
        <w:rPr>
          <w:rFonts w:ascii="Amiri" w:hAnsi="Amiri" w:eastAsia="Amiri" w:cs="Amiri"/>
          <w:color w:val="111111"/>
          <w:sz w:val="28"/>
          <w:sz w:val="28"/>
          <w:szCs w:val="28"/>
          <w:rtl w:val="true"/>
          <w:lang w:bidi="ar-SA"/>
        </w:rPr>
        <w:t>أنّه قوّاه</w:t>
      </w:r>
      <w:r>
        <w:rPr>
          <w:rFonts w:eastAsia="Amiri" w:cs="Amiri" w:ascii="Amiri" w:hAnsi="Amiri"/>
          <w:color w:val="111111"/>
          <w:sz w:val="28"/>
          <w:szCs w:val="28"/>
          <w:rtl w:val="true"/>
          <w:lang w:bidi="ar-SA"/>
        </w:rPr>
        <w:t>.</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وفي مجمع الفائدة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بعدم الشرطيّة، لكنّه استبعد حصول أمارة القتل بدون أثره، ففيه في ذيل ما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يوجد أثر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4"/>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يوجد فيه أثر القتل، فلا يشترط كونه مجروحاً وملطّخاً بالدم، أنّه قد يحصل القطع بدونهما مثل الخنق، والعصر، وقبض مجرى النفس، </w:t>
      </w:r>
    </w:p>
    <w:p>
      <w:pPr>
        <w:pStyle w:val="BookText"/>
        <w:rPr/>
      </w:pPr>
      <w:r>
        <w:rPr>
          <w:rFonts w:ascii="Amiri" w:hAnsi="Amiri" w:eastAsia="Amiri" w:cs="Amiri"/>
          <w:color w:val="111111"/>
          <w:sz w:val="28"/>
          <w:sz w:val="28"/>
          <w:szCs w:val="28"/>
          <w:rtl w:val="true"/>
          <w:lang w:bidi="ar-SA"/>
        </w:rPr>
        <w:t>ولا يشترط في القسامة حضور المدّعى عليه، كما في سائر المقامات على الأصحّ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الوليّ أنّ فلاناً من أهل الدار قتله، بعد أن وجد مقتولاً فيها، حصل اللوث وثبتت الدعوى بالقسامة بشرط ثبوت كون المدّعى عليه في الدار حين القتل، وإلّا فلا لوث بالنسبة إليه، فلو أنكر كونه فيها وقت القتل كان القول قوله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وسقي السمّ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أشار بذلك إلى مذهب العامّة، بل إلى مذهب بعض الأصحاب، كما يظهر من الشرائع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أثر القتل على الأشبه، ولكنّه بعيدٌ</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فائدة في الاستبعاد؛ لأنّ الملاك الظنّ والقسامة تابعة له وجوداً وعدماً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إفراد الحكم على الغائب، خلافاً لبعض العامّة ممّن لم ير الحكم على الغائب مطلقاً أو في خصوص الدم في القسامة؛ احتياطاً فيه واستضعافاً للوث، وهما وإن لم يكونا دليلاً في مقابل عموم الأدلّة، بل في مقابل الأصل، وأنّه إثبات دعوى كسائر الدعاوي، لكنّهما سببٌ لعدم الجزم والحكم بأنّه الأصحّ، كما في المتن</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9428_72724"/>
      <w:bookmarkStart w:id="270" w:name="pg9428_72724"/>
      <w:bookmarkEnd w:id="270"/>
    </w:p>
    <w:p>
      <w:pPr>
        <w:pStyle w:val="Heading2"/>
        <w:numPr>
          <w:ilvl w:val="1"/>
          <w:numId w:val="1"/>
        </w:numPr>
        <w:rPr/>
      </w:pPr>
      <w:bookmarkStart w:id="271" w:name="pg9428_72724"/>
      <w:bookmarkStart w:id="272" w:name="__RefHeading___Toc5797581_2870459653"/>
      <w:bookmarkStart w:id="273" w:name="_Toc91"/>
      <w:bookmarkEnd w:id="271"/>
      <w:bookmarkEnd w:id="272"/>
      <w:r>
        <w:rPr>
          <w:rtl w:val="true"/>
        </w:rPr>
        <w:t>المقصد الثاني</w:t>
      </w:r>
      <w:r>
        <w:rPr>
          <w:rtl w:val="true"/>
        </w:rPr>
        <w:t xml:space="preserve">: </w:t>
      </w:r>
      <w:r>
        <w:rPr>
          <w:rtl w:val="true"/>
        </w:rPr>
        <w:t>في كمّيّة القسامة</w:t>
      </w:r>
      <w:bookmarkEnd w:id="273"/>
    </w:p>
    <w:p>
      <w:pPr>
        <w:pStyle w:val="Heading3"/>
        <w:numPr>
          <w:ilvl w:val="2"/>
          <w:numId w:val="1"/>
        </w:numPr>
        <w:rPr/>
      </w:pPr>
      <w:bookmarkStart w:id="274" w:name="__RefHeading___Toc5797583_2870459653"/>
      <w:bookmarkStart w:id="275" w:name="_Toc92"/>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وهي في العمد خمسون يميناً، وفي الخطأ وشبهه خمس وعشرون على الأصحّ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5797585_2870459653"/>
      <w:bookmarkStart w:id="277" w:name="_Toc93"/>
      <w:bookmarkEnd w:id="276"/>
      <w:r>
        <w:rPr>
          <w:rtl w:val="true"/>
        </w:rPr>
        <w:t>العدد في القسامة</w:t>
      </w:r>
      <w:bookmarkEnd w:id="2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الخمسين في العمد لاخلاف فيه كما في الغنية</w:t>
      </w:r>
      <w:r>
        <w:rPr>
          <w:rStyle w:val="FootnoteAnchor"/>
          <w:rtl w:val="true"/>
        </w:rPr>
        <w:footnoteReference w:id="1176"/>
      </w:r>
      <w:r>
        <w:rPr>
          <w:rFonts w:ascii="Amiri" w:hAnsi="Amiri" w:eastAsia="Amiri" w:cs="Amiri"/>
          <w:color w:val="111111"/>
          <w:sz w:val="28"/>
          <w:sz w:val="28"/>
          <w:szCs w:val="28"/>
          <w:rtl w:val="true"/>
          <w:lang w:bidi="ar-SA"/>
        </w:rPr>
        <w:t>و‌غاية المراد</w:t>
      </w:r>
      <w:r>
        <w:rPr>
          <w:rStyle w:val="FootnoteAnchor"/>
          <w:rtl w:val="true"/>
        </w:rPr>
        <w:footnoteReference w:id="1177"/>
      </w:r>
      <w:r>
        <w:rPr>
          <w:rFonts w:ascii="Amiri" w:hAnsi="Amiri" w:eastAsia="Amiri" w:cs="Amiri"/>
          <w:color w:val="111111"/>
          <w:sz w:val="28"/>
          <w:sz w:val="28"/>
          <w:szCs w:val="28"/>
          <w:rtl w:val="true"/>
          <w:lang w:bidi="ar-SA"/>
        </w:rPr>
        <w:t>والمسالك</w:t>
      </w:r>
      <w:r>
        <w:rPr>
          <w:rStyle w:val="FootnoteAnchor"/>
          <w:rtl w:val="true"/>
        </w:rPr>
        <w:footnoteReference w:id="1178"/>
      </w:r>
      <w:r>
        <w:rPr>
          <w:rFonts w:ascii="Amiri" w:hAnsi="Amiri" w:eastAsia="Amiri" w:cs="Amiri"/>
          <w:color w:val="111111"/>
          <w:sz w:val="28"/>
          <w:sz w:val="28"/>
          <w:szCs w:val="28"/>
          <w:rtl w:val="true"/>
          <w:lang w:bidi="ar-SA"/>
        </w:rPr>
        <w:t>و‌المفاتيح،</w:t>
      </w:r>
      <w:r>
        <w:rPr>
          <w:rStyle w:val="FootnoteAnchor"/>
          <w:rtl w:val="true"/>
        </w:rPr>
        <w:footnoteReference w:id="1179"/>
      </w:r>
      <w:r>
        <w:rPr>
          <w:rFonts w:ascii="Amiri" w:hAnsi="Amiri" w:eastAsia="Amiri" w:cs="Amiri"/>
          <w:color w:val="111111"/>
          <w:sz w:val="28"/>
          <w:sz w:val="28"/>
          <w:szCs w:val="28"/>
          <w:rtl w:val="true"/>
          <w:lang w:bidi="ar-SA"/>
        </w:rPr>
        <w:t>بل إجماعي على الظاهر المصرّح به في جملة من العبائر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w:t>
      </w:r>
      <w:r>
        <w:rPr>
          <w:rStyle w:val="FootnoteAnchor"/>
          <w:rtl w:val="true"/>
        </w:rPr>
        <w:footnoteReference w:id="1180"/>
      </w:r>
      <w:r>
        <w:rPr>
          <w:rFonts w:ascii="Amiri" w:hAnsi="Amiri" w:eastAsia="Amiri" w:cs="Amiri"/>
          <w:color w:val="111111"/>
          <w:sz w:val="28"/>
          <w:sz w:val="28"/>
          <w:szCs w:val="28"/>
          <w:rtl w:val="true"/>
          <w:lang w:bidi="ar-SA"/>
        </w:rPr>
        <w:t>و‌الروضة،</w:t>
      </w:r>
      <w:r>
        <w:rPr>
          <w:rStyle w:val="FootnoteAnchor"/>
          <w:rtl w:val="true"/>
        </w:rPr>
        <w:footnoteReference w:id="1181"/>
      </w:r>
      <w:r>
        <w:rPr>
          <w:rFonts w:ascii="Amiri" w:hAnsi="Amiri" w:eastAsia="Amiri" w:cs="Amiri"/>
          <w:color w:val="111111"/>
          <w:sz w:val="28"/>
          <w:sz w:val="28"/>
          <w:szCs w:val="28"/>
          <w:rtl w:val="true"/>
          <w:lang w:bidi="ar-SA"/>
        </w:rPr>
        <w:t>وعن شرح الشرائع للصيمري،</w:t>
      </w:r>
      <w:r>
        <w:rPr>
          <w:rStyle w:val="FootnoteAnchor"/>
          <w:rtl w:val="true"/>
        </w:rPr>
        <w:footnoteReference w:id="1182"/>
      </w:r>
      <w:r>
        <w:rPr>
          <w:rFonts w:ascii="Amiri" w:hAnsi="Amiri" w:eastAsia="Amiri" w:cs="Amiri"/>
          <w:color w:val="111111"/>
          <w:sz w:val="28"/>
          <w:sz w:val="28"/>
          <w:szCs w:val="28"/>
          <w:rtl w:val="true"/>
          <w:lang w:bidi="ar-SA"/>
        </w:rPr>
        <w:t>بل عن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إجماع المسلمين</w:t>
      </w:r>
      <w:r>
        <w:rPr>
          <w:rFonts w:eastAsia="Amiri" w:cs="Amiri" w:ascii="Amiri" w:hAnsi="Amiri"/>
          <w:color w:val="111111"/>
          <w:sz w:val="28"/>
          <w:szCs w:val="28"/>
          <w:rtl w:val="true"/>
          <w:lang w:bidi="ar-SA"/>
        </w:rPr>
        <w:t>».</w:t>
      </w:r>
      <w:r>
        <w:rPr>
          <w:rStyle w:val="FootnoteAnchor"/>
          <w:rtl w:val="true"/>
        </w:rPr>
        <w:footnoteReference w:id="1183"/>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في قتل العمد خمسون يميناً فتوىً ونصّاً،</w:t>
      </w:r>
      <w:r>
        <w:rPr>
          <w:rStyle w:val="FootnoteAnchor"/>
          <w:rtl w:val="true"/>
        </w:rPr>
        <w:footnoteReference w:id="1184"/>
      </w:r>
      <w:r>
        <w:rPr>
          <w:rFonts w:ascii="Amiri" w:hAnsi="Amiri" w:eastAsia="Amiri" w:cs="Amiri"/>
          <w:color w:val="111111"/>
          <w:sz w:val="28"/>
          <w:sz w:val="28"/>
          <w:szCs w:val="28"/>
          <w:rtl w:val="true"/>
          <w:lang w:bidi="ar-SA"/>
        </w:rPr>
        <w:t xml:space="preserve">مستفيضاً أو متواتراً،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بخلاف ابن حمزة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خمسة وعشرون في العمد إذا كان هناك شاهد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وهو مع ندرته غير واضح الوجه، عدا ما قيل من أنّه مبنيّ على أنّ الخمسين بمنزلة شاهدين، وهو اعتبار ضعيف لا تساعده الأدلّة بل إطلاقها على خلافه</w:t>
      </w:r>
      <w:r>
        <w:rPr>
          <w:rFonts w:eastAsia="Amiri" w:cs="Amiri" w:ascii="Amiri" w:hAnsi="Amiri"/>
          <w:color w:val="111111"/>
          <w:sz w:val="28"/>
          <w:szCs w:val="28"/>
          <w:rtl w:val="true"/>
          <w:lang w:bidi="ar-SA"/>
        </w:rPr>
        <w:t>.</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هذا، مع مخالفته للأصل وللاحتياط قطعاً، فلا ريب في سقوطه وأنّه لابدّ من الخمسين؛ والدليل عليه الأخبار المستفيضة بل المتواترة الدالّة عليه من أخبار القسامة الواردة في قضيّة عبدالله بن سهل</w:t>
      </w:r>
      <w:r>
        <w:rPr>
          <w:rStyle w:val="FootnoteAnchor"/>
          <w:rtl w:val="true"/>
        </w:rPr>
        <w:footnoteReference w:id="1187"/>
      </w:r>
      <w:r>
        <w:rPr>
          <w:rFonts w:ascii="IRNazanin" w:hAnsi="IRNazanin" w:eastAsia="IRNazanin"/>
          <w:color w:val="111111"/>
          <w:sz w:val="28"/>
          <w:sz w:val="28"/>
          <w:szCs w:val="28"/>
          <w:rtl w:val="true"/>
          <w:lang w:bidi="fa-IR"/>
        </w:rPr>
        <w:t>المشهورة التي هي الأصل في شرعيّة القسامة، وهي كثيرة، ومن خبر مسعدة بن زياد 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8"/>
      </w:r>
      <w:r>
        <w:rPr>
          <w:rFonts w:ascii="Amiri" w:hAnsi="Amiri" w:eastAsia="Amiri" w:cs="Amiri"/>
          <w:color w:val="111111"/>
          <w:sz w:val="28"/>
          <w:sz w:val="28"/>
          <w:szCs w:val="28"/>
          <w:rtl w:val="true"/>
          <w:lang w:bidi="ar-SA"/>
        </w:rPr>
        <w:t>ومن غيره ممّا فيه التعبير بالقسامة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الأخبار المفصّلة بين العمد وغيره باعتبار الخمسين في الأوّل وخمسة وعشرين في الثاني ممّا يأتي في قسامة غير العمد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اعتبار الخمس وعشرين في غير العمد من الخطأ المحض ومن شبه العمد، أو تساويه مع العمد واعتبار الخمسين فيه أيضاً ففيه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في كتبه الثلاثة،</w:t>
      </w:r>
      <w:r>
        <w:rPr>
          <w:rStyle w:val="FootnoteAnchor"/>
          <w:rtl w:val="true"/>
        </w:rPr>
        <w:footnoteReference w:id="1189"/>
      </w:r>
      <w:r>
        <w:rPr>
          <w:rFonts w:ascii="Amiri" w:hAnsi="Amiri" w:eastAsia="Amiri" w:cs="Amiri"/>
          <w:color w:val="111111"/>
          <w:sz w:val="28"/>
          <w:sz w:val="28"/>
          <w:szCs w:val="28"/>
          <w:rtl w:val="true"/>
          <w:lang w:bidi="ar-SA"/>
        </w:rPr>
        <w:t>والصهرشتي،</w:t>
      </w:r>
      <w:r>
        <w:rPr>
          <w:rStyle w:val="FootnoteAnchor"/>
          <w:rtl w:val="true"/>
        </w:rPr>
        <w:footnoteReference w:id="1190"/>
      </w:r>
      <w:r>
        <w:rPr>
          <w:rFonts w:ascii="Amiri" w:hAnsi="Amiri" w:eastAsia="Amiri" w:cs="Amiri"/>
          <w:color w:val="111111"/>
          <w:sz w:val="28"/>
          <w:sz w:val="28"/>
          <w:szCs w:val="28"/>
          <w:rtl w:val="true"/>
          <w:lang w:bidi="ar-SA"/>
        </w:rPr>
        <w:t>والطبرسي على المحكيّ عنه في غاية المراد،</w:t>
      </w:r>
      <w:r>
        <w:rPr>
          <w:rStyle w:val="FootnoteAnchor"/>
          <w:rtl w:val="true"/>
        </w:rPr>
        <w:footnoteReference w:id="1191"/>
      </w:r>
      <w:r>
        <w:rPr>
          <w:rFonts w:ascii="Amiri" w:hAnsi="Amiri" w:eastAsia="Amiri" w:cs="Amiri"/>
          <w:color w:val="111111"/>
          <w:sz w:val="28"/>
          <w:sz w:val="28"/>
          <w:szCs w:val="28"/>
          <w:rtl w:val="true"/>
          <w:lang w:bidi="ar-SA"/>
        </w:rPr>
        <w:t>وابني البرّاج</w:t>
      </w:r>
      <w:r>
        <w:rPr>
          <w:rStyle w:val="FootnoteAnchor"/>
          <w:rtl w:val="true"/>
        </w:rPr>
        <w:footnoteReference w:id="1192"/>
      </w:r>
      <w:r>
        <w:rPr>
          <w:rFonts w:ascii="Amiri" w:hAnsi="Amiri" w:eastAsia="Amiri" w:cs="Amiri"/>
          <w:color w:val="111111"/>
          <w:sz w:val="28"/>
          <w:sz w:val="28"/>
          <w:szCs w:val="28"/>
          <w:rtl w:val="true"/>
          <w:lang w:bidi="ar-SA"/>
        </w:rPr>
        <w:t>وحمزة،</w:t>
      </w:r>
      <w:r>
        <w:rPr>
          <w:rStyle w:val="FootnoteAnchor"/>
          <w:rtl w:val="true"/>
        </w:rPr>
        <w:footnoteReference w:id="1193"/>
      </w:r>
      <w:r>
        <w:rPr>
          <w:rFonts w:ascii="Amiri" w:hAnsi="Amiri" w:eastAsia="Amiri" w:cs="Amiri"/>
          <w:color w:val="111111"/>
          <w:sz w:val="28"/>
          <w:sz w:val="28"/>
          <w:szCs w:val="28"/>
          <w:rtl w:val="true"/>
          <w:lang w:bidi="ar-SA"/>
        </w:rPr>
        <w:t>والمحقّق في الشرائع</w:t>
      </w:r>
      <w:r>
        <w:rPr>
          <w:rStyle w:val="FootnoteAnchor"/>
          <w:rtl w:val="true"/>
        </w:rPr>
        <w:footnoteReference w:id="1194"/>
      </w:r>
      <w:r>
        <w:rPr>
          <w:rFonts w:ascii="IRNazanin" w:hAnsi="IRNazanin" w:eastAsia="IRNazanin"/>
          <w:color w:val="111111"/>
          <w:sz w:val="28"/>
          <w:sz w:val="28"/>
          <w:szCs w:val="28"/>
          <w:rtl w:val="true"/>
          <w:lang w:bidi="fa-IR"/>
        </w:rPr>
        <w:t>و‌النافع،</w:t>
      </w:r>
      <w:r>
        <w:rPr>
          <w:rStyle w:val="FootnoteAnchor"/>
          <w:rtl w:val="true"/>
        </w:rPr>
        <w:footnoteReference w:id="1195"/>
      </w:r>
      <w:r>
        <w:rPr>
          <w:rFonts w:ascii="Amiri" w:hAnsi="Amiri" w:eastAsia="Amiri" w:cs="Amiri"/>
          <w:color w:val="111111"/>
          <w:sz w:val="28"/>
          <w:sz w:val="28"/>
          <w:szCs w:val="28"/>
          <w:rtl w:val="true"/>
          <w:lang w:bidi="ar-SA"/>
        </w:rPr>
        <w:t>والعلّامة في المختلف،</w:t>
      </w:r>
      <w:r>
        <w:rPr>
          <w:rStyle w:val="FootnoteAnchor"/>
          <w:rtl w:val="true"/>
        </w:rPr>
        <w:footnoteReference w:id="1196"/>
      </w:r>
      <w:r>
        <w:rPr>
          <w:rFonts w:ascii="Amiri" w:hAnsi="Amiri" w:eastAsia="Amiri" w:cs="Amiri"/>
          <w:color w:val="111111"/>
          <w:sz w:val="28"/>
          <w:sz w:val="28"/>
          <w:szCs w:val="28"/>
          <w:rtl w:val="true"/>
          <w:lang w:bidi="ar-SA"/>
        </w:rPr>
        <w:t>والفاضل المقداد في التنقيح،</w:t>
      </w:r>
      <w:r>
        <w:rPr>
          <w:rStyle w:val="FootnoteAnchor"/>
          <w:rtl w:val="true"/>
        </w:rPr>
        <w:footnoteReference w:id="1197"/>
      </w:r>
      <w:r>
        <w:rPr>
          <w:rFonts w:ascii="Amiri" w:hAnsi="Amiri" w:eastAsia="Amiri" w:cs="Amiri"/>
          <w:color w:val="111111"/>
          <w:sz w:val="28"/>
          <w:sz w:val="28"/>
          <w:szCs w:val="28"/>
          <w:rtl w:val="true"/>
          <w:lang w:bidi="ar-SA"/>
        </w:rPr>
        <w:t xml:space="preserve">وغيرهم من المتأخّرين، 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وادّعى عليه الشيخ إجماع الفرقة،</w:t>
      </w:r>
      <w:r>
        <w:rPr>
          <w:rStyle w:val="FootnoteAnchor"/>
          <w:rtl w:val="true"/>
        </w:rPr>
        <w:footnoteReference w:id="1199"/>
      </w:r>
      <w:r>
        <w:rPr>
          <w:rFonts w:ascii="Amiri" w:hAnsi="Amiri" w:eastAsia="Amiri" w:cs="Amiri"/>
          <w:color w:val="111111"/>
          <w:sz w:val="28"/>
          <w:sz w:val="28"/>
          <w:szCs w:val="28"/>
          <w:rtl w:val="true"/>
          <w:lang w:bidi="ar-SA"/>
        </w:rPr>
        <w:t>ونسبه في الغنية</w:t>
      </w:r>
      <w:r>
        <w:rPr>
          <w:rStyle w:val="FootnoteAnchor"/>
          <w:rtl w:val="true"/>
        </w:rPr>
        <w:footnoteReference w:id="1200"/>
      </w:r>
      <w:r>
        <w:rPr>
          <w:rFonts w:ascii="Amiri" w:hAnsi="Amiri" w:eastAsia="Amiri" w:cs="Amiri"/>
          <w:color w:val="111111"/>
          <w:sz w:val="28"/>
          <w:sz w:val="28"/>
          <w:szCs w:val="28"/>
          <w:rtl w:val="true"/>
          <w:lang w:bidi="ar-SA"/>
        </w:rPr>
        <w:t>إلى رواية الأصحاب مقرّاً بالإجماع عليها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w:t>
      </w:r>
      <w:r>
        <w:rPr>
          <w:rStyle w:val="FootnoteAnchor"/>
          <w:rtl w:val="true"/>
        </w:rPr>
        <w:footnoteReference w:id="1201"/>
      </w:r>
      <w:r>
        <w:rPr>
          <w:rFonts w:ascii="Amiri" w:hAnsi="Amiri" w:eastAsia="Amiri" w:cs="Amiri"/>
          <w:color w:val="111111"/>
          <w:sz w:val="28"/>
          <w:sz w:val="28"/>
          <w:szCs w:val="28"/>
          <w:rtl w:val="true"/>
          <w:lang w:bidi="ar-SA"/>
        </w:rPr>
        <w:t>والسلّار،</w:t>
      </w:r>
      <w:r>
        <w:rPr>
          <w:rStyle w:val="FootnoteAnchor"/>
          <w:rtl w:val="true"/>
        </w:rPr>
        <w:footnoteReference w:id="1202"/>
      </w:r>
      <w:r>
        <w:rPr>
          <w:rFonts w:ascii="Amiri" w:hAnsi="Amiri" w:eastAsia="Amiri" w:cs="Amiri"/>
          <w:color w:val="111111"/>
          <w:sz w:val="28"/>
          <w:sz w:val="28"/>
          <w:szCs w:val="28"/>
          <w:rtl w:val="true"/>
          <w:lang w:bidi="ar-SA"/>
        </w:rPr>
        <w:t>وابن إدريس،</w:t>
      </w:r>
      <w:r>
        <w:rPr>
          <w:rStyle w:val="FootnoteAnchor"/>
          <w:rtl w:val="true"/>
        </w:rPr>
        <w:footnoteReference w:id="1203"/>
      </w:r>
      <w:r>
        <w:rPr>
          <w:rFonts w:ascii="Amiri" w:hAnsi="Amiri" w:eastAsia="Amiri" w:cs="Amiri"/>
          <w:color w:val="111111"/>
          <w:sz w:val="28"/>
          <w:sz w:val="28"/>
          <w:szCs w:val="28"/>
          <w:rtl w:val="true"/>
          <w:lang w:bidi="ar-SA"/>
        </w:rPr>
        <w:t>وأبي‌الصلاح</w:t>
      </w:r>
      <w:r>
        <w:rPr>
          <w:rStyle w:val="FootnoteAnchor"/>
          <w:rtl w:val="true"/>
        </w:rPr>
        <w:footnoteReference w:id="1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وأبي علي</w:t>
      </w:r>
      <w:r>
        <w:rPr>
          <w:rStyle w:val="FootnoteAnchor"/>
          <w:rtl w:val="true"/>
        </w:rPr>
        <w:footnoteReference w:id="1205"/>
      </w:r>
      <w:r>
        <w:rPr>
          <w:rFonts w:ascii="Amiri" w:hAnsi="Amiri" w:eastAsia="Amiri" w:cs="Amiri"/>
          <w:color w:val="111111"/>
          <w:sz w:val="28"/>
          <w:sz w:val="28"/>
          <w:szCs w:val="28"/>
          <w:rtl w:val="true"/>
          <w:lang w:bidi="ar-SA"/>
        </w:rPr>
        <w:t>في ظاهرهما، وللعلّامة في الإرشاد</w:t>
      </w:r>
      <w:r>
        <w:rPr>
          <w:rStyle w:val="FootnoteAnchor"/>
          <w:rtl w:val="true"/>
        </w:rPr>
        <w:footnoteReference w:id="1206"/>
      </w:r>
      <w:r>
        <w:rPr>
          <w:rFonts w:ascii="Amiri" w:hAnsi="Amiri" w:eastAsia="Amiri" w:cs="Amiri"/>
          <w:color w:val="111111"/>
          <w:sz w:val="28"/>
          <w:sz w:val="28"/>
          <w:szCs w:val="28"/>
          <w:rtl w:val="true"/>
          <w:lang w:bidi="ar-SA"/>
        </w:rPr>
        <w:t>وظاهر التحرير،</w:t>
      </w:r>
      <w:r>
        <w:rPr>
          <w:rStyle w:val="FootnoteAnchor"/>
          <w:rtl w:val="true"/>
        </w:rPr>
        <w:footnoteReference w:id="1207"/>
      </w:r>
      <w:r>
        <w:rPr>
          <w:rFonts w:ascii="Amiri" w:hAnsi="Amiri" w:eastAsia="Amiri" w:cs="Amiri"/>
          <w:color w:val="111111"/>
          <w:sz w:val="28"/>
          <w:sz w:val="28"/>
          <w:szCs w:val="28"/>
          <w:rtl w:val="true"/>
          <w:lang w:bidi="ar-SA"/>
        </w:rPr>
        <w:t>ولولده في الإيضاح،</w:t>
      </w:r>
      <w:r>
        <w:rPr>
          <w:rStyle w:val="FootnoteAnchor"/>
          <w:rtl w:val="true"/>
        </w:rPr>
        <w:footnoteReference w:id="1208"/>
      </w:r>
      <w:r>
        <w:rPr>
          <w:rFonts w:ascii="Amiri" w:hAnsi="Amiri" w:eastAsia="Amiri" w:cs="Amiri"/>
          <w:color w:val="111111"/>
          <w:sz w:val="28"/>
          <w:sz w:val="28"/>
          <w:szCs w:val="28"/>
          <w:rtl w:val="true"/>
          <w:lang w:bidi="ar-SA"/>
        </w:rPr>
        <w:t>والشهيدين</w:t>
      </w:r>
      <w:r>
        <w:rPr>
          <w:rStyle w:val="FootnoteAnchor"/>
          <w:rtl w:val="true"/>
        </w:rPr>
        <w:footnoteReference w:id="1209"/>
      </w:r>
      <w:r>
        <w:rPr>
          <w:rFonts w:ascii="Amiri" w:hAnsi="Amiri" w:eastAsia="Amiri" w:cs="Amiri"/>
          <w:color w:val="111111"/>
          <w:sz w:val="28"/>
          <w:sz w:val="28"/>
          <w:szCs w:val="28"/>
          <w:rtl w:val="true"/>
          <w:lang w:bidi="ar-SA"/>
        </w:rPr>
        <w:t>في اللمعة والروضة، وفي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إجماع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وهو كما قال بالنسبة إلى العامّة فإنّه لم يختلف اثنان منهم وإلّا فبالنسبة إلينا عدمه أوضح من أن يبيّن، مع ما مرّ من الخلاف من غير واحد من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فالحقّ هو الأوّل؛ وفاقاً لمن تقدّم، وللمعتبر من الأخبار كصحيح 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القول بكون العبيدي صحيحاً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القسامة خمسون رجلاً في العمد، وفي الخطأ خمسة وعشرون رجلاً، وعليهم أن يحلفوا بالله</w:t>
      </w:r>
      <w:r>
        <w:rPr>
          <w:rFonts w:eastAsia="IRNazanin" w:cs="IRNazanin"/>
          <w:color w:val="111111"/>
          <w:sz w:val="28"/>
          <w:szCs w:val="28"/>
          <w:rtl w:val="true"/>
          <w:lang w:bidi="fa-IR"/>
        </w:rPr>
        <w:t>».</w:t>
      </w:r>
      <w:r>
        <w:rPr>
          <w:rStyle w:val="FootnoteAnchor"/>
          <w:rtl w:val="true"/>
        </w:rPr>
        <w:footnoteReference w:id="1211"/>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ابن فضّال أو صحيحته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قلنا أنّه رجع عن الفطحيّة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والقسامة جعل في النفس على العمد خمسين رجلاً، وجعل في النفس على الخطأ خمسة وعشرين رجلاً</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أبي عمر وعمرو المتطبّب، وفي نسخة من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عمر الطبيب،</w:t>
      </w:r>
      <w:r>
        <w:rPr>
          <w:rStyle w:val="FootnoteAnchor"/>
          <w:rtl w:val="true"/>
        </w:rPr>
        <w:footnoteReference w:id="1213"/>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عمير الطبيب، وفي تعليقات صاحب مفتاح الكرامة على قصاص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الفقيه ابن أبي عمير المتطبّب، والثلاثة مجهولون</w:t>
      </w:r>
      <w:r>
        <w:rPr>
          <w:rFonts w:eastAsia="Amiri" w:cs="Amiri" w:ascii="Amiri" w:hAnsi="Amiri"/>
          <w:color w:val="111111"/>
          <w:sz w:val="28"/>
          <w:szCs w:val="28"/>
          <w:rtl w:val="true"/>
          <w:lang w:bidi="ar-SA"/>
        </w:rPr>
        <w:t>»</w:t>
      </w:r>
      <w:r>
        <w:rPr>
          <w:rStyle w:val="FootnoteAnchor"/>
          <w:rtl w:val="true"/>
        </w:rPr>
        <w:footnoteReference w:id="1214"/>
      </w:r>
      <w:r>
        <w:rPr>
          <w:rFonts w:ascii="Amiri" w:hAnsi="Amiri" w:eastAsia="Amiri" w:cs="Amiri"/>
          <w:color w:val="111111"/>
          <w:sz w:val="28"/>
          <w:sz w:val="28"/>
          <w:szCs w:val="28"/>
          <w:rtl w:val="true"/>
          <w:lang w:bidi="ar-SA"/>
        </w:rPr>
        <w:t>المؤيّد بما جعله المختلف دليلاً،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أنّه أدون من قتل العمد، فناسب تخفيف القسامة</w:t>
      </w:r>
      <w:r>
        <w:rPr>
          <w:rFonts w:eastAsia="Amiri" w:cs="Amiri" w:ascii="Amiri" w:hAnsi="Amiri"/>
          <w:color w:val="111111"/>
          <w:sz w:val="28"/>
          <w:szCs w:val="28"/>
          <w:rtl w:val="true"/>
          <w:lang w:bidi="ar-SA"/>
        </w:rPr>
        <w:t>».</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ولأنّ التهجّم على الدم بالقود أضعف من التهجّم على أخذ الدية، فكان التشدّد في 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وبإطباق العامّة على عدم الفرق والرشد 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وبأخبار الفرقة المحكيّة في الخلاف ،</w:t>
      </w:r>
      <w:r>
        <w:rPr>
          <w:rStyle w:val="FootnoteAnchor"/>
          <w:rtl w:val="true"/>
        </w:rPr>
        <w:footnoteReference w:id="1216"/>
      </w:r>
      <w:r>
        <w:rPr>
          <w:rFonts w:ascii="Amiri" w:hAnsi="Amiri" w:eastAsia="Amiri" w:cs="Amiri"/>
          <w:color w:val="111111"/>
          <w:sz w:val="28"/>
          <w:sz w:val="28"/>
          <w:szCs w:val="28"/>
          <w:rtl w:val="true"/>
          <w:lang w:bidi="ar-SA"/>
        </w:rPr>
        <w:t>ولعلّها غير هذه، وما يحكيه كما يرويه، فهي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وبرواية الأصحاب المحكيّة في الغنية </w:t>
      </w:r>
      <w:r>
        <w:rPr>
          <w:rStyle w:val="FootnoteAnchor"/>
          <w:rtl w:val="true"/>
        </w:rPr>
        <w:footnoteReference w:id="1217"/>
      </w:r>
      <w:r>
        <w:rPr>
          <w:rFonts w:ascii="Amiri" w:hAnsi="Amiri" w:eastAsia="Amiri" w:cs="Amiri"/>
          <w:color w:val="111111"/>
          <w:sz w:val="28"/>
          <w:sz w:val="28"/>
          <w:szCs w:val="28"/>
          <w:rtl w:val="true"/>
          <w:lang w:bidi="ar-SA"/>
        </w:rPr>
        <w:t>الظاهرة في دعوى الإجماع</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وبإجماع الخلاف،</w:t>
      </w:r>
      <w:r>
        <w:rPr>
          <w:rStyle w:val="FootnoteAnchor"/>
          <w:rtl w:val="true"/>
        </w:rPr>
        <w:footnoteReference w:id="1218"/>
      </w:r>
      <w:r>
        <w:rPr>
          <w:rFonts w:ascii="Amiri" w:hAnsi="Amiri" w:eastAsia="Amiri" w:cs="Amiri"/>
          <w:color w:val="111111"/>
          <w:sz w:val="28"/>
          <w:sz w:val="28"/>
          <w:szCs w:val="28"/>
          <w:rtl w:val="true"/>
          <w:lang w:bidi="ar-SA"/>
        </w:rPr>
        <w:t xml:space="preserve">بل وبما في تعليقات القصاص من اللثام لصاحبمفتاح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الكرامة</w:t>
      </w:r>
      <w:r>
        <w:rPr>
          <w:rStyle w:val="FootnoteAnchor"/>
          <w:rtl w:val="true"/>
        </w:rPr>
        <w:footnoteReference w:id="1219"/>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تظهر دعوى الإجماع من المبسوط،</w:t>
      </w:r>
      <w:r>
        <w:rPr>
          <w:rStyle w:val="FootnoteAnchor"/>
          <w:rtl w:val="true"/>
        </w:rPr>
        <w:footnoteReference w:id="1220"/>
      </w:r>
      <w:r>
        <w:rPr>
          <w:rFonts w:ascii="Amiri" w:hAnsi="Amiri" w:eastAsia="Amiri" w:cs="Amiri"/>
          <w:color w:val="111111"/>
          <w:sz w:val="28"/>
          <w:sz w:val="28"/>
          <w:szCs w:val="28"/>
          <w:rtl w:val="true"/>
          <w:lang w:bidi="ar-SA"/>
        </w:rPr>
        <w:t>وقد عضدت ذلك كلّه الشهرة المحكيّة في ثلاثة مواضع، كأظهريتّه بين الأصحاب المحكيّة في كشف الرموز،</w:t>
      </w:r>
      <w:r>
        <w:rPr>
          <w:rStyle w:val="FootnoteAnchor"/>
          <w:rtl w:val="true"/>
        </w:rPr>
        <w:footnoteReference w:id="1221"/>
      </w:r>
      <w:r>
        <w:rPr>
          <w:rFonts w:ascii="Amiri" w:hAnsi="Amiri" w:eastAsia="Amiri" w:cs="Amiri"/>
          <w:color w:val="111111"/>
          <w:sz w:val="28"/>
          <w:sz w:val="28"/>
          <w:szCs w:val="28"/>
          <w:rtl w:val="true"/>
          <w:lang w:bidi="ar-SA"/>
        </w:rPr>
        <w:t>وأظهريّته في المذهب المحكيّة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أخبار المسند في المسألة مؤ‌يّدة ومعتضدة بوجوهٍ خمسة أو أزيد من دليلي المختلف، ومراسيل الخلاف وإجماعه، وإجماع الغنية والإجماعات الظاهرة من المبسوط وغيرها ممّا كانت مذكورة في تعليقات صاحب مفتاح الكرامة على قصاص اللثام ، فإن لم تكن فيها موثّقة أو صحيحة وكانت كلّها غير معتبرة يكفي في اعتبارها وصحّة الاعتماد عليها تلك الوجوه الخمسة، كيف وفيها لا أقلّ من موثّقة ابن فضّال،</w:t>
      </w:r>
      <w:r>
        <w:rPr>
          <w:rStyle w:val="FootnoteAnchor"/>
          <w:rtl w:val="true"/>
        </w:rPr>
        <w:footnoteReference w:id="1222"/>
      </w:r>
      <w:r>
        <w:rPr>
          <w:rFonts w:ascii="Amiri" w:hAnsi="Amiri" w:eastAsia="Amiri" w:cs="Amiri"/>
          <w:color w:val="111111"/>
          <w:sz w:val="28"/>
          <w:sz w:val="28"/>
          <w:szCs w:val="28"/>
          <w:rtl w:val="true"/>
          <w:lang w:bidi="ar-SA"/>
        </w:rPr>
        <w:t xml:space="preserve">وهي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رواية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فضلاً عن تعدّد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المفيد وسلّار وابن إدريس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مستندهم غير واضح عدا الأصل والاحتياط وإطلاقات الأخبار بالخمسين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على الظاهر من مقابلته في الاستدلال به مع الاحتياط هو الاقتصار على قدر المتيقّن، أنّه لا محلّ له مع النصّ والدليلعلى خمسة وعشرين في الخطأ</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 بالمثل، فإنّ زيادة الأيمان على الحالف تكليف ينافي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إلزام المكلّف به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 بين نوعين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ورد في قضيّة عبدالله بن سهل، وسياقها أجمع ظاهر، بل وصريح في قتل العمد،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أقيده برمّته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3"/>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فليقسم خمسون رجلاً منكم ندفعه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على أنّه قد ردّ جماعة الاستدلال بها على تقدير التسليم لإطلاقها؛ بأنّها قضيّة في واقعة لا عموم لها بحيث ينتفع به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العامّ محمول على الخاصّ، والمطلق على المقيّد، والمجمل على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ونوع ورد معلّلاً لشرعيّة القسامة بمثل ما في صحيح بريد بن معاوية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 إذا رأى الفاجر الفاسق فرصة من عدوّه حجزه مخافة القسامة أن يقتل به، فكفّ عن قتله</w:t>
      </w:r>
      <w:r>
        <w:rPr>
          <w:rFonts w:eastAsia="IRNazanin" w:cs="IRNazanin"/>
          <w:color w:val="111111"/>
          <w:sz w:val="28"/>
          <w:szCs w:val="28"/>
          <w:rtl w:val="true"/>
          <w:lang w:bidi="fa-IR"/>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صريح في اختصاصها بالعمد دون الخطأ وما يشبهه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لا ريب في ضعف هذا القول وإن ادّعى عليه إجماع المسلمين في السرائر</w:t>
      </w:r>
      <w:r>
        <w:rPr>
          <w:rStyle w:val="FootnoteAnchor"/>
          <w:rtl w:val="true"/>
        </w:rPr>
        <w:footnoteReference w:id="1226"/>
      </w:r>
      <w:r>
        <w:rPr>
          <w:rFonts w:ascii="Amiri" w:hAnsi="Amiri" w:eastAsia="Amiri" w:cs="Amiri"/>
          <w:color w:val="111111"/>
          <w:sz w:val="28"/>
          <w:sz w:val="28"/>
          <w:szCs w:val="28"/>
          <w:rtl w:val="true"/>
          <w:lang w:bidi="ar-SA"/>
        </w:rPr>
        <w:t>والشهرة في الروضة؛</w:t>
      </w:r>
      <w:r>
        <w:rPr>
          <w:rStyle w:val="FootnoteAnchor"/>
          <w:rtl w:val="true"/>
        </w:rPr>
        <w:footnoteReference w:id="1227"/>
      </w:r>
      <w:r>
        <w:rPr>
          <w:rFonts w:ascii="Amiri" w:hAnsi="Amiri" w:eastAsia="Amiri" w:cs="Amiri"/>
          <w:color w:val="111111"/>
          <w:sz w:val="28"/>
          <w:sz w:val="28"/>
          <w:szCs w:val="28"/>
          <w:rtl w:val="true"/>
          <w:lang w:bidi="ar-SA"/>
        </w:rPr>
        <w:t xml:space="preserve">لظهور وهن الأوّل بمخالفة عظماء الطائفة، مع </w:t>
      </w:r>
      <w:bookmarkStart w:id="278" w:name="pg9428_72731"/>
    </w:p>
    <w:p>
      <w:pPr>
        <w:pStyle w:val="BookText"/>
        <w:rPr/>
      </w:pPr>
      <w:bookmarkEnd w:id="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قوم بلغ مقدار القسامة حلف كلّ واحد يميناً وإن نقصوا عنه كرّرت عليهم الأيمان حتّى يكملوا القسامة، ولو كان القوم أكثر، فهم مختارون في تعيين خمسين منهم في العمد وخمسة وعشرين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للمدّعي قسامة، أو كان ولكن امتنعوا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المدّعي ومن يوافقه إن كان، وكرّر عليهم حتّى تتمّ القسامة، ولو لم يوافقه أحد كرّر عليه حتّى يأتي بتمام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لم ينقل موافقاً له عدا المفيد</w:t>
      </w:r>
      <w:r>
        <w:rPr>
          <w:rStyle w:val="FootnoteAnchor"/>
          <w:rtl w:val="true"/>
        </w:rPr>
        <w:footnoteReference w:id="1228"/>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سلامته عن الوهن فهو معارض بإجماع الشيخ،</w:t>
      </w:r>
      <w:r>
        <w:rPr>
          <w:rStyle w:val="FootnoteAnchor"/>
          <w:rtl w:val="true"/>
        </w:rPr>
        <w:footnoteReference w:id="1229"/>
      </w:r>
      <w:r>
        <w:rPr>
          <w:rFonts w:ascii="Amiri" w:hAnsi="Amiri" w:eastAsia="Amiri" w:cs="Amiri"/>
          <w:color w:val="111111"/>
          <w:sz w:val="28"/>
          <w:sz w:val="28"/>
          <w:szCs w:val="28"/>
          <w:rtl w:val="true"/>
          <w:lang w:bidi="ar-SA"/>
        </w:rPr>
        <w:t>وبنحو هذا يجاب عن دعوى الشهرة، فإنّها على تقدير تسليمها معارضة بنقل الشهرة على الخلاف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المذهب هو القول الأوّل وإن كان الثاني أحوط، لكن لا مطلقاً كما زعموه، بل إذا بذل الحالف الزيادة برضى ورغبة، وإلّا فإلزامه بها خلاف الاحتياط أيضاً كما عرفته</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5797587_2870459653"/>
      <w:bookmarkStart w:id="280" w:name="_Toc94"/>
      <w:bookmarkEnd w:id="279"/>
      <w:r>
        <w:rPr>
          <w:rtl w:val="true"/>
        </w:rPr>
        <w:t>في عدم القسامة للمدّعي</w:t>
      </w:r>
      <w:bookmarkEnd w:id="2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يكن له قوم، أو كانوا فامتنعوا من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بالحال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المدّعي خمسين يميناً كما ذكره غير واحد، بل فيالرياض</w:t>
      </w:r>
      <w:r>
        <w:rPr>
          <w:rStyle w:val="FootnoteAnchor"/>
          <w:rtl w:val="true"/>
        </w:rPr>
        <w:footnoteReference w:id="1230"/>
      </w:r>
      <w:r>
        <w:rPr>
          <w:rFonts w:ascii="Amiri" w:hAnsi="Amiri" w:eastAsia="Amiri" w:cs="Amiri"/>
          <w:color w:val="111111"/>
          <w:sz w:val="28"/>
          <w:sz w:val="28"/>
          <w:szCs w:val="28"/>
          <w:rtl w:val="true"/>
          <w:lang w:bidi="ar-SA"/>
        </w:rPr>
        <w:t xml:space="preserve">نفي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 فيه، وفي المدّعى عليه إذا لم يقسم المدّعي، بل عن الغنية</w:t>
      </w:r>
      <w:r>
        <w:rPr>
          <w:rStyle w:val="FootnoteAnchor"/>
          <w:rtl w:val="true"/>
        </w:rPr>
        <w:footnoteReference w:id="1231"/>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فكيفيّتها أن يحلف المدّعي وأقاربه أوّلاً، فإن بلغوا العدد المعتبر حلف كلّ واحد منهم يميناً، وإلّا كرّرت عليه الأيمان بالسوية أو التفريق، والتخيير إليهم، كما لو زاد عددهم عن العدد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للمدّعي قسامة، أو امتنعوا كلاً أوبعضاً؛ لعدم العلم أو اقتراحاً، حلف المدّعي ومن وافقه إن كان، وإلّا كرّرت عليه الأيمان حتّى يأتي بالعدد 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يحلف وكان للمنكر من قومه قسامة، حلف كلٌّ منهم حتّى يكملوا العدد، ولو لم يكن له قسامة يحلفون كرّرت عليه حتّى يأتي تمام العدد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التفصيل كما هو وإن لم يستفد صريحاً من أخبار القسامة، إلّا أنّه لا خلاف أجده فيه، بل عليه الإجماع عن الغنية كما عرفت،</w:t>
      </w:r>
      <w:r>
        <w:rPr>
          <w:rStyle w:val="FootnoteAnchor"/>
          <w:rtl w:val="true"/>
        </w:rPr>
        <w:footnoteReference w:id="1232"/>
      </w:r>
      <w:r>
        <w:rPr>
          <w:rFonts w:ascii="Amiri" w:hAnsi="Amiri" w:eastAsia="Amiri" w:cs="Amiri"/>
          <w:color w:val="111111"/>
          <w:sz w:val="28"/>
          <w:sz w:val="28"/>
          <w:szCs w:val="28"/>
          <w:rtl w:val="true"/>
          <w:lang w:bidi="ar-SA"/>
        </w:rPr>
        <w:t>بل يمكن استفادته أيضاً من التأ‌مّل في النصوص، فإنّه وإن ذكر في بعضها</w:t>
      </w:r>
      <w:r>
        <w:rPr>
          <w:rStyle w:val="FootnoteAnchor"/>
          <w:rtl w:val="true"/>
        </w:rPr>
        <w:footnoteReference w:id="1233"/>
      </w:r>
      <w:r>
        <w:rPr>
          <w:rFonts w:ascii="Amiri" w:hAnsi="Amiri" w:eastAsia="Amiri" w:cs="Amiri"/>
          <w:color w:val="111111"/>
          <w:sz w:val="28"/>
          <w:sz w:val="28"/>
          <w:szCs w:val="28"/>
          <w:rtl w:val="true"/>
          <w:lang w:bidi="ar-SA"/>
        </w:rPr>
        <w:t>الأمر بأن يقسم خمسون رجلاً، إلّا أنّ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فليتمّوا قسامة خمسين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وهو مع قراءته بالإضافة يكون ظاهراً في إرادة خمسين يميناً، بل لعلّ صحيح مسعدة</w:t>
      </w:r>
      <w:r>
        <w:rPr>
          <w:rStyle w:val="FootnoteAnchor"/>
          <w:rtl w:val="true"/>
        </w:rPr>
        <w:footnoteReference w:id="1235"/>
      </w:r>
      <w:r>
        <w:rPr>
          <w:rFonts w:ascii="Amiri" w:hAnsi="Amiri" w:eastAsia="Amiri" w:cs="Amiri"/>
          <w:color w:val="111111"/>
          <w:sz w:val="28"/>
          <w:sz w:val="28"/>
          <w:szCs w:val="28"/>
          <w:rtl w:val="true"/>
          <w:lang w:bidi="ar-SA"/>
        </w:rPr>
        <w:t xml:space="preserve">السابق ظاهر أيضاً فيه، بل لعلّ غيره من النصوص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ولو بمعونة الاتّفاق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النصوص</w:t>
      </w:r>
      <w:r>
        <w:rPr>
          <w:rStyle w:val="FootnoteAnchor"/>
          <w:rtl w:val="true"/>
        </w:rPr>
        <w:footnoteReference w:id="1236"/>
      </w:r>
      <w:r>
        <w:rPr>
          <w:rFonts w:ascii="Amiri" w:hAnsi="Amiri" w:eastAsia="Amiri" w:cs="Amiri"/>
          <w:color w:val="111111"/>
          <w:sz w:val="28"/>
          <w:sz w:val="28"/>
          <w:szCs w:val="28"/>
          <w:rtl w:val="true"/>
          <w:lang w:bidi="ar-SA"/>
        </w:rPr>
        <w:t>قصّة عبدالله بن سهل تقديم حلف المدّعى عليه أوّلاً ثمّ المدّعي، ولكن غيره من النصوص والفتاوى والإجماع بقسميه على العكس، فيحمل ذلك على عدم إرادة الترتيب منه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فلابدّ من الخمسين في قتل العمد حتّى إذا لم يكن إلّا الوليّ حلفها أجمع بلا خلاف ولا إشكال، وستسمع ما يدلّ عليه في الجملة في قسامة الأعضاء</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يستفاد من الأخبار بل عليه الصراحة فيها، كون القسامة منتقلة إلى المدّعى عليه مع عدمها للمدّعي، كما أنّ مقتضى إطلاقها كفاية خمسين رجلاً في القسامة كانوا من أقارب من له الحلف من المدّعي أو المدّعى عليه أو من غير أقاربه من دون فرق بينهما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مسألة التكرار على المدّعي أو المدعّى عليه حتّى يأتي كلّ واحد منهما تمام العدد، أو على المدّعي ومن يحلف معه مع عدم بلوغها خمسين، أو المدّعى عليه كذلك، فليس في الأخبار ما يدلّ عليه، بل الظاهر أو الصريح من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فليقسم خمسون رجلاًمنكم على رجل ندفعه اليكم</w:t>
      </w:r>
      <w:r>
        <w:rPr>
          <w:rFonts w:eastAsia="IRNazanin" w:cs="IRNazanin"/>
          <w:color w:val="111111"/>
          <w:sz w:val="28"/>
          <w:szCs w:val="28"/>
          <w:rtl w:val="true"/>
          <w:lang w:bidi="fa-IR"/>
        </w:rPr>
        <w:t>»</w:t>
      </w:r>
      <w:r>
        <w:rPr>
          <w:rStyle w:val="FootnoteAnchor"/>
          <w:rtl w:val="true"/>
        </w:rPr>
        <w:footnoteReference w:id="1238"/>
      </w:r>
      <w:r>
        <w:rPr>
          <w:rFonts w:ascii="Amiri" w:hAnsi="Amiri" w:eastAsia="Amiri" w:cs="Amiri"/>
          <w:color w:val="111111"/>
          <w:sz w:val="28"/>
          <w:sz w:val="28"/>
          <w:szCs w:val="28"/>
          <w:rtl w:val="true"/>
          <w:lang w:bidi="ar-SA"/>
        </w:rPr>
        <w:t xml:space="preserve">اعتبار عدد الخمسين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الحالفين وعدم كفاية الخمسين يميناً من دون ذلك، كما في مسألتي التكرار، بل الظاهر من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فأقيموا أو فليتمّوا قسامة خمسين رجلاً</w:t>
      </w:r>
      <w:r>
        <w:rPr>
          <w:rFonts w:eastAsia="IRNazanin" w:cs="IRNazanin"/>
          <w:color w:val="111111"/>
          <w:sz w:val="28"/>
          <w:szCs w:val="28"/>
          <w:rtl w:val="true"/>
          <w:lang w:bidi="fa-IR"/>
        </w:rPr>
        <w:t>»</w:t>
      </w:r>
      <w:r>
        <w:rPr>
          <w:rStyle w:val="FootnoteAnchor"/>
          <w:rtl w:val="true"/>
        </w:rPr>
        <w:footnoteReference w:id="1239"/>
      </w:r>
      <w:r>
        <w:rPr>
          <w:rFonts w:ascii="Amiri" w:hAnsi="Amiri" w:eastAsia="Amiri" w:cs="Amiri"/>
          <w:color w:val="111111"/>
          <w:sz w:val="28"/>
          <w:sz w:val="28"/>
          <w:szCs w:val="28"/>
          <w:rtl w:val="true"/>
          <w:lang w:bidi="ar-SA"/>
        </w:rPr>
        <w:t xml:space="preserve">ذلك أيضاً، فإنّ العدد مع تمييزه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خمسين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أو بيان للقسامة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مع قراءة الحديث بالإضافة، يكون ظاهراً في إرادته خمسين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بأزيد من الاحتمال المخالف لظاهر القراءة، والمتعارف في أمثال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ثبوته فظهوره فيما ذكره تامّ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صحيح مسعدة بن زياد فيه دلالة على كفاية التكرار من الحالفين الذين لم يبلغ عددهم الخمسين؛ وذلك لإطلاق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حلّف المتّهمين بالقتل خمسين يميناً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0"/>
      </w:r>
      <w:r>
        <w:rPr>
          <w:rFonts w:ascii="Amiri" w:hAnsi="Amiri" w:eastAsia="Amiri" w:cs="Amiri"/>
          <w:color w:val="111111"/>
          <w:sz w:val="28"/>
          <w:sz w:val="28"/>
          <w:szCs w:val="28"/>
          <w:rtl w:val="true"/>
          <w:lang w:bidi="ar-SA"/>
        </w:rPr>
        <w:t>فإنّه شامل لما كان المتّهمون بعدد القسامة أو أقلّ منه أو أكثر، بل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الأقلّ من عدد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ثلاثة أيضاً بإلغاء الخصوصيّة العرفيّة، فإنّهإذا كان خمسون يميناً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أقلّ عدد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كافية لذلك الإطلاق، فكذلك الخمسون من اثنين أو واحد، ولا استبعاد في كفاية الخمسين يميناً من واحد، حيث يفهم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تماميّة الحجّة قبل القسامة تقريباً، وأنّها تكون رعاية لمناسب الدم ورعاية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الاحتياط فيه أزيد من المال كما مرّ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دلالة على أنّ المناط عدد الخمسين في اليمين كما هو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خمسين يميناً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فعلى اعتبار العدد لابدّ وأن لا يكتفى بأقلّ من العدد في الحالف ولو بأن يزيد الحالف عن ثلاثة كما هو الواضح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دلالة الصحيح على الاكتفاء في المتّهم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الاكتفاء في الوليّ أيضاً؛ لعدم الخصوصيّة عرفاً، بل دلالته عليها فيه أظهر، حيث إنّ الوليّ هو الأصل في القسامة، وأنّها تكون حفظاً للنفوس ونجاتها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مقتضى التحقيق عدم صحّة إلغاء الخصوصيّة من المتّهم والمدّعى عليه إلى المدّعي، حيث إنّ حلف المنكر مطلقاً حتّى في باب اللوث إنّما يكون لفصل الدعوى، وإلّا فلا احتياج إلى حلفه بحسب القواعد الأوليّة، فإنّ قوله موافق للبراءة وكونه خمسين قسامة في باب اللوث إنّما يكون لخصوصيّة اللوث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الحلف والقسامة في المدّعي، فإنّه لازم بحسب القواعد الأوليّة والاعتبارات العقلائيّة؛ لكونه مدّعياً على الآخر على خلاف البراءة، وبحلفه وقسامته يلزم مدّعاه على المنكر، ويحكم عليه بالقصاص في مورده وبغيره في الموارد الأُخرى</w:t>
      </w:r>
      <w:r>
        <w:rPr>
          <w:rFonts w:eastAsia="Amiri" w:cs="Amiri" w:ascii="Amiri" w:hAnsi="Amiri"/>
          <w:color w:val="111111"/>
          <w:sz w:val="28"/>
          <w:szCs w:val="28"/>
          <w:rtl w:val="true"/>
          <w:lang w:bidi="ar-SA"/>
        </w:rPr>
        <w:t>.</w:t>
      </w:r>
      <w:r>
        <w:rPr>
          <w:rStyle w:val="FootnoteAnchor"/>
          <w:rtl w:val="true"/>
        </w:rPr>
        <w:footnoteReference w:id="124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التفاوت والاختلاف الفاحش من حيث الاعتبارات والقواعد،ومن حيث نتيجة الحلف من أنّها البراءة في قسامة المتّهم والقصاص في قسامة المدّعي،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القول بالإلغاء والتعدّي من الخمسين في منكر القتل ولو من الواحد الموافق للسهولة والبراءة إلى المدّعى له المخالف للبراءة والموجب للقصاص؟</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إلغاء الخصوصيّة من المدّعى عليه إلى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المتن من الاكتفاء بالأقلّ في المسألة وسابقها وتواليها إلى المسألة السادسة غير موجّه ولا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عدم الاكتفاء بالأيمان المكرّرة من المدّعي أو منه ومن بعض من يحلف له من قومه، بل لابدّ من اعتبار العدد أي الخمسين في الحالفين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المدّعى عليه، فيكفيه العدد في الأيمان فقط؛ لصحيح مسعدة بن زياد</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وما في الجواهر</w:t>
      </w:r>
      <w:r>
        <w:rPr>
          <w:rStyle w:val="FootnoteAnchor"/>
          <w:rtl w:val="true"/>
        </w:rPr>
        <w:footnoteReference w:id="1243"/>
      </w:r>
      <w:r>
        <w:rPr>
          <w:rFonts w:ascii="Amiri" w:hAnsi="Amiri" w:eastAsia="Amiri" w:cs="Amiri"/>
          <w:color w:val="111111"/>
          <w:sz w:val="28"/>
          <w:sz w:val="28"/>
          <w:szCs w:val="28"/>
          <w:rtl w:val="true"/>
          <w:lang w:bidi="ar-SA"/>
        </w:rPr>
        <w:t>من ادّعائه عدم وجدانه الخلاف فيها، ومن نقله الإجماع عن الغنية عليها،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الاكتفاء بإجماع الغنية مع انفراده به في مثل المسألة مشكلٌ، أنّ في إجماع الغنية من حيث كونه مربوطاً بالتكرار أو أمراً آخر تأ‌مّل، ولننقل عبارته حتّى يتّضح الحال للمتأ‌مّل، قال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نقصوا عن ذلك كرّرت عليهم الأيمان حتّى تكمل خمسين يميناً، وإن لم يكن إلّا وليّ الدم وحده أقسم خمسين يميناً، فإن لم يقسم أولياء المقتول أقسم خمسون رجلاً من أولياء المتّهم أنّه بريء ممّا ادّعي عليه، فإن لم يكن له من يقسم، حلف هو خمسين يميناً وبريء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والقسامة لا تكون إلّا مع التهمة بأماراتظاهرة، ويدلّ على ذلك إجماع الطائفة</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العدد ناقصاً، فهل يجب التوزيع عليهم بالسويّة، فإن كان عددهم عشرة يحلف كلّ واحد خمسة، أو يحلف كلّ مرّة ويتمّ وليّ الدم النقيصة، أو لهم الخيرة بعد يمين كلّ واحد، فلهم التوزيع بينهم بأيّ نحو شاؤوا؟ لا يبعد الأخير؛ وإن كان الأولى التوزيع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التوزيع كسر، كما إذا كان عددهم سبعة، فبعد التوزيع بقي الكسر واحداً، فلهم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حلف وليّ الدم في المفروض، بل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النقيصة مطلقاً على وليّ الدم أو أوليائه فليس ببعيد، فإذا كان العدد تسعة فالباقي خمسة يحلفها الوليّ أو الأولياء، فإن كان في التوزيع بين الأولياء كسر فهم بالخيار، ولو وقع فيهم تشاحّ فلا يبعد الرجوع إلى القرعة وليس هذا نكولاً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القسامة أن تكون من الورّاث فعلاً، أو في طبقات</w:t>
      </w:r>
    </w:p>
    <w:p>
      <w:pPr>
        <w:pStyle w:val="BookText"/>
        <w:rPr/>
      </w:pPr>
      <w:r>
        <w:rPr>
          <w:rFonts w:ascii="Amiri" w:hAnsi="Amiri" w:eastAsia="Amiri" w:cs="Amiri"/>
          <w:color w:val="111111"/>
          <w:sz w:val="28"/>
          <w:sz w:val="28"/>
          <w:szCs w:val="28"/>
          <w:rtl w:val="true"/>
          <w:lang w:bidi="ar-SA"/>
        </w:rPr>
        <w:t>هذا، لكنّ القول بمثل ما في المتن على المختار في اللوث من اعتبار الظنّ الغالب المتآخم للعلم؛ لإلغاء خصوصيّة الخمسين في الحالفين عرفاً، وإنّما المناط عندهم الخمسين حلفاً غير بعيد، بل لا يخلو من قوّة، حيث إنّه على المختار كأنّ الحجّة مع اللوث تامّة للحاكم والحكم بالقصاص، وإنّما القسامة للاحتياط في الدماء كما مرّ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الإلغاء مؤ‌يّد بما نقلناه وذكرناه من وجوه الاكتفاء، فإنّها وإن كانت غير تامّة للاستدلال لكنّها كافية للتأ‌مّل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شيء ممّا في المسألة نصّ ولا حجّة معتبرة، وإنّما الوجوه ليست بأزيد من الدراية غير المعتبرة، كما يظهر من جمع المتنبين نفي البعد والأولويّة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فيها من القرعة على التشاحّ وعدم كونه نكولاً، فالدليل عليه عمومات القرعة وإطلاقاتها، فإنّها لكلّ أمر مشكلٌ في باب الحقوق</w:t>
      </w:r>
      <w:r>
        <w:rPr>
          <w:rFonts w:eastAsia="Amiri" w:cs="Amiri" w:ascii="Amiri" w:hAnsi="Amiri"/>
          <w:color w:val="111111"/>
          <w:sz w:val="28"/>
          <w:szCs w:val="28"/>
          <w:rtl w:val="true"/>
          <w:lang w:bidi="ar-SA"/>
        </w:rPr>
        <w:t xml:space="preserve">. </w:t>
      </w:r>
      <w:bookmarkStart w:id="281" w:name="pg9428_72738"/>
    </w:p>
    <w:p>
      <w:pPr>
        <w:pStyle w:val="BookText"/>
        <w:rPr/>
      </w:pPr>
      <w:bookmarkEnd w:id="281"/>
      <w:r>
        <w:rPr>
          <w:rFonts w:ascii="Amiri" w:hAnsi="Amiri" w:eastAsia="Amiri" w:cs="Amiri"/>
          <w:color w:val="111111"/>
          <w:sz w:val="28"/>
          <w:sz w:val="28"/>
          <w:szCs w:val="28"/>
          <w:rtl w:val="true"/>
          <w:lang w:bidi="ar-SA"/>
        </w:rPr>
        <w:t>الإرث ولو لم تكن وارثاً فعلاً، أو يكفي كونها من قبيلة المدّعي وعشيرته عرفاً وإن لم تكن من أقربائه؟ الظاهر عدم اعتبار الوراثة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اعتبار ذلك في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الأفراد فالاكتفاء بكونهم من القبيلة والعشيرة غير بعيد، لكن الأظهر أن يكونوا من أهل الرجل وأقربائه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اعتبار الرجوليّة في القسامة، وأمّا في المدّعي فلا تعتبر فيه وإن كانت أحد المدّعين، ومع عدم العدد من الرجال ففي كفاية حلف النساء تأ‌مّل وإشكال، فلابدّ من التكرير بين الرجال، ومع الفقد يحلف المدّعي تمام العدد ولو كان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5797589_2870459653"/>
      <w:bookmarkStart w:id="283" w:name="_Toc95"/>
      <w:bookmarkEnd w:id="282"/>
      <w:r>
        <w:rPr>
          <w:rtl w:val="true"/>
        </w:rPr>
        <w:t>ما يعتبر في القسامة</w:t>
      </w:r>
      <w:bookmarkEnd w:id="2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ظواهر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أي عدم اعتبار الوراثة الفعليّة، فوجه الظهور فيه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أي اعتبارها في المدّعي، فوجهه كون القصاص من حقوق الناس ووليّه وارث المقتول، كما هو واضح وغير محتاج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ذيله من الاكتفاء بكونهم من القبيلة والعشيرة، ونفي البعد عنها الظاهر في البعد في كفاية الأجنبيّ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هو الاكتفاء بمطلقهم وإن كانوا أجانب؛ قضاءًلإطلاق أخبار القسامة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أي اعتبار الرجوليّة، فوجه الظهور لابدّ وأن يكون من باب الاقتصار على القدر المتيقّن؛ لما في بعض أخبارها التقييد بالرجل،</w:t>
      </w:r>
      <w:r>
        <w:rPr>
          <w:rStyle w:val="FootnoteAnchor"/>
          <w:rtl w:val="true"/>
        </w:rPr>
        <w:footnoteReference w:id="1245"/>
      </w:r>
      <w:r>
        <w:rPr>
          <w:rFonts w:ascii="Amiri" w:hAnsi="Amiri" w:eastAsia="Amiri" w:cs="Amiri"/>
          <w:color w:val="111111"/>
          <w:sz w:val="28"/>
          <w:sz w:val="28"/>
          <w:szCs w:val="28"/>
          <w:rtl w:val="true"/>
          <w:lang w:bidi="ar-SA"/>
        </w:rPr>
        <w:t xml:space="preserve">وإن كان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بعضها الإطلاق،</w:t>
      </w:r>
      <w:r>
        <w:rPr>
          <w:rStyle w:val="FootnoteAnchor"/>
          <w:rtl w:val="true"/>
        </w:rPr>
        <w:footnoteReference w:id="1246"/>
      </w:r>
      <w:r>
        <w:rPr>
          <w:rFonts w:ascii="Amiri" w:hAnsi="Amiri" w:eastAsia="Amiri" w:cs="Amiri"/>
          <w:color w:val="111111"/>
          <w:sz w:val="28"/>
          <w:sz w:val="28"/>
          <w:szCs w:val="28"/>
          <w:rtl w:val="true"/>
          <w:lang w:bidi="ar-SA"/>
        </w:rPr>
        <w:t>أو من باب تقييد المطلقات منها بمقيّداتها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مع ذلك عدم الاعتبار بها؛ لعدم الخصوصيّة للرجولية وإلغائها في نظر العرف وعدم دخالتها في القسامة والحلف، فإنّ المناط في إثبات اللوث وتأييده أو نفيه ورفعه هو الحلف بما هو هو من دون فرق بين كون الحالف رجلاً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عدم الاعتبار موافق لعموم العلّة في القسامه وإطلاقها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القسامة احتياطاً للناس</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القسامة نجاة للناس</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حقن دماء المسلمين بالقسامة</w:t>
      </w:r>
      <w:r>
        <w:rPr>
          <w:rFonts w:eastAsia="Amiri" w:cs="Amiri" w:ascii="Amiri" w:hAnsi="Amiri"/>
          <w:color w:val="111111"/>
          <w:sz w:val="28"/>
          <w:szCs w:val="28"/>
          <w:rtl w:val="true"/>
          <w:lang w:bidi="ar-SA"/>
        </w:rPr>
        <w:t>»</w:t>
      </w:r>
      <w:r>
        <w:rPr>
          <w:rStyle w:val="FootnoteAnchor"/>
          <w:rtl w:val="true"/>
        </w:rPr>
        <w:footnoteReference w:id="1249"/>
      </w:r>
      <w:r>
        <w:rPr>
          <w:rFonts w:ascii="Amiri" w:hAnsi="Amiri" w:eastAsia="Amiri" w:cs="Amiri"/>
          <w:color w:val="111111"/>
          <w:sz w:val="28"/>
          <w:sz w:val="28"/>
          <w:szCs w:val="28"/>
          <w:rtl w:val="true"/>
          <w:lang w:bidi="ar-SA"/>
        </w:rPr>
        <w:t>وإطلاق بعض تلك الأخبار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في وجه الاعتبار من الاقتصار على القدر المتيقّن يظهر وجه التأ‌مّل وإشكال المتن في فرع عدم العدد من الرجال من الاقتصار على المتيقّن، فإنّ القسامة على خلاف القواعد، ومن أنّه مع الاضطرار وعدم العدد من الرجال لابدّ من الاكتفاء بهنّ حفظاً لعلّة القسامة، وهي نجاةالناس</w:t>
      </w:r>
      <w:r>
        <w:rPr>
          <w:rFonts w:eastAsia="Amiri" w:cs="Amiri" w:ascii="Amiri" w:hAnsi="Amiri"/>
          <w:color w:val="111111"/>
          <w:sz w:val="28"/>
          <w:szCs w:val="28"/>
          <w:rtl w:val="true"/>
          <w:lang w:bidi="ar-SA"/>
        </w:rPr>
        <w:t xml:space="preserve">. </w:t>
      </w:r>
      <w:bookmarkStart w:id="284" w:name="pg9428_72740"/>
    </w:p>
    <w:p>
      <w:pPr>
        <w:pStyle w:val="BookText"/>
        <w:rPr/>
      </w:pPr>
      <w:bookmarkEnd w:id="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المدّعي أكثر من واحد فالظاهر كفاية خمسين قسامة،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المدّعى عليه أكثر ففي كفاية خمسين قسامة وعدمها إشكال، والأوجه تعدّد القسامة حسب تعدّد المدّعى عليه، فلو كان اثنين يحلف كلّ منهما مع قومه خمسين قسامة على ردّ دعوى المدّعي، وإن كان الاكتفاء بالخمسين لا يخلو من وجه، لكن الأوّل أوجه</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5797591_2870459653"/>
      <w:bookmarkStart w:id="286" w:name="_Toc96"/>
      <w:bookmarkEnd w:id="285"/>
      <w:r>
        <w:rPr>
          <w:rtl w:val="true"/>
        </w:rPr>
        <w:t>فيما كان المدّعي أو المدّعى عليه أكثر من واحد</w:t>
      </w:r>
      <w:bookmarkEnd w:id="2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الخلاف </w:t>
      </w:r>
      <w:r>
        <w:rPr>
          <w:rStyle w:val="FootnoteAnchor"/>
          <w:rtl w:val="true"/>
        </w:rPr>
        <w:footnoteReference w:id="1250"/>
      </w:r>
      <w:r>
        <w:rPr>
          <w:rFonts w:ascii="Amiri" w:hAnsi="Amiri" w:eastAsia="Amiri" w:cs="Amiri"/>
          <w:color w:val="111111"/>
          <w:sz w:val="28"/>
          <w:sz w:val="28"/>
          <w:szCs w:val="28"/>
          <w:rtl w:val="true"/>
          <w:lang w:bidi="ar-SA"/>
        </w:rPr>
        <w:t>وصريح الجواهر</w:t>
      </w:r>
      <w:r>
        <w:rPr>
          <w:rStyle w:val="FootnoteAnchor"/>
          <w:rtl w:val="true"/>
        </w:rPr>
        <w:footnoteReference w:id="1251"/>
      </w:r>
      <w:r>
        <w:rPr>
          <w:rFonts w:ascii="Amiri" w:hAnsi="Amiri" w:eastAsia="Amiri" w:cs="Amiri"/>
          <w:color w:val="111111"/>
          <w:sz w:val="28"/>
          <w:sz w:val="28"/>
          <w:szCs w:val="28"/>
          <w:rtl w:val="true"/>
          <w:lang w:bidi="ar-SA"/>
        </w:rPr>
        <w:t>كون الكفاية في مفروض المسألة، وهو ما إذا كان المدّعي أكثر من واحد إجماعيّة، ويدلّ عليها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صحيح بريد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اليهودي قتل صاحبنا،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للطالبين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أقيموا رجلين عدلين من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فأقيموا قسامة خمسين رجلاً أقيده برمّته</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 xml:space="preserve">ومثله غيره من الأخبار الواردة في تلك القضيّة، بل تدلّ عليها أيضاً مثل ما في موثّقة مسعدة بن زياد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يقم القوم المدّعون البيّنة على قتل قتيلهم ولم يقسموا بأنّ المتّهمين قتلوه، حلّف المتّهمين بالقتل</w:t>
      </w:r>
      <w:r>
        <w:rPr>
          <w:rFonts w:eastAsia="IRNazanin" w:cs="IRNazanin"/>
          <w:color w:val="111111"/>
          <w:sz w:val="28"/>
          <w:szCs w:val="28"/>
          <w:rtl w:val="true"/>
          <w:lang w:bidi="fa-IR"/>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التعدّد، بل ويدلّ عليه ثالثة إطلاقات أخبار القسامة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أنّ الحقّ في إقامة الدعوى لعلّه للمقتول وتنقل منه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الوارث، فهو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الكفاية فيما كان المدّعى عليه أكثر من واحد ففيها خلاف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المبسوط</w:t>
      </w:r>
      <w:r>
        <w:rPr>
          <w:rStyle w:val="FootnoteAnchor"/>
          <w:rtl w:val="true"/>
        </w:rPr>
        <w:footnoteReference w:id="1254"/>
      </w:r>
      <w:r>
        <w:rPr>
          <w:rFonts w:ascii="Amiri" w:hAnsi="Amiri" w:eastAsia="Amiri" w:cs="Amiri"/>
          <w:color w:val="111111"/>
          <w:sz w:val="28"/>
          <w:sz w:val="28"/>
          <w:szCs w:val="28"/>
          <w:rtl w:val="true"/>
          <w:lang w:bidi="ar-SA"/>
        </w:rPr>
        <w:t>وغيره ومن تأخّر عنه عدم الكفاية، وأنّ على كلّ واحد خمسين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الخلاف الاكتفاء بخمسين منهم أجمع؛ مدّعياً عليها الإجماع،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المدّعي واحداً فعليه خمسون يميناً بلا خلاف، وكذلك المدّعى عليه إن كان واحداً فعليه خمسون يميناً، وإن كان المدّعون جماعة فعليهم خمسون يميناً عندنا، ولا يلزم كلّ واحد خمسون يميناً، وكذلك في المدّعى عليه إن كان واحداً لزمته خمسون يميناً وإن كانوا جماعة لم يلزمهم أكثر من خمسين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قلناه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كلّ واحد خمسون يميناً في الموضعين،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أصحّهما أنّ في جنبة المدّعي خمسين يميناً بالحصص من الدية، للذكر مثل حظّ الانثيين، فإن ينقص في واحد كمل يميناً تامّة، وأصحّهما في جنبة المدّعى عليه أن يلزم كلّ واحد خمسون يميناً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براءة الذمّة، وماقلناه مجمع على لزومه، وما قالوه ليس عليه دليل</w:t>
      </w:r>
      <w:r>
        <w:rPr>
          <w:rFonts w:eastAsia="Amiri" w:cs="Amiri" w:ascii="Amiri" w:hAnsi="Amiri"/>
          <w:color w:val="111111"/>
          <w:sz w:val="28"/>
          <w:szCs w:val="28"/>
          <w:rtl w:val="true"/>
          <w:lang w:bidi="ar-SA"/>
        </w:rPr>
        <w:t>.</w:t>
      </w:r>
      <w:r>
        <w:rPr>
          <w:rStyle w:val="FootnoteAnchor"/>
          <w:rtl w:val="true"/>
        </w:rPr>
        <w:footnoteReference w:id="1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واحد منهم تتوجّه عليه دعوى بانفراده، فهو حينئذٍ منكر يلزم باليمين والفرض أنّها هنا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للثاني بما في خبر أبي بصير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ادّعى الرجل على القوم أنّهم قتلوا كانت اليمين لمدّعي الدم قبل المدّعى عليهم، فعلى المدّعي أن يجيء بخمسين يحلفون أنّ فلاناً قتل فلاناً، فيدفع إليهم الذي 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يقسموا فإنّ على الذين ادّعى عليهم أن يحلف منهم خمسون ما قتلنا ولا علمنا له قاتلاً</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وظاهره كفاية الخمسين فيما كان المدّعى عليه أكثر من واحد؛ لكون المفروض فيه ادّعاء الرجل على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ادّعى الرجل على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في بيان قسامة المدّعى عليه الإشعار، بل الظهور في ذلك؛ لمكان ضمير الجمع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 إطلاق غيره</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وبجملة</w:t>
      </w:r>
      <w:r>
        <w:rPr>
          <w:rStyle w:val="FootnoteAnchor"/>
          <w:rtl w:val="true"/>
        </w:rPr>
        <w:footnoteReference w:id="1258"/>
      </w:r>
      <w:r>
        <w:rPr>
          <w:rFonts w:ascii="Amiri" w:hAnsi="Amiri" w:eastAsia="Amiri" w:cs="Amiri"/>
          <w:color w:val="111111"/>
          <w:sz w:val="28"/>
          <w:sz w:val="28"/>
          <w:szCs w:val="28"/>
          <w:rtl w:val="true"/>
          <w:lang w:bidi="ar-SA"/>
        </w:rPr>
        <w:t>من الأخبار الواردة في قضيّة سهل؛</w:t>
      </w:r>
      <w:r>
        <w:rPr>
          <w:rStyle w:val="FootnoteAnchor"/>
          <w:rtl w:val="true"/>
        </w:rPr>
        <w:footnoteReference w:id="1259"/>
      </w:r>
      <w:r>
        <w:rPr>
          <w:rFonts w:ascii="Amiri" w:hAnsi="Amiri" w:eastAsia="Amiri" w:cs="Amiri"/>
          <w:color w:val="111111"/>
          <w:sz w:val="28"/>
          <w:sz w:val="28"/>
          <w:szCs w:val="28"/>
          <w:rtl w:val="true"/>
          <w:lang w:bidi="ar-SA"/>
        </w:rPr>
        <w:t>لظهورها في دعوى الأنصار على اليهود أنّهم قتلوا صاحبهم، ومع ذلك فقد اكتفى منهم بأنيحلفوا خمسين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صحيح عبدالله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رجلان من الأنصار يصيبان من الثمار فتفرّقا فوجد أحدهما ميتاً، فقال أصحابه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قتل صاحبنا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الحديث، ومثله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الاستدلال بهما ما لا يخفى، أمّا خبر أبي بصير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ضعفه بأبي بصير؛ لاشتراكه بين الثقة وغيره، وعدم الجابر له من عمل الأصحاب من أصله، مع وجود أخبار معتبرة في القسامة، فمن المحتمل، بل الظاهر استناد الأصحاب إليها دونه، فضلاً عمّا يكون عنه مربوطاً بمحلّ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اختلاف بين الخلاف والمبسوط وغيره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وإجماع الخلاف موهون سيّما مع مخالفة التأ‌مّل بنفسه سيّما مع ما فيه من إضافته الأخبار إلى الإجماع، فلعلّ نظر المجمعين إلى أخبار قضيّة سهل، بل الظاهر ذلك؛ لانحصار الدالّ من الأخبار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وأنّه لا ظهور له في ذلك؛ لاحتمال حمله على كون الدعوى على القوم على واحد منهم، لصحّة الإضافة لأدنى ملابسة؛ لمكان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أن قتل فلاناً فيدفع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ظاهر في أنّ المدّعى عليه واحد، وإنّما أضاف الدعوى إلى القوم؛ لكونه منهم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الأخبار الواردة في قضيّة سهل، ففي صحيح بريد بن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فقدت الأنصار رجلاً منهم فوجدوه قتيلاً،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اليهودي قتلصاحبنا</w:t>
      </w:r>
      <w:r>
        <w:rPr>
          <w:rFonts w:eastAsia="Amiri" w:cs="Amiri" w:ascii="Amiri" w:hAnsi="Amiri"/>
          <w:color w:val="111111"/>
          <w:sz w:val="28"/>
          <w:szCs w:val="28"/>
          <w:rtl w:val="true"/>
          <w:lang w:bidi="ar-SA"/>
        </w:rPr>
        <w:t>».</w:t>
      </w:r>
      <w:r>
        <w:rPr>
          <w:rStyle w:val="FootnoteAnchor"/>
          <w:rtl w:val="true"/>
        </w:rPr>
        <w:footnoteReference w:id="1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يحلف المدّعي أو هو وعشيرته، فله أن يردّ الحلف على المدّعى عليه 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قسامة، فليحضر من قومه خمسين يشهدون ببراءته، وحلف كلّ واحد ببراءته، ولو كانوا أقلّ من الخمسين كرّرت عليهم الأيمان حتّى يكملوا العدد، وحكم ببراءته قصاصاً 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له قسامة من قومه يحلف هو خمسين يميناً، فإذا حلف حكم ببراءته قصاصاً ودية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في المخالفة لتلك الأخبار، والقضيّة واحدة، والجمع بينهما يقتضي إرجاع تلك إلى هذا؛ لصراحته دونها، لاحتمالها الحمل على المجازيّة في النسبة لأدنى الملابسة على نحو ما مرّ، ممّا يرجع إليه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ممّا ذكرناه من النقض والإبرام عدم الكفاية ولزوم خمسين قسامة كلّ واحد من المنكرين مع القاعدة والدراية، ولا حجّة على خلافه من الرواية، فهو المتعيّن، لكنّ مع ذلك كلّه القول بكفاية خمسين قسامة من كلّهم لا يخلو من وجه بل من قوّة، مع كون القسامة على نفي القتل عن الجميع، فإنّه لا وجه لتعدّدها كما لا يخفى، ومحض كون كلٍّ من المنكرين والمدّعين عليهم منكراً غير مقتض للإلزام بالقسامة المتكرّرة غير المفيدة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وإلزام المنكر المتعدّد بالحلف إنّما يكون من جهة أنّ كلّ منكر يحلف لنفسه ولا يصحّ له الحلف لغيره، وذلك بخلاف باب القسامة التي تكون العمدة في حلفها للغير، كما هو أوضح من أن يبيّن، ولعلّ ما في المتن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والاكتفاء بالخمسين لا يخلو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ذلك</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الأحكام المذكورة في المسألة ظاهرة ممّا مرّ، فلا احتياج إلى بيانها</w:t>
      </w:r>
      <w:r>
        <w:rPr>
          <w:rFonts w:eastAsia="Amiri" w:cs="Amiri" w:ascii="Amiri" w:hAnsi="Amiri"/>
          <w:color w:val="111111"/>
          <w:sz w:val="28"/>
          <w:szCs w:val="28"/>
          <w:rtl w:val="true"/>
          <w:lang w:bidi="ar-SA"/>
        </w:rPr>
        <w:t xml:space="preserve">. </w:t>
      </w:r>
      <w:bookmarkStart w:id="287" w:name="pg9428_72745"/>
    </w:p>
    <w:p>
      <w:pPr>
        <w:pStyle w:val="BookText"/>
        <w:rPr/>
      </w:pPr>
      <w:bookmarkEnd w:id="287"/>
      <w:r>
        <w:rPr>
          <w:rFonts w:ascii="Amiri" w:hAnsi="Amiri" w:eastAsia="Amiri" w:cs="Amiri"/>
          <w:color w:val="111111"/>
          <w:sz w:val="28"/>
          <w:sz w:val="28"/>
          <w:szCs w:val="28"/>
          <w:rtl w:val="true"/>
          <w:lang w:bidi="ar-SA"/>
        </w:rPr>
        <w:t>وإن لم تكن له قسامة ونكل عن اليمين اُلزم بالغرامة، ولا يردّ في المقام اليمين على الطرف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5797593_2870459653"/>
      <w:bookmarkStart w:id="289" w:name="_Toc97"/>
      <w:bookmarkEnd w:id="288"/>
      <w:r>
        <w:rPr>
          <w:rtl w:val="true"/>
        </w:rPr>
        <w:t>في النكول عن اليمين في القسامة</w:t>
      </w:r>
      <w:bookmarkEnd w:id="2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للسرائر</w:t>
      </w:r>
      <w:r>
        <w:rPr>
          <w:rStyle w:val="FootnoteAnchor"/>
          <w:rtl w:val="true"/>
        </w:rPr>
        <w:footnoteReference w:id="1262"/>
      </w:r>
      <w:r>
        <w:rPr>
          <w:rFonts w:ascii="IRNazanin" w:hAnsi="IRNazanin" w:eastAsia="IRNazanin"/>
          <w:color w:val="111111"/>
          <w:sz w:val="28"/>
          <w:sz w:val="28"/>
          <w:szCs w:val="28"/>
          <w:rtl w:val="true"/>
          <w:lang w:bidi="fa-IR"/>
        </w:rPr>
        <w:t xml:space="preserve">و الشرائع </w:t>
      </w:r>
      <w:r>
        <w:rPr>
          <w:rStyle w:val="FootnoteAnchor"/>
          <w:rtl w:val="true"/>
        </w:rPr>
        <w:footnoteReference w:id="1263"/>
      </w:r>
      <w:r>
        <w:rPr>
          <w:rFonts w:ascii="IRNazanin" w:hAnsi="IRNazanin" w:eastAsia="IRNazanin"/>
          <w:color w:val="111111"/>
          <w:sz w:val="28"/>
          <w:sz w:val="28"/>
          <w:szCs w:val="28"/>
          <w:rtl w:val="true"/>
          <w:lang w:bidi="fa-IR"/>
        </w:rPr>
        <w:t>و‌الجامع</w:t>
      </w:r>
      <w:r>
        <w:rPr>
          <w:rStyle w:val="FootnoteAnchor"/>
          <w:rtl w:val="true"/>
        </w:rPr>
        <w:footnoteReference w:id="1264"/>
      </w:r>
      <w:r>
        <w:rPr>
          <w:rFonts w:ascii="IRNazanin" w:hAnsi="IRNazanin" w:eastAsia="IRNazanin"/>
          <w:color w:val="111111"/>
          <w:sz w:val="28"/>
          <w:sz w:val="28"/>
          <w:szCs w:val="28"/>
          <w:rtl w:val="true"/>
          <w:lang w:bidi="fa-IR"/>
        </w:rPr>
        <w:t>والنافع،</w:t>
      </w:r>
      <w:r>
        <w:rPr>
          <w:rStyle w:val="FootnoteAnchor"/>
          <w:rtl w:val="true"/>
        </w:rPr>
        <w:footnoteReference w:id="1265"/>
      </w:r>
      <w:r>
        <w:rPr>
          <w:rFonts w:ascii="Amiri" w:hAnsi="Amiri" w:eastAsia="Amiri" w:cs="Amiri"/>
          <w:color w:val="111111"/>
          <w:sz w:val="28"/>
          <w:sz w:val="28"/>
          <w:szCs w:val="28"/>
          <w:rtl w:val="true"/>
          <w:lang w:bidi="ar-SA"/>
        </w:rPr>
        <w:t>بل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الأشهر الأقوى، بل عليه عامّة متأخّري أصحابنا</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وذلك أمّا على القضاء بمجرّد النكول فظاهر، وأمّا على الآخر؛ فلما في صحيح بريد بن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حلف المدّعى عليه قسامة خمسين رجلاً ما قتلنا ولا علمنا قاتلاً، وإلّا اُغرموا الدية إذا وجدوا قتيلاً بين أظهرهم إذا لم يقسم المدّعون</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وفي خبر عليّ بن الفضيل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رجل مقتول في قبيلة قوم، حلفوا جميعاً ما قتلوه ولا يعلمون له قاتلاً، فإن أبوا أن يحلفوا، غرموا الدية فيما بينهم في أموالهم، سواء بين جميع القبيلة من الرجال المدركين</w:t>
      </w:r>
      <w:r>
        <w:rPr>
          <w:rFonts w:eastAsia="Amiri" w:cs="Amiri" w:ascii="Amiri" w:hAnsi="Amiri"/>
          <w:color w:val="111111"/>
          <w:sz w:val="28"/>
          <w:szCs w:val="28"/>
          <w:rtl w:val="true"/>
          <w:lang w:bidi="ar-SA"/>
        </w:rPr>
        <w:t>».</w:t>
      </w:r>
      <w:r>
        <w:rPr>
          <w:rStyle w:val="FootnoteAnchor"/>
          <w:rtl w:val="true"/>
        </w:rPr>
        <w:footnoteReference w:id="1268"/>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بن الفضيل وإن كان مجهولاً وغير مبيّن الحال، وليس له روايةإلّا هذه الرواية، لكن في الرياض بعد الإشارة إليها بعنوان بعض المعتبرة قال ما لفظه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المنجبر قصور سنده بالجهالة بالشهرة ووجود ابن محبوب قبلها، وقد حكي على تصحيح ما يصحّ عنه إجماع العصابة</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والظاهر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الشهرة، فالمراد أنّ الانجبار بوجود ابن محبوب في السند قبل الشهرة، ولأنّ اليمين هنا على المدّعي أصالة وإنّما يحلف المنكر بنكول المدّعي، فإذا نكل لم يعد إلى المدّعي خلافاً للمبسوط</w:t>
      </w:r>
      <w:r>
        <w:rPr>
          <w:rStyle w:val="FootnoteAnchor"/>
          <w:rtl w:val="true"/>
        </w:rPr>
        <w:footnoteReference w:id="1270"/>
      </w:r>
      <w:r>
        <w:rPr>
          <w:rFonts w:ascii="Amiri" w:hAnsi="Amiri" w:eastAsia="Amiri" w:cs="Amiri"/>
          <w:color w:val="111111"/>
          <w:sz w:val="28"/>
          <w:sz w:val="28"/>
          <w:szCs w:val="28"/>
          <w:rtl w:val="true"/>
          <w:lang w:bidi="ar-SA"/>
        </w:rPr>
        <w:t>من ردّ اليمين على المدّعي كما في سائر الدعاوي، وظاهر عبارته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 بعموم أدلّة الردّ في سائر الدعاوي، وبالاحتياط في الدم، بل وبإجماعه الظاهر من عبارته، وفي الكلّ 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أدلّة الردّ فعمومها مختصّة باليمين التي تكون للمنكر وكانت حقّه من أوّل الأمر وكانت واحدة، دون القسامة التي تكون للمدّعي من أوّل الأمر وتكون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الأدلّة ترتبط باليمين لا بالقسامة، هذا، مع ما مرّ من أنّ اليمين هنا للمدّعي أصالة، مع أنّ عمومها على التسليم مخصّص بالصحيح وبالخبر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الاحتياط، فالاحتياط في مراعاة جانب اللوث، فإنّ القسامة للناس وأنّها حوط يحاط به الناس</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 فموهون بمخالفته مع الأشهر، بل ومع عامّة المتأخّرين، هذا مضافاً إلى كونه في مسألة اجتهاديّة لاسيّما مع ما في عبارة المبسوطمن استدلاله على نظره بوجوه ثلاثة، ومضافاً إلى عدم استدلاله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بأس بنقل عبارته هنا؛ لاشتمالها على احتجاج وتفصيل حسن وإن طالت،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اليمين في جنبة المدّعي ابتداءً، مثل أن ادّعى قتلاً ومعه لوث، أو مالاً وله به شاهد واحد، فإن حلف مع شاهده استحقّ، وإن لم يحلف ردّ اليمين على المدّعى عليه، فإن حلف برئ، وإن لم يحلف ونكل عن اليمين فهل يردّ على المدّعي بعد أن كانت في جنبته ولم يحلف؟ نظرت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استحقّ بيمين الردّ غير ما كان يستحقّه بيمين الابتداء، وهو القسامة عند قوم، يستحقّ بها الدية، فإن ردّت إليه استحقّ القود بها، فإذا كان الاستحقاق بها غير ما كان يستحقّه بيمين الابتداء وجب أن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 يستحقّه بيمين الردّ هو الذي يستحقّه بيمين الابتداء، مثل القسامة يستحقّ عندنا بها القود إذا حلف ابتداءً، وإذا ردّت عليه استحقّ القود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الأموال، إن حلف مع شاهده استحقّ المال، وإن حلف يمين الردّ استحقّ المال أيضاً، فهل يردُّ عليه اليمين أم لا؟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يردّ؛ لأنّ اليمين إذا كانت في جنبة أحد المتداعيين، فإذا بذلها لخصمه لم تردّ عليه إذا كان استحقاقه بها هو الذي استحقّ بيمين الابتداء، كيمين المدّعى عليه ابتداء إذا لم يحلف ردّت على المدّعي، فإن لم يحلف لم يردّ على المدّعى عليه بعدأن زالت عنه، ولأنّ يمينه حجّته فإذا قعد عنها فقدأبطلها فلا يسمع منه ثانياً، كما لو ادّعى حقاً وأقام شاهدین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فاسقان، لم يقبلا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الصحيح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يردّ عليه لأُمور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الابتداء قامت في جنبته بسبب، وهو قوّة جنبته بالشاهد أو اللوث، وسبب الثانية غير سبب الأُولى؛ لأنّه يستحقّها لنكول خصمه، فإذا كانت كلّ واحدة يصير في جنبته لسبب غير سبب الأُخرى، فإذا قعد عن أحدهما لم يكن تركاً لهما،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بعبدي فله دينار، ومن جاء بجاريتي فله دينار، فجاء رجل بالعبد وأبرأه من الدينار ثمّ مضى، فجاء بالجارية لم يسقط الدينار؛ لأنّه يستحقّ الثاني بسبب غير سبب الأوّل، فإذا سقط الأوّل لم يكن إسقاطاً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اشترى عبداً فأصاب به عيباً كان له ردّه، فإن رضى سقط ردّه، فإن أصاب به عيباً ثانياً كان له ردّه به، ولم يكن رضاه بالأوّل رضىً منه بالثاني ويفارق هذا يمين المدّعى عليه ابتداءً؛ لأنّها لو ردّت إليه عادت بالسبب الذي كانت في جنبته ابتداء؛ وهو كونه مدّعى عليه، والأصل براءة ذمّته، فلهذا لم نردّه، وهاهنا يعود لغير السبب الأوّل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w:t>
      </w:r>
      <w:r>
        <w:rPr>
          <w:rStyle w:val="FootnoteAnchor"/>
          <w:rtl w:val="true"/>
        </w:rPr>
        <w:footnoteReference w:id="1271"/>
      </w:r>
      <w:r>
        <w:rPr>
          <w:rFonts w:ascii="Amiri" w:hAnsi="Amiri" w:eastAsia="Amiri" w:cs="Amiri"/>
          <w:color w:val="111111"/>
          <w:sz w:val="28"/>
          <w:sz w:val="28"/>
          <w:szCs w:val="28"/>
          <w:rtl w:val="true"/>
          <w:lang w:bidi="ar-SA"/>
        </w:rPr>
        <w:t>إذا كان معه لوث كان له أن يحلف، فإذا لم يحلف فكأنّه لا لوث، بدليل أنّ المدّعى عليه يحلف، وإذا كان كأنّه لا لوثمعه صارت اليمين في جنبة المدّعى عليه ابتداءً، فإذا نكل عنها وجب أن يردّ على المدّعي</w:t>
      </w:r>
      <w:r>
        <w:rPr>
          <w:rFonts w:eastAsia="Amiri" w:cs="Amiri" w:ascii="Amiri" w:hAnsi="Amiri"/>
          <w:color w:val="111111"/>
          <w:sz w:val="28"/>
          <w:szCs w:val="28"/>
          <w:rtl w:val="true"/>
          <w:lang w:bidi="ar-SA"/>
        </w:rPr>
        <w:t xml:space="preserve">. </w:t>
      </w:r>
      <w:bookmarkStart w:id="290" w:name="pg9428_72749"/>
    </w:p>
    <w:p>
      <w:pPr>
        <w:pStyle w:val="BookText"/>
        <w:rPr/>
      </w:pPr>
      <w:bookmarkEnd w:id="2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القسامة في الأعضاء مع اللوث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w:t>
      </w:r>
      <w:r>
        <w:rPr>
          <w:rStyle w:val="FootnoteAnchor"/>
          <w:rtl w:val="true"/>
        </w:rPr>
        <w:footnoteReference w:id="1272"/>
      </w:r>
      <w:r>
        <w:rPr>
          <w:rFonts w:ascii="IRNazanin" w:hAnsi="IRNazanin" w:eastAsia="IRNazanin"/>
          <w:color w:val="111111"/>
          <w:sz w:val="28"/>
          <w:sz w:val="28"/>
          <w:szCs w:val="28"/>
          <w:rtl w:val="true"/>
          <w:lang w:bidi="fa-IR"/>
        </w:rPr>
        <w:t>للمدّعي أن يردّ اليمين على المدّعى عليه غرضاً صحيحاً، وهو إذا كان معه لوث كانت يمينه على غالب الظنّ والظنّة والتهمة ینصرف إليه، فإذا بذلها للمدّعى عليه فلم يحلف زالت عنه الظنّة وانصرفت عنه التهمة، فلهذا أجاز أن يردّ عليه</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ولا يخفى عليك أنّ تمام أُموره الثلاثة المستدلّ بها على تماميّتها ليست بأزيد من اجتهاد في مقابل النصّ، فلا عبرة بها</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5797595_2870459653"/>
      <w:bookmarkStart w:id="292" w:name="_Toc98"/>
      <w:bookmarkEnd w:id="291"/>
      <w:r>
        <w:rPr>
          <w:rtl w:val="true"/>
        </w:rPr>
        <w:t>القسامة في الأعضاء</w:t>
      </w:r>
      <w:bookmarkEnd w:id="2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القسامة في الأعضاء ثابتة بلا خلاف أجده، بل ظاهر المبسوط و الخلاف إجماعنا عليها، خلافاً للعامّة، ففي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كانت الدعوى دون النفس فعندنا فيه قسامة وعندهم لا قسامة فيها</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وفي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عندنا في الأطراف قسامة مثل العينين واللسان واليدين والرجلين والشمّ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قسامة في الأطراف</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نفي الخلاف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في حكمة </w:t>
      </w:r>
    </w:p>
    <w:p>
      <w:pPr>
        <w:pStyle w:val="BookText"/>
        <w:rPr/>
      </w:pPr>
      <w:r>
        <w:rPr>
          <w:rFonts w:ascii="Amiri" w:hAnsi="Amiri" w:eastAsia="Amiri" w:cs="Amiri"/>
          <w:color w:val="111111"/>
          <w:sz w:val="28"/>
          <w:sz w:val="28"/>
          <w:szCs w:val="28"/>
          <w:rtl w:val="true"/>
          <w:lang w:bidi="ar-SA"/>
        </w:rPr>
        <w:t xml:space="preserve">وهل القسامة فيها خمسون في العمد وخمس وعشرون في غيره فيما بلغت الجناية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كالأنف 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فبنسبتها من خمسين يميناً في العمد، وخمس وعشرين في الخطأ وشبهه، أو ستّة أيمان فيما فيه دية النفس، وبحسابه من الستّ فيما فيه دون الدية؟ الأحوط هو الأوّل، والأشبه هو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مشروعيّتها والنصوص الخاصّة التي تسمعها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اقتران الدعوى مع التهمة كما في النفس أم لا؟ ظاهر مثل عبارة النافع</w:t>
      </w:r>
      <w:r>
        <w:rPr>
          <w:rStyle w:val="FootnoteAnchor"/>
          <w:rtl w:val="true"/>
        </w:rPr>
        <w:footnoteReference w:id="1276"/>
      </w:r>
      <w:r>
        <w:rPr>
          <w:rFonts w:ascii="Amiri" w:hAnsi="Amiri" w:eastAsia="Amiri" w:cs="Amiri"/>
          <w:color w:val="111111"/>
          <w:sz w:val="28"/>
          <w:sz w:val="28"/>
          <w:szCs w:val="28"/>
          <w:rtl w:val="true"/>
          <w:lang w:bidi="ar-SA"/>
        </w:rPr>
        <w:t>وصريح الشرائع</w:t>
      </w:r>
      <w:r>
        <w:rPr>
          <w:rStyle w:val="FootnoteAnchor"/>
          <w:rtl w:val="true"/>
        </w:rPr>
        <w:footnoteReference w:id="1277"/>
      </w:r>
      <w:r>
        <w:rPr>
          <w:rFonts w:ascii="Amiri" w:hAnsi="Amiri" w:eastAsia="Amiri" w:cs="Amiri"/>
          <w:color w:val="111111"/>
          <w:sz w:val="28"/>
          <w:sz w:val="28"/>
          <w:szCs w:val="28"/>
          <w:rtl w:val="true"/>
          <w:lang w:bidi="ar-SA"/>
        </w:rPr>
        <w:t>وجماعة منهم الحلّي</w:t>
      </w:r>
      <w:r>
        <w:rPr>
          <w:rStyle w:val="FootnoteAnchor"/>
          <w:rtl w:val="true"/>
        </w:rPr>
        <w:footnoteReference w:id="1278"/>
      </w:r>
      <w:r>
        <w:rPr>
          <w:rFonts w:ascii="Amiri" w:hAnsi="Amiri" w:eastAsia="Amiri" w:cs="Amiri"/>
          <w:color w:val="111111"/>
          <w:sz w:val="28"/>
          <w:sz w:val="28"/>
          <w:szCs w:val="28"/>
          <w:rtl w:val="true"/>
          <w:lang w:bidi="ar-SA"/>
        </w:rPr>
        <w:t>الأوّل،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في ظاهر كلامه الإجماع عليه، ويدلّ عليه بعض ما قدّمناه من أدلّة اعتبار اللوث في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 المبسوط</w:t>
      </w:r>
      <w:r>
        <w:rPr>
          <w:rStyle w:val="FootnoteAnchor"/>
          <w:rtl w:val="true"/>
        </w:rPr>
        <w:footnoteReference w:id="1279"/>
      </w:r>
      <w:r>
        <w:rPr>
          <w:rFonts w:ascii="Amiri" w:hAnsi="Amiri" w:eastAsia="Amiri" w:cs="Amiri"/>
          <w:color w:val="111111"/>
          <w:sz w:val="28"/>
          <w:sz w:val="28"/>
          <w:szCs w:val="28"/>
          <w:rtl w:val="true"/>
          <w:lang w:bidi="ar-SA"/>
        </w:rPr>
        <w:t>بل صريحه الثاني، وهو المحكيّ عن أكثر العامّة أو جميعهم عدا الشافعي في تفصيل له، وحجّته غير واضحة سيّما في مقابل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له بما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لإطلاق النصوص السابقة كون اليمين على المدّعي في الدم المقتصر في تقييدها باللوث على النفس دون الأعضاء</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مقيّد بما عرفت، مضافاً إلى إجماع السرائر</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أحوطيّة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المحكيّ عن المفيد في كتاب أحكام النساء</w:t>
      </w:r>
      <w:r>
        <w:rPr>
          <w:rStyle w:val="FootnoteAnchor"/>
          <w:rtl w:val="true"/>
        </w:rPr>
        <w:footnoteReference w:id="1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وسلّار</w:t>
      </w:r>
      <w:r>
        <w:rPr>
          <w:rStyle w:val="FootnoteAnchor"/>
          <w:rtl w:val="true"/>
        </w:rPr>
        <w:footnoteReference w:id="1283"/>
      </w:r>
      <w:r>
        <w:rPr>
          <w:rFonts w:ascii="Amiri" w:hAnsi="Amiri" w:eastAsia="Amiri" w:cs="Amiri"/>
          <w:color w:val="111111"/>
          <w:sz w:val="28"/>
          <w:sz w:val="28"/>
          <w:szCs w:val="28"/>
          <w:rtl w:val="true"/>
          <w:lang w:bidi="ar-SA"/>
        </w:rPr>
        <w:t>وابن إدريس</w:t>
      </w:r>
      <w:r>
        <w:rPr>
          <w:rStyle w:val="FootnoteAnchor"/>
          <w:rtl w:val="true"/>
        </w:rPr>
        <w:footnoteReference w:id="1284"/>
      </w:r>
      <w:r>
        <w:rPr>
          <w:rFonts w:ascii="Amiri" w:hAnsi="Amiri" w:eastAsia="Amiri" w:cs="Amiri"/>
          <w:color w:val="111111"/>
          <w:sz w:val="28"/>
          <w:sz w:val="28"/>
          <w:szCs w:val="28"/>
          <w:rtl w:val="true"/>
          <w:lang w:bidi="ar-SA"/>
        </w:rPr>
        <w:t>بل عن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بأنّ القسامة مخالفة للأصل، فيقتصر فيها على المتيقّن الذي هو الخمسون مطلقاً أو في خصوص العمد والخمس وعشرون في الخطأ، وبإطلاق بعض النصوص</w:t>
      </w:r>
      <w:r>
        <w:rPr>
          <w:rStyle w:val="FootnoteAnchor"/>
          <w:rtl w:val="true"/>
        </w:rPr>
        <w:footnoteReference w:id="1285"/>
      </w:r>
      <w:r>
        <w:rPr>
          <w:rFonts w:ascii="Amiri" w:hAnsi="Amiri" w:eastAsia="Amiri" w:cs="Amiri"/>
          <w:color w:val="111111"/>
          <w:sz w:val="28"/>
          <w:sz w:val="28"/>
          <w:szCs w:val="28"/>
          <w:rtl w:val="true"/>
          <w:lang w:bidi="ar-SA"/>
        </w:rPr>
        <w:t>في أنّ القسامة في العمد خمسون وفي الخطأ خمس وعشرون، وبإجماع السرائر</w:t>
      </w:r>
      <w:r>
        <w:rPr>
          <w:rStyle w:val="FootnoteAnchor"/>
          <w:rtl w:val="true"/>
        </w:rPr>
        <w:footnoteReference w:id="1286"/>
      </w:r>
      <w:r>
        <w:rPr>
          <w:rFonts w:ascii="Amiri" w:hAnsi="Amiri" w:eastAsia="Amiri" w:cs="Amiri"/>
          <w:color w:val="111111"/>
          <w:sz w:val="28"/>
          <w:sz w:val="28"/>
          <w:szCs w:val="28"/>
          <w:rtl w:val="true"/>
          <w:lang w:bidi="ar-SA"/>
        </w:rPr>
        <w:t>المعتضد بدعوى الشهرة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الوجوه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الاقتصار، فلا وجه له بعد وجود المعتبر من النصوص المستدلّ به للثاني، كما يأتي، فإنّ الاقتصار على المتيقّن تامّ مع عدم الحجّة على خلافه وعلى الزائد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الإطلاق، فالمنصرف من مثله من المقابلة بين العمد والخطأ هو القتل دون غيره من الأعضاء، فإنّهما المذكوران في كتاب الله والمتعارف في التعبير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ففيه احتمال أنّ الثبوت بالخمسين متيقّن لا متعيّن بل لعلّه الظاهر، وإلّا كان إجماعه بيّن الخطأ، ضرورة كون المشهور بين من تقدّم عليه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كان ذلك مشهوراً بعده مع أنّه غير محقّقأيضاً؛ لأنّه خيرة الفاضل في بعض كتبه،</w:t>
      </w:r>
      <w:r>
        <w:rPr>
          <w:rStyle w:val="FootnoteAnchor"/>
          <w:rtl w:val="true"/>
        </w:rPr>
        <w:footnoteReference w:id="1287"/>
      </w:r>
      <w:r>
        <w:rPr>
          <w:rFonts w:ascii="Amiri" w:hAnsi="Amiri" w:eastAsia="Amiri" w:cs="Amiri"/>
          <w:color w:val="111111"/>
          <w:sz w:val="28"/>
          <w:sz w:val="28"/>
          <w:szCs w:val="28"/>
          <w:rtl w:val="true"/>
          <w:lang w:bidi="ar-SA"/>
        </w:rPr>
        <w:t>والشهيدين،</w:t>
      </w:r>
      <w:r>
        <w:rPr>
          <w:rStyle w:val="FootnoteAnchor"/>
          <w:rtl w:val="true"/>
        </w:rPr>
        <w:footnoteReference w:id="1288"/>
      </w:r>
      <w:r>
        <w:rPr>
          <w:rFonts w:ascii="IRNazanin" w:hAnsi="IRNazanin" w:eastAsia="IRNazanin"/>
          <w:color w:val="111111"/>
          <w:sz w:val="28"/>
          <w:sz w:val="28"/>
          <w:szCs w:val="28"/>
          <w:rtl w:val="true"/>
          <w:lang w:bidi="fa-IR"/>
        </w:rPr>
        <w:t>والمقداد</w:t>
      </w:r>
      <w:r>
        <w:rPr>
          <w:rFonts w:eastAsia="IRNazanin" w:cs="IRNazanin"/>
          <w:color w:val="111111"/>
          <w:sz w:val="28"/>
          <w:szCs w:val="28"/>
          <w:rtl w:val="true"/>
          <w:lang w:bidi="fa-IR"/>
        </w:rPr>
        <w:t>.</w:t>
      </w:r>
      <w:r>
        <w:rPr>
          <w:rStyle w:val="FootnoteAnchor"/>
          <w:rtl w:val="true"/>
        </w:rPr>
        <w:footnoteReference w:id="1289"/>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تقديره فهو معارض بالشهرة القديمة المحقّقة التي لا يقدح فيها خروج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المفيد وسلّار، وربّما كان العذر لابن إدريس عدم عمله بأخبار الآحاد وإن صحّت، أمّا غيره فلا عذر له إلّا ظنّ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وهو كفاية ستّة أيمان في الأعضاء فيما فيه دية النفس وبحسابه من الستّ فيما فيه دون الدية، فهو خيرة الشيخ</w:t>
      </w:r>
      <w:r>
        <w:rPr>
          <w:rStyle w:val="FootnoteAnchor"/>
          <w:rtl w:val="true"/>
        </w:rPr>
        <w:footnoteReference w:id="1290"/>
      </w:r>
      <w:r>
        <w:rPr>
          <w:rFonts w:ascii="IRNazanin" w:hAnsi="IRNazanin" w:eastAsia="IRNazanin"/>
          <w:color w:val="111111"/>
          <w:sz w:val="28"/>
          <w:sz w:val="28"/>
          <w:szCs w:val="28"/>
          <w:rtl w:val="true"/>
          <w:lang w:bidi="fa-IR"/>
        </w:rPr>
        <w:t>وأتباعه، وعن ظاهر خلافه</w:t>
      </w:r>
      <w:r>
        <w:rPr>
          <w:rStyle w:val="FootnoteAnchor"/>
          <w:rtl w:val="true"/>
        </w:rPr>
        <w:footnoteReference w:id="1291"/>
      </w:r>
      <w:r>
        <w:rPr>
          <w:rFonts w:ascii="IRNazanin" w:hAnsi="IRNazanin" w:eastAsia="IRNazanin"/>
          <w:color w:val="111111"/>
          <w:sz w:val="28"/>
          <w:sz w:val="28"/>
          <w:szCs w:val="28"/>
          <w:rtl w:val="true"/>
          <w:lang w:bidi="fa-IR"/>
        </w:rPr>
        <w:t>ومبسوطه</w:t>
      </w:r>
      <w:r>
        <w:rPr>
          <w:rFonts w:eastAsia="IRNazanin" w:cs="IRNazanin"/>
          <w:color w:val="111111"/>
          <w:sz w:val="28"/>
          <w:szCs w:val="28"/>
          <w:rtl w:val="true"/>
          <w:lang w:bidi="fa-IR"/>
        </w:rPr>
        <w:t>:</w:t>
      </w:r>
      <w:r>
        <w:rPr>
          <w:rStyle w:val="FootnoteAnchor"/>
          <w:rtl w:val="true"/>
        </w:rPr>
        <w:footnoteReference w:id="1292"/>
      </w:r>
      <w:r>
        <w:rPr>
          <w:rFonts w:ascii="Amiri" w:hAnsi="Amiri" w:eastAsia="Amiri" w:cs="Amiri"/>
          <w:color w:val="111111"/>
          <w:sz w:val="28"/>
          <w:sz w:val="28"/>
          <w:szCs w:val="28"/>
          <w:rtl w:val="true"/>
          <w:lang w:bidi="ar-SA"/>
        </w:rPr>
        <w:t>الإجماع عليه، بل في الغنية</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الإجماع عليه صريحاً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الأشبه الأقوى؛ للمرويّ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w:t>
      </w:r>
      <w:r>
        <w:rPr>
          <w:rStyle w:val="FootnoteAnchor"/>
          <w:rtl w:val="true"/>
        </w:rPr>
        <w:footnoteReference w:id="1294"/>
      </w:r>
      <w:r>
        <w:rPr>
          <w:rFonts w:ascii="Amiri" w:hAnsi="Amiri" w:eastAsia="Amiri" w:cs="Amiri"/>
          <w:color w:val="111111"/>
          <w:sz w:val="28"/>
          <w:sz w:val="28"/>
          <w:szCs w:val="28"/>
          <w:rtl w:val="true"/>
          <w:lang w:bidi="ar-SA"/>
        </w:rPr>
        <w:t>و التهذيب</w:t>
      </w:r>
      <w:r>
        <w:rPr>
          <w:rStyle w:val="FootnoteAnchor"/>
          <w:rtl w:val="true"/>
        </w:rPr>
        <w:footnoteReference w:id="1295"/>
      </w:r>
      <w:r>
        <w:rPr>
          <w:rFonts w:ascii="Amiri" w:hAnsi="Amiri" w:eastAsia="Amiri" w:cs="Amiri"/>
          <w:color w:val="111111"/>
          <w:sz w:val="28"/>
          <w:sz w:val="28"/>
          <w:szCs w:val="28"/>
          <w:rtl w:val="true"/>
          <w:lang w:bidi="ar-SA"/>
        </w:rPr>
        <w:t>والفقيه</w:t>
      </w:r>
      <w:r>
        <w:rPr>
          <w:rStyle w:val="FootnoteAnchor"/>
          <w:rtl w:val="true"/>
        </w:rPr>
        <w:footnoteReference w:id="1296"/>
      </w:r>
      <w:r>
        <w:rPr>
          <w:rFonts w:ascii="Amiri" w:hAnsi="Amiri" w:eastAsia="Amiri" w:cs="Amiri"/>
          <w:color w:val="111111"/>
          <w:sz w:val="28"/>
          <w:sz w:val="28"/>
          <w:szCs w:val="28"/>
          <w:rtl w:val="true"/>
          <w:lang w:bidi="ar-SA"/>
        </w:rPr>
        <w:t>بطرق فيها الموثّق والحسن، بل والصحيح، كما في الجواهر</w:t>
      </w:r>
      <w:r>
        <w:rPr>
          <w:rStyle w:val="FootnoteAnchor"/>
          <w:rtl w:val="true"/>
        </w:rPr>
        <w:footnoteReference w:id="1297"/>
      </w:r>
      <w:r>
        <w:rPr>
          <w:rFonts w:ascii="Amiri" w:hAnsi="Amiri" w:eastAsia="Amiri" w:cs="Amiri"/>
          <w:color w:val="111111"/>
          <w:sz w:val="28"/>
          <w:sz w:val="28"/>
          <w:szCs w:val="28"/>
          <w:rtl w:val="true"/>
          <w:lang w:bidi="ar-SA"/>
        </w:rPr>
        <w:t>والرياض</w:t>
      </w:r>
      <w:r>
        <w:rPr>
          <w:rStyle w:val="FootnoteAnchor"/>
          <w:rtl w:val="true"/>
        </w:rPr>
        <w:footnoteReference w:id="1298"/>
      </w:r>
      <w:r>
        <w:rPr>
          <w:rFonts w:ascii="Amiri" w:hAnsi="Amiri" w:eastAsia="Amiri" w:cs="Amiri"/>
          <w:color w:val="111111"/>
          <w:sz w:val="28"/>
          <w:sz w:val="28"/>
          <w:szCs w:val="28"/>
          <w:rtl w:val="true"/>
          <w:lang w:bidi="ar-SA"/>
        </w:rPr>
        <w:t>وغيرها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والقسامة جعل في النفس على العمد خمسين رجلاً، وجعل في النفس على الخطأ خمسة وعشرين رجلاً، وعلى ما بلغت ديته من الجوارح الجروح ألف دينار ستّة نفر، فما كان دون ذلك فحسابه من ستّة نفر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وتفسير ذلك</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xml:space="preserve">إلىآخر ما ذكره ممّا هو نحو ما عند الأصحاب، إلّا أنّ الظاهر كون </w:t>
      </w:r>
    </w:p>
    <w:p>
      <w:pPr>
        <w:pStyle w:val="BookText"/>
        <w:rPr/>
      </w:pPr>
      <w:r>
        <w:rPr>
          <w:rFonts w:ascii="Amiri" w:hAnsi="Amiri" w:eastAsia="Amiri" w:cs="Amiri"/>
          <w:color w:val="111111"/>
          <w:sz w:val="28"/>
          <w:sz w:val="28"/>
          <w:szCs w:val="28"/>
          <w:rtl w:val="true"/>
          <w:lang w:bidi="ar-SA"/>
        </w:rPr>
        <w:t xml:space="preserve">وعليه، ففي اليد الواحدة أو الرجل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فيه نصف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أيمان، وفيما فيه ثلثها اثنتان وهكذا، وإن كان كسر في اليمين اُكمل بيمين؛ إذ لا تكسر اليمين، فحينئذٍ في الإصبع الواحدة يمين واحدة، وكذا في الأنملة الواحدة، وكذا الكلام في الجرح، فيجزي الستّ بحسب النسبة، وفي الكسر يكمل بيمين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القسامة علم الحالف، ويكون حلفه عن جزم وعلم، ولا يكفي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وتفسير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 الكليني لا من الرواية، كما لا يخفى على من تأ‌مّل، وقد اعترف به بعض الأفاضل، لكن يكفينا في الاستدلال ما 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ذلك بأنّ الجناية هنا أخفّ، فناسبها التخفيف في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بالنسبة مضافاً إلى أنّه مقتضى القواعد واعتبار العقلاء في مثل المورد، ومضافاً إلى ما في الكافي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وتفسير ذلك</w:t>
      </w:r>
      <w:r>
        <w:rPr>
          <w:rFonts w:eastAsia="Amiri" w:cs="Amiri" w:ascii="Amiri" w:hAnsi="Amiri"/>
          <w:color w:val="111111"/>
          <w:sz w:val="28"/>
          <w:szCs w:val="28"/>
          <w:rtl w:val="true"/>
          <w:lang w:bidi="ar-SA"/>
        </w:rPr>
        <w:t>...»</w:t>
      </w:r>
      <w:r>
        <w:rPr>
          <w:rStyle w:val="FootnoteAnchor"/>
          <w:rtl w:val="true"/>
        </w:rPr>
        <w:footnoteReference w:id="1300"/>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كان من المعصوم فحجّة، وإن كان من الكليني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فمؤيّد الدليل عليه ما في ذلك المرويّ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على المسألة، ففيه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دون ذلك فحسابه من ستّة 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لا اختصاص للأخذ بالنسبة بالقول الثاني في المسألة بل يأتي على الأوّل أيضاً، لكن يبدّل فيه الستّة بالخمسين، والثلاثة بالخمسينوعشرين، والواحدة بالخمس، وهكذا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ولذا لم يقسم الأنصار، وتحقيق المسألة في كتاب </w:t>
      </w:r>
      <w:bookmarkStart w:id="293" w:name="pg9428_72754"/>
    </w:p>
    <w:p>
      <w:pPr>
        <w:pStyle w:val="BookText"/>
        <w:rPr/>
      </w:pPr>
      <w:bookmarkEnd w:id="2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 قسامة الكافر على دعواه على المسلم في العمد والخطأ في النفس وغيرها؟ فيه خلافٌ، والوجه عدم القبول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 ولكن في كشف اللثام عن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المبسوط الاكتفاء بالظنّ، وهو بعيدٌ</w:t>
      </w:r>
      <w:r>
        <w:rPr>
          <w:rFonts w:eastAsia="Amiri" w:cs="Amiri" w:ascii="Amiri" w:hAnsi="Amiri"/>
          <w:color w:val="111111"/>
          <w:sz w:val="28"/>
          <w:szCs w:val="28"/>
          <w:rtl w:val="true"/>
          <w:lang w:bidi="ar-SA"/>
        </w:rPr>
        <w:t>».</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 أوّل كلامه الذي هو للعامّة، وإلّا فإنّه قد صرّح في المقام وغيره على ما في مبسوطه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عندنا أن يحلف إلّا على علم</w:t>
      </w:r>
      <w:r>
        <w:rPr>
          <w:rFonts w:eastAsia="Amiri" w:cs="Amiri" w:ascii="Amiri" w:hAnsi="Amiri"/>
          <w:color w:val="111111"/>
          <w:sz w:val="28"/>
          <w:szCs w:val="28"/>
          <w:rtl w:val="true"/>
          <w:lang w:bidi="ar-SA"/>
        </w:rPr>
        <w:t>».</w:t>
      </w:r>
      <w:r>
        <w:rPr>
          <w:rStyle w:val="FootnoteAnchor"/>
          <w:rtl w:val="true"/>
        </w:rPr>
        <w:footnoteReference w:id="1302"/>
      </w:r>
    </w:p>
    <w:p>
      <w:pPr>
        <w:pStyle w:val="Heading3"/>
        <w:numPr>
          <w:ilvl w:val="2"/>
          <w:numId w:val="1"/>
        </w:numPr>
        <w:rPr/>
      </w:pPr>
      <w:bookmarkStart w:id="294" w:name="__RefHeading___Toc5797597_2870459653"/>
      <w:bookmarkStart w:id="295" w:name="_Toc99"/>
      <w:bookmarkEnd w:id="294"/>
      <w:r>
        <w:rPr>
          <w:rtl w:val="true"/>
        </w:rPr>
        <w:t>قسامة الكافر</w:t>
      </w:r>
      <w:bookmarkEnd w:id="2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القبول والمنع عن حجّيّة قسامة الكافر على دعوى المسلم؛ وفاقاً للشيخ،</w:t>
      </w:r>
      <w:r>
        <w:rPr>
          <w:rStyle w:val="FootnoteAnchor"/>
          <w:rtl w:val="true"/>
        </w:rPr>
        <w:footnoteReference w:id="1303"/>
      </w:r>
      <w:r>
        <w:rPr>
          <w:rFonts w:ascii="IRNazanin" w:hAnsi="IRNazanin" w:eastAsia="IRNazanin"/>
          <w:color w:val="111111"/>
          <w:sz w:val="28"/>
          <w:sz w:val="28"/>
          <w:szCs w:val="28"/>
          <w:rtl w:val="true"/>
          <w:lang w:bidi="fa-IR"/>
        </w:rPr>
        <w:t>والفاضل</w:t>
      </w:r>
      <w:r>
        <w:rPr>
          <w:rStyle w:val="FootnoteAnchor"/>
          <w:rtl w:val="true"/>
        </w:rPr>
        <w:footnoteReference w:id="1304"/>
      </w:r>
      <w:r>
        <w:rPr>
          <w:rFonts w:ascii="IRNazanin" w:hAnsi="IRNazanin" w:eastAsia="IRNazanin"/>
          <w:color w:val="111111"/>
          <w:sz w:val="28"/>
          <w:sz w:val="28"/>
          <w:szCs w:val="28"/>
          <w:rtl w:val="true"/>
          <w:lang w:bidi="fa-IR"/>
        </w:rPr>
        <w:t>وولده</w:t>
      </w:r>
      <w:r>
        <w:rPr>
          <w:rStyle w:val="FootnoteAnchor"/>
          <w:rtl w:val="true"/>
        </w:rPr>
        <w:footnoteReference w:id="1305"/>
      </w:r>
      <w:r>
        <w:rPr>
          <w:rFonts w:ascii="IRNazanin" w:hAnsi="IRNazanin" w:eastAsia="IRNazanin"/>
          <w:color w:val="111111"/>
          <w:sz w:val="28"/>
          <w:sz w:val="28"/>
          <w:szCs w:val="28"/>
          <w:rtl w:val="true"/>
          <w:lang w:bidi="fa-IR"/>
        </w:rPr>
        <w:t>ووالده،</w:t>
      </w:r>
      <w:r>
        <w:rPr>
          <w:rStyle w:val="FootnoteAnchor"/>
          <w:rtl w:val="true"/>
        </w:rPr>
        <w:footnoteReference w:id="1306"/>
      </w:r>
      <w:r>
        <w:rPr>
          <w:rFonts w:ascii="Amiri" w:hAnsi="Amiri" w:eastAsia="Amiri" w:cs="Amiri"/>
          <w:color w:val="111111"/>
          <w:sz w:val="28"/>
          <w:sz w:val="28"/>
          <w:szCs w:val="28"/>
          <w:rtl w:val="true"/>
          <w:lang w:bidi="ar-SA"/>
        </w:rPr>
        <w:t>وغيرهم على ما حكي عنهم،</w:t>
      </w:r>
      <w:r>
        <w:rPr>
          <w:rStyle w:val="FootnoteAnchor"/>
          <w:rtl w:val="true"/>
        </w:rPr>
        <w:footnoteReference w:id="1307"/>
      </w:r>
      <w:r>
        <w:rPr>
          <w:rFonts w:ascii="Amiri" w:hAnsi="Amiri" w:eastAsia="Amiri" w:cs="Amiri"/>
          <w:color w:val="111111"/>
          <w:sz w:val="28"/>
          <w:sz w:val="28"/>
          <w:szCs w:val="28"/>
          <w:rtl w:val="true"/>
          <w:lang w:bidi="ar-SA"/>
        </w:rPr>
        <w:t>وهو الأظهر في الشرائع ؛</w:t>
      </w:r>
      <w:r>
        <w:rPr>
          <w:rStyle w:val="FootnoteAnchor"/>
          <w:rtl w:val="true"/>
        </w:rPr>
        <w:footnoteReference w:id="1308"/>
      </w:r>
      <w:r>
        <w:rPr>
          <w:rFonts w:ascii="IRNazanin" w:hAnsi="IRNazanin" w:eastAsia="IRNazanin"/>
          <w:color w:val="111111"/>
          <w:sz w:val="28"/>
          <w:sz w:val="28"/>
          <w:szCs w:val="28"/>
          <w:rtl w:val="true"/>
          <w:lang w:bidi="fa-IR"/>
        </w:rPr>
        <w:t>لأنّها على خلاف الأصل، ومورد النصّ</w:t>
      </w:r>
      <w:r>
        <w:rPr>
          <w:rStyle w:val="FootnoteAnchor"/>
          <w:rtl w:val="true"/>
        </w:rPr>
        <w:footnoteReference w:id="1309"/>
      </w:r>
      <w:r>
        <w:rPr>
          <w:rFonts w:ascii="Amiri" w:hAnsi="Amiri" w:eastAsia="Amiri" w:cs="Amiri"/>
          <w:color w:val="111111"/>
          <w:sz w:val="28"/>
          <w:sz w:val="28"/>
          <w:szCs w:val="28"/>
          <w:rtl w:val="true"/>
          <w:lang w:bidi="ar-SA"/>
        </w:rPr>
        <w:t>قسامة المسلم، بل في الحسن 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حقن دماء المسلمينبالقسامة</w:t>
      </w:r>
      <w:r>
        <w:rPr>
          <w:rFonts w:eastAsia="Amiri" w:cs="Amiri" w:ascii="Amiri" w:hAnsi="Amiri"/>
          <w:color w:val="111111"/>
          <w:sz w:val="28"/>
          <w:szCs w:val="28"/>
          <w:rtl w:val="true"/>
          <w:lang w:bidi="ar-SA"/>
        </w:rPr>
        <w:t>».</w:t>
      </w:r>
      <w:r>
        <w:rPr>
          <w:rStyle w:val="FootnoteAnchor"/>
          <w:rtl w:val="true"/>
        </w:rPr>
        <w:footnoteReference w:id="1310"/>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جعلت القسامة احتياطاً للناس لكيما إذا أراد الفاسق أن يقتل رجلاً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يغتال رجلاً حيث لا يراه أحداً خاف ذلك فامتنع من القتل</w:t>
      </w:r>
      <w:r>
        <w:rPr>
          <w:rFonts w:eastAsia="Amiri" w:cs="Amiri" w:ascii="Amiri" w:hAnsi="Amiri"/>
          <w:color w:val="111111"/>
          <w:sz w:val="28"/>
          <w:szCs w:val="28"/>
          <w:rtl w:val="true"/>
          <w:lang w:bidi="ar-SA"/>
        </w:rPr>
        <w:t>».</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ففي الكافر تبقى على أصالة عدم ثبوت الحقّ بها، ولأنّها يثبت بها القود في القتل عمداً، والكافر لا يستحقّه على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أوجبنا عليه الدية لأوجبنا بيمين كافر ابتداءً على مسلم مالاً، مع علمنا بأنّهم يستحلّون أموال المسلمين ودماءهم</w:t>
      </w:r>
      <w:r>
        <w:rPr>
          <w:rFonts w:eastAsia="Amiri" w:cs="Amiri" w:ascii="Amiri" w:hAnsi="Amiri"/>
          <w:color w:val="111111"/>
          <w:sz w:val="28"/>
          <w:szCs w:val="28"/>
          <w:rtl w:val="true"/>
          <w:lang w:bidi="ar-SA"/>
        </w:rPr>
        <w:t>.</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 xml:space="preserve">ولأنّها سبيل منفيّ عن الكافر على المسلم، ولتقرير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 على آبائهم قبول قسامة اليهود، ولذا أداه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الجميع كما ترى، ضرورة الخروج عن الأصل بإطلاق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القسامة حقّ، ولولا ذلك لقتل الناس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والقسامة نجاة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وغير ذلك ممّا يظهر منه مشروعيّة القسامة للناس كافة، وهو مقتضى أصالة الاشتراك، وليس المراد من الخبرين الأوّلين أنّها شرعت لهم خاصّة كي يكون معارضاً بها، فيحتاج فيه إلى الجمع بالإطلاق والتقييد، كما تخيّله بعض المشايخ؛ لكونهما مثبتين، ولأنّ التعبير بالمسلم والمؤمن رائج في بيان الأحكام، ويكون تذكّراً إلى إسلام المسلمين وإيمانهم لصيرورته داعياً ومحركاً إلى العمل وإلّا فالأحكام للناس عامّة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ثبوت القود بها؛ لعدم استحقاق الكافر له على المسلم، لا ينافي ثبوت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القتل عمداً بها لاستحقاقه الدية عليه، كما لو قامت البيّنة، ووجوب المال بها ابتداءً على المسلم كالشاهد واليمين غير مناف لشيء من الأدلّة، بل إطلاقها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عدم كونها سبيلاً، ضرورة عدم كون الحقّ على الوجه الشرعي سبيلاً منفيّاً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وتقرير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 على الآباء وأداؤه من نفسه إنّما كان سياسة، لا لعدم جواز قسامتهم، وإلّا لم يأمر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صريح في ثبوتها، بل هو دليل على المشروعيّة بناءً على اتّحاد الدعوى مع الإنكار في القبول كما هو واضح، فالأقوى حينئذٍ ثبوتها في الكافر كالمسلم، وفاقاً للشيخ في المبسوط</w:t>
      </w:r>
      <w:r>
        <w:rPr>
          <w:rStyle w:val="FootnoteAnchor"/>
          <w:rtl w:val="true"/>
        </w:rPr>
        <w:footnoteReference w:id="1315"/>
      </w:r>
      <w:r>
        <w:rPr>
          <w:rFonts w:ascii="Amiri" w:hAnsi="Amiri" w:eastAsia="Amiri" w:cs="Amiri"/>
          <w:color w:val="111111"/>
          <w:sz w:val="28"/>
          <w:sz w:val="28"/>
          <w:szCs w:val="28"/>
          <w:rtl w:val="true"/>
          <w:lang w:bidi="ar-SA"/>
        </w:rPr>
        <w:t>وغيره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مصبّ البحث بينهم وإن كان هو الكافر، لكنّ الظاهر كون المراد منه غير المسلم الأعمّ من الكافر، وقد مرّ منّا في شرائط القصاص عدم شرطيّة التساوي في الدين، وأنّه يقتل المسلم بالكافر، فضلاً عن 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يظهر عدم تماميّة الاستدلال للمنع من رأس بأنّه يثبت بها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فلا حاجة إلى الجواب عنه؛ لما مرّ</w:t>
      </w:r>
      <w:r>
        <w:rPr>
          <w:rStyle w:val="FootnoteAnchor"/>
          <w:rtl w:val="true"/>
        </w:rPr>
        <w:footnoteReference w:id="1316"/>
      </w:r>
      <w:r>
        <w:rPr>
          <w:rFonts w:ascii="Amiri" w:hAnsi="Amiri" w:eastAsia="Amiri" w:cs="Amiri"/>
          <w:color w:val="111111"/>
          <w:sz w:val="28"/>
          <w:sz w:val="28"/>
          <w:szCs w:val="28"/>
          <w:rtl w:val="true"/>
          <w:lang w:bidi="ar-SA"/>
        </w:rPr>
        <w:t>من عدم منافاة عدم القود في قتل المسلم الكافر عمداً ثبوت الدية، كما لا يخفى</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الاستدلال والجواب عنه إنّما يكون في محلّه على المعروف بينالأصحاب من شرطيّة التساوي، كما لا يخفى عليك أيضاً عدم تماميّة مختار المتن، وأنّ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اليمين من ذكر قيود يخرج الموضوع ومورد الحلف عن الإبهام والاحتمال؛ من ذكرالقاتل والمقتول ونسبهما ووصفهما بما يزيل الإبهام والاحتمال، وذكر نوع القتل من كونه عمداً أو خطأً أو شبه عمد، وذكرالانفراد أو الشركة ونحوذلك من القيود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بل الأقوى القبول</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اعتبار ذكر الأُمور المذكورة واضح من المتن؛ لما يعتبر في الحلف عدم الإبهام والاحتمال</w:t>
      </w:r>
      <w:r>
        <w:rPr>
          <w:rFonts w:eastAsia="Amiri" w:cs="Amiri" w:ascii="Amiri" w:hAnsi="Amiri"/>
          <w:color w:val="111111"/>
          <w:sz w:val="28"/>
          <w:szCs w:val="28"/>
          <w:rtl w:val="true"/>
          <w:lang w:bidi="ar-SA"/>
        </w:rPr>
        <w:t xml:space="preserve">. </w:t>
      </w:r>
      <w:bookmarkStart w:id="296" w:name="pg9428_72758"/>
    </w:p>
    <w:p>
      <w:pPr>
        <w:pStyle w:val="Heading2"/>
        <w:numPr>
          <w:ilvl w:val="1"/>
          <w:numId w:val="1"/>
        </w:numPr>
        <w:rPr/>
      </w:pPr>
      <w:bookmarkStart w:id="297" w:name="__RefHeading___Toc5797599_2870459653"/>
      <w:bookmarkStart w:id="298" w:name="_Toc100"/>
      <w:bookmarkEnd w:id="296"/>
      <w:bookmarkEnd w:id="297"/>
      <w:r>
        <w:rPr>
          <w:rtl w:val="true"/>
        </w:rPr>
        <w:t>المقصد الثالث</w:t>
      </w:r>
      <w:r>
        <w:rPr>
          <w:rtl w:val="true"/>
        </w:rPr>
        <w:t xml:space="preserve">: </w:t>
      </w:r>
      <w:r>
        <w:rPr>
          <w:rtl w:val="true"/>
        </w:rPr>
        <w:t xml:space="preserve">في أحكامها </w:t>
      </w:r>
      <w:r>
        <w:rPr>
          <w:rtl w:val="true"/>
        </w:rPr>
        <w:t>[</w:t>
      </w:r>
      <w:r>
        <w:rPr>
          <w:rtl w:val="true"/>
        </w:rPr>
        <w:t>القسامة</w:t>
      </w:r>
      <w:r>
        <w:rPr>
          <w:rtl w:val="true"/>
        </w:rPr>
        <w:t>]</w:t>
      </w:r>
      <w:bookmarkEnd w:id="298"/>
    </w:p>
    <w:p>
      <w:pPr>
        <w:pStyle w:val="Heading3"/>
        <w:numPr>
          <w:ilvl w:val="2"/>
          <w:numId w:val="1"/>
        </w:numPr>
        <w:rPr/>
      </w:pPr>
      <w:bookmarkStart w:id="299" w:name="__RefHeading___Toc5797601_2870459653"/>
      <w:bookmarkStart w:id="300" w:name="_Toc101"/>
      <w:bookmarkEnd w:id="299"/>
      <w:r>
        <w:rPr>
          <w:rtl w:val="true"/>
        </w:rPr>
        <w:t>اشارة</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بالقسامة في قتل العمد، والدية على القاتل في الخطأ شبيه العمد، وعلى العاقلة في الخطأ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في الخطأ المحض على القاتل لا العاقلة، وهو غير مرضيّ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5797603_2870459653"/>
      <w:bookmarkStart w:id="302" w:name="_Toc102"/>
      <w:bookmarkEnd w:id="301"/>
      <w:r>
        <w:rPr>
          <w:rtl w:val="true"/>
        </w:rPr>
        <w:t>حجّية القسامة في ثبوت القصاص والدية</w:t>
      </w:r>
      <w:bookmarkEnd w:id="3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فيما ذكره واضح، فإنّ القسامة حجّة في إثبات القتل كالبيّنة، فيترتّب ثبوت القصاص بالقسامة، عليه الإجماع منّا محصّلاً ومنقولاً، وعن أبي حنيفة والشافعي</w:t>
      </w:r>
      <w:r>
        <w:rPr>
          <w:rStyle w:val="FootnoteAnchor"/>
          <w:rtl w:val="true"/>
        </w:rPr>
        <w:footnoteReference w:id="1317"/>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بها الدية مغلّظة في مال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نصوص من نصوصها كصحيح بريد بن معاوية،</w:t>
      </w:r>
      <w:r>
        <w:rPr>
          <w:rStyle w:val="FootnoteAnchor"/>
          <w:rtl w:val="true"/>
        </w:rPr>
        <w:footnoteReference w:id="1318"/>
      </w:r>
      <w:r>
        <w:rPr>
          <w:rFonts w:ascii="Amiri" w:hAnsi="Amiri" w:eastAsia="Amiri" w:cs="Amiri"/>
          <w:color w:val="111111"/>
          <w:sz w:val="28"/>
          <w:sz w:val="28"/>
          <w:szCs w:val="28"/>
          <w:rtl w:val="true"/>
          <w:lang w:bidi="ar-SA"/>
        </w:rPr>
        <w:t>ففي موضعين منه الدلالة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فأقيموا قسامة خمسين رجلاً أقيدهبرمّته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لكي إذا رأى الفاجر الفاسق فرصة من عدوّه حجزه مخافة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القسامة أن يقتل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وكخبر ابن سنان،</w:t>
      </w:r>
      <w:r>
        <w:rPr>
          <w:rStyle w:val="FootnoteAnchor"/>
          <w:rtl w:val="true"/>
        </w:rPr>
        <w:footnoteReference w:id="1319"/>
      </w:r>
      <w:r>
        <w:rPr>
          <w:rFonts w:ascii="Amiri" w:hAnsi="Amiri" w:eastAsia="Amiri" w:cs="Amiri"/>
          <w:color w:val="111111"/>
          <w:sz w:val="28"/>
          <w:sz w:val="28"/>
          <w:szCs w:val="28"/>
          <w:rtl w:val="true"/>
          <w:lang w:bidi="ar-SA"/>
        </w:rPr>
        <w:t>ففيه مثل الموضع الثاني من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وكصحيح زرارة،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فليقسم خمسون رجلاً منكم على رجل ندفعه إليكم</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وكخبر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المدّعي أن يجيء بخمسين يحلفون أنّ فلاناً قتل فلاناً، فيدفع إليهم الذي حلف عليه، فإن شاؤوا عفوا، وإن شاؤوا قتلوا، وإن شاؤوا قبلوا الدية</w:t>
      </w:r>
      <w:r>
        <w:rPr>
          <w:rFonts w:eastAsia="Amiri" w:cs="Amiri" w:ascii="Amiri" w:hAnsi="Amiri"/>
          <w:color w:val="111111"/>
          <w:sz w:val="28"/>
          <w:szCs w:val="28"/>
          <w:rtl w:val="true"/>
          <w:lang w:bidi="ar-SA"/>
        </w:rPr>
        <w:t>».</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هذا، مع أنّ اللازم من حجيّتها في ثبوت القتل بها، كالبيّنة، ثبوت القصاص بها كما هو واضح، وبذلك يظهر وضوح ترتّب الدية وأحكام شبه العمد والخطأ بثبوت موضوعهما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التحرير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القتل خطأ، تثبت الدية على القاتل لا على العاقلة، فإنّ العاقلة إنّما يضمن الدية مع البيّنة</w:t>
      </w:r>
      <w:r>
        <w:rPr>
          <w:rFonts w:eastAsia="Amiri" w:cs="Amiri" w:ascii="Amiri" w:hAnsi="Amiri"/>
          <w:color w:val="111111"/>
          <w:sz w:val="28"/>
          <w:szCs w:val="28"/>
          <w:rtl w:val="true"/>
          <w:lang w:bidi="ar-SA"/>
        </w:rPr>
        <w:t>.</w:t>
      </w:r>
      <w:r>
        <w:rPr>
          <w:rStyle w:val="FootnoteAnchor"/>
          <w:rtl w:val="true"/>
        </w:rPr>
        <w:footnoteReference w:id="13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على اثنين وله على أحدهما لوث، فبالنسبة إلى ذي اللوث كان الحكم كما تقدّم من إثباته بخمسين قسامة، وبالنسبة إلى غيره كانت الدعوى كسائر الدعاوي؛ اليمين على المدّعى عليه ولا قسامة، فلو حلف سقطت دعواه بالنسبة إليه، وإن ردّ اليمين على المدّعي حلف، وهذا الحلف لا يدخل في الخمسين، بل لابدّ في اللوث من خمسين غير هذا الحلف على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في حواشيه أنّه قوّاه،</w:t>
      </w:r>
      <w:r>
        <w:rPr>
          <w:rStyle w:val="FootnoteAnchor"/>
          <w:rtl w:val="true"/>
        </w:rPr>
        <w:footnoteReference w:id="1323"/>
      </w:r>
      <w:r>
        <w:rPr>
          <w:rFonts w:ascii="Amiri" w:hAnsi="Amiri" w:eastAsia="Amiri" w:cs="Amiri"/>
          <w:color w:val="111111"/>
          <w:sz w:val="28"/>
          <w:sz w:val="28"/>
          <w:szCs w:val="28"/>
          <w:rtl w:val="true"/>
          <w:lang w:bidi="ar-SA"/>
        </w:rPr>
        <w:t xml:space="preserve">والظاهر أنّه لا وجه لقوله إلّا استناده إلى ما في خبر زيد،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تعقل العاقلة إلّا ما قامت عليه البيّنة</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وفيه، مع ما فيه من الضعف وعدم الجابر له، الظاهر أنّ الحصر إضافي ويكون المراد منه في مقابل الإقرار، وإلّا كان معارضاً بظاهر ما دلّ على إثبات الدعوى بها ممّا هو أرجح منه من وجوه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عليك أنّ الشأن في أصل الدية في الخطأ على العاقلة، فإنّ الأقوى عندي كونها على الجاني كقسميه إلّا في بعض الموارد الخاصّة، وتفصيله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كلام في الأحكام المذكورة في المسألة، والدليل على القسامة بالنسبة إلى ذي اللوث إطلاق أدلّتها، وبالنسبة إلى غير ذي اللوثقواعد باب القضاء وأنّ البيّنة على المدّعي واليمين على من اُدّعي عليه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المتن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الحلف لا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فناظر إلى ما في المسالك من قوله</w:t>
      </w:r>
      <w:r>
        <w:rPr>
          <w:rFonts w:eastAsia="Amiri" w:cs="Amiri" w:ascii="Amiri" w:hAnsi="Amiri"/>
          <w:color w:val="111111"/>
          <w:sz w:val="28"/>
          <w:szCs w:val="28"/>
          <w:rtl w:val="true"/>
          <w:lang w:bidi="ar-SA"/>
        </w:rPr>
        <w:t xml:space="preserve">: </w:t>
      </w:r>
      <w:bookmarkStart w:id="303" w:name="pg9428_72761"/>
    </w:p>
    <w:p>
      <w:pPr>
        <w:pStyle w:val="BookText"/>
        <w:rPr/>
      </w:pPr>
      <w:bookmarkEnd w:id="3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قتل ذي اللوث بعد الثبوت عليه بالقسامة يردّ عليه نصف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ثبت على الآخر باليمين المردودة وأراد قتله، يردّ عليه نصف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لوث وبعض الأولياء غائب ورفع الحاضر الدعوى إلى الحاكم تسمع دعواه، ويطالبه خمسين قسامة، ومع الفقد يحلّفه خمسين يميناً في العمد، وفي غيره نصفها حسب ما عرفت، ويثبت حقّه، ولم يجب انتظار سائر الأولياء، وله الاستيفاء ولو قوداً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دخوله في جملة الخمسين أو كونه خارجاً عنها القولان السابقان فيما إذا تعدّد المدّعى عليه</w:t>
      </w:r>
      <w:r>
        <w:rPr>
          <w:rFonts w:eastAsia="Amiri" w:cs="Amiri" w:ascii="Amiri" w:hAnsi="Amiri"/>
          <w:color w:val="111111"/>
          <w:sz w:val="28"/>
          <w:szCs w:val="28"/>
          <w:rtl w:val="true"/>
          <w:lang w:bidi="ar-SA"/>
        </w:rPr>
        <w:t>.</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القولين فيما إذا تعدّد المدّعى عليه مع وجود اللوث لا في مثل الفرض الذي فيه اليمين المردودة، أو يمين النكول التي لا مدخليّة لها في يمين اللوث،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دخولها على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ردّ نصف الدية إلى ذي اللوث أو إلى الآخر كون الادّعاء على اثنين، فبعد إثبات الدعوى بالنسبة إلى أحدهما ليس له حقّ إلّا بالنسبة إلى نصف دمه، كما لا يخفى</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5797605_2870459653"/>
      <w:bookmarkStart w:id="305" w:name="_Toc103"/>
      <w:bookmarkEnd w:id="304"/>
      <w:r>
        <w:rPr>
          <w:rtl w:val="true"/>
        </w:rPr>
        <w:t>جريان القسامة مع غيبة بعض الأولياء</w:t>
      </w:r>
      <w:bookmarkEnd w:id="305"/>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جريان القسامة في الفرض إطلاق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وجوب الانتظار؛ فلأنّه إذا جاز القصاص مع غضّ الباقين فمع الغيبة أولى، ولقاعدة تسلّط كلّ ذي حقّ على حقّه، وعدم الضرر والضرار، وأصالةالبراءة عن شرطيّة </w:t>
      </w:r>
    </w:p>
    <w:p>
      <w:pPr>
        <w:pStyle w:val="BookText"/>
        <w:rPr/>
      </w:pPr>
      <w:r>
        <w:rPr>
          <w:rFonts w:ascii="Amiri" w:hAnsi="Amiri" w:eastAsia="Amiri" w:cs="Amiri"/>
          <w:color w:val="111111"/>
          <w:sz w:val="28"/>
          <w:sz w:val="28"/>
          <w:szCs w:val="28"/>
          <w:rtl w:val="true"/>
          <w:lang w:bidi="ar-SA"/>
        </w:rPr>
        <w:t>ثمّ لو حضر الغائب وأراد استيفاء حقّه،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بقدر نصيبه، فإذا كان واحداً ففي العمد خمس وعشرون، وإن كان اثنين فلكلّ ثلث، وهكذا، وفي الكسور يجبر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ثبوت حقّ الغائب بقسامة الحاضر أو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التفصيل بين قسامة الحاضر، فيقال بثبوت حقّ الغائب بها ويمينه خمسين يميناً مع فقد القسامة، فيقال بعدم ثبوته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ثبوت حقّ الغائب بضمّ يمين واحدة إلى عدد القسامة، ومع فقدها ويمين الحاضر ضمّ حصّته من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ثبوت دعوى الغائب إلّا بخمسين قسامة، ومع فقدها يحلف خمسين يميناً كالحاضر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الغائب أزيد من واحد وادّعى الجميع، كفاهم خمسين قسامة أو خمسين يميناً من جميعهم، أقوى الاحتمالات الأخير، سيّما إذا ثبت حقّه بخمسين يميناً منه، ويأتي الاحتمالات مع قصور بعض 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حضور الغائب في جواز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اعتضاد تلك الوجوه بالمحكيّ</w:t>
      </w:r>
      <w:r>
        <w:rPr>
          <w:rStyle w:val="FootnoteAnchor"/>
          <w:rtl w:val="true"/>
        </w:rPr>
        <w:footnoteReference w:id="1326"/>
      </w:r>
      <w:r>
        <w:rPr>
          <w:rFonts w:ascii="Amiri" w:hAnsi="Amiri" w:eastAsia="Amiri" w:cs="Amiri"/>
          <w:color w:val="111111"/>
          <w:sz w:val="28"/>
          <w:sz w:val="28"/>
          <w:szCs w:val="28"/>
          <w:rtl w:val="true"/>
          <w:lang w:bidi="ar-SA"/>
        </w:rPr>
        <w:t>من إجماع الشيخ في الخلاف</w:t>
      </w:r>
      <w:r>
        <w:rPr>
          <w:rStyle w:val="FootnoteAnchor"/>
          <w:rtl w:val="true"/>
        </w:rPr>
        <w:footnoteReference w:id="1327"/>
      </w:r>
      <w:r>
        <w:rPr>
          <w:rFonts w:ascii="IRNazanin" w:hAnsi="IRNazanin" w:eastAsia="IRNazanin"/>
          <w:color w:val="111111"/>
          <w:sz w:val="28"/>
          <w:sz w:val="28"/>
          <w:szCs w:val="28"/>
          <w:rtl w:val="true"/>
          <w:lang w:bidi="fa-IR"/>
        </w:rPr>
        <w:t>وظاهر المبسوط</w:t>
      </w:r>
      <w:r>
        <w:rPr>
          <w:rStyle w:val="FootnoteAnchor"/>
          <w:rtl w:val="true"/>
        </w:rPr>
        <w:footnoteReference w:id="1328"/>
      </w:r>
      <w:r>
        <w:rPr>
          <w:rFonts w:ascii="Amiri" w:hAnsi="Amiri" w:eastAsia="Amiri" w:cs="Amiri"/>
          <w:color w:val="111111"/>
          <w:sz w:val="28"/>
          <w:sz w:val="28"/>
          <w:szCs w:val="28"/>
          <w:rtl w:val="true"/>
          <w:lang w:bidi="ar-SA"/>
        </w:rPr>
        <w:t>والسيّدين علم الهدى</w:t>
      </w:r>
      <w:r>
        <w:rPr>
          <w:rStyle w:val="FootnoteAnchor"/>
          <w:rtl w:val="true"/>
        </w:rPr>
        <w:footnoteReference w:id="1329"/>
      </w:r>
      <w:r>
        <w:rPr>
          <w:rFonts w:ascii="Amiri" w:hAnsi="Amiri" w:eastAsia="Amiri" w:cs="Amiri"/>
          <w:color w:val="111111"/>
          <w:sz w:val="28"/>
          <w:sz w:val="28"/>
          <w:szCs w:val="28"/>
          <w:rtl w:val="true"/>
          <w:lang w:bidi="ar-SA"/>
        </w:rPr>
        <w:t>وأبي المكارم</w:t>
      </w:r>
      <w:r>
        <w:rPr>
          <w:rFonts w:eastAsia="Amiri" w:cs="Amiri" w:ascii="Amiri" w:hAnsi="Amiri"/>
          <w:color w:val="111111"/>
          <w:sz w:val="28"/>
          <w:szCs w:val="28"/>
          <w:rtl w:val="true"/>
          <w:lang w:bidi="ar-SA"/>
        </w:rPr>
        <w:t>.</w:t>
      </w:r>
      <w:r>
        <w:rPr>
          <w:rStyle w:val="FootnoteAnchor"/>
          <w:rtl w:val="true"/>
        </w:rPr>
        <w:footnoteReference w:id="13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المذكورة خمسة، ودونك وجوهها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إلزام الأوّل بالخمسين يكون على الأصل، وأمّا إلزام الغائب بقدر حصّته بالنسبة إلى المدّعين فليس على الغائب إلّا المقدار الذيعليه لو كان حاضر مع الحاضر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يظهر من نصوص القسامة، بل وما سلف من الفتاوى، أنّها إذا حصلت القسامة أو الأيمان ثبت الحقّ لأهله من غير فرق بين الحالف منهم وغيره مع فرض كونه مدّعيّاً، كما أنّه يظهر منهما عدم لزوم توزيع الحلف على المدّعين على قدر نصيبهم على وجهٍ إن لم يحصل اليمين من بعضهم على قدر استحقاقه لم يثبت له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القسامة كالبيّنة، فمع تحقّقها يثبت الحقّ المشترك بين الحاضر والغائب، فلا حاجة للغائب إلى إثباته، وهذا بخلاف الأيمان، فإنّها كاليمين للمنكر قاطعة للدعوى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ضمّ يمين واحدة إلى عدد القسامة لو كان الغائب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فقدها ويمين الحاضر ضمّ حصّته من الأيمان، وبهذه النسبة مع كون الغائب أكثر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خلوّ حقّ الغائب من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دعوى الغائب غير دعوى الحاضر، فلابدّ له من حلف تمام الخمسين كالحاضر؛ إذ لا قسامة مثبتة للحقّ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منافٍ لما ذكروه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أرسلوه إرسال المسلّم من حلف الغائب بقدر حصّته وإن كان موافقاً مع الاقتصار على المتيقّن، حيث إنّ القسامة على خلاف الأصل، والمتيقّن منها كونها خمسين على كلٍّ من الحاضر والغائب مطلقاً، وهو الأحوط، بل الأقوى كما في المتن؛ لأنّه بعد ما لم تكن حجّة وكان الباب باب الاحتمال، فالمورد من موارد دوران الأمر بين التعيين والتخيير بعد عدم كون واحد من الأربعة على اللزوم، كما هو واضح، والحكم فيه التعيين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كذّب أحد الوليّين صاحبه لم يقدح في اللوث فيما إذا كانت أمارات على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القدح إذا كان اللوث بشاهد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والمقامات 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الوليّ قبل إقامة القسامة أو قبل حلفه، قام وارثه مقامه في الدعوى، فعليه إذا أراد إثبات حقّه القسامة، ومع فقدها خمسون أو خمس وعشرون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الوليّ في أثناء الأيمان فالظاهر لزوم استئناف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بعد كمال العدد ثبت للوارث حقّه من غير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المتن من كفاية الخمسين للغائب الأزيد من الواحد وادّعائهم الجميع، فالظاهر لكونهم كالحاضرين من أوّل الأمر وقصور بعض الأولياء كغيبته في جريان الاحتمالات، حيث إنّ القصور من جهات أُخرى كالقصور في الغيبة في عدم القدرة على القسامة والحلف، فإنّ حلف الصغير والمجنون كعدمه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وعدم القدح تابع للمقامات، والمقامات مختلفة، فإنّه ليس للوث ضابطة معيّنة غير مختلفة بحسب المقامات، بل لا يمكن فيه تلك الضابطة، حيث إنّ المعيار في اللوث إمّا هو الظنّ أو الظنّ الغالب القريب للعلم والاطمئنان، فلابدّ فيه إلّا من الاختلاف في حصوله باختلاف المقامات والأمارات</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الوارث مقام الوليّ في الدعوى إنّما يكون من جهة إرثه الحقّ؛ أي حقّ الدعوى الذي كان لمورّثه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الميّت من حقّ أو مالفلوارثه</w:t>
      </w:r>
      <w:r>
        <w:rPr>
          <w:rFonts w:eastAsia="Amiri" w:cs="Amiri" w:ascii="Amiri" w:hAnsi="Amiri"/>
          <w:color w:val="111111"/>
          <w:sz w:val="28"/>
          <w:szCs w:val="28"/>
          <w:rtl w:val="true"/>
          <w:lang w:bidi="ar-SA"/>
        </w:rPr>
        <w:t>»</w:t>
      </w:r>
      <w:r>
        <w:rPr>
          <w:rStyle w:val="FootnoteAnchor"/>
          <w:rtl w:val="true"/>
        </w:rPr>
        <w:footnoteReference w:id="1331"/>
      </w:r>
      <w:r>
        <w:rPr>
          <w:rFonts w:ascii="IRNazanin" w:hAnsi="IRNazanin" w:eastAsia="IRNazanin"/>
          <w:color w:val="111111"/>
          <w:sz w:val="28"/>
          <w:sz w:val="28"/>
          <w:szCs w:val="28"/>
          <w:rtl w:val="true"/>
          <w:lang w:bidi="fa-IR"/>
        </w:rPr>
        <w:t xml:space="preserve">وبعد ما صار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المدّعي مع اللوث واستوفى الدية، ثمّ شهد اثنان أنّه كان غائباً غيبة لا يقدر معها على القتل، أو محبوساً كذلك، فهل تبطل القسامة بذلك واستُعيدت الدية، أم لا مجال للبيّنة بعد فصل الخصومة باليمين؟ فيه تردّد، والأرجح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محقّاً في الدعوى وصار مدّعياً للقتل فتشمله أدلّة القسامة بإطلاقها كشمول أدلّة البيّنة وسائر أحكام الدعاوي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ما ذكره من كون الظاهر لزوم استئناف الأيمان الاقتصار على القدر المتيقّن، فإنّ القسامة على خلاف الأصل، فلابدّ من الاقتصار فيها على المتيقّن في المورد ممّا لا دليل على الاكتفاء بالإتمام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ثبوت حقّه للوارث بعد كمال العدد من المورّث وعدم احتياج الوارث إلى اليمين، فلكونه وارثاً لحقّه الثابت بأيمانه، فلا وجه ليمينه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أقوائيّة البيّنة على القسامة، فلابدّ من القول ببطلان القسامة بها، وكون اليمين قاطعة للدعوى، وأنّ البيّنة بعدها غير مفيدة، فلابدّ من القول بأنّ القسامة غير باطلة بالبيّنة؛ لكون البيّنة بعد القسامة كالبيّنة من المدّعي بعد حلف المنكر وتماميّة الدعوى، فكما لا جدوى لها فكذلك لا جدوى لها في المقام، فالحكم بتقديم البيّنة منافٍ لذهاب اليمين بما فيها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وجه الأرجحيّة للثاني في المتن إذهاب اليمين بما فيها، الذي </w:t>
      </w:r>
    </w:p>
    <w:p>
      <w:pPr>
        <w:pStyle w:val="BookText"/>
        <w:rPr/>
      </w:pPr>
      <w:r>
        <w:rPr>
          <w:rFonts w:ascii="Amiri" w:hAnsi="Amiri" w:eastAsia="Amiri" w:cs="Amiri"/>
          <w:color w:val="111111"/>
          <w:sz w:val="28"/>
          <w:sz w:val="28"/>
          <w:szCs w:val="28"/>
          <w:rtl w:val="true"/>
          <w:lang w:bidi="ar-SA"/>
        </w:rPr>
        <w:t>نعم، لو علم ذلك وجداناً بطلت القسامة واستُعيدت الدية ولو اقتصّ بالقسامة أو الحلف أُخذت منه الدية لو لم يعترف بتعمّد الكذب، وإلّا اقتصّ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استوفى حقّه بالقسامة فقال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قتلته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المدّعي حلف وحده أو مع القسامة، فليس له الرجوع إلى المقرّ إلّا إذا كذّب نفسه وصدّق المقرّ، وحينئذٍ ليس له العمل بمقتضى القسامة، ولابدّ من ردّ ما استوفاه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يحلف وقلنا بعدم لزوم حلفه وكفى حلف قومه فإذا ادّعى جزماً، فكذلك ليس له الرجوع إلى المقرّ إلّا مع تكذيب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ادّعى ظنّاً وقلنا بسماع دعواه كذلك، جاز له الرجوع إلى المقرّ، وجاز العمل بمقتضى القسامة، والظاهر ثبوت الخيار لو لم يكذّب نفسه ورجع عن جزمه إلى الترديد أو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مورد النصّ،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الذهاب مختصّ بيمين المنكر في الدعاوي الماليّة وغيرها، وأنّى له بباب القتل والقسامة للمدّعي، فبينهما بون بعيدٌ،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أرجحيّة الأوّل بل تعيّنه، لا لأقوائيّة البيّنة؛ لعدم الأقوائيّة لها في الحجّية عن القسامة، فإنّ الحجّية ثابتة لهما من دون زيادة للبيّنة على الآخر، بل الزيادة فيها غير معقولة، ولا لقوّة الظنّ الحاصل منها؛ لأنّ القوّة فيها مختلفة بحسب الموارد فيهما ومختلفة بها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لا دليل على الترجيح بقوّة الظنّ هنا، بل لأنّ البيّنة من المنكر في المورد كما أنّها كانت حجّة ونافية للوث إن كانت قبل القسامةفكذلك بعدها، ولأنّ القسامة دليل حيث لا دليل، ولأنّ في العمل بالبيّنة والحكم ببطلان اللوث واستعادة الدية جمعاً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فيما ذكره من أحكام العلم وعدم التعمّد في الكذب أو التعمّد فيه فواضح، كالوجه فيما ذكره في المسألة التالية، ولا حاجة إلى بيانه</w:t>
      </w:r>
      <w:r>
        <w:rPr>
          <w:rFonts w:eastAsia="Amiri" w:cs="Amiri" w:ascii="Amiri" w:hAnsi="Amiri"/>
          <w:color w:val="111111"/>
          <w:sz w:val="28"/>
          <w:szCs w:val="28"/>
          <w:rtl w:val="true"/>
          <w:lang w:bidi="ar-SA"/>
        </w:rPr>
        <w:t xml:space="preserve">. </w:t>
      </w:r>
      <w:bookmarkStart w:id="306" w:name="pg9428_72767"/>
    </w:p>
    <w:p>
      <w:pPr>
        <w:pStyle w:val="BookText"/>
        <w:rPr/>
      </w:pPr>
      <w:bookmarkEnd w:id="3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اتّهم رجل بالقتل والتمس الوليّ من الحاكم حبسه حتّى يحضر البيّنة، فالظاهر جواز إجابته، إلّا إذا كان الرجل ممّن يوثق بعدم فراره، ولو أخّر المدّعي إقامة البيّنة إلى ستّة أ‌يّام يخلّى سبيله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5797607_2870459653"/>
      <w:bookmarkStart w:id="308" w:name="_Toc104"/>
      <w:bookmarkEnd w:id="307"/>
      <w:r>
        <w:rPr>
          <w:rtl w:val="true"/>
        </w:rPr>
        <w:t>حبس المتّهم ومدّته</w:t>
      </w:r>
      <w:bookmarkEnd w:id="3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المسألة وكلمات الأصحاب وإن كان مختصّاً باتّهام القتل وحبس المتّهم به لكشف الحقيقة، لكنّه ينبغي البحث عن الحبس الاستظهاري للمنكر في جميع الدعاوي وحقوق الناس أوّلاً، ثمّ البحث عن خصوص المتّهم بالقتل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حقوق الله تعالى، فالحبس كذلك فيها حرامٌ؛ لكونه منافياً لوجوب درئ الحدّ بالشبهة، ومخالفاً للسيرة المنقولة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إجراء الحدود، ولكونه عقوبة بلا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أنّ حرمته في حقوق الله غير مختصّة بالحدود، بل يكون الحبس كذلك حراماً في التعزير منها؛ قضاء لجريان الدرئ في التعزير بالأولويّة، واشتراكه مع الحدود في كونه عقوبة بلا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حرمة الحبس الاستظهاري وعدم جوازه؛ لكونه ضرراً وإيذاءً وحرجاً على المنكر المتّهم وتدخّلاً في حدود سلطنته أوّلاً، ولتسلّط الناس على أنفسهم كتسلّطهم على أموالهم، بل تسلّطهم عليها أولى من الأموال ثانياً، وعقوبة عليه بلا وجهٍ ثالثاً، فكلّ واحد من الجهات الثلاثة كافية في حرمته، فضلاً عن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الاستظهاري، كما لايخفى</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حبس الأفراد من المحرّمات الواضحة، لكن إذا كان ذلك الحبس حفظاً لحقّ الغير واحتياطاً فيه؛ حذراً من فرار المتّهم مع انحصار الطريق به، ففي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حرمته تأ‌مّل وإشكال، بل الظاهر جوازه مع أهميّة مورد الدعوى؛ وذلك قضاءً لقاعدة التزاحم، فكما أنّ الحبس من دون ثبوت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كحبس المتّهم بإمساك المقتول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ومعصية وتركه واجب، فكذلك تضييع حقوق الناس للحاكم وعدم تحفّظه لها بالحبس الاستظهاري محرّم، وتركه المتوقّف عليه واجب ولازم، فالحكمان متزاحمان بالنسبة إلى الحاكم، فلابدّ عليه من رعاية قاعدة التزاحم من الترجيح بالأهميّة أو باحتمالها، ففي مثل حقّ القصاص ممّا يكون أهمّ من الحبس الاستظهاري يجوز للحاكم، بل يجب عليه حبس المتّهم بالقتل مع انحصار طريق الاحتياط ومنعه من الفرار به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أنّه كان الجواز هنا مربوطاً بقاعدة التزاحم، فمدّته أيضاً مربوطة بما يراه العقلاء وعلماء الاجتماع والحقوق الجزائيّة والمدنيّة والإنسانيّة، ممّا تكون كافية للحاكم عادة في حفظ حقوق الناس ورعاية الاحتياط لكشف الحقيقة في مثل القتل، ومن المعلوم أنّ ذلك يختلف باختلاف الموارد والأشخاص والأزمنة والأمكنة، ولما أنّ الضابطة والقاعدة في الأهمّ أو محتمل الأهميّة، ومدّة الحبس الاستظهاري لازمة في الحكومة، فلابدّ من جعل القوانين في المجالس الشورائيّة ضابطة وقاعدة لموارد الأمرين، مع ملاحظة كشف أهميّة المورد مع الرجوع إلى العقلاء والمتشرّعة والأحكام الثابتة له في الشرع، أو إلى الفقيه مع بيان خصوصيّات الموضوع</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الضوابط والقوانين المجعولة بينالعقلاء والنظر والبحث فيها كافية في الاعتبار، وفي جعل القوانين في الحكومة الإسلاميّة على حذوها؛ لأنّ أهميّة بعض الحقوق قياساً إلى الآخر وكفاية أيّ مدّة للحبس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الاستظهار تكون أمراً عقلائيّاً وليس في الشرع ما يضادّ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مع كون التزاحم والترجيح بالأهميّة مؤ‌يّدة ببعض الأخبار، ففي موثّق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قوم يشربون فيسكرون فيتباعجون بسكاكين كانت معهم، فرفعوا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فسجنهم، فمات منهم رجلان وبقي رجلان، فقال أهل المقتولين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أقدهما بصاحبينا،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نرى أن تقيدهما،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 ذينك اللذين ماتا قتل كلّ واحد منهما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ندري،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أجعل دية المقتولين على قبائل الأربعة، وآخذ دية جراحة الباقين من دية المقتولين</w:t>
      </w:r>
      <w:r>
        <w:rPr>
          <w:rFonts w:eastAsia="IRNazanin" w:cs="IRNazanin"/>
          <w:color w:val="111111"/>
          <w:sz w:val="28"/>
          <w:szCs w:val="28"/>
          <w:rtl w:val="true"/>
          <w:lang w:bidi="fa-IR"/>
        </w:rPr>
        <w:t>».</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فإنّ الظاهر منه كون الحبس قبل ثبوت القتل؛ لمكان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خبر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شابّاً قال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النفر خرجوا بأبي معهم في السفر، فرجعوا ولم يرجع أبي، فسألتهم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فسألتهم عن ماله،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 مالاً، فقدّمتهم إلى شريح، فاستحلفهم وقد علمت أنّأبي خرج ومعه مالٌ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لأحكمنّ فیهم بحكم ما حكم به خلق قبلي إلّا داود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لي شرطة الخميس، فدعاهم، فوكّل بكلّ رجل منهم رجلاً من الشرطة، ثمّ نظر إلى وجوههم،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أعلم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صنعتم بأبي هذا الفتى؟ إنّي إذاً لجاهل،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فرّقوهم وغطّوا رؤوسهم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بينهم واُقيم كلّ رجل منهم إلى أسطوانة من أساطين المسجد ورؤوسهم مغطّاة بثيابهم، ثمّ دعا بعبيد الله بن أبي رافع كاتبه،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صحيفة ودواة، وجلس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مجلس القضاء، وجلس الناس إليه،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أنا كبّرت فكبّروا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دعا بواحد منهم، فأجلسه بين يديه، وكشف عن وجهه، ثمّ قال لعبيد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إقراره وما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أقبل عليه بالسؤال، فقال له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أيّ يوم خرجتم من منازلكم، وأبو هذا الفتى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كذا وكذا،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أيّ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كذا وكذا،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أيّ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كذا وكذا،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وإلى أين بلغتم في سفركم حتّى مات أبو هذا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موضع كذا وكذا،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منزل 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منزل فلان بن فلان،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 يوماً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ففي أيّ يوم مات؟ ومن غسّله؟ ومن كفّنه؟ وبما كفّنتموه؟ ومن صلّى عليه؟ ومن نزل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سأله عن جميع ما يريد، كبّر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وكبّر الناس جميعاً، فارتاب أولئك الباقون، ولم يشكّوا أنّ صاحبهم قد أقرّ عليهم وعلى نفسه، فأمر أن يغطّى رأسه وينطلق به إلى السجن</w:t>
      </w:r>
      <w:r>
        <w:rPr>
          <w:rFonts w:eastAsia="IRNazanin" w:cs="IRNazanin"/>
          <w:color w:val="111111"/>
          <w:sz w:val="28"/>
          <w:szCs w:val="28"/>
          <w:rtl w:val="true"/>
          <w:lang w:bidi="fa-IR"/>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ظاهر أيضاً في السجن قبل ثبوت القتل والمعصية، كما لا يخفى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المتّهم غير جائز إلّا في الدم في الجملة؛ قضاءً للأصل، ولرواية دعائم الإسلام،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حبس في تهمة إلّا في دم، والحبس بعد معرفة الحقّ ظلم</w:t>
      </w:r>
      <w:r>
        <w:rPr>
          <w:rFonts w:eastAsia="IRNazanin" w:cs="IRNazanin"/>
          <w:color w:val="111111"/>
          <w:sz w:val="28"/>
          <w:szCs w:val="28"/>
          <w:rtl w:val="true"/>
          <w:lang w:bidi="fa-IR"/>
        </w:rPr>
        <w:t>».</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 xml:space="preserve">وموثّقة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يحبس في تهمة الدم ستّة أ‌يّام، فإن جاء أولياء المقتول بثَبَت،</w:t>
      </w:r>
      <w:r>
        <w:rPr>
          <w:rStyle w:val="FootnoteAnchor"/>
          <w:rtl w:val="true"/>
        </w:rPr>
        <w:footnoteReference w:id="1335"/>
      </w:r>
      <w:r>
        <w:rPr>
          <w:rFonts w:ascii="Amiri" w:hAnsi="Amiri" w:eastAsia="Amiri" w:cs="Amiri"/>
          <w:color w:val="111111"/>
          <w:sz w:val="28"/>
          <w:sz w:val="28"/>
          <w:szCs w:val="28"/>
          <w:rtl w:val="true"/>
          <w:lang w:bidi="ar-SA"/>
        </w:rPr>
        <w:t>وإلّا خلّي سبيله</w:t>
      </w:r>
      <w:r>
        <w:rPr>
          <w:rFonts w:eastAsia="Amiri" w:cs="Amiri" w:ascii="Amiri" w:hAnsi="Amiri"/>
          <w:color w:val="111111"/>
          <w:sz w:val="28"/>
          <w:szCs w:val="28"/>
          <w:rtl w:val="true"/>
          <w:lang w:bidi="ar-SA"/>
        </w:rPr>
        <w:t>».</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الأصل، فمدفوعٌ بما مرّ من الدليل والحجّة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الدعائم، فإنّها مرسلة، مع ما في الدعائم من الإشكال والتأ‌مّل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الموثّقة، فلا دلالة لها على عدم الحبس في غير الدم أصلاً ومن رأس؛ لعدم المفهوم لها، وإنّما دلّت على الحبس في الدم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يحبس فيه، فأين دلالتها على عدم جواز الحبس في غيره؟ فإثبات الشيء ليس منافٍ لما عداه، كما هو أظهر من الشمس وأبين من 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 من جميع ما ذكرناه جواز حبس المتّهم في الجملة في الدم وغيره، وأنّ الضابط في مدّته ما تكون من المدّة مانعة عن فرار المنكر؛ حفظاً لحقّ المدّعي مع رعاية الحقوق من الطرفين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الموثّقة من ستّة أ‌يّام غير منافٍ لذلك؛ لأنّها محمولة على كون تلك المدّة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زمانه كافيةً للمنع وجامعةً لحقوق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الحبس الاستظهاري في غير المتّهم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فيه من أقوال الأصحاب، فهي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بعدم جوازه، كما هو خيرة الحلّي</w:t>
      </w:r>
      <w:r>
        <w:rPr>
          <w:rStyle w:val="FootnoteAnchor"/>
          <w:rtl w:val="true"/>
        </w:rPr>
        <w:footnoteReference w:id="1337"/>
      </w:r>
      <w:r>
        <w:rPr>
          <w:rFonts w:ascii="IRNazanin" w:hAnsi="IRNazanin" w:eastAsia="IRNazanin"/>
          <w:color w:val="111111"/>
          <w:sz w:val="28"/>
          <w:sz w:val="28"/>
          <w:szCs w:val="28"/>
          <w:rtl w:val="true"/>
          <w:lang w:bidi="fa-IR"/>
        </w:rPr>
        <w:t>والفخر</w:t>
      </w:r>
      <w:r>
        <w:rPr>
          <w:rStyle w:val="FootnoteAnchor"/>
          <w:rtl w:val="true"/>
        </w:rPr>
        <w:footnoteReference w:id="1338"/>
      </w:r>
      <w:r>
        <w:rPr>
          <w:rFonts w:ascii="Amiri" w:hAnsi="Amiri" w:eastAsia="Amiri" w:cs="Amiri"/>
          <w:color w:val="111111"/>
          <w:sz w:val="28"/>
          <w:sz w:val="28"/>
          <w:szCs w:val="28"/>
          <w:rtl w:val="true"/>
          <w:lang w:bidi="ar-SA"/>
        </w:rPr>
        <w:t>وجدّه</w:t>
      </w:r>
      <w:r>
        <w:rPr>
          <w:rStyle w:val="FootnoteAnchor"/>
          <w:rtl w:val="true"/>
        </w:rPr>
        <w:footnoteReference w:id="1339"/>
      </w:r>
      <w:r>
        <w:rPr>
          <w:rFonts w:ascii="Amiri" w:hAnsi="Amiri" w:eastAsia="Amiri" w:cs="Amiri"/>
          <w:color w:val="111111"/>
          <w:sz w:val="28"/>
          <w:sz w:val="28"/>
          <w:szCs w:val="28"/>
          <w:rtl w:val="true"/>
          <w:lang w:bidi="ar-SA"/>
        </w:rPr>
        <w:t>وغيرهم على المحكيّ عنهم، بل هو الظاهر من الشهيد الثاني في الروضة،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والحبس تعجيل عقوبة لم يثبت موجبها، فعدم جوازه أجود</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القول بحبس المتّهم بالدم ستّة أيّام للشيخ وأتباعه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عدم الحبس قبل ثبوت الحقّ مطلقاً</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ومن الفيض الكاشاني في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حبس المنكر إلى أن يحضر بيّنة المدّعي؟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إلى ستّة أ‌يّام، كما في الخبر،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ولا مستند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والأصحّ عدم الحبس قبل ثبوت الحقّ مطلقاً</w:t>
      </w:r>
      <w:r>
        <w:rPr>
          <w:rFonts w:eastAsia="IRNazanin" w:cs="IRNazanin"/>
          <w:color w:val="111111"/>
          <w:sz w:val="28"/>
          <w:szCs w:val="28"/>
          <w:rtl w:val="true"/>
          <w:lang w:bidi="fa-IR"/>
        </w:rPr>
        <w:t>.</w:t>
      </w:r>
      <w:r>
        <w:rPr>
          <w:rStyle w:val="FootnoteAnchor"/>
          <w:rtl w:val="true"/>
        </w:rPr>
        <w:footnoteReference w:id="1342"/>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ويظهر من العلّامة في القواعد من نسبته الجواز إلى القيل عدمارتضائه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ويحبس المتّهم في الدم مع التماس خصمه حتّى یحضر البيّنة</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ومن القول بجوازه مع الاقتصار بما في الموثّقة من ستّة أ‌يّام كما عليه المتن، وعن الشيخ</w:t>
      </w:r>
      <w:r>
        <w:rPr>
          <w:rStyle w:val="FootnoteAnchor"/>
          <w:rtl w:val="true"/>
        </w:rPr>
        <w:footnoteReference w:id="1344"/>
      </w:r>
      <w:r>
        <w:rPr>
          <w:rFonts w:ascii="IRNazanin" w:hAnsi="IRNazanin" w:eastAsia="IRNazanin"/>
          <w:color w:val="111111"/>
          <w:sz w:val="28"/>
          <w:sz w:val="28"/>
          <w:szCs w:val="28"/>
          <w:rtl w:val="true"/>
          <w:lang w:bidi="fa-IR"/>
        </w:rPr>
        <w:t>وأتباعه،</w:t>
      </w:r>
      <w:r>
        <w:rPr>
          <w:rStyle w:val="FootnoteAnchor"/>
          <w:rtl w:val="true"/>
        </w:rPr>
        <w:footnoteReference w:id="1345"/>
      </w:r>
      <w:r>
        <w:rPr>
          <w:rFonts w:ascii="Amiri" w:hAnsi="Amiri" w:eastAsia="Amiri" w:cs="Amiri"/>
          <w:color w:val="111111"/>
          <w:sz w:val="28"/>
          <w:sz w:val="28"/>
          <w:szCs w:val="28"/>
          <w:rtl w:val="true"/>
          <w:lang w:bidi="ar-SA"/>
        </w:rPr>
        <w:t>والصهرشتي والطبرسي على المحكيّ عنهما،</w:t>
      </w:r>
      <w:r>
        <w:rPr>
          <w:rStyle w:val="FootnoteAnchor"/>
          <w:rtl w:val="true"/>
        </w:rPr>
        <w:footnoteReference w:id="1346"/>
      </w:r>
      <w:r>
        <w:rPr>
          <w:rFonts w:ascii="Amiri" w:hAnsi="Amiri" w:eastAsia="Amiri" w:cs="Amiri"/>
          <w:color w:val="111111"/>
          <w:sz w:val="28"/>
          <w:sz w:val="28"/>
          <w:szCs w:val="28"/>
          <w:rtl w:val="true"/>
          <w:lang w:bidi="ar-SA"/>
        </w:rPr>
        <w:t>والفاضل في القواعد</w:t>
      </w:r>
      <w:r>
        <w:rPr>
          <w:rStyle w:val="FootnoteAnchor"/>
          <w:rtl w:val="true"/>
        </w:rPr>
        <w:footnoteReference w:id="1347"/>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بعدم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كون الجواز على القاعدة وعلى الحجّة، كما بيّناه، لا وجه للتمسّك لعدمه بالأصل وضعف الرواية وأنّ الحبس تعجيل عقوبة، كما لا يخفى</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الثاني، أنّ المدّة في الموثّقة ليست تعبديّة بل كانت مرتبطة بزمان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يشهد عليه ما فيها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آخره، فإنّه نقل لعمله وسيرته، والمتفاهم منها عرفاً كون تلك المدّة من مصاديق مدّة حبس المتّهم وأنّه لا خصوصيّة ولا تعبّد فيه كيف مع أنّ التعبّد بتلك المدّة خاصّة، مع ما فيه من مخالفة العقل والعقلاء محتاج إلى أخبار مستفيضة محفوفة بقرائن ظاهرة في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جيّداً</w:t>
      </w:r>
      <w:r>
        <w:rPr>
          <w:rFonts w:eastAsia="IRNazanin" w:cs="IRNazanin"/>
          <w:color w:val="111111"/>
          <w:sz w:val="28"/>
          <w:szCs w:val="28"/>
          <w:rtl w:val="true"/>
          <w:lang w:bidi="fa-IR"/>
        </w:rPr>
        <w:t xml:space="preserve">. </w:t>
      </w:r>
      <w:bookmarkStart w:id="309" w:name="pg9428_72774"/>
    </w:p>
    <w:p>
      <w:pPr>
        <w:pStyle w:val="Heading2"/>
        <w:numPr>
          <w:ilvl w:val="1"/>
          <w:numId w:val="1"/>
        </w:numPr>
        <w:rPr/>
      </w:pPr>
      <w:bookmarkStart w:id="310" w:name="__RefHeading___Toc5797609_2870459653"/>
      <w:bookmarkStart w:id="311" w:name="_Toc105"/>
      <w:bookmarkEnd w:id="309"/>
      <w:bookmarkEnd w:id="310"/>
      <w:r>
        <w:rPr>
          <w:rtl w:val="true"/>
        </w:rPr>
        <w:t>القول في كيفيّة الاستيفاء</w:t>
      </w:r>
      <w:bookmarkEnd w:id="311"/>
    </w:p>
    <w:p>
      <w:pPr>
        <w:pStyle w:val="Heading3"/>
        <w:numPr>
          <w:ilvl w:val="2"/>
          <w:numId w:val="1"/>
        </w:numPr>
        <w:rPr/>
      </w:pPr>
      <w:bookmarkStart w:id="312" w:name="__RefHeading___Toc5797611_2870459653"/>
      <w:bookmarkStart w:id="313" w:name="_Toc106"/>
      <w:bookmarkEnd w:id="312"/>
      <w:r>
        <w:rPr>
          <w:rtl w:val="true"/>
        </w:rPr>
        <w:t>اشارة</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العمد يوجب القصاص عيناً، ولا يوجب الدية لا عيناً ولا تخييراً، فلو عفا الوليّ القود يسقط وليس له مطالبة الدية، ولو بذل الجاني نفسه ليس للوليّ غيرها، ولو عفا الوليّ بشرط الدية فللجاني القبول وعدمه، ولا تثبت الدية إلّا برضاه، فلو رضي بها يسقط القود وتثبت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5797613_2870459653"/>
      <w:bookmarkStart w:id="315" w:name="_Toc107"/>
      <w:bookmarkEnd w:id="314"/>
      <w:r>
        <w:rPr>
          <w:rtl w:val="true"/>
        </w:rPr>
        <w:t>فيما يوجبه القتل العمد</w:t>
      </w:r>
      <w:bookmarkEnd w:id="3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الجارية ابتداءً فيما يوجبه قتل العمد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على التعيّن كأخويه من الخطأ وشبه العمد، ولا ريب في بطلانه قطعاً بل ضرورةً؛ لاقتضائه حذف عنوان القصاص، وهو فعل المماثل وإيجاد مثل العمل الذي وقع؛ لعدم المورد له على ذلك بوجه، وهذا مخالف للكتاب والسنّة الحاكمان بثبوته على القطع واليقين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القود للوليّ على التعيّن، وهو المشهور بين الأصحاب، بل في السرائر</w:t>
      </w:r>
      <w:r>
        <w:rPr>
          <w:rStyle w:val="FootnoteAnchor"/>
          <w:rtl w:val="true"/>
        </w:rPr>
        <w:footnoteReference w:id="1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 الخلاف بيننا فيه تارة، وأنّه أصلنا المقرّر أُخرى، والإجماع عليه ثالثة، 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الكتاب والمتواتر من الأخبار وأُصول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المبسوط</w:t>
      </w:r>
      <w:r>
        <w:rPr>
          <w:rStyle w:val="FootnoteAnchor"/>
          <w:rtl w:val="true"/>
        </w:rPr>
        <w:footnoteReference w:id="1349"/>
      </w:r>
      <w:r>
        <w:rPr>
          <w:rFonts w:ascii="IRNazanin" w:hAnsi="IRNazanin" w:eastAsia="IRNazanin"/>
          <w:color w:val="111111"/>
          <w:sz w:val="28"/>
          <w:sz w:val="28"/>
          <w:szCs w:val="28"/>
          <w:rtl w:val="true"/>
          <w:lang w:bidi="fa-IR"/>
        </w:rPr>
        <w:t>والخلاف</w:t>
      </w:r>
      <w:r>
        <w:rPr>
          <w:rFonts w:eastAsia="IRNazanin" w:cs="IRNazanin"/>
          <w:color w:val="111111"/>
          <w:sz w:val="28"/>
          <w:szCs w:val="28"/>
          <w:rtl w:val="true"/>
          <w:lang w:bidi="fa-IR"/>
        </w:rPr>
        <w:t>:</w:t>
      </w:r>
      <w:r>
        <w:rPr>
          <w:rStyle w:val="FootnoteAnchor"/>
          <w:rtl w:val="true"/>
        </w:rPr>
        <w:footnoteReference w:id="1350"/>
      </w:r>
      <w:r>
        <w:rPr>
          <w:rFonts w:ascii="Amiri" w:hAnsi="Amiri" w:eastAsia="Amiri" w:cs="Amiri"/>
          <w:color w:val="111111"/>
          <w:sz w:val="28"/>
          <w:sz w:val="28"/>
          <w:szCs w:val="28"/>
          <w:rtl w:val="true"/>
          <w:lang w:bidi="ar-SA"/>
        </w:rPr>
        <w:t>الإجماع عليه، بل هو خيرة الغنية،</w:t>
      </w:r>
      <w:r>
        <w:rPr>
          <w:rStyle w:val="FootnoteAnchor"/>
          <w:rtl w:val="true"/>
        </w:rPr>
        <w:footnoteReference w:id="1351"/>
      </w:r>
      <w:r>
        <w:rPr>
          <w:rFonts w:ascii="Amiri" w:hAnsi="Amiri" w:eastAsia="Amiri" w:cs="Amiri"/>
          <w:color w:val="111111"/>
          <w:sz w:val="28"/>
          <w:sz w:val="28"/>
          <w:szCs w:val="28"/>
          <w:rtl w:val="true"/>
          <w:lang w:bidi="ar-SA"/>
        </w:rPr>
        <w:t>وفي الرياض</w:t>
      </w:r>
      <w:r>
        <w:rPr>
          <w:rFonts w:eastAsia="Amiri" w:cs="Amiri" w:ascii="Amiri" w:hAnsi="Amiri"/>
          <w:color w:val="111111"/>
          <w:sz w:val="28"/>
          <w:szCs w:val="28"/>
          <w:rtl w:val="true"/>
          <w:lang w:bidi="ar-SA"/>
        </w:rPr>
        <w:t>:</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تارة أنّه الأشهر وعليه عامّة من تأخّر، وتارة أنّ الشهرة به عظيمة كادت تكون إجماعاً</w:t>
      </w:r>
      <w:r>
        <w:rPr>
          <w:rFonts w:eastAsia="Amiri" w:cs="Amiri" w:ascii="Amiri" w:hAnsi="Amiri"/>
          <w:color w:val="111111"/>
          <w:sz w:val="28"/>
          <w:szCs w:val="28"/>
          <w:rtl w:val="true"/>
          <w:lang w:bidi="ar-SA"/>
        </w:rPr>
        <w:t>.</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الوليّ بين القود والدية، وهو المحكيّ عن ابن الجنيد الإسكافي، وعن ابن أبي عقيل العمّاني، ففي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ولوليّ المقتول عمداً الخيار بين أن يستقيد أو يأخذ الدية أو يعفو عن الجناية، ولو شاء الوليّ أخذ الدية وامتنع القاتل من ذلك وبذل نفسه للقود، كان الخيار إلى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هرب القاتل فشاء الوليّ أخذ الدية من ماله، حكم بها له، وكذلك القول في جراح العمد، وليس عفو الوليّ والمجنيّ عليه عن القود مسقطاً حقّه من الدية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عفا الأولياء عن القود لم يُقتل، وكانت عليه الدية لهم جميعاً</w:t>
      </w:r>
      <w:r>
        <w:rPr>
          <w:rFonts w:eastAsia="Amiri" w:cs="Amiri" w:ascii="Amiri" w:hAnsi="Amiri"/>
          <w:color w:val="111111"/>
          <w:sz w:val="28"/>
          <w:szCs w:val="28"/>
          <w:rtl w:val="true"/>
          <w:lang w:bidi="ar-SA"/>
        </w:rPr>
        <w:t>.</w:t>
      </w:r>
      <w:r>
        <w:rPr>
          <w:rStyle w:val="FootnoteAnchor"/>
          <w:rtl w:val="true"/>
        </w:rPr>
        <w:footnoteReference w:id="1354"/>
      </w:r>
      <w:bookmarkStart w:id="316" w:name="pg9428_72776"/>
    </w:p>
    <w:p>
      <w:pPr>
        <w:pStyle w:val="BookText"/>
        <w:rPr/>
      </w:pPr>
      <w:bookmarkEnd w:id="31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عبارة العمّاني لاصراحة لها في الخلاف، فإنّها محتملة للوجوب عليه؛ حفظاً للنصّ لمكان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عليه الدية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من جهة تخيير الوليّ وكونه محقّاً في ذلك، وإلّا كان المناسب نسبة الدية إلى الوليّ وأنّه الآخذ له،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لم تكن صريحة في الخلاف لكنّها ظاهرة فيه كما فهمه المختلف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فالمسألة خلافيّة وذات قولين وغير إجماعيّة عندنا، بل وكذلك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موجب القتل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القود، أو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أبي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موجبه القود فقط</w:t>
      </w:r>
      <w:r>
        <w:rPr>
          <w:rFonts w:eastAsia="Amiri" w:cs="Amiri" w:ascii="Amiri" w:hAnsi="Amiri"/>
          <w:color w:val="111111"/>
          <w:sz w:val="28"/>
          <w:szCs w:val="28"/>
          <w:rtl w:val="true"/>
          <w:lang w:bidi="ar-SA"/>
        </w:rPr>
        <w:t>.</w:t>
      </w:r>
      <w:r>
        <w:rPr>
          <w:rStyle w:val="FootnoteAnchor"/>
          <w:rtl w:val="true"/>
        </w:rPr>
        <w:footnoteReference w:id="1355"/>
      </w:r>
    </w:p>
    <w:p>
      <w:pPr>
        <w:pStyle w:val="Heading3"/>
        <w:numPr>
          <w:ilvl w:val="2"/>
          <w:numId w:val="1"/>
        </w:numPr>
        <w:rPr/>
      </w:pPr>
      <w:bookmarkStart w:id="317" w:name="__RefHeading___Toc5797615_2870459653"/>
      <w:bookmarkStart w:id="318" w:name="_Toc108"/>
      <w:bookmarkEnd w:id="317"/>
      <w:r>
        <w:rPr>
          <w:rtl w:val="true"/>
        </w:rPr>
        <w:t>الاستدلال للقول المشهور</w:t>
      </w:r>
      <w:bookmarkEnd w:id="318"/>
    </w:p>
    <w:p>
      <w:pPr>
        <w:pStyle w:val="BookText"/>
        <w:rPr/>
      </w:pPr>
      <w:r>
        <w:rPr>
          <w:rFonts w:ascii="Amiri" w:hAnsi="Amiri" w:eastAsia="Amiri" w:cs="Amiri"/>
          <w:color w:val="111111"/>
          <w:sz w:val="28"/>
          <w:sz w:val="28"/>
          <w:szCs w:val="28"/>
          <w:rtl w:val="true"/>
          <w:lang w:bidi="ar-SA"/>
        </w:rPr>
        <w:t>واستدلّ للمشهور بالإجماع، والكتاب، والسنّة، والقاعدة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ففي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إجماع الفرقة</w:t>
      </w:r>
      <w:r>
        <w:rPr>
          <w:rFonts w:eastAsia="Amiri" w:cs="Amiri" w:ascii="Amiri" w:hAnsi="Amiri"/>
          <w:color w:val="111111"/>
          <w:sz w:val="28"/>
          <w:szCs w:val="28"/>
          <w:rtl w:val="true"/>
          <w:lang w:bidi="ar-SA"/>
        </w:rPr>
        <w:t>».</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r>
        <w:rPr>
          <w:rStyle w:val="FootnoteAnchor"/>
          <w:rtl w:val="true"/>
        </w:rPr>
        <w:footnoteReference w:id="1357"/>
      </w:r>
      <w:r>
        <w:rPr>
          <w:rFonts w:ascii="Amiri" w:hAnsi="Amiri" w:eastAsia="Amiri" w:cs="Amiri"/>
          <w:color w:val="111111"/>
          <w:sz w:val="28"/>
          <w:sz w:val="28"/>
          <w:szCs w:val="28"/>
          <w:rtl w:val="true"/>
          <w:lang w:bidi="ar-SA"/>
        </w:rPr>
        <w:t>أنّه الحجّة، مضافاً إلى غيره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الرياض </w:t>
      </w:r>
      <w:r>
        <w:rPr>
          <w:rStyle w:val="FootnoteAnchor"/>
          <w:rtl w:val="true"/>
        </w:rPr>
        <w:footnoteReference w:id="1358"/>
      </w:r>
      <w:r>
        <w:rPr>
          <w:rFonts w:ascii="IRNazanin" w:hAnsi="IRNazanin" w:eastAsia="IRNazanin"/>
          <w:color w:val="111111"/>
          <w:sz w:val="28"/>
          <w:sz w:val="28"/>
          <w:szCs w:val="28"/>
          <w:rtl w:val="true"/>
          <w:lang w:bidi="fa-IR"/>
        </w:rPr>
        <w:t>بعد الاستدلال به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مخالفة معلوم النسب غير مضرّ بالإجماع</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التعليقات على قصاص كشف اللثام بعد ذكره الاستدلالبالآيات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الشريفة والسنّة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ذلك الإجماع، ولا أجد لغيره ممّا ذكر صراحة في المطلوب</w:t>
      </w:r>
      <w:r>
        <w:rPr>
          <w:rFonts w:eastAsia="Amiri" w:cs="Amiri" w:ascii="Amiri" w:hAnsi="Amiri"/>
          <w:color w:val="111111"/>
          <w:sz w:val="28"/>
          <w:szCs w:val="28"/>
          <w:rtl w:val="true"/>
          <w:lang w:bidi="ar-SA"/>
        </w:rPr>
        <w:t>.</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وأمّا الكتاب،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w:t>
      </w:r>
      <w:r>
        <w:rPr>
          <w:rStyle w:val="FootnoteAnchor"/>
          <w:rtl w:val="true"/>
        </w:rPr>
        <w:footnoteReference w:id="1360"/>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فَمَنِ اعْتَدى عَلَيْكُمْ فَاعْتَدُوا عَلَيْهِ بِمِثْلِ مَا اعْتَدى عَلَيْكُمْ</w:t>
      </w:r>
      <w:r>
        <w:rPr>
          <w:rFonts w:ascii="IRNazanin" w:hAnsi="IRNazanin" w:eastAsia="IRNazanin"/>
          <w:color w:val="111111"/>
          <w:sz w:val="28"/>
          <w:sz w:val="28"/>
          <w:szCs w:val="28"/>
          <w:rtl w:val="true"/>
          <w:lang w:bidi="fa-IR"/>
        </w:rPr>
        <w:t>،</w:t>
      </w:r>
      <w:r>
        <w:rPr>
          <w:rStyle w:val="FootnoteAnchor"/>
          <w:rtl w:val="true"/>
        </w:rPr>
        <w:footnoteReference w:id="1361"/>
      </w:r>
      <w:r>
        <w:rPr>
          <w:rFonts w:ascii="Amiri" w:hAnsi="Amiri" w:eastAsia="Amiri" w:cs="Amiri"/>
          <w:color w:val="111111"/>
          <w:sz w:val="28"/>
          <w:sz w:val="28"/>
          <w:szCs w:val="28"/>
          <w:rtl w:val="true"/>
          <w:lang w:bidi="ar-SA"/>
        </w:rPr>
        <w:t>وغيرهما من آيات القصاص التي معناها فعل المماثل، أو الدالّة منها على القود فإنّه لا إشعار فيها بالتخيّر الذي مقتضى الأصل عدمه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ولعلّهم أرادوا بالأصل براءة ذمّة القاتل من الدية، أو أنّ الأصل في المتلف أن يكون بدله من جنسه كما صرّح به جماعة،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مرادهم من الأصل القاعدة المستفادة من عموم 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 بِمِثلِ مَا اعْتَدى عَلَيْكُمْ الذي هو عين العموم المستفاد من قوله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وَالجُرُوحَ قِصاصٌ</w:t>
      </w:r>
      <w:r>
        <w:rPr>
          <w:rFonts w:ascii="IRNazanin" w:hAnsi="IRNazanin" w:eastAsia="IRNazanin"/>
          <w:color w:val="111111"/>
          <w:sz w:val="28"/>
          <w:sz w:val="28"/>
          <w:szCs w:val="28"/>
          <w:rtl w:val="true"/>
          <w:lang w:bidi="fa-IR"/>
        </w:rPr>
        <w:t>،</w:t>
      </w:r>
      <w:r>
        <w:rPr>
          <w:rStyle w:val="FootnoteAnchor"/>
          <w:rtl w:val="true"/>
        </w:rPr>
        <w:footnoteReference w:id="1362"/>
      </w:r>
      <w:r>
        <w:rPr>
          <w:rFonts w:ascii="Amiri" w:hAnsi="Amiri" w:eastAsia="Amiri" w:cs="Amiri"/>
          <w:color w:val="111111"/>
          <w:sz w:val="28"/>
          <w:sz w:val="28"/>
          <w:szCs w:val="28"/>
          <w:rtl w:val="true"/>
          <w:lang w:bidi="ar-SA"/>
        </w:rPr>
        <w:t>فهو كما ترى، فإنّ الظاهر بل المقطوع هو المعنى الأوّل، بل الأوّل من الأوّل، كما لا يخفى</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السنّة، فالنصوص المتواترة المتضمّنة لوجوب القود من غير إشعار فيها بالتخيير، ففيها الدلالة على عدمه مع ضمّ الأصل كدلالة الآيات، وخصوص صحيح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قتل مؤمناً متعمّداً قيد </w:t>
      </w:r>
      <w:bookmarkStart w:id="319" w:name="pg9428_72778"/>
    </w:p>
    <w:p>
      <w:pPr>
        <w:pStyle w:val="BookText"/>
        <w:rPr/>
      </w:pPr>
      <w:bookmarkEnd w:id="3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 إلّا أن يرضى أولياء المقتول أن يقبلوا الدية، فإن رضوا بالدية وأحبّ ذلك القاتل فالدية اثنا عشر ألفاً أو ألف دينار أو مائة من الإبل، وإن كان في أرض فيها الدنانير فألف دينار، وإن كان في أرض فيها الإبل فمائة من الإبل، وإن كان في أرض فيها الدراهم فدراهم بحساب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ألفاً</w:t>
      </w:r>
      <w:r>
        <w:rPr>
          <w:rFonts w:eastAsia="IRNazanin" w:cs="IRNazanin"/>
          <w:color w:val="111111"/>
          <w:sz w:val="28"/>
          <w:szCs w:val="28"/>
          <w:rtl w:val="true"/>
          <w:lang w:bidi="fa-IR"/>
        </w:rPr>
        <w:t>».</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وأمّا القاعدة، فهي قاعدة الإتلاف المقتضية للضمان بالمثل، كما يظهر من الجواهر</w:t>
      </w:r>
      <w:r>
        <w:rPr>
          <w:rFonts w:eastAsia="Amiri" w:cs="Amiri" w:ascii="Amiri" w:hAnsi="Amiri"/>
          <w:color w:val="111111"/>
          <w:sz w:val="28"/>
          <w:szCs w:val="28"/>
          <w:rtl w:val="true"/>
          <w:lang w:bidi="ar-SA"/>
        </w:rPr>
        <w:t>.</w:t>
      </w:r>
      <w:r>
        <w:rPr>
          <w:rStyle w:val="FootnoteAnchor"/>
          <w:rtl w:val="true"/>
        </w:rPr>
        <w:footnoteReference w:id="1364"/>
      </w:r>
    </w:p>
    <w:p>
      <w:pPr>
        <w:pStyle w:val="Heading3"/>
        <w:numPr>
          <w:ilvl w:val="2"/>
          <w:numId w:val="1"/>
        </w:numPr>
        <w:rPr/>
      </w:pPr>
      <w:bookmarkStart w:id="320" w:name="__RefHeading___Toc5797617_2870459653"/>
      <w:bookmarkStart w:id="321" w:name="_Toc109"/>
      <w:bookmarkEnd w:id="320"/>
      <w:r>
        <w:rPr>
          <w:rtl w:val="true"/>
        </w:rPr>
        <w:t>الاستدلال للقول المخالف للمشهور</w:t>
      </w:r>
      <w:bookmarkEnd w:id="321"/>
    </w:p>
    <w:p>
      <w:pPr>
        <w:pStyle w:val="BookText"/>
        <w:rPr/>
      </w:pPr>
      <w:r>
        <w:rPr>
          <w:rFonts w:ascii="Amiri" w:hAnsi="Amiri" w:eastAsia="Amiri" w:cs="Amiri"/>
          <w:color w:val="111111"/>
          <w:sz w:val="28"/>
          <w:sz w:val="28"/>
          <w:szCs w:val="28"/>
          <w:rtl w:val="true"/>
          <w:lang w:bidi="ar-SA"/>
        </w:rPr>
        <w:t xml:space="preserve">وللقول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تخيير الوليّ بين القود والدية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النبويّان العامّيان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له قتيل فهو بخير النظرين إمّا أن يفدى، وإمّا أن يقتل</w:t>
      </w:r>
      <w:r>
        <w:rPr>
          <w:rFonts w:eastAsia="Amiri" w:cs="Amiri" w:ascii="Amiri" w:hAnsi="Amiri"/>
          <w:color w:val="111111"/>
          <w:sz w:val="28"/>
          <w:szCs w:val="28"/>
          <w:rtl w:val="true"/>
          <w:lang w:bidi="ar-SA"/>
        </w:rPr>
        <w:t>».</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اُصيب بدم أو خبل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والخبل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بالخيار بينإحدى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يقتصّ، أو يعفو، أو يأخذ العقل</w:t>
      </w:r>
      <w:r>
        <w:rPr>
          <w:rFonts w:eastAsia="Amiri" w:cs="Amiri" w:ascii="Amiri" w:hAnsi="Amiri"/>
          <w:color w:val="111111"/>
          <w:sz w:val="28"/>
          <w:szCs w:val="28"/>
          <w:rtl w:val="true"/>
          <w:lang w:bidi="ar-SA"/>
        </w:rPr>
        <w:t>».</w:t>
      </w:r>
      <w:r>
        <w:rPr>
          <w:rStyle w:val="FootnoteAnchor"/>
          <w:rtl w:val="true"/>
        </w:rPr>
        <w:footnoteReference w:id="1366"/>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الخاصّ عن علاء بن الفضيل،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والعمد هو القود أو رضى وليّ المقتول</w:t>
      </w:r>
      <w:r>
        <w:rPr>
          <w:rFonts w:eastAsia="Amiri" w:cs="Amiri" w:ascii="Amiri" w:hAnsi="Amiri"/>
          <w:color w:val="111111"/>
          <w:sz w:val="28"/>
          <w:szCs w:val="28"/>
          <w:rtl w:val="true"/>
          <w:lang w:bidi="ar-SA"/>
        </w:rPr>
        <w:t>».</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الدية إسقاط بعض الحقّ، فليس للجاني الامتناع كإبراء بعض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الرضى بالدية ذريعة إلى حفظ نفس الجاني فيجب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 المناقشة في النبويّين سنداً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لم نجدهما في طرقنا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ودلالةً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الواجب تقييدهما بما عرفت في العقل والفداء على معنى وأراد القاتل ذلك، كخبر العلاء بن الفضيل،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والعمد هو القود، أو يرضى وليّ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لعلّه ظاهر في إرادة وجوب القود أو تحصيل رضى الوليّ، وهو لا نزاع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لا إشكال في حمل المطلق المزبور على المقيّد في صحيح ابن سنان الذي سمعته، خصوصاً مع ملاحظة غلبة رضى الجاني بالدية إذا طلبها الوليّ</w:t>
      </w:r>
      <w:r>
        <w:rPr>
          <w:rFonts w:eastAsia="IRNazanin" w:cs="IRNazanin"/>
          <w:color w:val="111111"/>
          <w:sz w:val="28"/>
          <w:szCs w:val="28"/>
          <w:rtl w:val="true"/>
          <w:lang w:bidi="fa-IR"/>
        </w:rPr>
        <w:t>.</w:t>
      </w:r>
      <w:r>
        <w:rPr>
          <w:rStyle w:val="FootnoteAnchor"/>
          <w:rtl w:val="true"/>
        </w:rPr>
        <w:footnoteReference w:id="1368"/>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ما أورده رحمه الله من المناقشة في الدلالة يرجع إلى الحمل على صورة إرادة القاتل الدية ورضائه به، المنافي لتخيير الوليّ في إلزامه به ولو مععدم رضاه، فليس له إلّا الإلزام بالقود فقط، بل لعلّه هو الظاهر من خبر العلاء، وإلى تقييد المطلق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العلاء بما في صحيحة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الوجوه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الحمل، فلا دليل ولا شاهد له، بل هو أوّل الكلام، وكون المراد منه التقييد بالصحيح، فراجع إلى وجه الثاني، فليس بوجهٍ مستقلّ، وما ذكره من الظهور في الخبر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إن كان النظر في الخبر إلى تعيين وظيفة القاتل، فرضى وليّ المقتول كان بمعنى أنّ للقاتل تحصيل رضى الوليّ، لكنّ الخبر ناظر إلى وظيفة الوليّ؛ لمكان ما فيه من مقابلة الرضى بالقود، والقود من أعمال الوليّ لا القاتل، فالرضى أيضاً من أعماله،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المطلق على المقيّد في صحيح ابن سنان، وتقييد المطلق في خبر علاء بما فيه أيضاً التقييد فمنوط بدلالة الصحيح وظهوره في التقييد، وهي مخدوشة وغير تامّة كما سنذكرها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الاستدلال بالخبر بعدم كونه دالّا ًعلى التخيير للوليّ بين القود وبين رضايته المتعلّقة إلى أيّ أمر من الأُمور؛ لمكان حذف المتعلّق، وأين ذلك بتخييره بين القود والدية؟ فلابدّ إلّا من تقييد الرضاية برضاية القاتل أيضاً المنافي مع التخيير كما مرّ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في سنده من الضعف؛ لمكان محمّد بن عيسى، عن يونس في واحد من طرقي الشيخ للخبر، ولمحمّد بن سنان في طريقه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احتمل فيه من الحمل على التقيّة لكون التخيير مذهب الشافعي وأحمد وجماعة من العامّة على ما حكاه عنهم بعض الأجلّة فليس بجيّد؛لأنّه مشتمل على أحكام كثيرة لا توافق أكثرهم، هذا كلّه في الوجهين الأوّلين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الثالث، فضعفه ظاهر بمنع كون قبول الدية إسقاط حقّ، بل معاوضة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صرفة تحتاج إلى رضى الطرفين، كما لو أبرأ الدين أو بعضه بعوض من غير جنسه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الرضى بالدية ذريعة إلى حفظ النفس الواجب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يفيد التخيير للوليّ وتسلّطه على أخذ الدية من الجاني من غير رضاه، وإنّما يفيد أنّه يجب على الجاني بذل المال بعد رضى وليّ الدم به، وهذا لا تغيّر حكم الوليّ فلكلّ منهما حكمه؛ لأنّ حكمه أنّه يحرم عليه أن يتسلّط على الجاني ويلزمه بالدية، وحكم الجاني أنّه يجب عليه بذل المال، كما أنّه يستحبّ للمشتري أن يقبض ناقصاً وللبائع أن يدفع راجحاً، ومثل أنّه يحرم على من اشترى ما يعلم أنّه مغصوب ودفع ثمنه إلى الغاصب أن يطالب الغاصب بالثمن وإن كانت عينه باقية على المشهور المعروف، وقد ادّعيت عليه إجماعات، مع أنّه يجب على الغاصب ردّ الثمن عليه، وكذلك فيما إذا حلف المنكر، فإنّه يحرم على المدّعي مطالبته بعين المدّعی أو قيمته بعد حلفه وإن كان كاذباً، ويجب على المنكر ردّه إليه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الحاصل أنّ هنا حكمين مختلفين غير متلازمين، ولما ذكرناه من عدم التلازم بين وجوب البذل للجاني لحفظ نفسه وتخيير الوليّ وأنّ الوجوب غير مقتضٍ لثبوت التخيير للوليّ أصالة بين القصاص والدية، مال جماعة من أصحابنا المخالفين لابن الجنيد في القول المزبور القائلين بعدم التخيير للوليّ وأنّ له القود فقط إلى القول بوجوب البذل على الجاني،كالفاضل</w:t>
      </w:r>
      <w:r>
        <w:rPr>
          <w:rStyle w:val="FootnoteAnchor"/>
          <w:rtl w:val="true"/>
        </w:rPr>
        <w:footnoteReference w:id="1369"/>
      </w:r>
      <w:r>
        <w:rPr>
          <w:rFonts w:ascii="IRNazanin" w:hAnsi="IRNazanin" w:eastAsia="IRNazanin"/>
          <w:color w:val="111111"/>
          <w:sz w:val="28"/>
          <w:sz w:val="28"/>
          <w:szCs w:val="28"/>
          <w:rtl w:val="true"/>
          <w:lang w:bidi="fa-IR"/>
        </w:rPr>
        <w:t>وولده</w:t>
      </w:r>
      <w:r>
        <w:rPr>
          <w:rStyle w:val="FootnoteAnchor"/>
          <w:rtl w:val="true"/>
        </w:rPr>
        <w:footnoteReference w:id="1370"/>
      </w:r>
      <w:r>
        <w:rPr>
          <w:rFonts w:ascii="Amiri" w:hAnsi="Amiri" w:eastAsia="Amiri" w:cs="Amiri"/>
          <w:color w:val="111111"/>
          <w:sz w:val="28"/>
          <w:sz w:val="28"/>
          <w:szCs w:val="28"/>
          <w:rtl w:val="true"/>
          <w:lang w:bidi="ar-SA"/>
        </w:rPr>
        <w:t>حيث قرّبا الوجوب، بل عن الشهيد في الحواشي</w:t>
      </w:r>
      <w:r>
        <w:rPr>
          <w:rStyle w:val="FootnoteAnchor"/>
          <w:rtl w:val="true"/>
        </w:rPr>
        <w:footnoteReference w:id="1371"/>
      </w:r>
      <w:r>
        <w:rPr>
          <w:rFonts w:ascii="Amiri" w:hAnsi="Amiri" w:eastAsia="Amiri" w:cs="Amiri"/>
          <w:color w:val="111111"/>
          <w:sz w:val="28"/>
          <w:sz w:val="28"/>
          <w:szCs w:val="28"/>
          <w:rtl w:val="true"/>
          <w:lang w:bidi="ar-SA"/>
        </w:rPr>
        <w:t xml:space="preserve">نفي البأس عنه تارةً، وفيه قوّة أُخرى، 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حكاه عن ابن إدريس،</w:t>
      </w:r>
      <w:r>
        <w:rPr>
          <w:rStyle w:val="FootnoteAnchor"/>
          <w:rtl w:val="true"/>
        </w:rPr>
        <w:footnoteReference w:id="1372"/>
      </w:r>
      <w:r>
        <w:rPr>
          <w:rFonts w:ascii="Amiri" w:hAnsi="Amiri" w:eastAsia="Amiri" w:cs="Amiri"/>
          <w:color w:val="111111"/>
          <w:sz w:val="28"/>
          <w:sz w:val="28"/>
          <w:szCs w:val="28"/>
          <w:rtl w:val="true"/>
          <w:lang w:bidi="ar-SA"/>
        </w:rPr>
        <w:t>والشهيدين في اللمعة والروضة مالا إليه أو قالا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3"/>
      </w:r>
      <w:r>
        <w:rPr>
          <w:rFonts w:ascii="Amiri" w:hAnsi="Amiri" w:eastAsia="Amiri" w:cs="Amiri"/>
          <w:color w:val="111111"/>
          <w:sz w:val="28"/>
          <w:sz w:val="28"/>
          <w:szCs w:val="28"/>
          <w:rtl w:val="true"/>
          <w:lang w:bidi="ar-SA"/>
        </w:rPr>
        <w:t>وفي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4"/>
      </w:r>
      <w:r>
        <w:rPr>
          <w:rFonts w:ascii="Amiri" w:hAnsi="Amiri" w:eastAsia="Amiri" w:cs="Amiri"/>
          <w:color w:val="111111"/>
          <w:sz w:val="28"/>
          <w:sz w:val="28"/>
          <w:szCs w:val="28"/>
          <w:rtl w:val="true"/>
          <w:lang w:bidi="ar-SA"/>
        </w:rPr>
        <w:t>وظاهر المسالك القول به أو الميل إليه،</w:t>
      </w:r>
      <w:r>
        <w:rPr>
          <w:rStyle w:val="FootnoteAnchor"/>
          <w:rtl w:val="true"/>
        </w:rPr>
        <w:footnoteReference w:id="1375"/>
      </w:r>
      <w:r>
        <w:rPr>
          <w:rFonts w:ascii="Amiri" w:hAnsi="Amiri" w:eastAsia="Amiri" w:cs="Amiri"/>
          <w:color w:val="111111"/>
          <w:sz w:val="28"/>
          <w:sz w:val="28"/>
          <w:szCs w:val="28"/>
          <w:rtl w:val="true"/>
          <w:lang w:bidi="ar-SA"/>
        </w:rPr>
        <w:t>وعن المحقّق الثاني في حاشية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6"/>
      </w:r>
      <w:r>
        <w:rPr>
          <w:rFonts w:ascii="Amiri" w:hAnsi="Amiri" w:eastAsia="Amiri" w:cs="Amiri"/>
          <w:color w:val="111111"/>
          <w:sz w:val="28"/>
          <w:sz w:val="28"/>
          <w:szCs w:val="28"/>
          <w:rtl w:val="true"/>
          <w:lang w:bidi="ar-SA"/>
        </w:rPr>
        <w:t>والمقدّس الأردبيلي استدلّ عليه وقوّاه، ثمّ نفى عنه البعد</w:t>
      </w:r>
      <w:r>
        <w:rPr>
          <w:rFonts w:eastAsia="Amiri" w:cs="Amiri" w:ascii="Amiri" w:hAnsi="Amiri"/>
          <w:color w:val="111111"/>
          <w:sz w:val="28"/>
          <w:szCs w:val="28"/>
          <w:rtl w:val="true"/>
          <w:lang w:bidi="ar-SA"/>
        </w:rPr>
        <w:t>.</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هذا تمام الكلام في النقض والإبرام في الوجوه المستدلّة للقول المخالف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استدلّ به للمشهور من الإجماع والكتاب والسنّة والقاعدة ممّا مضت كيفيّة الاستدلال بها، فعمدته صحيح ابن سنان، وإلّا فالإجماع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فيه من وجود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في مسألة اجتهاديّة لا تعبّدية كاشفيّة، والاستدلال بالآيات والأخبار كان محتاجاً إلى ضمّ الأصل كما مرّ، وإلّا فليس لهما مفهوم ودلالة على عدم التخيير بإثباتهما القود، كما لا يخفى، فإنّ إثبات الشيء ليس دليلاً على نفي ما عداه، ومن المعلوم عدممقاومة الأصل للدليل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الصحيح، فدلالته على عدم التخيير للوليّ في أخذ الدية إنّما يكون لاشتراط أخذه بحبّ القائل بأداء الدية، وهذا منافٍ مع التخيير للوليّ، 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رضوا بالدية وأحبّ ذلك القاتل فالدية اثنا عشر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8"/>
      </w:r>
      <w:r>
        <w:rPr>
          <w:rFonts w:ascii="Amiri" w:hAnsi="Amiri" w:eastAsia="Amiri" w:cs="Amiri"/>
          <w:color w:val="111111"/>
          <w:sz w:val="28"/>
          <w:sz w:val="28"/>
          <w:szCs w:val="28"/>
          <w:rtl w:val="true"/>
          <w:lang w:bidi="ar-SA"/>
        </w:rPr>
        <w:t>فمع عدم حبّه ليس لهم الأخذ بالدية، إلّا أنّ الذي يشكل الاستدلال به كون القيد وارداً مورد الغالب أوّلاً، فلا قيديّة ولا اشتراط فيه، فإنّ الغالب رضى القاتل بالدية؛ حفظاً لنفسه من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وجمدت على تقييديّة،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متروك الظاهر؛ لعدم الاعتبار بالحبّ الزائد عن الرضاية على القول بعدم التخيير، وبأنّه لابدّ من كون أخذ الدية برضايتهما، فإنّ المدار على القول به أصل القبول والرضى بالمعارضة بالدية وإن كان على كراهيّة، كما هو الأمر في الرضى المعتبر في العقود والمعاملات، فإنّ المعتبر الرضى بالمعاملة والتجارة وإن كان الرضى ناشئاً من الاضطرار واللابدّية والاحتياج لا عن طيب النفس، بل 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يرشد إلى خروجه مخرج الغالب التعبير بالمحبّة، كما هو واضح، وإلّا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أنّه لو قال أحد هذين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مخرج الغالب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 ذلك أيضاً،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أنّه إذا رضي ولم يحبّ لم تكن الدية إلفاً،</w:t>
      </w:r>
      <w:r>
        <w:rPr>
          <w:rStyle w:val="FootnoteAnchor"/>
          <w:rtl w:val="true"/>
        </w:rPr>
        <w:footnoteReference w:id="1379"/>
      </w:r>
      <w:r>
        <w:rPr>
          <w:rFonts w:ascii="Amiri" w:hAnsi="Amiri" w:eastAsia="Amiri" w:cs="Amiri"/>
          <w:color w:val="111111"/>
          <w:sz w:val="28"/>
          <w:sz w:val="28"/>
          <w:szCs w:val="28"/>
          <w:rtl w:val="true"/>
          <w:lang w:bidi="ar-SA"/>
        </w:rPr>
        <w:t>بل يرفع إلى الحاكم ليلزمه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هذا، وقد ظهر ممّا ذكرناه كلّه عدم الدليل المعتبر لشيء من القولين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القابل للتصديق هو التخيير؛ قضاءً لإلغاء الخصوصيّة والأولويّة القطعيّة العرفيّة، وذلك لأولويّة جواز الإلزام بالدية على القاتلمن جواز إلزامه بالقود، فإذا جاز للوليّ القصاص وقتل القاتل وأخذ دمه ونفسه إلزاماً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دون اعتبار رضىً منه بذلك، فجاز له بالأولويّة القطعيّة عند العرف إلزام الوليّ الدية عليه، وأنّه يجب عليه القبول وإن لم يكن راضياً به؛ لأنّ الإلزام بأخذ المال والدية أهون بمراتب من أخذ النفس والدم وقتله، ولا خصوصيّة عند العرف في الإلزام بالقود والقصاص، فإنّهم لا يفرّقون بينه وبين الإلزام بالدية، ولعلّ عدم ذكر الإلزام بها في الأدلّة دون الإلزام بالقود كان من جهة ظهور جوازه ووضوحه، لامن جهة خصوصيّة فيه موجبة لعدم جوازه، كيف وأنّه مورد تسليم العقلاء قطعاً، بخلاف القود، فإنّه المحتاج إلى الذكر وإلى التبيين والتحقيق بمثل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 يَا أُوْلِي الأَلْبابِ</w:t>
      </w:r>
      <w:r>
        <w:rPr>
          <w:rFonts w:ascii="IRNazanin" w:hAnsi="IRNazanin" w:eastAsia="IRNazanin"/>
          <w:color w:val="111111"/>
          <w:sz w:val="28"/>
          <w:sz w:val="28"/>
          <w:szCs w:val="28"/>
          <w:rtl w:val="true"/>
          <w:lang w:bidi="fa-IR"/>
        </w:rPr>
        <w:t>؛</w:t>
      </w:r>
      <w:r>
        <w:rPr>
          <w:rStyle w:val="FootnoteAnchor"/>
          <w:rtl w:val="true"/>
        </w:rPr>
        <w:footnoteReference w:id="1380"/>
      </w:r>
      <w:r>
        <w:rPr>
          <w:rFonts w:ascii="Amiri" w:hAnsi="Amiri" w:eastAsia="Amiri" w:cs="Amiri"/>
          <w:color w:val="111111"/>
          <w:sz w:val="28"/>
          <w:sz w:val="28"/>
          <w:szCs w:val="28"/>
          <w:rtl w:val="true"/>
          <w:lang w:bidi="ar-SA"/>
        </w:rPr>
        <w:t>لعدم كونه مرغوباً ومسلّماً عند الكلّ، كما هو الظاهر لمن رجع إلى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عدم اعتبار الرضى في العفو، فالأقوى بل الحقّ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للقديمين وخلافاً للمشهور وللمتن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للوليّ بين القود والدية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المتن من الفروع متفرّعة على مختاره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التخيير للوليّ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وتامّة عليه، كما هو واضح</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المختار، فتختلف أحكامها مع ما في المتن، فلا تسقط الدية مع عفو الوليّ عن القود، بل له المطالبة بالدية؛ لكونها أحد شطري اختياره، كما أنّ للوليّ أخذ الدية وإن رضى الجاني ببذل نفسه؛ لأنّ اختيار التعيينمنهما بيد الوليّ، وكما أنّ للجاني قبول الدية مع عفو الوليّ بشرط الدية وكما أنّ الدية تثبت من دون رضى الجاني، كذلك تثبت مع رضاه، والوجه في الكلّ ظاهر</w:t>
      </w:r>
      <w:r>
        <w:rPr>
          <w:rFonts w:eastAsia="Amiri" w:cs="Amiri" w:ascii="Amiri" w:hAnsi="Amiri"/>
          <w:color w:val="111111"/>
          <w:sz w:val="28"/>
          <w:szCs w:val="28"/>
          <w:rtl w:val="true"/>
          <w:lang w:bidi="ar-SA"/>
        </w:rPr>
        <w:t xml:space="preserve">. </w:t>
      </w:r>
      <w:bookmarkStart w:id="322" w:name="pg9428_72785"/>
    </w:p>
    <w:p>
      <w:pPr>
        <w:pStyle w:val="BookText"/>
        <w:rPr/>
      </w:pPr>
      <w:bookmarkEnd w:id="322"/>
      <w:r>
        <w:rPr>
          <w:rFonts w:ascii="Amiri" w:hAnsi="Amiri" w:eastAsia="Amiri" w:cs="Amiri"/>
          <w:color w:val="111111"/>
          <w:sz w:val="28"/>
          <w:sz w:val="28"/>
          <w:szCs w:val="28"/>
          <w:rtl w:val="true"/>
          <w:lang w:bidi="ar-SA"/>
        </w:rPr>
        <w:t xml:space="preserve">ولو عفا بشرط الدية صحّ على الأصحّ، ولو كان بنحو التعليق فإذا قبل سقط القود، ولو كان الشرط إعطاء الدية لم يسقط القود إلّا بإعطائه،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5797619_2870459653"/>
      <w:bookmarkStart w:id="324" w:name="_Toc110"/>
      <w:bookmarkEnd w:id="323"/>
      <w:r>
        <w:rPr>
          <w:rtl w:val="true"/>
        </w:rPr>
        <w:t>عفو القود بشرط الدية</w:t>
      </w:r>
      <w:bookmarkEnd w:id="3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اعتبار الشرط أو الإعطاء في سقوط القود إنّما يكون على المشهور ومختار المتن ويكون من متفرّعاته، وإلّا فعلى المختار الاختيار والسقوط بيد الوليّ لا برضى الجاني وشرطه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من التعبير بالأصحّ وجود الإشكال والمناقشة في التعليق والاشتراط في إنشاء العفو، ويكفي في وجه ذلك كلّه من المناقشة ومن وجه الأصحيّة عبارة الجواهر ، ففيه في ذيل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عفا الوليّ على مال لم يسقط القود ولم تثبت الدية إلّا مع رضى الجاني</w:t>
      </w:r>
      <w:r>
        <w:rPr>
          <w:rFonts w:eastAsia="Amiri" w:cs="Amiri" w:ascii="Amiri" w:hAnsi="Amiri"/>
          <w:color w:val="111111"/>
          <w:sz w:val="28"/>
          <w:szCs w:val="28"/>
          <w:rtl w:val="true"/>
          <w:lang w:bidi="ar-SA"/>
        </w:rPr>
        <w:t>»</w:t>
      </w:r>
      <w:r>
        <w:rPr>
          <w:rStyle w:val="FootnoteAnchor"/>
          <w:rtl w:val="true"/>
        </w:rPr>
        <w:footnoteReference w:id="1381"/>
      </w:r>
      <w:r>
        <w:rPr>
          <w:rFonts w:ascii="Amiri" w:hAnsi="Amiri" w:eastAsia="Amiri" w:cs="Amiri"/>
          <w:color w:val="111111"/>
          <w:sz w:val="28"/>
          <w:sz w:val="28"/>
          <w:szCs w:val="28"/>
          <w:rtl w:val="true"/>
          <w:lang w:bidi="ar-SA"/>
        </w:rPr>
        <w:t>بعد ما له من سطري العبارة ما لفظه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المراد من العفو على مال الذي اشتهر التعبير به، فإن كان المراد تعليق عفوه على الدية فلا ريب في بطلانه للتعليق وإن رضي الجاني بذلك، وإن أُريد به الشرطيّة الالزاميّة في صيغة إنشاء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مبنيّ على لزوم الشرط في الايقاع مع رضى المشترط عليه، وهو لا يخلو من بحث بل منع إلّا في مثل الخلع ونحوه ممّا ثبت بالأدلّة، ولذا ذكر غير واحد أنّه على المختار لا تثبت الدية إلّا صلحاً، بل يمكن في الفرض المزبورحصول العفو وعدم لزوم الشرط على الجاني وإن كان الأقوى خلافه، باعتبار اقتران قصد العافي بالمال ولو على جهة الشرطية الإلزاميّة، ولذا </w:t>
      </w:r>
      <w:bookmarkStart w:id="325" w:name="pg9428_72786"/>
    </w:p>
    <w:p>
      <w:pPr>
        <w:pStyle w:val="BookText"/>
        <w:rPr/>
      </w:pPr>
      <w:bookmarkEnd w:id="325"/>
      <w:r>
        <w:rPr>
          <w:rFonts w:ascii="Amiri" w:hAnsi="Amiri" w:eastAsia="Amiri" w:cs="Amiri"/>
          <w:color w:val="111111"/>
          <w:sz w:val="28"/>
          <w:sz w:val="28"/>
          <w:szCs w:val="28"/>
          <w:rtl w:val="true"/>
          <w:lang w:bidi="ar-SA"/>
        </w:rPr>
        <w:t>ولا يجب على الجاني إعطاء الدية لخلاص نفسه،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لوجوب حفظها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في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 الشرط بطل العقد، فتأمّل جيّداً، فإنّ مبنى صحّة ذلك ولزومه على دعوى استفادته من الأدلّة وإن كان لم يحضرنا منها ما يدلّ عليه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النصوص صحّة العفو على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على ما إذا رضي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مؤيّداً بإطلاق أدلّة العفو الشامل للفرض وغيره</w:t>
      </w:r>
      <w:r>
        <w:rPr>
          <w:rFonts w:eastAsia="Amiri" w:cs="Amiri" w:ascii="Amiri" w:hAnsi="Amiri"/>
          <w:color w:val="111111"/>
          <w:sz w:val="28"/>
          <w:szCs w:val="28"/>
          <w:rtl w:val="true"/>
          <w:lang w:bidi="ar-SA"/>
        </w:rPr>
        <w:t>.</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هذا كلّه مع عدم الدليل على مبطليّة التعليق في العقود ولا الإيقاع من رأس، كما حقّق في محلّه في مسألة شرطيّة التنجيز في كتاب البيع في الكتب الفقهيّة</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5797621_2870459653"/>
      <w:bookmarkStart w:id="327" w:name="_Toc111"/>
      <w:bookmarkEnd w:id="326"/>
      <w:r>
        <w:rPr>
          <w:rtl w:val="true"/>
        </w:rPr>
        <w:t>في وجوب بذل الدية على الجاني</w:t>
      </w:r>
      <w:bookmarkEnd w:id="3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w:t>
      </w:r>
      <w:r>
        <w:rPr>
          <w:rStyle w:val="FootnoteAnchor"/>
          <w:rtl w:val="true"/>
        </w:rPr>
        <w:footnoteReference w:id="1383"/>
      </w:r>
      <w:r>
        <w:rPr>
          <w:rFonts w:ascii="Amiri" w:hAnsi="Amiri" w:eastAsia="Amiri" w:cs="Amiri"/>
          <w:color w:val="111111"/>
          <w:sz w:val="28"/>
          <w:sz w:val="28"/>
          <w:szCs w:val="28"/>
          <w:rtl w:val="true"/>
          <w:lang w:bidi="ar-SA"/>
        </w:rPr>
        <w:t>ميل جماعة من الأصحاب إلى وجوب البذل على الجاني، وهو الأقوى؛ لوجوب حفظ النفس عليه المعلوم من 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النقل، فأكثر من أن يحصى، وقد طفحت فتاواهم أنّه إذا أُريد قتله يجب عليه بذل ماله وتخليص نفسه، وقد قالوا في باب الدفاع عن المال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التغرير بالنفس إلى غير ذلك</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لك أن تقول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كالمرتدّ، فكما أنّ الشارع أمرهبإتلاف نفسه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فكذلك القاتل كالمرتدّ؛ لأنّه لو كان كذلك لما صحّ الصلح على الدية ولا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جوّز له إتلاف نفسه كما في إعزاز الدين؛ لأنّ الجواز هنا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 فإنّه يحكم بذمّ من لا يفكّ نفسه بالمال القادر عليه، كما أنّه لو أبرأه أو عفا عنه فإنّه يذمّه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العفو والإبراء بل اقتلني قصاصاً، وليس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عدم وجوب حفظ النفس ببذل المال حتّى تخصّص به أدلّة حفظ النفس من عقل ونقل، فليتأ‌مّل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تطابقت ظواهر الفتاوى والأخبار</w:t>
      </w:r>
      <w:r>
        <w:rPr>
          <w:rStyle w:val="FootnoteAnchor"/>
          <w:rtl w:val="true"/>
        </w:rPr>
        <w:footnoteReference w:id="1384"/>
      </w:r>
      <w:r>
        <w:rPr>
          <w:rFonts w:ascii="Amiri" w:hAnsi="Amiri" w:eastAsia="Amiri" w:cs="Amiri"/>
          <w:color w:val="111111"/>
          <w:sz w:val="28"/>
          <w:sz w:val="28"/>
          <w:szCs w:val="28"/>
          <w:rtl w:val="true"/>
          <w:lang w:bidi="ar-SA"/>
        </w:rPr>
        <w:t>فيما إذا قتل جماعة رجلاً واحداً على أنّ لوليه أن يقتل واحداً، وأنّه يجب على الباقين أن يردّ عليه ما فضل له من ديته، وأنّهم هم المطالبون لهذا المقتصّ منه 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وظواهر النصوص والفتاوى أيضاً أنّهم ليس لهم الامتناع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نؤدّي فليقتصّ منّا وليردّ علينا ما يفضل، كما أنّ ظاهرهما أنّه لو طلب الدية لم يكن لهم الامتناع</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خبر ابن مسكان،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رجلين قتلا رجلاً؟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أرادوا قتل أحدهما قتلوه وأدّى المتروك نصف الدية إلى أهل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قبل أولياؤه الدية كانت عليهما</w:t>
      </w:r>
      <w:r>
        <w:rPr>
          <w:rFonts w:eastAsia="IRNazanin" w:cs="IRNazanin"/>
          <w:color w:val="111111"/>
          <w:sz w:val="28"/>
          <w:szCs w:val="28"/>
          <w:rtl w:val="true"/>
          <w:lang w:bidi="fa-IR"/>
        </w:rPr>
        <w:t>».</w:t>
      </w:r>
      <w:r>
        <w:rPr>
          <w:rStyle w:val="FootnoteAnchor"/>
          <w:rtl w:val="true"/>
        </w:rPr>
        <w:footnoteReference w:id="1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التصالح على الدية أو الزائد عليها أو الناقص، فلو لم يرض الوليّ إلّا بأضعاف الدية جاز، وللجاني القبول، فإذا قبل صحّ، ويجب عليه الوفاء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خبره الآخر</w:t>
      </w:r>
      <w:r>
        <w:rPr>
          <w:rStyle w:val="FootnoteAnchor"/>
          <w:rtl w:val="true"/>
        </w:rPr>
        <w:footnoteReference w:id="138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صحيح أبي مريم،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رجلين اجتمعا على قطع يد 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 أن يقطعهما أدّى إليهما دية يد، واقتسماها ثمّ يقطعهما، وإن أحبّ أخذ منهما دية يد</w:t>
      </w:r>
      <w:r>
        <w:rPr>
          <w:rFonts w:eastAsia="IRNazanin" w:cs="IRNazanin"/>
          <w:color w:val="111111"/>
          <w:sz w:val="28"/>
          <w:szCs w:val="28"/>
          <w:rtl w:val="true"/>
          <w:lang w:bidi="fa-IR"/>
        </w:rPr>
        <w:t>».</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إلى غير ذلك من الأخبار، ولا أقلّ من أن تخرج شواهد ومؤ‌يّدات إن لم تكن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الجواهر</w:t>
      </w:r>
      <w:r>
        <w:rPr>
          <w:rStyle w:val="FootnoteAnchor"/>
          <w:rtl w:val="true"/>
        </w:rPr>
        <w:footnoteReference w:id="1388"/>
      </w:r>
      <w:r>
        <w:rPr>
          <w:rFonts w:ascii="Amiri" w:hAnsi="Amiri" w:eastAsia="Amiri" w:cs="Amiri"/>
          <w:color w:val="111111"/>
          <w:sz w:val="28"/>
          <w:sz w:val="28"/>
          <w:szCs w:val="28"/>
          <w:rtl w:val="true"/>
          <w:lang w:bidi="ar-SA"/>
        </w:rPr>
        <w:t>من الاستدلال لعدم الوجوب بصحيح ابن سنان</w:t>
      </w:r>
      <w:r>
        <w:rPr>
          <w:rStyle w:val="FootnoteAnchor"/>
          <w:rtl w:val="true"/>
        </w:rPr>
        <w:footnoteReference w:id="1389"/>
      </w:r>
      <w:r>
        <w:rPr>
          <w:rFonts w:ascii="Amiri" w:hAnsi="Amiri" w:eastAsia="Amiri" w:cs="Amiri"/>
          <w:color w:val="111111"/>
          <w:sz w:val="28"/>
          <w:sz w:val="28"/>
          <w:szCs w:val="28"/>
          <w:rtl w:val="true"/>
          <w:lang w:bidi="ar-SA"/>
        </w:rPr>
        <w:t>وبالأصل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لا دليل على وجوب حفظ النفس في المقام بعد تعلّق حقّ الغير بها والأمر بإعطاء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الصحيح، فالقيد فيه وارد مورد الغالب، كما عرفت بما لامزيد عليه، وأمّا الأصل وعدم الدليل، فلا محلّ لهما مع ما بيّنّاه من الأدلّة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التصالح ووجوب الوفاء للجاني بعد القبول واضح غير محتاج إلى البيان، ولا خلاف ولا إشكال فيه؛ قضاءً لعمومات العقودوالشروط والصلح بخصوصه</w:t>
      </w:r>
      <w:r>
        <w:rPr>
          <w:rFonts w:eastAsia="Amiri" w:cs="Amiri" w:ascii="Amiri" w:hAnsi="Amiri"/>
          <w:color w:val="111111"/>
          <w:sz w:val="28"/>
          <w:szCs w:val="28"/>
          <w:rtl w:val="true"/>
          <w:lang w:bidi="ar-SA"/>
        </w:rPr>
        <w:t xml:space="preserve">. </w:t>
      </w:r>
      <w:bookmarkStart w:id="328" w:name="pg9428_72789"/>
    </w:p>
    <w:p>
      <w:pPr>
        <w:pStyle w:val="BookText"/>
        <w:rPr/>
      </w:pPr>
      <w:bookmarkEnd w:id="3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للحاكم أن يقضي بالقصاص ما لم يثبت أنّ التلف كان بالجناية، فإن اشتبه عنده ولم يقم بيّنة على ذلك، ولم يثبت بإقرار الجاني، اقتصر على القصاص أو الأرش في الجناية لا النفس، فإذا قطع يد شخص ولم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بالبيّنة أو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القتل حصل بالجناية، لا يجوز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القصاص من يرث المال عدا الزوج والزوجة، فإنّهما لا يستحقّان 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القصاص الإخوة والأخوات من الأُمّ ومن يتقرّب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للنساء قود ولا عفو وإن تقرّبن بالأب، والأوّل أشبه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ما في المسألة من عدم جواز الحكم بالقصاص للحاكم مع الاشتباه ولزوم الاقتصار على المتيقّن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الرياض هنا بعد بيان وضوح الوجه،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باليقين ما يعمّ اليقين الشرعي الحاصل من نحو الإقرار والشهادة، هذا بالنسبة إلى الحاكم، وأمّا بالنسبة إلى الشهود ووليّ الدم إذا أراد قتل الجاني حيث يجوز له فلابدّ من العلم الواقعي</w:t>
      </w:r>
      <w:r>
        <w:rPr>
          <w:rFonts w:eastAsia="Amiri" w:cs="Amiri" w:ascii="Amiri" w:hAnsi="Amiri"/>
          <w:color w:val="111111"/>
          <w:sz w:val="28"/>
          <w:szCs w:val="28"/>
          <w:rtl w:val="true"/>
          <w:lang w:bidi="ar-SA"/>
        </w:rPr>
        <w:t>.</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ما فيه من الفرق بين علم الحاكم ووليّ الدم وجهه لابيّن في كلامه ولا معلوم بل خلافه معلوم، فإنّ الظاهر أو المقطوع عدم الفرق فيهما، فإنّ البيّنة والإقرار كما يكونان حجّة للحاكم فكذلك للوليّ لإطلاق أدلّتهما</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5797623_2870459653"/>
      <w:bookmarkStart w:id="330" w:name="_Toc112"/>
      <w:bookmarkEnd w:id="329"/>
      <w:r>
        <w:rPr>
          <w:rtl w:val="true"/>
        </w:rPr>
        <w:t>إرث القصاص</w:t>
      </w:r>
      <w:bookmarkEnd w:id="330"/>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للقصاص هو الوارث للمال؛ لعموم أدلّة الإرث من آية أُولي </w:t>
      </w:r>
      <w:bookmarkStart w:id="331" w:name="pg9428_72790"/>
    </w:p>
    <w:p>
      <w:pPr>
        <w:pStyle w:val="BookText"/>
        <w:rPr/>
      </w:pPr>
      <w:bookmarkEnd w:id="3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الأرحام وغيرها، وإطلاق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w:t>
      </w:r>
      <w:r>
        <w:rPr>
          <w:rFonts w:ascii="IRNazanin" w:hAnsi="IRNazanin" w:eastAsia="IRNazanin"/>
          <w:color w:val="111111"/>
          <w:sz w:val="28"/>
          <w:sz w:val="28"/>
          <w:szCs w:val="28"/>
          <w:rtl w:val="true"/>
          <w:lang w:bidi="fa-IR"/>
        </w:rPr>
        <w:t>،</w:t>
      </w:r>
      <w:r>
        <w:rPr>
          <w:rStyle w:val="FootnoteAnchor"/>
          <w:rtl w:val="true"/>
        </w:rPr>
        <w:footnoteReference w:id="1391"/>
      </w:r>
      <w:r>
        <w:rPr>
          <w:rFonts w:ascii="Amiri" w:hAnsi="Amiri" w:eastAsia="Amiri" w:cs="Amiri"/>
          <w:color w:val="111111"/>
          <w:sz w:val="28"/>
          <w:sz w:val="28"/>
          <w:szCs w:val="28"/>
          <w:rtl w:val="true"/>
          <w:lang w:bidi="ar-SA"/>
        </w:rPr>
        <w:t>وسائر نصوص القصاص ممّا هي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الجملة لاكلام ولا إشكال ولا خلاف فيه بل عليه الإجماع، وإنّما الإشكال في استثناء الزوج والزوجة من ذلك وإن كانت إجماعيّة، وهو مع الخلاف في استثناء الإخوة والأخوات والمتقرّب بهما من الأُمّ والنساء مطلقاً وإن تقرّبن 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 موارد ثلاثة</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5797625_2870459653"/>
      <w:bookmarkStart w:id="333" w:name="_Toc113"/>
      <w:bookmarkEnd w:id="332"/>
      <w:r>
        <w:rPr>
          <w:rtl w:val="true"/>
        </w:rPr>
        <w:t>إرث الزوج والزوجة في القصاص</w:t>
      </w:r>
      <w:bookmarkEnd w:id="333"/>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والزوجة،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فإنّهما لا يستحقّان قصاصاً إجماعاً بقسميه</w:t>
      </w:r>
      <w:r>
        <w:rPr>
          <w:rFonts w:eastAsia="Amiri" w:cs="Amiri" w:ascii="Amiri" w:hAnsi="Amiri"/>
          <w:color w:val="111111"/>
          <w:sz w:val="28"/>
          <w:szCs w:val="28"/>
          <w:rtl w:val="true"/>
          <w:lang w:bidi="ar-SA"/>
        </w:rPr>
        <w:t>».</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وفي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w:t>
      </w:r>
      <w:r>
        <w:rPr>
          <w:rStyle w:val="FootnoteAnchor"/>
          <w:rtl w:val="true"/>
        </w:rPr>
        <w:footnoteReference w:id="1393"/>
      </w:r>
      <w:r>
        <w:rPr>
          <w:rFonts w:ascii="Amiri" w:hAnsi="Amiri" w:eastAsia="Amiri" w:cs="Amiri"/>
          <w:color w:val="111111"/>
          <w:sz w:val="28"/>
          <w:sz w:val="28"/>
          <w:szCs w:val="28"/>
          <w:rtl w:val="true"/>
          <w:lang w:bidi="ar-SA"/>
        </w:rPr>
        <w:t>ويظهر من تعليقات صاحب مفتاح الكرامة على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نقل الاتّفاق مستفيضاً نقله في الخلاف وما تأخّر عنه</w:t>
      </w:r>
      <w:r>
        <w:rPr>
          <w:rFonts w:eastAsia="Amiri" w:cs="Amiri" w:ascii="Amiri" w:hAnsi="Amiri"/>
          <w:color w:val="111111"/>
          <w:sz w:val="28"/>
          <w:szCs w:val="28"/>
          <w:rtl w:val="true"/>
          <w:lang w:bidi="ar-SA"/>
        </w:rPr>
        <w:t>.</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موضع وفاق، وعلّل بأنّ القصاص يثبت للوليّ للتشفّي، ولا نسب في الزوجيّة من حيث هي زوجيّة يوجبه</w:t>
      </w:r>
      <w:r>
        <w:rPr>
          <w:rFonts w:eastAsia="Amiri" w:cs="Amiri" w:ascii="Amiri" w:hAnsi="Amiri"/>
          <w:color w:val="111111"/>
          <w:sz w:val="28"/>
          <w:szCs w:val="28"/>
          <w:rtl w:val="true"/>
          <w:lang w:bidi="ar-SA"/>
        </w:rPr>
        <w:t>.</w:t>
      </w:r>
      <w:r>
        <w:rPr>
          <w:rStyle w:val="FootnoteAnchor"/>
          <w:rtl w:val="true"/>
        </w:rPr>
        <w:footnoteReference w:id="1395"/>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هذه العبائر في مثل تلك الكتب الفقهيّة المفصّلة الجامعةللأدلّة،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الدليل على ذلك الاستثناء إلّا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المسالك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آخره بالمبنيّ للمفعول ليس بأزيد من التعليل الاعتباري، لا الدليل الاستدلالي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w:t>
      </w:r>
      <w:r>
        <w:rPr>
          <w:rFonts w:eastAsia="Amiri" w:cs="Amiri" w:ascii="Amiri" w:hAnsi="Amiri"/>
          <w:color w:val="111111"/>
          <w:sz w:val="28"/>
          <w:szCs w:val="28"/>
          <w:rtl w:val="true"/>
          <w:lang w:bidi="ar-SA"/>
        </w:rPr>
        <w:t>».</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ولكن ليس للمسألة خبر واحد فضلاً عن الأخبار، ومن البعيد وجود تلك الأخبار عندهم، لكنّه لم تصل إلينا حتّى الواحد منها، وكيف يكون كذلك مع خلوّ كتابيه في الأخبار لا سيّما التهذيب الجامع لما في غالب الثلاثة من الكتب الأربعة؟ فوقوع الخلط والسهو منه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فالعمدة في المسألة الإجماع، وبعده التعليل على كونه دليلاً لكنّ الثاني غير تامّ؛ لعدم كون القصاص للتشفّي بل للحياة كما في كتاب الله أوّلاً، وأنّه على صحّته اجتهاد في مقابل نصّ الكتاب ثانياً، وعدم اختصاص التشفّي بالنسب، فإنّه موجود في الزوجين اللذين جعل كلّ منهما سكناً للآخر، كما هو المعلوم بالوجدان ثالثاً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بل الدليل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استنادهم جميعاً أو بعضهم بالعلّة المذكورة، ومع كونه مخالفاً للقواعد والعمومات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كما أنّ رفع اليد منه مع كونه مخالفاً للقواعد ومع عدم النصّ أشكل بل ممنوعٌ، فإنّ الإجماع عليه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في عدم ردع 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وعدم إنكارهم للعامّة، شهادة على الرضىمنهم بذلك</w:t>
      </w:r>
      <w:r>
        <w:rPr>
          <w:rFonts w:eastAsia="Amiri" w:cs="Amiri" w:ascii="Amiri" w:hAnsi="Amiri"/>
          <w:color w:val="111111"/>
          <w:sz w:val="28"/>
          <w:szCs w:val="28"/>
          <w:rtl w:val="true"/>
          <w:lang w:bidi="ar-SA"/>
        </w:rPr>
        <w:t xml:space="preserve">. </w:t>
      </w:r>
      <w:bookmarkStart w:id="334" w:name="pg9428_72792"/>
    </w:p>
    <w:p>
      <w:pPr>
        <w:pStyle w:val="BookText"/>
        <w:rPr/>
      </w:pPr>
      <w:bookmarkEnd w:id="334"/>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5797627_2870459653"/>
      <w:bookmarkStart w:id="336" w:name="_Toc114"/>
      <w:bookmarkEnd w:id="335"/>
      <w:r>
        <w:rPr>
          <w:rtl w:val="true"/>
        </w:rPr>
        <w:t>إرث الإخوة والأخوات في القصاص</w:t>
      </w:r>
      <w:bookmarkEnd w:id="336"/>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والأخوات من قبل الأُمّ ومن يتقرّب بها، ففي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القصاص إلّا العصبة دون الإخوة والأخوات من الأُمّ ومن يتقرّب بها</w:t>
      </w:r>
      <w:r>
        <w:rPr>
          <w:rFonts w:eastAsia="Amiri" w:cs="Amiri" w:ascii="Amiri" w:hAnsi="Amiri"/>
          <w:color w:val="111111"/>
          <w:sz w:val="28"/>
          <w:szCs w:val="28"/>
          <w:rtl w:val="true"/>
          <w:lang w:bidi="ar-SA"/>
        </w:rPr>
        <w:t>.</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ففي المسألة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الاستثناء، وأنّ غير العصبة كالعصبة في إرث القصاص، وهو الظاهر ممّن لم يستثنه من عموم ويرث القصاص من يرث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وهو للشيخ في النهاية</w:t>
      </w:r>
      <w:r>
        <w:rPr>
          <w:rStyle w:val="FootnoteAnchor"/>
          <w:rtl w:val="true"/>
        </w:rPr>
        <w:footnoteReference w:id="1398"/>
      </w:r>
      <w:r>
        <w:rPr>
          <w:rFonts w:ascii="IRNazanin" w:hAnsi="IRNazanin" w:eastAsia="IRNazanin"/>
          <w:color w:val="111111"/>
          <w:sz w:val="28"/>
          <w:sz w:val="28"/>
          <w:szCs w:val="28"/>
          <w:rtl w:val="true"/>
          <w:lang w:bidi="fa-IR"/>
        </w:rPr>
        <w:t>و‌الاستبصار</w:t>
      </w:r>
      <w:r>
        <w:rPr>
          <w:rStyle w:val="FootnoteAnchor"/>
          <w:rtl w:val="true"/>
        </w:rPr>
        <w:footnoteReference w:id="1399"/>
      </w:r>
      <w:r>
        <w:rPr>
          <w:rFonts w:ascii="IRNazanin" w:hAnsi="IRNazanin" w:eastAsia="IRNazanin"/>
          <w:color w:val="111111"/>
          <w:sz w:val="28"/>
          <w:sz w:val="28"/>
          <w:szCs w:val="28"/>
          <w:rtl w:val="true"/>
          <w:lang w:bidi="fa-IR"/>
        </w:rPr>
        <w:t>ومختصر الفرائض،</w:t>
      </w:r>
      <w:r>
        <w:rPr>
          <w:rStyle w:val="FootnoteAnchor"/>
          <w:rtl w:val="true"/>
        </w:rPr>
        <w:footnoteReference w:id="1400"/>
      </w:r>
      <w:r>
        <w:rPr>
          <w:rFonts w:ascii="Amiri" w:hAnsi="Amiri" w:eastAsia="Amiri" w:cs="Amiri"/>
          <w:color w:val="111111"/>
          <w:sz w:val="28"/>
          <w:sz w:val="28"/>
          <w:szCs w:val="28"/>
          <w:rtl w:val="true"/>
          <w:lang w:bidi="ar-SA"/>
        </w:rPr>
        <w:t>وهو الأظهر عند المحقّق في الشرائع ،</w:t>
      </w:r>
      <w:r>
        <w:rPr>
          <w:rStyle w:val="FootnoteAnchor"/>
          <w:rtl w:val="true"/>
        </w:rPr>
        <w:footnoteReference w:id="1401"/>
      </w:r>
      <w:r>
        <w:rPr>
          <w:rFonts w:ascii="Amiri" w:hAnsi="Amiri" w:eastAsia="Amiri" w:cs="Amiri"/>
          <w:color w:val="111111"/>
          <w:sz w:val="28"/>
          <w:sz w:val="28"/>
          <w:szCs w:val="28"/>
          <w:rtl w:val="true"/>
          <w:lang w:bidi="ar-SA"/>
        </w:rPr>
        <w:t>والشهيد في حواشيه</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بل عن الحلّي في موضع من السرائر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كلالة الأُمّ لا ترث الدية ولا القصاص ولا القود بغير خلاف</w:t>
      </w:r>
      <w:r>
        <w:rPr>
          <w:rFonts w:eastAsia="Amiri" w:cs="Amiri" w:ascii="Amiri" w:hAnsi="Amiri"/>
          <w:color w:val="111111"/>
          <w:sz w:val="28"/>
          <w:szCs w:val="28"/>
          <w:rtl w:val="true"/>
          <w:lang w:bidi="ar-SA"/>
        </w:rPr>
        <w:t>.</w:t>
      </w:r>
      <w:r>
        <w:rPr>
          <w:rStyle w:val="FootnoteAnchor"/>
          <w:rtl w:val="true"/>
        </w:rPr>
        <w:footnoteReference w:id="1403"/>
      </w:r>
      <w:r>
        <w:rPr>
          <w:rFonts w:ascii="Amiri" w:hAnsi="Amiri" w:eastAsia="Amiri" w:cs="Amiri"/>
          <w:color w:val="111111"/>
          <w:sz w:val="28"/>
          <w:sz w:val="28"/>
          <w:szCs w:val="28"/>
          <w:rtl w:val="true"/>
          <w:lang w:bidi="ar-SA"/>
        </w:rPr>
        <w:t>بل في تعليقات صاحب مفتاح الكرامة على قصاص اللثام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يظهر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إرثهنّ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المقنعة</w:t>
      </w:r>
      <w:r>
        <w:rPr>
          <w:rStyle w:val="FootnoteAnchor"/>
          <w:rtl w:val="true"/>
        </w:rPr>
        <w:footnoteReference w:id="1404"/>
      </w:r>
      <w:r>
        <w:rPr>
          <w:rFonts w:ascii="IRNazanin" w:hAnsi="IRNazanin" w:eastAsia="IRNazanin"/>
          <w:color w:val="111111"/>
          <w:sz w:val="28"/>
          <w:sz w:val="28"/>
          <w:szCs w:val="28"/>
          <w:rtl w:val="true"/>
          <w:lang w:bidi="fa-IR"/>
        </w:rPr>
        <w:t>و‌الخلاف</w:t>
      </w:r>
      <w:r>
        <w:rPr>
          <w:rStyle w:val="FootnoteAnchor"/>
          <w:rtl w:val="true"/>
        </w:rPr>
        <w:footnoteReference w:id="1405"/>
      </w:r>
      <w:r>
        <w:rPr>
          <w:rFonts w:ascii="Amiri" w:hAnsi="Amiri" w:eastAsia="Amiri" w:cs="Amiri"/>
          <w:color w:val="111111"/>
          <w:sz w:val="28"/>
          <w:sz w:val="28"/>
          <w:szCs w:val="28"/>
          <w:rtl w:val="true"/>
          <w:lang w:bidi="ar-SA"/>
        </w:rPr>
        <w:t>والكافي ،</w:t>
      </w:r>
      <w:r>
        <w:rPr>
          <w:rStyle w:val="FootnoteAnchor"/>
          <w:rtl w:val="true"/>
        </w:rPr>
        <w:footnoteReference w:id="1406"/>
      </w:r>
      <w:r>
        <w:rPr>
          <w:rFonts w:ascii="Amiri" w:hAnsi="Amiri" w:eastAsia="Amiri" w:cs="Amiri"/>
          <w:color w:val="111111"/>
          <w:sz w:val="28"/>
          <w:sz w:val="28"/>
          <w:szCs w:val="28"/>
          <w:rtl w:val="true"/>
          <w:lang w:bidi="ar-SA"/>
        </w:rPr>
        <w:t>بناءً على أنّ إرث القصاص مترتّب على إرث الدية، وستسمع أنّ الأكثر على أنّ المتقرّب بالأُمّ لا يرث الدية</w:t>
      </w:r>
      <w:r>
        <w:rPr>
          <w:rFonts w:eastAsia="Amiri" w:cs="Amiri" w:ascii="Amiri" w:hAnsi="Amiri"/>
          <w:color w:val="111111"/>
          <w:sz w:val="28"/>
          <w:szCs w:val="28"/>
          <w:rtl w:val="true"/>
          <w:lang w:bidi="ar-SA"/>
        </w:rPr>
        <w:t>.</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ولا يخفى أنّه على ذلك ينبغي أن يكون خيرة غيرها أيضاً، حيث إنّ الأكثر أو المشهور على عدم إرث المتقرّب بالأُمّ لها من الدية، لكنّ البناء غير تامّ؛ للفرق بين القصاص والدية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الممكن عدم الإرث من الدية التي تكون من أموال المقتول وثابتة بالشرع أصالةً تخصيصاً في عموم أدلّة الإرث، وذلك بخلاف القصاص الثابت للورثة بالولاية، وعموم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w:t>
      </w:r>
      <w:r>
        <w:rPr>
          <w:rFonts w:ascii="IRNazanin" w:hAnsi="IRNazanin" w:eastAsia="IRNazanin"/>
          <w:color w:val="111111"/>
          <w:sz w:val="28"/>
          <w:sz w:val="28"/>
          <w:szCs w:val="28"/>
          <w:rtl w:val="true"/>
          <w:lang w:bidi="fa-IR"/>
        </w:rPr>
        <w:t>،</w:t>
      </w:r>
      <w:r>
        <w:rPr>
          <w:rStyle w:val="FootnoteAnchor"/>
          <w:rtl w:val="true"/>
        </w:rPr>
        <w:footnoteReference w:id="1408"/>
      </w:r>
      <w:r>
        <w:rPr>
          <w:rFonts w:ascii="Amiri" w:hAnsi="Amiri" w:eastAsia="Amiri" w:cs="Amiri"/>
          <w:color w:val="111111"/>
          <w:sz w:val="28"/>
          <w:sz w:val="28"/>
          <w:szCs w:val="28"/>
          <w:rtl w:val="true"/>
          <w:lang w:bidi="ar-SA"/>
        </w:rPr>
        <w:t>فالمتّبع في كلٍّ منهما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عدم تماميّة الاستدلال؛ للبناء المذكور، والملازمة بين عدم الدية وعدم القصاص بالأولويّة بأنّه إذا لم يكن للوارث الدية فليس له القصاص بطريق أولى؛ وذلك لما بيّنا من تفاوت البابين، فأحدهما بالإرث وثانيهما بالولاية، فلا اشتراك بينهما حتّى تصحّ الأولويّة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بين القصاص والعفو ملازمة وجوداً وعدماً؛ لكون العفو فرع القصاص لا مقابلاً له، كما أنّه قد ظهر عدم صحّة الاستثناء؛ لعمومأدلّة الولاية وعدم </w:t>
      </w:r>
      <w:bookmarkStart w:id="337" w:name="pg9428_72794"/>
    </w:p>
    <w:p>
      <w:pPr>
        <w:pStyle w:val="BookText"/>
        <w:rPr/>
      </w:pPr>
      <w:bookmarkEnd w:id="3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على التخصيص، إلّا أن يقال بأنّ في شمول العموم فيها لمثلهنّ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فهو الأشبه، كما في المتن</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5797629_2870459653"/>
      <w:bookmarkStart w:id="339" w:name="_Toc115"/>
      <w:bookmarkEnd w:id="338"/>
      <w:r>
        <w:rPr>
          <w:rtl w:val="true"/>
        </w:rPr>
        <w:t>إرث النساء في القصاص</w:t>
      </w:r>
      <w:bookmarkEnd w:id="339"/>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وأنّه ليس لهنّ العفو والقصاص وإن تقرّبن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التعليقات على قول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للنساء عفو ولا 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المحقّق في الشرائع </w:t>
      </w:r>
      <w:r>
        <w:rPr>
          <w:rStyle w:val="FootnoteAnchor"/>
          <w:rtl w:val="true"/>
        </w:rPr>
        <w:footnoteReference w:id="1409"/>
      </w:r>
      <w:r>
        <w:rPr>
          <w:rFonts w:ascii="Amiri" w:hAnsi="Amiri" w:eastAsia="Amiri" w:cs="Amiri"/>
          <w:color w:val="111111"/>
          <w:sz w:val="28"/>
          <w:sz w:val="28"/>
          <w:szCs w:val="28"/>
          <w:rtl w:val="true"/>
          <w:lang w:bidi="ar-SA"/>
        </w:rPr>
        <w:t xml:space="preserve">وغيره قولاً ثالثاً، ونسبه في المسالك </w:t>
      </w:r>
      <w:r>
        <w:rPr>
          <w:rStyle w:val="FootnoteAnchor"/>
          <w:rtl w:val="true"/>
        </w:rPr>
        <w:footnoteReference w:id="1410"/>
      </w:r>
      <w:r>
        <w:rPr>
          <w:rFonts w:ascii="Amiri" w:hAnsi="Amiri" w:eastAsia="Amiri" w:cs="Amiri"/>
          <w:color w:val="111111"/>
          <w:sz w:val="28"/>
          <w:sz w:val="28"/>
          <w:szCs w:val="28"/>
          <w:rtl w:val="true"/>
          <w:lang w:bidi="ar-SA"/>
        </w:rPr>
        <w:t>إلى الشيخ في المبسوط</w:t>
      </w:r>
      <w:r>
        <w:rPr>
          <w:rStyle w:val="FootnoteAnchor"/>
          <w:rtl w:val="true"/>
        </w:rPr>
        <w:footnoteReference w:id="1411"/>
      </w:r>
      <w:r>
        <w:rPr>
          <w:rFonts w:ascii="Amiri" w:hAnsi="Amiri" w:eastAsia="Amiri" w:cs="Amiri"/>
          <w:color w:val="111111"/>
          <w:sz w:val="28"/>
          <w:sz w:val="28"/>
          <w:szCs w:val="28"/>
          <w:rtl w:val="true"/>
          <w:lang w:bidi="ar-SA"/>
        </w:rPr>
        <w:t>وكتابي الأخبار،</w:t>
      </w:r>
      <w:r>
        <w:rPr>
          <w:rStyle w:val="FootnoteAnchor"/>
          <w:rtl w:val="true"/>
        </w:rPr>
        <w:footnoteReference w:id="1412"/>
      </w:r>
      <w:r>
        <w:rPr>
          <w:rFonts w:ascii="Amiri" w:hAnsi="Amiri" w:eastAsia="Amiri" w:cs="Amiri"/>
          <w:color w:val="111111"/>
          <w:sz w:val="28"/>
          <w:sz w:val="28"/>
          <w:szCs w:val="28"/>
          <w:rtl w:val="true"/>
          <w:lang w:bidi="ar-SA"/>
        </w:rPr>
        <w:t>وقد سمعت ما وجدناه في المبسوط في باب الجراح، وهذا يوافق ما في المهذّب</w:t>
      </w:r>
      <w:r>
        <w:rPr>
          <w:rStyle w:val="FootnoteAnchor"/>
          <w:rtl w:val="true"/>
        </w:rPr>
        <w:footnoteReference w:id="1413"/>
      </w:r>
      <w:r>
        <w:rPr>
          <w:rFonts w:ascii="Amiri" w:hAnsi="Amiri" w:eastAsia="Amiri" w:cs="Amiri"/>
          <w:color w:val="111111"/>
          <w:sz w:val="28"/>
          <w:sz w:val="28"/>
          <w:szCs w:val="28"/>
          <w:rtl w:val="true"/>
          <w:lang w:bidi="ar-SA"/>
        </w:rPr>
        <w:t>والإيجاز</w:t>
      </w:r>
      <w:r>
        <w:rPr>
          <w:rStyle w:val="FootnoteAnchor"/>
          <w:rtl w:val="true"/>
        </w:rPr>
        <w:footnoteReference w:id="1414"/>
      </w:r>
      <w:r>
        <w:rPr>
          <w:rFonts w:ascii="Amiri" w:hAnsi="Amiri" w:eastAsia="Amiri" w:cs="Amiri"/>
          <w:color w:val="111111"/>
          <w:sz w:val="28"/>
          <w:sz w:val="28"/>
          <w:szCs w:val="28"/>
          <w:rtl w:val="true"/>
          <w:lang w:bidi="ar-SA"/>
        </w:rPr>
        <w:t xml:space="preserve">وجنايات الخلاف </w:t>
      </w:r>
      <w:r>
        <w:rPr>
          <w:rStyle w:val="FootnoteAnchor"/>
          <w:rtl w:val="true"/>
        </w:rPr>
        <w:footnoteReference w:id="1415"/>
      </w:r>
      <w:r>
        <w:rPr>
          <w:rFonts w:ascii="Amiri" w:hAnsi="Amiri" w:eastAsia="Amiri" w:cs="Amiri"/>
          <w:color w:val="111111"/>
          <w:sz w:val="28"/>
          <w:sz w:val="28"/>
          <w:szCs w:val="28"/>
          <w:rtl w:val="true"/>
          <w:lang w:bidi="ar-SA"/>
        </w:rPr>
        <w:t>أنّه لا يرث الدية النساء ممّن يتقرّب بالأب، كما لا يرثها منيتقرّب بالأُمّ مطلقاً</w:t>
      </w:r>
      <w:r>
        <w:rPr>
          <w:rFonts w:eastAsia="Amiri" w:cs="Amiri" w:ascii="Amiri" w:hAnsi="Amiri"/>
          <w:color w:val="111111"/>
          <w:sz w:val="28"/>
          <w:szCs w:val="28"/>
          <w:rtl w:val="true"/>
          <w:lang w:bidi="ar-SA"/>
        </w:rPr>
        <w:t>.</w:t>
      </w:r>
      <w:r>
        <w:rPr>
          <w:rStyle w:val="FootnoteAnchor"/>
          <w:rtl w:val="true"/>
        </w:rPr>
        <w:footnoteReference w:id="1416"/>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نسبة ما في الشرائع من القول الثالث إلى المهذّب وتالیه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الدية من يرث المال حتّى الزوج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يرث منها الإخوة والأخوات من قبل الأُمّ، بل مطلق من يتقرّب بها على الأقوى، لكن</w:t>
      </w:r>
    </w:p>
    <w:p>
      <w:pPr>
        <w:pStyle w:val="BookText"/>
        <w:rPr/>
      </w:pPr>
      <w:r>
        <w:rPr>
          <w:rFonts w:ascii="Amiri" w:hAnsi="Amiri" w:eastAsia="Amiri" w:cs="Amiri"/>
          <w:color w:val="111111"/>
          <w:sz w:val="28"/>
          <w:sz w:val="28"/>
          <w:szCs w:val="28"/>
          <w:rtl w:val="true"/>
          <w:lang w:bidi="ar-SA"/>
        </w:rPr>
        <w:t>من الكتاب، مبنيّ على مختاره من البناء بين إرث الدية والقصاص، ممّا مرّ نقله وضعفه في المورد الثاني،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 قال في ذيل عبارة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للنساء عفو ولا 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أعرف القائل به وإن حكي عن المبسوط وكتابي الأخبار، إلّا أنّى لم أتحقّقه</w:t>
      </w:r>
      <w:r>
        <w:rPr>
          <w:rFonts w:eastAsia="Amiri" w:cs="Amiri" w:ascii="Amiri" w:hAnsi="Amiri"/>
          <w:color w:val="111111"/>
          <w:sz w:val="28"/>
          <w:szCs w:val="28"/>
          <w:rtl w:val="true"/>
          <w:lang w:bidi="ar-SA"/>
        </w:rPr>
        <w:t>.</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لكن مع ذلك كلّه، ففي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حكاه الشيخ في المبسوط عن جماعة من الأصحاب، ورواه علي بن الحسن</w:t>
      </w:r>
      <w:r>
        <w:rPr>
          <w:rStyle w:val="FootnoteAnchor"/>
          <w:rtl w:val="true"/>
        </w:rPr>
        <w:footnoteReference w:id="1418"/>
      </w:r>
      <w:r>
        <w:rPr>
          <w:rFonts w:ascii="IRNazanin" w:hAnsi="IRNazanin" w:eastAsia="IRNazanin"/>
          <w:color w:val="111111"/>
          <w:sz w:val="28"/>
          <w:sz w:val="28"/>
          <w:szCs w:val="28"/>
          <w:rtl w:val="true"/>
          <w:lang w:bidi="fa-IR"/>
        </w:rPr>
        <w:t>بن فضّال بسنده عن أبي العبّاس أنّه قال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للنساء قود أو عفو؟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وذلك للعصبة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خلاف ما عليه أصحابنا</w:t>
      </w:r>
      <w:r>
        <w:rPr>
          <w:rFonts w:eastAsia="IRNazanin" w:cs="IRNazanin"/>
          <w:color w:val="111111"/>
          <w:sz w:val="28"/>
          <w:szCs w:val="28"/>
          <w:rtl w:val="true"/>
          <w:lang w:bidi="fa-IR"/>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خلاف مقتضى الأدلّة أيضاً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الوسائل في ذيل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التقيّة</w:t>
      </w:r>
      <w:r>
        <w:rPr>
          <w:rFonts w:eastAsia="Amiri" w:cs="Amiri" w:ascii="Amiri" w:hAnsi="Amiri"/>
          <w:color w:val="111111"/>
          <w:sz w:val="28"/>
          <w:szCs w:val="28"/>
          <w:rtl w:val="true"/>
          <w:lang w:bidi="ar-SA"/>
        </w:rPr>
        <w:t>».</w:t>
      </w:r>
      <w:r>
        <w:rPr>
          <w:rStyle w:val="FootnoteAnchor"/>
          <w:rtl w:val="true"/>
        </w:rPr>
        <w:footnoteReference w:id="1421"/>
      </w:r>
      <w:bookmarkStart w:id="340" w:name="pg9428_72796"/>
    </w:p>
    <w:p>
      <w:pPr>
        <w:pStyle w:val="BookText"/>
        <w:rPr/>
      </w:pPr>
      <w:bookmarkEnd w:id="340"/>
      <w:r>
        <w:rPr>
          <w:rFonts w:ascii="Amiri" w:hAnsi="Amiri" w:eastAsia="Amiri" w:cs="Amiri"/>
          <w:color w:val="111111"/>
          <w:sz w:val="28"/>
          <w:sz w:val="28"/>
          <w:szCs w:val="28"/>
          <w:rtl w:val="true"/>
          <w:lang w:bidi="ar-SA"/>
        </w:rPr>
        <w:t>الاحتياط في غير الإخوة والأخوات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جواز المبادرة للوليّ إذا كان منفرداً إلى القصاص، سيّما في الطرف إلّا مع إذن والي المسلمين، بل لا يخلو من قوّة، ولو بادر فللوالي تعزيره، ولكن لا قصاص عليه ولا 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البحث عنه في المسألة الخامسة من مسائل مانعيّة القتل، وقلنا بأنّ اختصاص عدم الإرث منها بالإخوة والأخوات من قبل الأُمّ دون مطلق المتقرّب بها غير خالٍ من القوّة، ولا نعيده، فراجعه</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5797631_2870459653"/>
      <w:bookmarkStart w:id="342" w:name="_Toc116"/>
      <w:bookmarkEnd w:id="341"/>
      <w:r>
        <w:rPr>
          <w:rtl w:val="true"/>
        </w:rPr>
        <w:t>هل يتوقّف القصاص على إذن الإمام؟</w:t>
      </w:r>
      <w:bookmarkEnd w:id="3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ذات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الإذن من الإمام ووجوبه وتوقّف جواز الاقتصاص عليه، كما في المقنعة</w:t>
      </w:r>
      <w:r>
        <w:rPr>
          <w:rStyle w:val="FootnoteAnchor"/>
          <w:rtl w:val="true"/>
        </w:rPr>
        <w:footnoteReference w:id="1422"/>
      </w:r>
      <w:r>
        <w:rPr>
          <w:rFonts w:ascii="Amiri" w:hAnsi="Amiri" w:eastAsia="Amiri" w:cs="Amiri"/>
          <w:color w:val="111111"/>
          <w:sz w:val="28"/>
          <w:sz w:val="28"/>
          <w:szCs w:val="28"/>
          <w:rtl w:val="true"/>
          <w:lang w:bidi="ar-SA"/>
        </w:rPr>
        <w:t>و الكافي ،</w:t>
      </w:r>
      <w:r>
        <w:rPr>
          <w:rStyle w:val="FootnoteAnchor"/>
          <w:rtl w:val="true"/>
        </w:rPr>
        <w:footnoteReference w:id="1423"/>
      </w:r>
      <w:r>
        <w:rPr>
          <w:rFonts w:ascii="Amiri" w:hAnsi="Amiri" w:eastAsia="Amiri" w:cs="Amiri"/>
          <w:color w:val="111111"/>
          <w:sz w:val="28"/>
          <w:sz w:val="28"/>
          <w:szCs w:val="28"/>
          <w:rtl w:val="true"/>
          <w:lang w:bidi="ar-SA"/>
        </w:rPr>
        <w:t>وعن المهذّب</w:t>
      </w:r>
      <w:r>
        <w:rPr>
          <w:rStyle w:val="FootnoteAnchor"/>
          <w:rtl w:val="true"/>
        </w:rPr>
        <w:footnoteReference w:id="1424"/>
      </w:r>
      <w:r>
        <w:rPr>
          <w:rFonts w:ascii="Amiri" w:hAnsi="Amiri" w:eastAsia="Amiri" w:cs="Amiri"/>
          <w:color w:val="111111"/>
          <w:sz w:val="28"/>
          <w:sz w:val="28"/>
          <w:szCs w:val="28"/>
          <w:rtl w:val="true"/>
          <w:lang w:bidi="ar-SA"/>
        </w:rPr>
        <w:t>والتلخيص</w:t>
      </w:r>
      <w:r>
        <w:rPr>
          <w:rStyle w:val="FootnoteAnchor"/>
          <w:rtl w:val="true"/>
        </w:rPr>
        <w:footnoteReference w:id="1425"/>
      </w:r>
      <w:r>
        <w:rPr>
          <w:rFonts w:ascii="IRNazanin" w:hAnsi="IRNazanin" w:eastAsia="IRNazanin"/>
          <w:color w:val="111111"/>
          <w:sz w:val="28"/>
          <w:sz w:val="28"/>
          <w:szCs w:val="28"/>
          <w:rtl w:val="true"/>
          <w:lang w:bidi="fa-IR"/>
        </w:rPr>
        <w:t>وموضع من المبسوط</w:t>
      </w:r>
      <w:r>
        <w:rPr>
          <w:rFonts w:eastAsia="IRNazanin" w:cs="IRNazanin"/>
          <w:color w:val="111111"/>
          <w:sz w:val="28"/>
          <w:szCs w:val="28"/>
          <w:rtl w:val="true"/>
          <w:lang w:bidi="fa-IR"/>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لزومه وجواز الاستيفاء بلا إذن منه كحقّ الشفعة، وهو خيرة الخلاف،</w:t>
      </w:r>
      <w:r>
        <w:rPr>
          <w:rStyle w:val="FootnoteAnchor"/>
          <w:rtl w:val="true"/>
        </w:rPr>
        <w:footnoteReference w:id="1427"/>
      </w:r>
      <w:r>
        <w:rPr>
          <w:rFonts w:ascii="Amiri" w:hAnsi="Amiri" w:eastAsia="Amiri" w:cs="Amiri"/>
          <w:color w:val="111111"/>
          <w:sz w:val="28"/>
          <w:sz w:val="28"/>
          <w:szCs w:val="28"/>
          <w:rtl w:val="true"/>
          <w:lang w:bidi="ar-SA"/>
        </w:rPr>
        <w:t xml:space="preserve">والمحقّق في الشرائع </w:t>
      </w:r>
      <w:r>
        <w:rPr>
          <w:rStyle w:val="FootnoteAnchor"/>
          <w:rtl w:val="true"/>
        </w:rPr>
        <w:footnoteReference w:id="1428"/>
      </w:r>
      <w:r>
        <w:rPr>
          <w:rFonts w:ascii="IRNazanin" w:hAnsi="IRNazanin" w:eastAsia="IRNazanin"/>
          <w:color w:val="111111"/>
          <w:sz w:val="28"/>
          <w:sz w:val="28"/>
          <w:szCs w:val="28"/>
          <w:rtl w:val="true"/>
          <w:lang w:bidi="fa-IR"/>
        </w:rPr>
        <w:t>و‌النافع،</w:t>
      </w:r>
      <w:r>
        <w:rPr>
          <w:rStyle w:val="FootnoteAnchor"/>
          <w:rtl w:val="true"/>
        </w:rPr>
        <w:footnoteReference w:id="1429"/>
      </w:r>
      <w:r>
        <w:rPr>
          <w:rFonts w:ascii="Amiri" w:hAnsi="Amiri" w:eastAsia="Amiri" w:cs="Amiri"/>
          <w:color w:val="111111"/>
          <w:sz w:val="28"/>
          <w:sz w:val="28"/>
          <w:szCs w:val="28"/>
          <w:rtl w:val="true"/>
          <w:lang w:bidi="ar-SA"/>
        </w:rPr>
        <w:t>والعلّامة في التحرير،</w:t>
      </w:r>
      <w:r>
        <w:rPr>
          <w:rStyle w:val="FootnoteAnchor"/>
          <w:rtl w:val="true"/>
        </w:rPr>
        <w:footnoteReference w:id="1430"/>
      </w:r>
      <w:r>
        <w:rPr>
          <w:rFonts w:ascii="Amiri" w:hAnsi="Amiri" w:eastAsia="Amiri" w:cs="Amiri"/>
          <w:color w:val="111111"/>
          <w:sz w:val="28"/>
          <w:sz w:val="28"/>
          <w:szCs w:val="28"/>
          <w:rtl w:val="true"/>
          <w:lang w:bidi="ar-SA"/>
        </w:rPr>
        <w:t xml:space="preserve">وولده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الإيضاح،</w:t>
      </w:r>
      <w:r>
        <w:rPr>
          <w:rStyle w:val="FootnoteAnchor"/>
          <w:rtl w:val="true"/>
        </w:rPr>
        <w:footnoteReference w:id="1431"/>
      </w:r>
      <w:r>
        <w:rPr>
          <w:rFonts w:ascii="Amiri" w:hAnsi="Amiri" w:eastAsia="Amiri" w:cs="Amiri"/>
          <w:color w:val="111111"/>
          <w:sz w:val="28"/>
          <w:sz w:val="28"/>
          <w:szCs w:val="28"/>
          <w:rtl w:val="true"/>
          <w:lang w:bidi="ar-SA"/>
        </w:rPr>
        <w:t>والشهيدين</w:t>
      </w:r>
      <w:r>
        <w:rPr>
          <w:rStyle w:val="FootnoteAnchor"/>
          <w:rtl w:val="true"/>
        </w:rPr>
        <w:footnoteReference w:id="1432"/>
      </w:r>
      <w:r>
        <w:rPr>
          <w:rFonts w:ascii="Amiri" w:hAnsi="Amiri" w:eastAsia="Amiri" w:cs="Amiri"/>
          <w:color w:val="111111"/>
          <w:sz w:val="28"/>
          <w:sz w:val="28"/>
          <w:szCs w:val="28"/>
          <w:rtl w:val="true"/>
          <w:lang w:bidi="ar-SA"/>
        </w:rPr>
        <w:t>في اللمعة والروضة، والمقدّس الأردبيلي في مجمع الفائدة والبرهان</w:t>
      </w:r>
      <w:r>
        <w:rPr>
          <w:rFonts w:eastAsia="Amiri" w:cs="Amiri" w:ascii="Amiri" w:hAnsi="Amiri"/>
          <w:color w:val="111111"/>
          <w:sz w:val="28"/>
          <w:szCs w:val="28"/>
          <w:rtl w:val="true"/>
          <w:lang w:bidi="ar-SA"/>
        </w:rPr>
        <w:t>.</w:t>
      </w:r>
      <w:r>
        <w:rPr>
          <w:rStyle w:val="FootnoteAnchor"/>
          <w:rtl w:val="true"/>
        </w:rPr>
        <w:footnoteReference w:id="1433"/>
      </w:r>
      <w:r>
        <w:rPr>
          <w:rFonts w:ascii="Amiri" w:hAnsi="Amiri" w:eastAsia="Amiri" w:cs="Amiri"/>
          <w:color w:val="111111"/>
          <w:sz w:val="28"/>
          <w:sz w:val="28"/>
          <w:szCs w:val="28"/>
          <w:rtl w:val="true"/>
          <w:lang w:bidi="ar-SA"/>
        </w:rPr>
        <w:t>بل في المسالك</w:t>
      </w:r>
      <w:r>
        <w:rPr>
          <w:rStyle w:val="FootnoteAnchor"/>
          <w:rtl w:val="true"/>
        </w:rPr>
        <w:footnoteReference w:id="1434"/>
      </w:r>
      <w:r>
        <w:rPr>
          <w:rFonts w:ascii="Amiri" w:hAnsi="Amiri" w:eastAsia="Amiri" w:cs="Amiri"/>
          <w:color w:val="111111"/>
          <w:sz w:val="28"/>
          <w:sz w:val="28"/>
          <w:szCs w:val="28"/>
          <w:rtl w:val="true"/>
          <w:lang w:bidi="ar-SA"/>
        </w:rPr>
        <w:t>والمفاتيح</w:t>
      </w:r>
      <w:r>
        <w:rPr>
          <w:rStyle w:val="FootnoteAnchor"/>
          <w:rtl w:val="true"/>
        </w:rPr>
        <w:footnoteReference w:id="1435"/>
      </w:r>
      <w:r>
        <w:rPr>
          <w:rFonts w:ascii="Amiri" w:hAnsi="Amiri" w:eastAsia="Amiri" w:cs="Amiri"/>
          <w:color w:val="111111"/>
          <w:sz w:val="28"/>
          <w:sz w:val="28"/>
          <w:szCs w:val="28"/>
          <w:rtl w:val="true"/>
          <w:lang w:bidi="ar-SA"/>
        </w:rPr>
        <w:t>نسبته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الرياض إلى أكثر المتأخّرين،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عامّتهم</w:t>
      </w:r>
      <w:r>
        <w:rPr>
          <w:rFonts w:eastAsia="Amiri" w:cs="Amiri" w:ascii="Amiri" w:hAnsi="Amiri"/>
          <w:color w:val="111111"/>
          <w:sz w:val="28"/>
          <w:szCs w:val="28"/>
          <w:rtl w:val="true"/>
          <w:lang w:bidi="ar-SA"/>
        </w:rPr>
        <w:t>».</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لكنّ الظاهر عدم الخلاف بين القائلين بعدم وجوب الإذن بأولويّة الإذن وكونه أحوط في الدماء وفي الخروج عن الخلاف عملاً، بل الظاهر من الشرائع</w:t>
      </w:r>
      <w:r>
        <w:rPr>
          <w:rStyle w:val="FootnoteAnchor"/>
          <w:rtl w:val="true"/>
        </w:rPr>
        <w:footnoteReference w:id="1437"/>
      </w:r>
      <w:r>
        <w:rPr>
          <w:rFonts w:ascii="Amiri" w:hAnsi="Amiri" w:eastAsia="Amiri" w:cs="Amiri"/>
          <w:color w:val="111111"/>
          <w:sz w:val="28"/>
          <w:sz w:val="28"/>
          <w:szCs w:val="28"/>
          <w:rtl w:val="true"/>
          <w:lang w:bidi="ar-SA"/>
        </w:rPr>
        <w:t>و‌التحرير</w:t>
      </w:r>
      <w:r>
        <w:rPr>
          <w:rStyle w:val="FootnoteAnchor"/>
          <w:rtl w:val="true"/>
        </w:rPr>
        <w:footnoteReference w:id="1438"/>
      </w:r>
      <w:r>
        <w:rPr>
          <w:rFonts w:ascii="IRNazanin" w:hAnsi="IRNazanin" w:eastAsia="IRNazanin"/>
          <w:color w:val="111111"/>
          <w:sz w:val="28"/>
          <w:sz w:val="28"/>
          <w:szCs w:val="28"/>
          <w:rtl w:val="true"/>
          <w:lang w:bidi="fa-IR"/>
        </w:rPr>
        <w:t>والنافع</w:t>
      </w:r>
      <w:r>
        <w:rPr>
          <w:rStyle w:val="FootnoteAnchor"/>
          <w:rtl w:val="true"/>
        </w:rPr>
        <w:footnoteReference w:id="1439"/>
      </w:r>
      <w:r>
        <w:rPr>
          <w:rFonts w:ascii="Amiri" w:hAnsi="Amiri" w:eastAsia="Amiri" w:cs="Amiri"/>
          <w:color w:val="111111"/>
          <w:sz w:val="28"/>
          <w:sz w:val="28"/>
          <w:szCs w:val="28"/>
          <w:rtl w:val="true"/>
          <w:lang w:bidi="ar-SA"/>
        </w:rPr>
        <w:t>بل صريحهم الكراهة، وهي الظاهرة من مثل الخلاف القائل بعدم التعزير في الاقتصاص من دون الإذن، فإنّه لو كان الإذن واجباً عنده للزم عليه القول بالتعزير، كما لا يخفى</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ما في عبارة الخلاف من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ينبغي</w:t>
      </w:r>
      <w:r>
        <w:rPr>
          <w:rFonts w:eastAsia="Amiri" w:cs="Amiri" w:ascii="Amiri" w:hAnsi="Amiri"/>
          <w:color w:val="111111"/>
          <w:sz w:val="28"/>
          <w:szCs w:val="28"/>
          <w:rtl w:val="true"/>
          <w:lang w:bidi="ar-SA"/>
        </w:rPr>
        <w:t>»</w:t>
      </w:r>
      <w:r>
        <w:rPr>
          <w:rStyle w:val="FootnoteAnchor"/>
          <w:rtl w:val="true"/>
        </w:rPr>
        <w:footnoteReference w:id="1440"/>
      </w:r>
      <w:r>
        <w:rPr>
          <w:rFonts w:ascii="IRNazanin" w:hAnsi="IRNazanin" w:eastAsia="IRNazanin"/>
          <w:color w:val="111111"/>
          <w:sz w:val="28"/>
          <w:sz w:val="28"/>
          <w:szCs w:val="28"/>
          <w:rtl w:val="true"/>
          <w:lang w:bidi="fa-IR"/>
        </w:rPr>
        <w:t>ممّا ليس بظاهر في الحرمة، كما أنّ الظاهر بل المقطوع منهم كون وجوب الإذن وحرمة الترك تکلیفاً محضاً؛ لاتّفاقهم على عدم الدية والقصاص في الاقتصاص من دون الإذن</w:t>
      </w:r>
      <w:r>
        <w:rPr>
          <w:rFonts w:eastAsia="IRNazanin" w:cs="IRNazanin"/>
          <w:color w:val="111111"/>
          <w:sz w:val="28"/>
          <w:szCs w:val="28"/>
          <w:rtl w:val="true"/>
          <w:lang w:bidi="fa-IR"/>
        </w:rPr>
        <w:t xml:space="preserve">. </w:t>
      </w:r>
      <w:bookmarkStart w:id="343" w:name="pg9428_72798"/>
    </w:p>
    <w:p>
      <w:pPr>
        <w:pStyle w:val="BookText"/>
        <w:rPr/>
      </w:pPr>
      <w:bookmarkEnd w:id="34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5797633_2870459653"/>
      <w:bookmarkStart w:id="345" w:name="_Toc117"/>
      <w:bookmarkEnd w:id="344"/>
      <w:r>
        <w:rPr>
          <w:rtl w:val="true"/>
        </w:rPr>
        <w:t>الاستدلال على لزوم إذن الإمام</w:t>
      </w:r>
      <w:bookmarkEnd w:id="345"/>
    </w:p>
    <w:p>
      <w:pPr>
        <w:pStyle w:val="BookText"/>
        <w:rPr/>
      </w:pPr>
      <w:r>
        <w:rPr>
          <w:rFonts w:ascii="Amiri" w:hAnsi="Amiri" w:eastAsia="Amiri" w:cs="Amiri"/>
          <w:color w:val="111111"/>
          <w:sz w:val="28"/>
          <w:sz w:val="28"/>
          <w:szCs w:val="28"/>
          <w:rtl w:val="true"/>
          <w:lang w:bidi="ar-SA"/>
        </w:rPr>
        <w:t>وكيف كان، فقد استدلّ للوجوب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الغنية</w:t>
      </w:r>
      <w:r>
        <w:rPr>
          <w:rStyle w:val="FootnoteAnchor"/>
          <w:rtl w:val="true"/>
        </w:rPr>
        <w:footnoteReference w:id="1441"/>
      </w:r>
      <w:r>
        <w:rPr>
          <w:rFonts w:ascii="IRNazanin" w:hAnsi="IRNazanin" w:eastAsia="IRNazanin"/>
          <w:color w:val="111111"/>
          <w:sz w:val="28"/>
          <w:sz w:val="28"/>
          <w:szCs w:val="28"/>
          <w:rtl w:val="true"/>
          <w:lang w:bidi="fa-IR"/>
        </w:rPr>
        <w:t>و الخلاف</w:t>
      </w:r>
      <w:r>
        <w:rPr>
          <w:rFonts w:eastAsia="IRNazanin" w:cs="IRNazanin"/>
          <w:color w:val="111111"/>
          <w:sz w:val="28"/>
          <w:szCs w:val="28"/>
          <w:rtl w:val="true"/>
          <w:lang w:bidi="fa-IR"/>
        </w:rPr>
        <w:t>.</w:t>
      </w:r>
      <w:r>
        <w:rPr>
          <w:rStyle w:val="FootnoteAnchor"/>
          <w:rtl w:val="true"/>
        </w:rPr>
        <w:footnoteReference w:id="1442"/>
      </w:r>
      <w:r>
        <w:rPr>
          <w:rFonts w:ascii="Amiri" w:hAnsi="Amiri" w:eastAsia="Amiri" w:cs="Amiri"/>
          <w:color w:val="111111"/>
          <w:sz w:val="28"/>
          <w:sz w:val="28"/>
          <w:szCs w:val="28"/>
          <w:rtl w:val="true"/>
          <w:lang w:bidi="ar-SA"/>
        </w:rPr>
        <w:t>وفي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التوقّف على إذن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في القواعد،</w:t>
      </w:r>
      <w:r>
        <w:rPr>
          <w:rStyle w:val="FootnoteAnchor"/>
          <w:rtl w:val="true"/>
        </w:rPr>
        <w:footnoteReference w:id="1443"/>
      </w:r>
      <w:r>
        <w:rPr>
          <w:rFonts w:ascii="Amiri" w:hAnsi="Amiri" w:eastAsia="Amiri" w:cs="Amiri"/>
          <w:color w:val="111111"/>
          <w:sz w:val="28"/>
          <w:sz w:val="28"/>
          <w:szCs w:val="28"/>
          <w:rtl w:val="true"/>
          <w:lang w:bidi="ar-SA"/>
        </w:rPr>
        <w:t xml:space="preserve">ولعلّه الظاهر من الغنية، فإنّ فيها لا يستيقد إلّا سلطان الإسلام أو من يأذن له في ذلك، وهو وليّ من ليس له وليّ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 خلاف بين أصحابنا في ذلك كلّه، وظاهره دعوى الإجماع عليه كالشيخ في الخلاف ، فإن تمّ فهو الحجّة</w:t>
      </w:r>
      <w:r>
        <w:rPr>
          <w:rFonts w:eastAsia="Amiri" w:cs="Amiri" w:ascii="Amiri" w:hAnsi="Amiri"/>
          <w:color w:val="111111"/>
          <w:sz w:val="28"/>
          <w:szCs w:val="28"/>
          <w:rtl w:val="true"/>
          <w:lang w:bidi="ar-SA"/>
        </w:rPr>
        <w:t>.</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قد عرفت أنّ معقد إجماع الخلاف على تسليمه هو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الغنية، فالظاهر أنّ كلامه المنقول غير مرتبط بمحلّ البحث، بل يكون مربوطاً بحدّ معتاد قتل الرقيق والعبيد وأهل الذمّة، وأنّه لا يستيقده إلّا سلطان الإسلام أو من يأذن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وحرف 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للاستئناف، ولبيان أنّ السلطان وليّ من لا وليّ له من أهله حيث 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يقتل بالعمد أو يأخذ دية الخطأ، ولا يجوز له العفو كغيره من الأولياء</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ربط لهذه العبائر وهذه الأحكام كالسابقة بمحلّ البحث أصلاً،فراجع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هذا كلّه مع أنّ الإجماع في مسألة اجتهاديّة، ومع ما فيه من مخالفة المتأخّرين بل ومن القدماء، من كلّ من لم يتعرض لإذن الإمام والحاكم، فإنّ ظاهره عدم التوقّف کالنهاية</w:t>
      </w:r>
      <w:r>
        <w:rPr>
          <w:rStyle w:val="FootnoteAnchor"/>
          <w:rtl w:val="true"/>
        </w:rPr>
        <w:footnoteReference w:id="1446"/>
      </w:r>
      <w:r>
        <w:rPr>
          <w:rFonts w:ascii="IRNazanin" w:hAnsi="IRNazanin" w:eastAsia="IRNazanin"/>
          <w:color w:val="111111"/>
          <w:sz w:val="28"/>
          <w:sz w:val="28"/>
          <w:szCs w:val="28"/>
          <w:rtl w:val="true"/>
          <w:lang w:bidi="fa-IR"/>
        </w:rPr>
        <w:t>و‌الانتصار</w:t>
      </w:r>
      <w:r>
        <w:rPr>
          <w:rStyle w:val="FootnoteAnchor"/>
          <w:rtl w:val="true"/>
        </w:rPr>
        <w:footnoteReference w:id="1447"/>
      </w:r>
      <w:r>
        <w:rPr>
          <w:rFonts w:ascii="IRNazanin" w:hAnsi="IRNazanin" w:eastAsia="IRNazanin"/>
          <w:color w:val="111111"/>
          <w:sz w:val="28"/>
          <w:sz w:val="28"/>
          <w:szCs w:val="28"/>
          <w:rtl w:val="true"/>
          <w:lang w:bidi="fa-IR"/>
        </w:rPr>
        <w:t>و‌المراسم</w:t>
      </w:r>
      <w:r>
        <w:rPr>
          <w:rStyle w:val="FootnoteAnchor"/>
          <w:rtl w:val="true"/>
        </w:rPr>
        <w:footnoteReference w:id="1448"/>
      </w:r>
      <w:r>
        <w:rPr>
          <w:rFonts w:ascii="Amiri" w:hAnsi="Amiri" w:eastAsia="Amiri" w:cs="Amiri"/>
          <w:color w:val="111111"/>
          <w:sz w:val="28"/>
          <w:sz w:val="28"/>
          <w:szCs w:val="28"/>
          <w:rtl w:val="true"/>
          <w:lang w:bidi="ar-SA"/>
        </w:rPr>
        <w:t>والوسيلة</w:t>
      </w:r>
      <w:r>
        <w:rPr>
          <w:rStyle w:val="FootnoteAnchor"/>
          <w:rtl w:val="true"/>
        </w:rPr>
        <w:footnoteReference w:id="1449"/>
      </w:r>
      <w:r>
        <w:rPr>
          <w:rFonts w:ascii="IRNazanin" w:hAnsi="IRNazanin" w:eastAsia="IRNazanin"/>
          <w:color w:val="111111"/>
          <w:sz w:val="28"/>
          <w:sz w:val="28"/>
          <w:szCs w:val="28"/>
          <w:rtl w:val="true"/>
          <w:lang w:bidi="fa-IR"/>
        </w:rPr>
        <w:t>و‌السرائر،</w:t>
      </w:r>
      <w:r>
        <w:rPr>
          <w:rStyle w:val="FootnoteAnchor"/>
          <w:rtl w:val="true"/>
        </w:rPr>
        <w:footnoteReference w:id="1450"/>
      </w:r>
      <w:r>
        <w:rPr>
          <w:rFonts w:ascii="IRNazanin" w:hAnsi="IRNazanin" w:eastAsia="IRNazanin"/>
          <w:color w:val="111111"/>
          <w:sz w:val="28"/>
          <w:sz w:val="28"/>
          <w:szCs w:val="28"/>
          <w:rtl w:val="true"/>
          <w:lang w:bidi="fa-IR"/>
        </w:rPr>
        <w:t>بل والمقنع،</w:t>
      </w:r>
      <w:r>
        <w:rPr>
          <w:rStyle w:val="FootnoteAnchor"/>
          <w:rtl w:val="true"/>
        </w:rPr>
        <w:footnoteReference w:id="1451"/>
      </w:r>
      <w:r>
        <w:rPr>
          <w:rFonts w:ascii="Amiri" w:hAnsi="Amiri" w:eastAsia="Amiri" w:cs="Amiri"/>
          <w:color w:val="111111"/>
          <w:sz w:val="28"/>
          <w:sz w:val="28"/>
          <w:szCs w:val="28"/>
          <w:rtl w:val="true"/>
          <w:lang w:bidi="ar-SA"/>
        </w:rPr>
        <w:t>وهي مختلفة في الظهور الذي لا يكاد ينكر، وإن كان بعضها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أنّه يحتاج لإثبات القصاص واستيفائه إلى النظر والاجتهاد، فإنّ الناس مختلفون في شرائط الوجوب والاستيفاء وأمر الدماء 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يفيد عدم الجواز مع عدم العلم، والخصم يقول به، فهذا خارج عن محل النزاع ومباين له؛ لأنّ محلّه تيقّن الوليّ بثبوت القصاص، وهو غير متوقّف على إذن الحاكم، بل على حكمه، بل ولا على حكمه أيضاً حيث يكون حكمه ضروريّاً أو إجماعيّاً، أو يكون عارفاً بثبوته عند مجتهده، أو غير ذلك</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الرياض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إشعار جملة من النصوص باعتبارالإذن، كالخبر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قتله القصاص بأمر الإمام فلا دية له في قتل ولا جراحة</w:t>
      </w:r>
      <w:r>
        <w:rPr>
          <w:rFonts w:eastAsia="Amiri" w:cs="Amiri" w:ascii="Amiri" w:hAnsi="Amiri"/>
          <w:color w:val="111111"/>
          <w:sz w:val="28"/>
          <w:szCs w:val="28"/>
          <w:rtl w:val="true"/>
          <w:lang w:bidi="ar-SA"/>
        </w:rPr>
        <w:t>».</w:t>
      </w:r>
      <w:r>
        <w:rPr>
          <w:rStyle w:val="FootnoteAnchor"/>
          <w:rtl w:val="true"/>
        </w:rPr>
        <w:footnoteReference w:id="1452"/>
      </w:r>
      <w:bookmarkStart w:id="346" w:name="pg9428_72800"/>
    </w:p>
    <w:p>
      <w:pPr>
        <w:pStyle w:val="BookText"/>
        <w:rPr/>
      </w:pPr>
      <w:bookmarkEnd w:id="3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الإشعار المزبور بعد تسليمه غير صالح للحجّية</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5797635_2870459653"/>
      <w:bookmarkStart w:id="348" w:name="_Toc118"/>
      <w:bookmarkEnd w:id="347"/>
      <w:r>
        <w:rPr>
          <w:rtl w:val="true"/>
        </w:rPr>
        <w:t>الاستدلال على عدم وجوب الإذن من الإمام</w:t>
      </w:r>
      <w:bookmarkEnd w:id="348"/>
    </w:p>
    <w:p>
      <w:pPr>
        <w:pStyle w:val="BookText"/>
        <w:rPr/>
      </w:pPr>
      <w:r>
        <w:rPr>
          <w:rFonts w:ascii="Amiri" w:hAnsi="Amiri" w:eastAsia="Amiri" w:cs="Amiri"/>
          <w:color w:val="111111"/>
          <w:sz w:val="28"/>
          <w:sz w:val="28"/>
          <w:szCs w:val="28"/>
          <w:rtl w:val="true"/>
          <w:lang w:bidi="ar-SA"/>
        </w:rPr>
        <w:t xml:space="preserve">هذا كلّه في أدلّة الوجوب، وأمّا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عليه مضافاً إلى الأصل، إطلاق أدلّة القصاص من الكتاب والسنّة، لاسيّما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ascii="IRNazanin" w:hAnsi="IRNazanin" w:eastAsia="IRNazanin"/>
          <w:color w:val="111111"/>
          <w:sz w:val="28"/>
          <w:sz w:val="28"/>
          <w:szCs w:val="28"/>
          <w:rtl w:val="true"/>
          <w:lang w:bidi="fa-IR"/>
        </w:rPr>
        <w:t>،</w:t>
      </w:r>
      <w:r>
        <w:rPr>
          <w:rStyle w:val="FootnoteAnchor"/>
          <w:rtl w:val="true"/>
        </w:rPr>
        <w:footnoteReference w:id="1454"/>
      </w:r>
      <w:r>
        <w:rPr>
          <w:rFonts w:ascii="Amiri" w:hAnsi="Amiri" w:eastAsia="Amiri" w:cs="Amiri"/>
          <w:color w:val="111111"/>
          <w:sz w:val="28"/>
          <w:sz w:val="28"/>
          <w:szCs w:val="28"/>
          <w:rtl w:val="true"/>
          <w:lang w:bidi="ar-SA"/>
        </w:rPr>
        <w:t>وأنّ حقّ القصاص حقّ فيكون كسائر الحقوق، كالأخذ بالشفعة وغيره من الحقوق التي لا يعتبر في استيفائها إذن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ظهر ممّا ذكرناه في قصاص النفس حال قصاص الأطراف، فإنّهما من واد واحد وإن قيل بشدّة الكراهة من دون الإذن في قصاص الأطراف؛ لاحتمال السراية وغيرها من الجهات المشدّدة للكراهة، والأمر سهل في أصل الكراهة فضلاً عن شدّتها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يخفى أنّه لاخصوصيّة للإمام أو الحاكم أو الوالي الواقع في العبائر، بل المناط ثبوت القتل والحكم به بالقصاص؛ دفعاً للاختلاف والتشاجر والنزاع، كما كان ظاهرٌ من الأدلّة، فيكفي في ذلك حكم المحكمة والقاضي وإن لم يكن إماماً ووالياً ومجتهداً ونائباً عاماً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لا يخفى، فلا خصوصيّة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أولياء الدم أكثر من واحد، فالأقوى عدم جواز الاستيفاء إلّا</w:t>
      </w:r>
    </w:p>
    <w:p>
      <w:pPr>
        <w:pStyle w:val="BookText"/>
        <w:rPr/>
      </w:pPr>
      <w:r>
        <w:rPr>
          <w:rFonts w:ascii="Amiri" w:hAnsi="Amiri" w:eastAsia="Amiri" w:cs="Amiri"/>
          <w:color w:val="111111"/>
          <w:sz w:val="28"/>
          <w:sz w:val="28"/>
          <w:szCs w:val="28"/>
          <w:rtl w:val="true"/>
          <w:lang w:bidi="ar-SA"/>
        </w:rPr>
        <w:t>للإمام، كما أنّه لا خصوصيّة للحكم أيضاً، بل يكفي ثبوت القتل وإيجابه القصاص عند القاضي وإن لم يحكم بعدُ؛ لعدم الدليل على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أنّه ليس للحاكم الامتناع من الإذن؛ لأنّه ليس من حقوقه، بل إذنه من</w:t>
      </w:r>
    </w:p>
    <w:p>
      <w:pPr>
        <w:pStyle w:val="BookText"/>
        <w:rPr/>
      </w:pPr>
      <w:r>
        <w:rPr>
          <w:rFonts w:ascii="Amiri" w:hAnsi="Amiri" w:eastAsia="Amiri" w:cs="Amiri"/>
          <w:color w:val="111111"/>
          <w:sz w:val="28"/>
          <w:sz w:val="28"/>
          <w:szCs w:val="28"/>
          <w:rtl w:val="true"/>
          <w:lang w:bidi="ar-SA"/>
        </w:rPr>
        <w:t>حقوق وليّ الدم ويكون لازماً عليه، دفعاً للفتنة والمفسدة والمشاجرة المحتملة، بل قد عرفت أنّه ليس على الوليّ القصاص ولا الدية مع اقتصاصه من دون الإذن، فكيف للحاكم حقّ عدم الإذن؟</w:t>
      </w:r>
    </w:p>
    <w:p>
      <w:pPr>
        <w:pStyle w:val="BookText"/>
        <w:rPr/>
      </w:pPr>
      <w:r>
        <w:rPr>
          <w:rFonts w:ascii="Amiri" w:hAnsi="Amiri" w:eastAsia="Amiri" w:cs="Amiri"/>
          <w:color w:val="111111"/>
          <w:sz w:val="28"/>
          <w:sz w:val="28"/>
          <w:szCs w:val="28"/>
          <w:rtl w:val="true"/>
          <w:lang w:bidi="ar-SA"/>
        </w:rPr>
        <w:t>هذا تمام الكلام في النقض والإبرام في الأدلّة، 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اللتيا والتي القصاص متوقّف على الإذن وجوباً وتركه محرّم موجب للتعزير؛ وذلك لوجوب الاحتياط في الدماء، ووجوب حفظ النفس عن الهلاكة، وحفظ الأحكام الشرعيّة عن المنقصة،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القصاص من الوليّ من دون الإذن فيه احتمال الهلاكة بعدم قدرته على إثبات قتل القاتل على العمد، ومع عدم الإثبات يقتل قصاصاً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فالقصاص كذلك منافٍ مع الوجوبين الأولين،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الحكم بالجواز ونسبته إلى الشرع مستلزم لتنقيصه بأنّه كيف يأذن الشارع في قتل القاتل من دون الثبوت في المحكمة، مع أنّه بعد قتله قصاصاً لا قدرة له في الدفاع، فلعلّه إن كان حيّاً يدافع عن نفسه ويثبت عدم كونه قاتلاً أو عدم كونه عامداً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 غير قادر على إثبات عمد القاتل بعدالقصاص لذلك الاحتمال ووجوده دائماً، فالأحوط الذي لا يخلو من قوّة لزوم الإذن والإثبات في المحكمة قبل القصاص، بل لعلّ القصاص من دون الإذن موجب للهرج والمرج</w:t>
      </w:r>
      <w:r>
        <w:rPr>
          <w:rFonts w:eastAsia="Amiri" w:cs="Amiri" w:ascii="Amiri" w:hAnsi="Amiri"/>
          <w:color w:val="111111"/>
          <w:sz w:val="28"/>
          <w:szCs w:val="28"/>
          <w:rtl w:val="true"/>
          <w:lang w:bidi="ar-SA"/>
        </w:rPr>
        <w:t xml:space="preserve">. </w:t>
      </w:r>
      <w:bookmarkStart w:id="349" w:name="pg9428_72802"/>
    </w:p>
    <w:p>
      <w:pPr>
        <w:pStyle w:val="BookText"/>
        <w:rPr/>
      </w:pPr>
      <w:bookmarkEnd w:id="349"/>
      <w:r>
        <w:rPr>
          <w:rFonts w:ascii="Amiri" w:hAnsi="Amiri" w:eastAsia="Amiri" w:cs="Amiri"/>
          <w:color w:val="111111"/>
          <w:sz w:val="28"/>
          <w:sz w:val="28"/>
          <w:szCs w:val="28"/>
          <w:rtl w:val="true"/>
          <w:lang w:bidi="ar-SA"/>
        </w:rPr>
        <w:t>باجتماع الجميع وإذن الوليّ؛ لا بمعنى ضرب كلّ واحد إيّاه، بل بمعنى إذنهم لأحد منهم أو توكيلهم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جمع أنّه يجوز لكلّ منهم المبادرة، ولا يتوقّف على إذن الآخر، لكن يضمن حصص من لم يأذن، والأوّل 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بادر واستبدّ فلا قود، بل عليه حصص البقيّة مع عدم الإذن، وللإمام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50" w:name="__RefHeading___Toc5797637_2870459653"/>
      <w:bookmarkStart w:id="351" w:name="_Toc119"/>
      <w:bookmarkEnd w:id="350"/>
      <w:r>
        <w:rPr>
          <w:rtl w:val="true"/>
        </w:rPr>
        <w:t>هل يعتبر إذن جميع أولياء الدم إذا كان أكثر من واحد</w:t>
      </w:r>
      <w:bookmarkEnd w:id="3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في اعتبار إذن الجميع في الاستيفاء وعدمه، وفي السابقة عليها في اعتبار إذن الحاكم، فكلٌّ من المسألتين مستقلّة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وشرطيّة الإذن من الحاكم وعدمها تكون في كلتا المسألتين، فلا يتوهّم خصوصيّة وحدة الوليّ، بل إنّما يكون ذكر وحدة الوليّ في السابقة من جهة المثال والمصداق لا من جهة الموضوعيّة والخصوصيّة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 باعتبار إذن الحاكم مع كون الوليّ واحداً قائل باعتباره مع التعدّد زائداً على إذن الجميع على اعتباره، والقائل بعدم اعتباره قائل بعدمه في المسألة وإن كان قائلاً باعتبار إذن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إذن الحاكم وإذن الجميع على الشرطيّة وعدمها مستقلّ عن الآخر، وما في كلٍّ من المسألتين يجري مع كلا المبنيين في المسألة الأُخرى، وعلى هذا ليس لتقييد المتن وغيره في السابقة الوليّ بالوحدة وجه ظاهر، لما عرفت من جريان الخلاف مع الكثرة أيضاً، ولعلّه لأنّ معالكثرة خلاف آخر أيضاً، وهو إذن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ففي المسألة قولان</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اجتماعهم في الاستيفاء بالوكالة أو بالإذن لواحد منهم، وعدم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الاستيفاء من دون ذلك، وهو المحكيّ عن الفاضل</w:t>
      </w:r>
      <w:r>
        <w:rPr>
          <w:rStyle w:val="FootnoteAnchor"/>
          <w:rtl w:val="true"/>
        </w:rPr>
        <w:footnoteReference w:id="1455"/>
      </w:r>
      <w:r>
        <w:rPr>
          <w:rFonts w:ascii="Amiri" w:hAnsi="Amiri" w:eastAsia="Amiri" w:cs="Amiri"/>
          <w:color w:val="111111"/>
          <w:sz w:val="28"/>
          <w:sz w:val="28"/>
          <w:szCs w:val="28"/>
          <w:rtl w:val="true"/>
          <w:lang w:bidi="ar-SA"/>
        </w:rPr>
        <w:t>والشهيدين</w:t>
      </w:r>
      <w:r>
        <w:rPr>
          <w:rStyle w:val="FootnoteAnchor"/>
          <w:rtl w:val="true"/>
        </w:rPr>
        <w:footnoteReference w:id="1456"/>
      </w:r>
      <w:r>
        <w:rPr>
          <w:rFonts w:ascii="IRNazanin" w:hAnsi="IRNazanin" w:eastAsia="IRNazanin"/>
          <w:color w:val="111111"/>
          <w:sz w:val="28"/>
          <w:sz w:val="28"/>
          <w:szCs w:val="28"/>
          <w:rtl w:val="true"/>
          <w:lang w:bidi="fa-IR"/>
        </w:rPr>
        <w:t>والمقداد،</w:t>
      </w:r>
      <w:r>
        <w:rPr>
          <w:rStyle w:val="FootnoteAnchor"/>
          <w:rtl w:val="true"/>
        </w:rPr>
        <w:footnoteReference w:id="1457"/>
      </w:r>
      <w:r>
        <w:rPr>
          <w:rFonts w:ascii="IRNazanin" w:hAnsi="IRNazanin" w:eastAsia="IRNazanin"/>
          <w:color w:val="111111"/>
          <w:sz w:val="28"/>
          <w:sz w:val="28"/>
          <w:szCs w:val="28"/>
          <w:rtl w:val="true"/>
          <w:lang w:bidi="fa-IR"/>
        </w:rPr>
        <w:t>ومختار المحقّق</w:t>
      </w:r>
      <w:r>
        <w:rPr>
          <w:rStyle w:val="FootnoteAnchor"/>
          <w:rtl w:val="true"/>
        </w:rPr>
        <w:footnoteReference w:id="1458"/>
      </w:r>
      <w:r>
        <w:rPr>
          <w:rFonts w:ascii="Amiri" w:hAnsi="Amiri" w:eastAsia="Amiri" w:cs="Amiri"/>
          <w:color w:val="111111"/>
          <w:sz w:val="28"/>
          <w:sz w:val="28"/>
          <w:szCs w:val="28"/>
          <w:rtl w:val="true"/>
          <w:lang w:bidi="ar-SA"/>
        </w:rPr>
        <w:t>والعلّامة</w:t>
      </w:r>
      <w:r>
        <w:rPr>
          <w:rStyle w:val="FootnoteAnchor"/>
          <w:rtl w:val="true"/>
        </w:rPr>
        <w:footnoteReference w:id="1459"/>
      </w:r>
      <w:r>
        <w:rPr>
          <w:rFonts w:ascii="Amiri" w:hAnsi="Amiri" w:eastAsia="Amiri" w:cs="Amiri"/>
          <w:color w:val="111111"/>
          <w:sz w:val="28"/>
          <w:sz w:val="28"/>
          <w:szCs w:val="28"/>
          <w:rtl w:val="true"/>
          <w:lang w:bidi="ar-SA"/>
        </w:rPr>
        <w:t>ومجمع الفائدة</w:t>
      </w:r>
      <w:r>
        <w:rPr>
          <w:rStyle w:val="FootnoteAnchor"/>
          <w:rtl w:val="true"/>
        </w:rPr>
        <w:footnoteReference w:id="1460"/>
      </w:r>
      <w:r>
        <w:rPr>
          <w:rFonts w:ascii="Amiri" w:hAnsi="Amiri" w:eastAsia="Amiri" w:cs="Amiri"/>
          <w:color w:val="111111"/>
          <w:sz w:val="28"/>
          <w:sz w:val="28"/>
          <w:szCs w:val="28"/>
          <w:rtl w:val="true"/>
          <w:lang w:bidi="ar-SA"/>
        </w:rPr>
        <w:t>والمفاتيح</w:t>
      </w:r>
      <w:r>
        <w:rPr>
          <w:rFonts w:eastAsia="Amiri" w:cs="Amiri" w:ascii="Amiri" w:hAnsi="Amiri"/>
          <w:color w:val="111111"/>
          <w:sz w:val="28"/>
          <w:szCs w:val="28"/>
          <w:rtl w:val="true"/>
          <w:lang w:bidi="ar-SA"/>
        </w:rPr>
        <w:t>.</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الاستيفاء لكلّ واحد منهم من دون التوقّف على إذن الآخر، وهو المحكيّ عن أبي علي</w:t>
      </w:r>
      <w:r>
        <w:rPr>
          <w:rFonts w:eastAsia="Amiri" w:cs="Amiri" w:ascii="Amiri" w:hAnsi="Amiri"/>
          <w:color w:val="111111"/>
          <w:sz w:val="28"/>
          <w:szCs w:val="28"/>
          <w:rtl w:val="true"/>
          <w:lang w:bidi="ar-SA"/>
        </w:rPr>
        <w:t>.</w:t>
      </w:r>
      <w:r>
        <w:rPr>
          <w:rStyle w:val="FootnoteAnchor"/>
          <w:rtl w:val="true"/>
        </w:rPr>
        <w:footnoteReference w:id="1462"/>
      </w:r>
      <w:r>
        <w:rPr>
          <w:rFonts w:ascii="IRNazanin" w:hAnsi="IRNazanin" w:eastAsia="IRNazanin"/>
          <w:color w:val="111111"/>
          <w:sz w:val="28"/>
          <w:sz w:val="28"/>
          <w:szCs w:val="28"/>
          <w:rtl w:val="true"/>
          <w:lang w:bidi="fa-IR"/>
        </w:rPr>
        <w:t>وعلم الهدى</w:t>
      </w:r>
      <w:r>
        <w:rPr>
          <w:rStyle w:val="FootnoteAnchor"/>
          <w:rtl w:val="true"/>
        </w:rPr>
        <w:footnoteReference w:id="1463"/>
      </w:r>
      <w:r>
        <w:rPr>
          <w:rFonts w:ascii="Amiri" w:hAnsi="Amiri" w:eastAsia="Amiri" w:cs="Amiri"/>
          <w:color w:val="111111"/>
          <w:sz w:val="28"/>
          <w:sz w:val="28"/>
          <w:szCs w:val="28"/>
          <w:rtl w:val="true"/>
          <w:lang w:bidi="ar-SA"/>
        </w:rPr>
        <w:t>والقاضي</w:t>
      </w:r>
      <w:r>
        <w:rPr>
          <w:rStyle w:val="FootnoteAnchor"/>
          <w:rtl w:val="true"/>
        </w:rPr>
        <w:footnoteReference w:id="1464"/>
      </w:r>
      <w:r>
        <w:rPr>
          <w:rFonts w:ascii="Amiri" w:hAnsi="Amiri" w:eastAsia="Amiri" w:cs="Amiri"/>
          <w:color w:val="111111"/>
          <w:sz w:val="28"/>
          <w:sz w:val="28"/>
          <w:szCs w:val="28"/>
          <w:rtl w:val="true"/>
          <w:lang w:bidi="ar-SA"/>
        </w:rPr>
        <w:t>والكيدري</w:t>
      </w:r>
      <w:r>
        <w:rPr>
          <w:rStyle w:val="FootnoteAnchor"/>
          <w:rtl w:val="true"/>
        </w:rPr>
        <w:footnoteReference w:id="1465"/>
      </w:r>
      <w:r>
        <w:rPr>
          <w:rFonts w:ascii="Amiri" w:hAnsi="Amiri" w:eastAsia="Amiri" w:cs="Amiri"/>
          <w:color w:val="111111"/>
          <w:sz w:val="28"/>
          <w:sz w:val="28"/>
          <w:szCs w:val="28"/>
          <w:rtl w:val="true"/>
          <w:lang w:bidi="ar-SA"/>
        </w:rPr>
        <w:t>بل في مجمع الفائدة والبرهان</w:t>
      </w:r>
      <w:r>
        <w:rPr>
          <w:rStyle w:val="FootnoteAnchor"/>
          <w:rtl w:val="true"/>
        </w:rPr>
        <w:footnoteReference w:id="1466"/>
      </w:r>
      <w:r>
        <w:rPr>
          <w:rFonts w:ascii="Amiri" w:hAnsi="Amiri" w:eastAsia="Amiri" w:cs="Amiri"/>
          <w:color w:val="111111"/>
          <w:sz w:val="28"/>
          <w:sz w:val="28"/>
          <w:szCs w:val="28"/>
          <w:rtl w:val="true"/>
          <w:lang w:bidi="ar-SA"/>
        </w:rPr>
        <w:t>نسبته إلى الأكثر، وفي الخلاف</w:t>
      </w:r>
      <w:r>
        <w:rPr>
          <w:rStyle w:val="FootnoteAnchor"/>
          <w:rtl w:val="true"/>
        </w:rPr>
        <w:footnoteReference w:id="1467"/>
      </w:r>
      <w:r>
        <w:rPr>
          <w:rFonts w:ascii="Amiri" w:hAnsi="Amiri" w:eastAsia="Amiri" w:cs="Amiri"/>
          <w:color w:val="111111"/>
          <w:sz w:val="28"/>
          <w:sz w:val="28"/>
          <w:szCs w:val="28"/>
          <w:rtl w:val="true"/>
          <w:lang w:bidi="ar-SA"/>
        </w:rPr>
        <w:t>والغنية</w:t>
      </w:r>
      <w:r>
        <w:rPr>
          <w:rStyle w:val="FootnoteAnchor"/>
          <w:rtl w:val="true"/>
        </w:rPr>
        <w:footnoteReference w:id="1468"/>
      </w:r>
      <w:r>
        <w:rPr>
          <w:rFonts w:ascii="IRNazanin" w:hAnsi="IRNazanin" w:eastAsia="IRNazanin"/>
          <w:color w:val="111111"/>
          <w:sz w:val="28"/>
          <w:sz w:val="28"/>
          <w:szCs w:val="28"/>
          <w:rtl w:val="true"/>
          <w:lang w:bidi="fa-IR"/>
        </w:rPr>
        <w:t>وظاهر المبسوط</w:t>
      </w:r>
      <w:r>
        <w:rPr>
          <w:rStyle w:val="FootnoteAnchor"/>
          <w:rtl w:val="true"/>
        </w:rPr>
        <w:footnoteReference w:id="1469"/>
      </w:r>
      <w:r>
        <w:rPr>
          <w:rFonts w:ascii="Amiri" w:hAnsi="Amiri" w:eastAsia="Amiri" w:cs="Amiri"/>
          <w:color w:val="111111"/>
          <w:sz w:val="28"/>
          <w:sz w:val="28"/>
          <w:szCs w:val="28"/>
          <w:rtl w:val="true"/>
          <w:lang w:bidi="ar-SA"/>
        </w:rPr>
        <w:t>الإجماع عليه، وهو المحكيّ عن علم الهدى في مفتاح الكرامة</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قول الأوّل أنّ الحقّ للكلّ، فلا يجوز للغير التصرّف والاستيفاء، فعلى الفاعل ضمان العهدة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سيأتي من الشهادة في أدلّة القول الثاني على عدم كون الحقّ للكلّ بذلك المعنى، بل له معنى آخر موافق مع القول الآخر، أنّه لا قرينة ولا دليل على ذلك المعنى وعلى ذلك النحو من الشركة في الحقّ، وأنّه أيّ مانع من كون الشركة في المقام كالشريك في حقّ الخيار للورثة في أنّ لكلٍّ منهم الاستبداد في إعمال الخيار؟ وبذلك يظهر عدم تماميّة ما يقال في توجيهه من عدم كون حقّ القصاص قابلاً للتبعيض، فلابدّ من اتّفاق الجميع على استيفائه، وذلك لعدم انحصار الشركة في الحقّ بذلك، بل لها معنى آخر، وهو الموجود في شركة مثل حقّ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لو سلّم اقتضاء قاعدة الشركة ذلك كان المتّجة الخروج منها بما يأتي من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الإجماع المعتضد بما في المجمع من نسبته إلى الأكثر</w:t>
      </w:r>
      <w:r>
        <w:rPr>
          <w:rFonts w:eastAsia="Amiri" w:cs="Amiri" w:ascii="Amiri" w:hAnsi="Amiri"/>
          <w:color w:val="111111"/>
          <w:sz w:val="28"/>
          <w:szCs w:val="28"/>
          <w:rtl w:val="true"/>
          <w:lang w:bidi="ar-SA"/>
        </w:rPr>
        <w:t>.</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بل يظهر من مفتاح الكرامة</w:t>
      </w:r>
      <w:r>
        <w:rPr>
          <w:rStyle w:val="FootnoteAnchor"/>
          <w:rtl w:val="true"/>
        </w:rPr>
        <w:footnoteReference w:id="1472"/>
      </w:r>
      <w:r>
        <w:rPr>
          <w:rFonts w:ascii="Amiri" w:hAnsi="Amiri" w:eastAsia="Amiri" w:cs="Amiri"/>
          <w:color w:val="111111"/>
          <w:sz w:val="28"/>
          <w:sz w:val="28"/>
          <w:szCs w:val="28"/>
          <w:rtl w:val="true"/>
          <w:lang w:bidi="ar-SA"/>
        </w:rPr>
        <w:t>أنّه العمدة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بناء القصاص على التغليب، ولذا إذا عفا الأولياء إلّا واحداً كان له القصاص مع أنّ القاتل قد أحرز بعض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جاز القصاص مع عفو الباقين وإحراز القاتل بعض نفسه، فمع السكوت أو الجهل وعدم الإحراز أولى</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قُتِلَ مَظْلُوماً فَقَدْ جَعَلْنَا لِوَلِيِّهِ سُلْطَاناً</w:t>
      </w:r>
      <w:r>
        <w:rPr>
          <w:rFonts w:ascii="IRNazanin" w:hAnsi="IRNazanin" w:eastAsia="IRNazanin"/>
          <w:color w:val="111111"/>
          <w:sz w:val="28"/>
          <w:sz w:val="28"/>
          <w:szCs w:val="28"/>
          <w:rtl w:val="true"/>
          <w:lang w:bidi="fa-IR"/>
        </w:rPr>
        <w:t>،</w:t>
      </w:r>
      <w:r>
        <w:rPr>
          <w:rStyle w:val="FootnoteAnchor"/>
          <w:rtl w:val="true"/>
        </w:rPr>
        <w:footnoteReference w:id="1473"/>
      </w:r>
      <w:r>
        <w:rPr>
          <w:rFonts w:ascii="Amiri" w:hAnsi="Amiri" w:eastAsia="Amiri" w:cs="Amiri"/>
          <w:color w:val="111111"/>
          <w:sz w:val="28"/>
          <w:sz w:val="28"/>
          <w:szCs w:val="28"/>
          <w:rtl w:val="true"/>
          <w:lang w:bidi="ar-SA"/>
        </w:rPr>
        <w:t xml:space="preserve">فإنّ ثبوت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السلطان للوليّ يقتضي تسلّط كلّ واحد منهم على ذلك منفرداً، كما هو مقتضى الإضافة، وإلّا لم يتمّ له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الباقين إمّا أن يريدوا قتله أو الدية أو العفو، والفرض أنّ الأوّل قد حصل، والدية مبذولة من القاتل، والعفو باق في محلّه، فإنّ المقصود به المثوبة وهي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لما أجمع عليه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اشتراك الحقّ المزبور ليس على حسب غيره من الأموال التي لا يجوز التصرّف فيها بدون إذن الشريك، بل المراد من اشتراكه أنّ لكلّ واحد منهم استيفاءه لا لكونه بينهم على الحصص، ولا أنّه حقّ للمجموع من حيث كونه كذلك، ضرورة عدم تعقّل الأوّل، ومنافاة الثاني لبقائه مع عفو البعض، وغرم الدية إنّما هو لدليله لا لاشتراكه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ذلك ظاهر كلّ ما يستفاد من كون القصاص لأوليائه من كتاب أو سنّة بعد العلم بعدم إرادة المجموع من حيث كونه كذلك، ولعلّه لذا نسبه فيما سمعته من الخلاف إلى أخبار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وإن كان بعضها قابلاً للمناقشة، لكن في الآية وبعضها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تعليقات صاحب مفتاح الكرامة على اللثام هنا كلام متضمّن لفوائد جيّدة ينبغي نقله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أنّه لا معارض لأدلّة هذا القول إلّا الشهرة المتأخّرة المعلومة والمنقولة، وهي ليست بحجّة، على أنّ المتقدّمة متقدّمةعليها في هذا المقام؛ لأنّ المسألة ليست من الغامضات التي تحتاج إلى النظر، 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من الإجماعات والشهرة المتقدّمة أنّها راجعة إلى نقل عمل وسيرة واستمرار طريقة على أنّ إجماع القدماء قد يكون معلوماً، إذ لم يعرف الخلاف إلّا من المحقّق</w:t>
      </w:r>
      <w:r>
        <w:rPr>
          <w:rStyle w:val="FootnoteAnchor"/>
          <w:rtl w:val="true"/>
        </w:rPr>
        <w:footnoteReference w:id="1474"/>
      </w:r>
      <w:r>
        <w:rPr>
          <w:rFonts w:ascii="Amiri" w:hAnsi="Amiri" w:eastAsia="Amiri" w:cs="Amiri"/>
          <w:color w:val="111111"/>
          <w:sz w:val="28"/>
          <w:sz w:val="28"/>
          <w:szCs w:val="28"/>
          <w:rtl w:val="true"/>
          <w:lang w:bidi="ar-SA"/>
        </w:rPr>
        <w:t>والمصنّف</w:t>
      </w:r>
      <w:r>
        <w:rPr>
          <w:rStyle w:val="FootnoteAnchor"/>
          <w:rtl w:val="true"/>
        </w:rPr>
        <w:footnoteReference w:id="1475"/>
      </w:r>
      <w:r>
        <w:rPr>
          <w:rFonts w:ascii="IRNazanin" w:hAnsi="IRNazanin" w:eastAsia="IRNazanin"/>
          <w:color w:val="111111"/>
          <w:sz w:val="28"/>
          <w:sz w:val="28"/>
          <w:szCs w:val="28"/>
          <w:rtl w:val="true"/>
          <w:lang w:bidi="fa-IR"/>
        </w:rPr>
        <w:t>وبعض من تأخّر عنهما،</w:t>
      </w:r>
      <w:r>
        <w:rPr>
          <w:rStyle w:val="FootnoteAnchor"/>
          <w:rtl w:val="true"/>
        </w:rPr>
        <w:footnoteReference w:id="1476"/>
      </w:r>
      <w:r>
        <w:rPr>
          <w:rFonts w:ascii="Amiri" w:hAnsi="Amiri" w:eastAsia="Amiri" w:cs="Amiri"/>
          <w:color w:val="111111"/>
          <w:sz w:val="28"/>
          <w:sz w:val="28"/>
          <w:szCs w:val="28"/>
          <w:rtl w:val="true"/>
          <w:lang w:bidi="ar-SA"/>
        </w:rPr>
        <w:t xml:space="preserve">وما كان ليخفى على القدماء أنّ الحقّ مشترك بين الجميع فلا يستوفيه بعضهم، وأنّه موضوع للتشفّي ولا يحصل بفعل بعضهم، مع إطباق علماء العامّة على عدم الجواز واستدلالهم بهذه الأدلّة والمناقشة في الأخير ظاهرة، إذ لا يمكن أن يقتله الجميع وأصحابنا أجابوهم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الخلاف </w:t>
      </w:r>
      <w:r>
        <w:rPr>
          <w:rStyle w:val="FootnoteAnchor"/>
          <w:rtl w:val="true"/>
        </w:rPr>
        <w:footnoteReference w:id="1477"/>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إجماعنا منعقد على ذلك وطريقتنا مستمرة، ومن المعلوم أنّ ذلك مع إطباق العامّة على خلافهم وظهور الوجه في قولهم إنّما كان صادراً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وأشاروا إلى بيان مأخذ الإجماع واستمرار الطريقة على سبيل التقريب والاستظهار على العامّة بأنّ الله سبحانه وتعالى جعل للوليّ سلطاناً، وهذا أولى، فيجب أن يكون له سلطان، فلو توقف على إذن شركائه لم يكن له سلطان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يكفي في بيان مأخذ الإجماع بالنسبة إلى العامّة، وإلّا فقد يكون الإجماع منعقد إلّا عن نصّ مسطور في الكتب، بل عن نصّ محفوظ في الأذهان متداول في العمل، كما هو الشأن فيكثير من إجماعات الانتصار و الخلاف و الغنية ، وقد حررّ ذلك في محلّه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القصاص على التغليب آخر ما ذكره الشارح، إنّما هو جواب عن استبعاد جواز استبداد بعض الشركاء باستيفاء الحقّ من دون إذن، وهو جواب صحيح في محلّه رافع للاستبعاد المذكور، وليس دليلاً مستقلاً، وإنّما الدليل السيرة واستمرار الطريقة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تتوجّه المناقشة في الاستدلال بالآية الشريفة بأنّها غير ظاهرة في المطلوب،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ظهورها في الجملة لا يكاد ينكر وإن كان ليس بتلك المكانة، كما هو الشأن في كثير من ظواهر القرآن المجيد في كثير من المسائل، 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معنى للمناقشة أصلاً في التغليب بعد ما عرفت الحال بأنّه ليس حجّة، بل غير مسلّم، فإنّه يسقط بالشبهة كسائر الحدود، وأنّ جواز استقلال البعض بالاستيفاء والقصاص بعد عفو الباقي أو أخذه حقّه لا يستلزم جوازه بدون أخذهم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ومن وافقه أطلقوا ولم يفرّقوا في الأولياء بين أن يكونوا كلّهم بالغين أو لا، لأن كانت المسألتان من سنخ واحد</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في الخلاف</w:t>
      </w:r>
      <w:r>
        <w:rPr>
          <w:rStyle w:val="FootnoteAnchor"/>
          <w:rtl w:val="true"/>
        </w:rPr>
        <w:footnoteReference w:id="1478"/>
      </w:r>
      <w:r>
        <w:rPr>
          <w:rFonts w:ascii="Amiri" w:hAnsi="Amiri" w:eastAsia="Amiri" w:cs="Amiri"/>
          <w:color w:val="111111"/>
          <w:sz w:val="28"/>
          <w:sz w:val="28"/>
          <w:szCs w:val="28"/>
          <w:rtl w:val="true"/>
          <w:lang w:bidi="ar-SA"/>
        </w:rPr>
        <w:t>ادّعى إجماع الفرقة وأخبارهم في الثانية والذي يحكيه كالذي يرويه، وظاهره في المبسوط</w:t>
      </w:r>
      <w:r>
        <w:rPr>
          <w:rStyle w:val="FootnoteAnchor"/>
          <w:rtl w:val="true"/>
        </w:rPr>
        <w:footnoteReference w:id="1479"/>
      </w:r>
      <w:r>
        <w:rPr>
          <w:rFonts w:ascii="Amiri" w:hAnsi="Amiri" w:eastAsia="Amiri" w:cs="Amiri"/>
          <w:color w:val="111111"/>
          <w:sz w:val="28"/>
          <w:sz w:val="28"/>
          <w:szCs w:val="28"/>
          <w:rtl w:val="true"/>
          <w:lang w:bidi="ar-SA"/>
        </w:rPr>
        <w:t xml:space="preserve">الإجماع فيها،وإجماع الغنية </w:t>
      </w:r>
      <w:r>
        <w:rPr>
          <w:rStyle w:val="FootnoteAnchor"/>
          <w:rtl w:val="true"/>
        </w:rPr>
        <w:footnoteReference w:id="1480"/>
      </w:r>
      <w:r>
        <w:rPr>
          <w:rFonts w:ascii="Amiri" w:hAnsi="Amiri" w:eastAsia="Amiri" w:cs="Amiri"/>
          <w:color w:val="111111"/>
          <w:sz w:val="28"/>
          <w:sz w:val="28"/>
          <w:szCs w:val="28"/>
          <w:rtl w:val="true"/>
          <w:lang w:bidi="ar-SA"/>
        </w:rPr>
        <w:t xml:space="preserve">يتناولها، فقد تكرّرت دعوى الإجماع منهم، وحكى لنا في الخلاف أنّ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أخباراً أقصاها أنّها مرسلة منجبرة بما عرفت، فكانت حجّة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وناهيك بقتل مولانا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لعنه الله تعالى وله من الإخوة والأخوات ستّة وعشرون؛ لأنّ أولاد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وعشرون وفيهم البالغ وغيره، والحقّ للجميع وإن كانت له الولاية والإمامة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خلاف المحقّق والمصنّف ومن وافقهم مآله إلى أنّ دعوى الإجماع خطأ، وهذه قد تسمع لو كان المدّعى له واحداً، وقد وجد الخلاف ممّن عاصره أو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المدّعى له جماعة غير مرّة ولم يوجد خلاف ممّن عاصرهم أو تقدّمهم، فكيف يصح الإقدام على تخطئتهم ومخالفتهم، مع أنّ دليل المخالف نصب أعينهم يدلي به مخالفوهم من العامّة، وهم يردّونه بإجماعهم وسيرتهم المأخوذين عن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هذا القول ممّا لاريب فيه ولا أجد عذراً لمن خالف إلّا بأنّه لم يتلبّث ولم يعط النظر حقّه في تتبّع كلام القوم وسيرة قدمائهم وأئمّتهم </w:t>
      </w:r>
      <w:r>
        <w:rPr>
          <w:rFonts w:eastAsia="Amiri" w:cs="Amiri" w:ascii="Amiri" w:hAnsi="Amiri"/>
          <w:color w:val="111111"/>
          <w:sz w:val="28"/>
          <w:szCs w:val="28"/>
          <w:rtl w:val="true"/>
          <w:lang w:bidi="ar-SA"/>
        </w:rPr>
        <w:t>:.</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ثمّ إنّه على القول الثاني وإن كان الاستيفاء من دون إذن بقيّة الأولياء جائزاً، لكن يضمن الوليّ المستوفي حصص البقيّة بلا خلاف ولا إشكال، بل الإجماعات المزبورة كلّها عليه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يقال بظهورها في اعتبار الضمان قبل القتل إلّا أنّ الأقوى كونه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ضماناً شرعيّاً، على معنى كون الاستيفاء المزبور من أسباب الضمان على المستوفي، فلا وجه لاعتبار سبقه، بل لا يبعد أن يكون ذلك أيضاً مراد القائل بالسبق وأن يكون النزاع لفظياً، حيث إنّ الضمان أمر تعليقي جعلي على العهدة وتابع لسببه، فلا معنى لتحقّقه بالقتل ولجعله على العهدة ولو على حقيقة التعليقيّة إلّا بعد تحقّق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فمراد القائل بتقدّمه على القصاص تقدّمه على نحو الكلّية التعليقيّة،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للمستوفي من كونه مليّاً وقادراً على أداء الحصص من الدية، وإلّا فمع عدم ملاءته وعدم قدرته على الأداء فالقصاص بدون إذن البقيّة غير جائز له حتّى على القول بعدم التوقّف على إذن الجميع؛ لكونه سبباً لتضييع حقوق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الأوّل، فيحتمل كونه كذلك وإن أثم وعليه التعزير، مثل ما مرّ في عدم الإذن من الحاكم، بل هو الأقوى، كما في المتن؛ لضرورة عدم كونه قتل عمد عدواني موضوع للقصاص بعد أن كان المستوفي من المستحقّين له، فقتله قصاص وعدل واستيفاء للحقّ لا عدوان وظلم واستيفاء بغير الحقّ؛ ولأنّه على تسليم تلك الضرورة فلا أقلّ من كون المستوفي صاحب حقّ شبهة دارءة للعقوبة احتياطاً في الدماء، ومن اختلاف العلماء في جواز القتل، وهو أيضاً شبهة دارءة للعقوبة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القصاص عليه، كما احتمله القواعد</w:t>
      </w:r>
      <w:r>
        <w:rPr>
          <w:rStyle w:val="FootnoteAnchor"/>
          <w:rtl w:val="true"/>
        </w:rPr>
        <w:footnoteReference w:id="1482"/>
      </w:r>
      <w:r>
        <w:rPr>
          <w:rFonts w:ascii="Amiri" w:hAnsi="Amiri" w:eastAsia="Amiri" w:cs="Amiri"/>
          <w:color w:val="111111"/>
          <w:sz w:val="28"/>
          <w:sz w:val="28"/>
          <w:szCs w:val="28"/>
          <w:rtl w:val="true"/>
          <w:lang w:bidi="ar-SA"/>
        </w:rPr>
        <w:t xml:space="preserve">وتبعه غيره؛ لأنّه استوفى أكثر </w:t>
      </w:r>
      <w:bookmarkStart w:id="352" w:name="pg9428_72810"/>
    </w:p>
    <w:p>
      <w:pPr>
        <w:pStyle w:val="BookText"/>
        <w:rPr/>
      </w:pPr>
      <w:bookmarkEnd w:id="3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تشاحّ الأولياء في مباشرة القتل وتحصيل الإذن يقرع بينهم، ولو كان بينهم من لا يقدر على المباشرة، لكن أراد الدخول في القرعة ليوكّل قادراً في الاستيفاء، يجب إدخاله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حقّه فيلزمه القصاص، كما لو استحقّ الطرف فاستوفى النفس، ولأنّ القصاص لهما في فرض كون الأولياء اثنين، فإذا قتله أحدهما فكأنّه أتلف نصف النفس متعدّياً، وهو سبب يوجب القصاص، كما إذا قتل الاثنان واحداً فعلى هذا لم يقع القصاص، ويكون قتل المستوفي من دون إذن الآخر، كقتل الأجنبيّ، فيتّجه وجوب دية الأب المقتول أوّلاً في تركة الجاني؛ بناءً على وجوبها كذلك بفوات محلّ القصاص؛ لأنّه لم يقع قتل الجاني قصاصاً، فيكون كما لو قتله أجنبيّ، فإن اقتصّ وارث الجاني من الابن القاتل أخذ وارث المقتصّ منه والابن الآخر الدية من تركة الجاني وكانت بينهما نصفين، وإن عفا عن الدية فللأخ الذي لم يقتل نصف الدية في تركة الجاني، وللأخ القاتل النصف أيضاً، ولكن عليه دية الجاني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 التقاصّ، فقد يصير النصف بالنصف قصاصاً ويأخذ وارث الجاني النصف الآخر، وقد يختلف المقدّر بأن يكون المقتول رجلاً والجاني امرأة، فيحكم في كلٍّ منهما بما يقتضيه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ذلك سهلٌ بعد سقوط ذلك من أصله على المختار</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5797639_2870459653"/>
      <w:bookmarkStart w:id="354" w:name="_Toc120"/>
      <w:bookmarkEnd w:id="353"/>
      <w:r>
        <w:rPr>
          <w:rtl w:val="true"/>
        </w:rPr>
        <w:t>القرعة في تزاحم الحقوق</w:t>
      </w:r>
      <w:bookmarkEnd w:id="354"/>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القرعة في المسألة تزاحم الحقوق فيها، فإنّه المورد للقرعةوإنّه القدر المتيقّن لها،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وجوب إدخال غير القادر على مباشرة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لوالي المسلمين أو نائبه أن يحضر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الاستيفاء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شاهدين عدلين فطنين عارفين بمواقعه وشرائطه احتياطاً، ولإقامة الشهادة إن حصلت منازعة بين المقتصّ وأولياء المقتصّ منه، وأن يعتبر الآلة لئلّا تكون مسمومة، موجبة لفساد البدن وتقطّعه وهتكه عند الغسل أو الدفن،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w:t>
      </w:r>
    </w:p>
    <w:p>
      <w:pPr>
        <w:pStyle w:val="BookText"/>
        <w:rPr/>
      </w:pPr>
      <w:r>
        <w:rPr>
          <w:rFonts w:ascii="Amiri" w:hAnsi="Amiri" w:eastAsia="Amiri" w:cs="Amiri"/>
          <w:color w:val="111111"/>
          <w:sz w:val="28"/>
          <w:sz w:val="28"/>
          <w:szCs w:val="28"/>
          <w:rtl w:val="true"/>
          <w:lang w:bidi="ar-SA"/>
        </w:rPr>
        <w:t>الاستيفاء في القرعة ما في المتن من إرادته الدخول في القرعة لتوكيل القادر على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اللثام بعد ذكر ذلك الوجه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العدم، فإنّ الإقراع لتعيين المباشر</w:t>
      </w:r>
      <w:r>
        <w:rPr>
          <w:rFonts w:eastAsia="Amiri" w:cs="Amiri" w:ascii="Amiri" w:hAnsi="Amiri"/>
          <w:color w:val="111111"/>
          <w:sz w:val="28"/>
          <w:szCs w:val="28"/>
          <w:rtl w:val="true"/>
          <w:lang w:bidi="ar-SA"/>
        </w:rPr>
        <w:t>».</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منفيّ بعموم أدلّة القرعة وبعدم الخصوصيّة للمباشرة، فإنّ القرعة لتعيين الحقّ لذي الحقّ ورفع التزاحم، من دون فرق بين كون المحقّ مريداً للمباشرة في استيفاء حقّه أو مريداً فيه بالنيابة،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مثل المتن و الشرائع</w:t>
      </w:r>
      <w:r>
        <w:rPr>
          <w:rStyle w:val="FootnoteAnchor"/>
          <w:rtl w:val="true"/>
        </w:rPr>
        <w:footnoteReference w:id="1484"/>
      </w:r>
      <w:r>
        <w:rPr>
          <w:rFonts w:ascii="IRNazanin" w:hAnsi="IRNazanin" w:eastAsia="IRNazanin"/>
          <w:color w:val="111111"/>
          <w:sz w:val="28"/>
          <w:sz w:val="28"/>
          <w:szCs w:val="28"/>
          <w:rtl w:val="true"/>
          <w:lang w:bidi="fa-IR"/>
        </w:rPr>
        <w:t>والقواعد</w:t>
      </w:r>
      <w:r>
        <w:rPr>
          <w:rStyle w:val="FootnoteAnchor"/>
          <w:rtl w:val="true"/>
        </w:rPr>
        <w:footnoteReference w:id="1485"/>
      </w:r>
      <w:r>
        <w:rPr>
          <w:rFonts w:ascii="Amiri" w:hAnsi="Amiri" w:eastAsia="Amiri" w:cs="Amiri"/>
          <w:color w:val="111111"/>
          <w:sz w:val="28"/>
          <w:sz w:val="28"/>
          <w:szCs w:val="28"/>
          <w:rtl w:val="true"/>
          <w:lang w:bidi="ar-SA"/>
        </w:rPr>
        <w:t xml:space="preserve">من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ذكروه في وجهه في إحضار والاعتبار، ليس زائداً على إرشاد احتياطي عقلي حسن، وهو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البعض من التعبير بالاستحباب في الإحضار</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لم نعثر على أثر فيه بالخصوص وعدم ورود الأمر به،الحكم بالاستحباب مشكلٌ بل ممنوعٌ، إلّا بالقول بالتسامح في الندب، وعموميّة التسامح أيضاً لمثل الفتوى به مع عدم النصّ ولو بسند ضعيف، ودونها لا سيّما </w:t>
      </w:r>
    </w:p>
    <w:p>
      <w:pPr>
        <w:pStyle w:val="BookText"/>
        <w:rPr/>
      </w:pPr>
      <w:r>
        <w:rPr>
          <w:rFonts w:ascii="Amiri" w:hAnsi="Amiri" w:eastAsia="Amiri" w:cs="Amiri"/>
          <w:color w:val="111111"/>
          <w:sz w:val="28"/>
          <w:sz w:val="28"/>
          <w:szCs w:val="28"/>
          <w:rtl w:val="true"/>
          <w:lang w:bidi="ar-SA"/>
        </w:rPr>
        <w:t>مسموميّتها بما يوجب الهتك لا يجوز استعمالها في قصاص المؤمن، ويعزّر فاعله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خرط القتاد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المتن والقواعد</w:t>
      </w:r>
      <w:r>
        <w:rPr>
          <w:rStyle w:val="FootnoteAnchor"/>
          <w:rtl w:val="true"/>
        </w:rPr>
        <w:footnoteReference w:id="1486"/>
      </w:r>
      <w:r>
        <w:rPr>
          <w:rFonts w:ascii="IRNazanin" w:hAnsi="IRNazanin" w:eastAsia="IRNazanin"/>
          <w:color w:val="111111"/>
          <w:sz w:val="28"/>
          <w:sz w:val="28"/>
          <w:szCs w:val="28"/>
          <w:rtl w:val="true"/>
          <w:lang w:bidi="fa-IR"/>
        </w:rPr>
        <w:t>وظاهر الشرائع</w:t>
      </w:r>
      <w:r>
        <w:rPr>
          <w:rStyle w:val="FootnoteAnchor"/>
          <w:rtl w:val="true"/>
        </w:rPr>
        <w:footnoteReference w:id="1487"/>
      </w:r>
      <w:r>
        <w:rPr>
          <w:rFonts w:ascii="Amiri" w:hAnsi="Amiri" w:eastAsia="Amiri" w:cs="Amiri"/>
          <w:color w:val="111111"/>
          <w:sz w:val="28"/>
          <w:sz w:val="28"/>
          <w:szCs w:val="28"/>
          <w:rtl w:val="true"/>
          <w:lang w:bidi="ar-SA"/>
        </w:rPr>
        <w:t>وغيره ممّن عبّر كعبارته عدم جواز الاستيفاء بالآلة المسمومة، وبه صرّح في المسالك</w:t>
      </w:r>
      <w:r>
        <w:rPr>
          <w:rStyle w:val="FootnoteAnchor"/>
          <w:rtl w:val="true"/>
        </w:rPr>
        <w:footnoteReference w:id="1488"/>
      </w:r>
      <w:r>
        <w:rPr>
          <w:rFonts w:ascii="Amiri" w:hAnsi="Amiri" w:eastAsia="Amiri" w:cs="Amiri"/>
          <w:color w:val="111111"/>
          <w:sz w:val="28"/>
          <w:sz w:val="28"/>
          <w:szCs w:val="28"/>
          <w:rtl w:val="true"/>
          <w:lang w:bidi="ar-SA"/>
        </w:rPr>
        <w:t>و‌المبسوط، ولكن لا شيء عليه من دية أو غيرها إلّا التعزير الذي صرّح به في المبسوط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بمنزلة جناية عليه حينئذٍ بعد استيفاء القصاص، فهو كما لو قتله ثمّ عاد فقطّعه أو حرّقه</w:t>
      </w:r>
      <w:r>
        <w:rPr>
          <w:rFonts w:eastAsia="Amiri" w:cs="Amiri" w:ascii="Amiri" w:hAnsi="Amiri"/>
          <w:color w:val="111111"/>
          <w:sz w:val="28"/>
          <w:szCs w:val="28"/>
          <w:rtl w:val="true"/>
          <w:lang w:bidi="ar-SA"/>
        </w:rPr>
        <w:t>.</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ولكن عن موضع آخر منه بعد الحكم بأنّه لا يقتصّ بالمسموم؛ لعدم إمكان تغسيله،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 مذهبنا جوازه؛ لأنّه يغتسل أوّلاً ويتكفّن، ثمّ يقام عليه القود، ولا يغسل بعد موته</w:t>
      </w:r>
      <w:r>
        <w:rPr>
          <w:rFonts w:eastAsia="Amiri" w:cs="Amiri" w:ascii="Amiri" w:hAnsi="Amiri"/>
          <w:color w:val="111111"/>
          <w:sz w:val="28"/>
          <w:szCs w:val="28"/>
          <w:rtl w:val="true"/>
          <w:lang w:bidi="ar-SA"/>
        </w:rPr>
        <w:t>.</w:t>
      </w:r>
      <w:r>
        <w:rPr>
          <w:rStyle w:val="FootnoteAnchor"/>
          <w:rtl w:val="true"/>
        </w:rPr>
        <w:footnoteReference w:id="1490"/>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يدفع هتك الحرمة الحاصل بالتهرّي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يحصل ذلك منه عادة إلّا بعد الدفن اتّجه جوازه؛ لعدم زيادة العقوبة وعدم هتك الحرمة، فيبقى على إطلاق الأدلّة وخصوصاً إذا كان قد قتل بها وإن كان الأولى العدم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المتن وظاهر غيره تعزير فاعلالقصاص بالآلة المسمومة، ووجهه واضح بعد الحرمة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في قصاص الطرف استعمال الآلة المسمومة التي توجب السراية، فإن استعملها الوليّ المباشر ضمن، فلو علم بذلك، ويكون السمّ ممّا يقتل به غالباً، أو أراد القتل ولو لم يكن قاتلاً غالباً، يقتصّ منه بعد ردّ نصف ديته إن مات بهما، فلو کان القتل لا عن عمد يردّ نصف دية المقتول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سرى السمّ إلى عضو آخر ولم يؤدّ إلى الموت، فإنّه يضمن ما جنى دية وقصاصاً مع الشرائط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الاستيفاء في النفس والطرف بالآلة الكالّة وما يوجب تعذيباً زائداً على ما ضرب بالسيف، مثل أن يقطع بالمنشار ونحوه، ولو فعل أثم</w:t>
      </w:r>
    </w:p>
    <w:p>
      <w:pPr>
        <w:pStyle w:val="BookText"/>
        <w:rPr/>
      </w:pPr>
      <w:r>
        <w:rPr>
          <w:rFonts w:ascii="Amiri" w:hAnsi="Amiri" w:eastAsia="Amiri" w:cs="Amiri"/>
          <w:color w:val="111111"/>
          <w:sz w:val="28"/>
          <w:sz w:val="28"/>
          <w:szCs w:val="28"/>
          <w:rtl w:val="true"/>
          <w:lang w:bidi="ar-SA"/>
        </w:rPr>
        <w:t>نعم، ما في خصوص المتن من التقييد بالمؤمن غير تامّ ظاهراً؛ لعموميّة حرمة الهتك لكلّ من يكون محترماً، مسلماً كان أو غير مسلم، فضلاً عن المؤمن وغيره، فإنّ حرمته من باب الإيذاء والظلم، وهما محرّمان على الإطلاق، كيف وإيذاء الحيوان منهيّ عنه فضلاً عن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المعاند للدين أو المبدع فيه هتكه جائز؛ لتضعيفه ونهيه عن المعاندة والبدعة، ففي صحيح داود بن سرحان،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يتعلّمون من بدعهم، يكتب الله لكم بذلك الحسنات، ويرفع لكم بهالدرجات في الآخرة</w:t>
      </w:r>
      <w:r>
        <w:rPr>
          <w:rFonts w:eastAsia="IRNazanin" w:cs="IRNazanin"/>
          <w:color w:val="111111"/>
          <w:sz w:val="28"/>
          <w:szCs w:val="28"/>
          <w:rtl w:val="true"/>
          <w:lang w:bidi="fa-IR"/>
        </w:rPr>
        <w:t>».</w:t>
      </w:r>
      <w:r>
        <w:rPr>
          <w:rStyle w:val="FootnoteAnchor"/>
          <w:rtl w:val="true"/>
        </w:rPr>
        <w:footnoteReference w:id="1491"/>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المسألة تامّ ومطابق للقواعد</w:t>
      </w:r>
      <w:r>
        <w:rPr>
          <w:rFonts w:eastAsia="Amiri" w:cs="Amiri" w:ascii="Amiri" w:hAnsi="Amiri"/>
          <w:color w:val="111111"/>
          <w:sz w:val="28"/>
          <w:szCs w:val="28"/>
          <w:rtl w:val="true"/>
          <w:lang w:bidi="ar-SA"/>
        </w:rPr>
        <w:t xml:space="preserve">. </w:t>
      </w:r>
      <w:bookmarkStart w:id="355" w:name="pg9428_72814"/>
    </w:p>
    <w:p>
      <w:pPr>
        <w:pStyle w:val="BookText"/>
        <w:rPr/>
      </w:pPr>
      <w:bookmarkEnd w:id="355"/>
      <w:r>
        <w:rPr>
          <w:rFonts w:ascii="Amiri" w:hAnsi="Amiri" w:eastAsia="Amiri" w:cs="Amiri"/>
          <w:color w:val="111111"/>
          <w:sz w:val="28"/>
          <w:sz w:val="28"/>
          <w:szCs w:val="28"/>
          <w:rtl w:val="true"/>
          <w:lang w:bidi="ar-SA"/>
        </w:rPr>
        <w:t>وعزّر، لكن لا شيء عليه، ولا يقتصّ إلّا بالسيف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الجواز بما هو أسهل من السيف كالبندقة على المخّ، بل وبالاتّصال بالقوّة الكهربائيّة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بالسيف يقتصر على ضرب عنقه؛ ولو كانت جنايته بغير ذلك كالغرق أو الحرق أو الرضخ بالحجارة، ولا يجوز التمثيل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5797641_2870459653"/>
      <w:bookmarkStart w:id="357" w:name="_Toc121"/>
      <w:bookmarkEnd w:id="356"/>
      <w:r>
        <w:rPr>
          <w:rtl w:val="true"/>
        </w:rPr>
        <w:t>عدم جواز استيفاء القصاص بالآلة الكالّة</w:t>
      </w:r>
      <w:bookmarkEnd w:id="3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أحكام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الاستيفاء مطلقاً بالآلة الكالّة الموجبة للتعذيب الزائد على القتل بالسيف، وهو ممّا لا إشكال ولا خلاف فيه في الجملة؛ لما في الاستيفاء كذلك عقوبة زائدة، وهي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ويمنع من الاستيفاء بالآلة الكالّة، تجنباً للتعذيب</w:t>
      </w:r>
      <w:r>
        <w:rPr>
          <w:rFonts w:eastAsia="Amiri" w:cs="Amiri" w:ascii="Amiri" w:hAnsi="Amiri"/>
          <w:color w:val="111111"/>
          <w:sz w:val="28"/>
          <w:szCs w:val="28"/>
          <w:rtl w:val="true"/>
          <w:lang w:bidi="ar-SA"/>
        </w:rPr>
        <w:t>».</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وللنبويّ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قتلتم فأحسنوا القتلة</w:t>
      </w:r>
      <w:r>
        <w:rPr>
          <w:rFonts w:eastAsia="Amiri" w:cs="Amiri" w:ascii="Amiri" w:hAnsi="Amiri"/>
          <w:color w:val="111111"/>
          <w:sz w:val="28"/>
          <w:szCs w:val="28"/>
          <w:rtl w:val="true"/>
          <w:lang w:bidi="ar-SA"/>
        </w:rPr>
        <w:t>».</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وللأمر بإراحة الذبيحة وتحديد الشفرة للذبح،</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وأيضاً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تذبح ذبيحة فلا تعذّب البهيمة أحدّ الشفرة واستقبل القبلة ولا تنخعها حتّى 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تنخعها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النخاع، وهو عظم في العنق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الآدميين أولى</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التعزير بالاستيفاء كذلك؛ لارتكابه المحرّم ولإيذائه الغير، ولا شيء عليه من دية ونحوها؛ قضاء للبراءة، ولعدم الحرمة لنفس القاتل ولا لأعضائه في </w:t>
      </w:r>
      <w:bookmarkStart w:id="358" w:name="pg9428_72815"/>
    </w:p>
    <w:p>
      <w:pPr>
        <w:pStyle w:val="BookText"/>
        <w:rPr/>
      </w:pPr>
      <w:bookmarkEnd w:id="3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القتل ولا للطرف المورد للقصاص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القتل بغير السيف ممّا يكون مثل السيف، كالبندقة على المخّ، أو الاتّصال بالقوّة الكهربائيّة على فرض كونه عند العقلاء مثل البندقة على المخّ أسهل، ووجهه ظاهر</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5797643_2870459653"/>
      <w:bookmarkStart w:id="360" w:name="_Toc122"/>
      <w:bookmarkEnd w:id="359"/>
      <w:r>
        <w:rPr>
          <w:rtl w:val="true"/>
        </w:rPr>
        <w:t>استيفاء القصاص بالسيف والاستدلال عليه</w:t>
      </w:r>
      <w:bookmarkEnd w:id="360"/>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يقتصّ في القصاص بالسيف على ضرب عنقه ولو كانت جنايته بالإغراق أو بالإحراق أو بالمثقل أو بالرضخ، فلابدّ إلّا من الاقتصار في الاستيفاء بالسيف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أكثر الأصحاب، كما في المسالك ،</w:t>
      </w:r>
      <w:r>
        <w:rPr>
          <w:rStyle w:val="FootnoteAnchor"/>
          <w:rtl w:val="true"/>
        </w:rPr>
        <w:footnoteReference w:id="1495"/>
      </w:r>
      <w:r>
        <w:rPr>
          <w:rFonts w:ascii="Amiri" w:hAnsi="Amiri" w:eastAsia="Amiri" w:cs="Amiri"/>
          <w:color w:val="111111"/>
          <w:sz w:val="28"/>
          <w:sz w:val="28"/>
          <w:szCs w:val="28"/>
          <w:rtl w:val="true"/>
          <w:lang w:bidi="ar-SA"/>
        </w:rPr>
        <w:t>بل المشهور كما في غيرها،</w:t>
      </w:r>
      <w:r>
        <w:rPr>
          <w:rStyle w:val="FootnoteAnchor"/>
          <w:rtl w:val="true"/>
        </w:rPr>
        <w:footnoteReference w:id="1496"/>
      </w:r>
      <w:r>
        <w:rPr>
          <w:rFonts w:ascii="Amiri" w:hAnsi="Amiri" w:eastAsia="Amiri" w:cs="Amiri"/>
          <w:color w:val="111111"/>
          <w:sz w:val="28"/>
          <w:sz w:val="28"/>
          <w:szCs w:val="28"/>
          <w:rtl w:val="true"/>
          <w:lang w:bidi="ar-SA"/>
        </w:rPr>
        <w:t>بل في المبسوط</w:t>
      </w:r>
      <w:r>
        <w:rPr>
          <w:rFonts w:eastAsia="Amiri" w:cs="Amiri" w:ascii="Amiri" w:hAnsi="Amiri"/>
          <w:color w:val="111111"/>
          <w:sz w:val="28"/>
          <w:szCs w:val="28"/>
          <w:rtl w:val="true"/>
          <w:lang w:bidi="ar-SA"/>
        </w:rPr>
        <w:t>:</w:t>
      </w:r>
      <w:r>
        <w:rPr>
          <w:rStyle w:val="FootnoteAnchor"/>
          <w:rtl w:val="true"/>
        </w:rPr>
        <w:footnoteReference w:id="1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بل عن الغنية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يستقاد إلّا بضرب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قتل القاتل بغير الحديد وإن كان هو فعل ذلك، بلا خلاف بين أصحابنا</w:t>
      </w:r>
      <w:r>
        <w:rPr>
          <w:rFonts w:eastAsia="Amiri" w:cs="Amiri" w:ascii="Amiri" w:hAnsi="Amiri"/>
          <w:color w:val="111111"/>
          <w:sz w:val="28"/>
          <w:szCs w:val="28"/>
          <w:rtl w:val="true"/>
          <w:lang w:bidi="ar-SA"/>
        </w:rPr>
        <w:t>.</w:t>
      </w:r>
      <w:r>
        <w:rPr>
          <w:rStyle w:val="FootnoteAnchor"/>
          <w:rtl w:val="true"/>
        </w:rPr>
        <w:footnoteReference w:id="1498"/>
      </w:r>
      <w:r>
        <w:rPr>
          <w:rFonts w:ascii="Amiri" w:hAnsi="Amiri" w:eastAsia="Amiri" w:cs="Amiri"/>
          <w:color w:val="111111"/>
          <w:sz w:val="28"/>
          <w:sz w:val="28"/>
          <w:szCs w:val="28"/>
          <w:rtl w:val="true"/>
          <w:lang w:bidi="ar-SA"/>
        </w:rPr>
        <w:t>بل في التنقيح</w:t>
      </w:r>
      <w:r>
        <w:rPr>
          <w:rStyle w:val="FootnoteAnchor"/>
          <w:rtl w:val="true"/>
        </w:rPr>
        <w:footnoteReference w:id="1499"/>
      </w:r>
      <w:r>
        <w:rPr>
          <w:rFonts w:ascii="Amiri" w:hAnsi="Amiri" w:eastAsia="Amiri" w:cs="Amiri"/>
          <w:color w:val="111111"/>
          <w:sz w:val="28"/>
          <w:sz w:val="28"/>
          <w:szCs w:val="28"/>
          <w:rtl w:val="true"/>
          <w:lang w:bidi="ar-SA"/>
        </w:rPr>
        <w:t>والروضة</w:t>
      </w:r>
      <w:r>
        <w:rPr>
          <w:rFonts w:eastAsia="Amiri" w:cs="Amiri" w:ascii="Amiri" w:hAnsi="Amiri"/>
          <w:color w:val="111111"/>
          <w:sz w:val="28"/>
          <w:szCs w:val="28"/>
          <w:rtl w:val="true"/>
          <w:lang w:bidi="ar-SA"/>
        </w:rPr>
        <w:t>:</w:t>
      </w:r>
      <w:r>
        <w:rPr>
          <w:rStyle w:val="FootnoteAnchor"/>
          <w:rtl w:val="true"/>
        </w:rPr>
        <w:footnoteReference w:id="1500"/>
      </w:r>
      <w:r>
        <w:rPr>
          <w:rFonts w:ascii="Amiri" w:hAnsi="Amiri" w:eastAsia="Amiri" w:cs="Amiri"/>
          <w:color w:val="111111"/>
          <w:sz w:val="28"/>
          <w:sz w:val="28"/>
          <w:szCs w:val="28"/>
          <w:rtl w:val="true"/>
          <w:lang w:bidi="ar-SA"/>
        </w:rPr>
        <w:t>الإجماع عليه، بل في الخلاف</w:t>
      </w:r>
      <w:r>
        <w:rPr>
          <w:rFonts w:eastAsia="Amiri" w:cs="Amiri" w:ascii="Amiri" w:hAnsi="Amiri"/>
          <w:color w:val="111111"/>
          <w:sz w:val="28"/>
          <w:szCs w:val="28"/>
          <w:rtl w:val="true"/>
          <w:lang w:bidi="ar-SA"/>
        </w:rPr>
        <w:t>:</w:t>
      </w:r>
      <w:r>
        <w:rPr>
          <w:rStyle w:val="FootnoteAnchor"/>
          <w:rtl w:val="true"/>
        </w:rPr>
        <w:footnoteReference w:id="1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الفرقة وأخبارهم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أنّه إذا قتل غيره بما فيه القود من السيف والحرق والغرق والخنق أو منع منالطعام والشراب أو غير ذلك فإنّه لا يستقاد منه إلّا بحديدة، ولا يقتل مثل ما قتله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أبي عقيل العمّاني</w:t>
      </w:r>
      <w:r>
        <w:rPr>
          <w:rStyle w:val="FootnoteAnchor"/>
          <w:rtl w:val="true"/>
        </w:rPr>
        <w:footnoteReference w:id="1502"/>
      </w:r>
      <w:r>
        <w:rPr>
          <w:rFonts w:ascii="Amiri" w:hAnsi="Amiri" w:eastAsia="Amiri" w:cs="Amiri"/>
          <w:color w:val="111111"/>
          <w:sz w:val="28"/>
          <w:sz w:val="28"/>
          <w:szCs w:val="28"/>
          <w:rtl w:val="true"/>
          <w:lang w:bidi="ar-SA"/>
        </w:rPr>
        <w:t xml:space="preserve">وابن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أبو‌علي الإسكافي</w:t>
      </w:r>
      <w:r>
        <w:rPr>
          <w:rFonts w:eastAsia="Amiri" w:cs="Amiri" w:ascii="Amiri" w:hAnsi="Amiri"/>
          <w:color w:val="111111"/>
          <w:sz w:val="28"/>
          <w:szCs w:val="28"/>
          <w:rtl w:val="true"/>
          <w:lang w:bidi="ar-SA"/>
        </w:rPr>
        <w:t>)</w:t>
      </w:r>
      <w:r>
        <w:rPr>
          <w:rStyle w:val="FootnoteAnchor"/>
          <w:rtl w:val="true"/>
        </w:rPr>
        <w:footnoteReference w:id="1503"/>
      </w:r>
      <w:r>
        <w:rPr>
          <w:rFonts w:ascii="Amiri" w:hAnsi="Amiri" w:eastAsia="Amiri" w:cs="Amiri"/>
          <w:color w:val="111111"/>
          <w:sz w:val="28"/>
          <w:sz w:val="28"/>
          <w:szCs w:val="28"/>
          <w:rtl w:val="true"/>
          <w:lang w:bidi="ar-SA"/>
        </w:rPr>
        <w:t>جواز قتله بالمثل؛ وفاقاً لأكثر العامّة، لكن في رواية من ابن الجنيد اشتراط الجواز بالوثوق بأنّه لا يتعدّى، وفي رواية أُخرى عنه من دون تقييد بالوثوق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المختلف بعد أن استدلّ لأبي عليّ 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w:t>
      </w:r>
      <w:r>
        <w:rPr>
          <w:rStyle w:val="FootnoteAnchor"/>
          <w:rtl w:val="true"/>
        </w:rPr>
        <w:footnoteReference w:id="15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وجهٌ قريبٌ</w:t>
      </w:r>
      <w:r>
        <w:rPr>
          <w:rFonts w:eastAsia="Amiri" w:cs="Amiri" w:ascii="Amiri" w:hAnsi="Amiri"/>
          <w:color w:val="111111"/>
          <w:sz w:val="28"/>
          <w:szCs w:val="28"/>
          <w:rtl w:val="true"/>
          <w:lang w:bidi="ar-SA"/>
        </w:rPr>
        <w:t>».</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القول لا بأس به</w:t>
      </w:r>
      <w:r>
        <w:rPr>
          <w:rFonts w:eastAsia="Amiri" w:cs="Amiri" w:ascii="Amiri" w:hAnsi="Amiri"/>
          <w:color w:val="111111"/>
          <w:sz w:val="28"/>
          <w:szCs w:val="28"/>
          <w:rtl w:val="true"/>
          <w:lang w:bidi="ar-SA"/>
        </w:rPr>
        <w:t>».</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وفي مجمع الفائدة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هذه ليس لها دليل واضح، فإن كانت إجماعيّة، والظاهر عدمه كما نقله في شرح الشرائع</w:t>
      </w:r>
      <w:r>
        <w:rPr>
          <w:rFonts w:eastAsia="Amiri" w:cs="Amiri" w:ascii="Amiri" w:hAnsi="Amiri"/>
          <w:color w:val="111111"/>
          <w:sz w:val="28"/>
          <w:szCs w:val="28"/>
          <w:rtl w:val="true"/>
          <w:lang w:bidi="ar-SA"/>
        </w:rPr>
        <w:t>.</w:t>
      </w:r>
      <w:r>
        <w:rPr>
          <w:rStyle w:val="FootnoteAnchor"/>
          <w:rtl w:val="true"/>
        </w:rPr>
        <w:footnoteReference w:id="1507"/>
      </w:r>
      <w:r>
        <w:rPr>
          <w:rFonts w:ascii="Amiri" w:hAnsi="Amiri" w:eastAsia="Amiri" w:cs="Amiri"/>
          <w:color w:val="111111"/>
          <w:sz w:val="28"/>
          <w:sz w:val="28"/>
          <w:szCs w:val="28"/>
          <w:rtl w:val="true"/>
          <w:lang w:bidi="ar-SA"/>
        </w:rPr>
        <w:t>وفي الجواهر وغيره الاستدلال للمشهور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الجواهر بعد نقله من التنقيح والروضة و الخلاف</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الحجّة بعد النهي في أخبار كثيرة عن المثلة به</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النهي عن المثلة وأنّها لا تجوز ولو في الكلب العقور،</w:t>
      </w:r>
      <w:r>
        <w:rPr>
          <w:rStyle w:val="FootnoteAnchor"/>
          <w:rtl w:val="true"/>
        </w:rPr>
        <w:footnoteReference w:id="1510"/>
      </w:r>
      <w:r>
        <w:rPr>
          <w:rFonts w:ascii="Amiri" w:hAnsi="Amiri" w:eastAsia="Amiri" w:cs="Amiri"/>
          <w:color w:val="111111"/>
          <w:sz w:val="28"/>
          <w:sz w:val="28"/>
          <w:szCs w:val="28"/>
          <w:rtl w:val="true"/>
          <w:lang w:bidi="ar-SA"/>
        </w:rPr>
        <w:t>وأنّها من الإسراف في القتل المنهيّ عنه</w:t>
      </w:r>
      <w:r>
        <w:rPr>
          <w:rStyle w:val="FootnoteAnchor"/>
          <w:rtl w:val="true"/>
        </w:rPr>
        <w:footnoteReference w:id="1511"/>
      </w:r>
      <w:r>
        <w:rPr>
          <w:rFonts w:ascii="Amiri" w:hAnsi="Amiri" w:eastAsia="Amiri" w:cs="Amiri"/>
          <w:color w:val="111111"/>
          <w:sz w:val="28"/>
          <w:sz w:val="28"/>
          <w:szCs w:val="28"/>
          <w:rtl w:val="true"/>
          <w:lang w:bidi="ar-SA"/>
        </w:rPr>
        <w:t>ولو كان مماثلاً لقتل المقتول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الحلبي والكناني،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سألناه عن رجل ضرب رجلاً بعصا فلم يقلع عنه حتّى مات، أيدفع إلى وليّ المقتول فيقتله؟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ولكن لا يترك يعبث به ولكن يجيز عليه بالسيف</w:t>
      </w:r>
      <w:r>
        <w:rPr>
          <w:rFonts w:eastAsia="IRNazanin" w:cs="IRNazanin"/>
          <w:color w:val="111111"/>
          <w:sz w:val="28"/>
          <w:szCs w:val="28"/>
          <w:rtl w:val="true"/>
          <w:lang w:bidi="fa-IR"/>
        </w:rPr>
        <w:t>».</w:t>
      </w:r>
      <w:r>
        <w:rPr>
          <w:rStyle w:val="FootnoteAnchor"/>
          <w:rtl w:val="true"/>
        </w:rPr>
        <w:footnoteReference w:id="1512"/>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ومثلهما من دون تفاوت صحيح سليمان بن خالد،</w:t>
      </w:r>
      <w:r>
        <w:rPr>
          <w:rStyle w:val="FootnoteAnchor"/>
          <w:rtl w:val="true"/>
        </w:rPr>
        <w:footnoteReference w:id="1513"/>
      </w:r>
      <w:r>
        <w:rPr>
          <w:rFonts w:ascii="IRNazanin" w:hAnsi="IRNazanin" w:eastAsia="IRNazanin"/>
          <w:color w:val="111111"/>
          <w:sz w:val="28"/>
          <w:sz w:val="28"/>
          <w:szCs w:val="28"/>
          <w:rtl w:val="true"/>
          <w:lang w:bidi="fa-IR"/>
        </w:rPr>
        <w:t xml:space="preserve">وخبر موسى بن بكر،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ضرب رجلاً بعصا فلم يرفع العصا عنه حتّى 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يدفع إلى أولياء المقتول، ولكن لا يترك يتلذّذبه، ولكن يجاز عليه بالسيف</w:t>
      </w:r>
      <w:r>
        <w:rPr>
          <w:rFonts w:eastAsia="IRNazanin" w:cs="IRNazanin"/>
          <w:color w:val="111111"/>
          <w:sz w:val="28"/>
          <w:szCs w:val="28"/>
          <w:rtl w:val="true"/>
          <w:lang w:bidi="fa-IR"/>
        </w:rPr>
        <w:t>».</w:t>
      </w:r>
      <w:r>
        <w:rPr>
          <w:rStyle w:val="FootnoteAnchor"/>
          <w:rtl w:val="true"/>
        </w:rPr>
        <w:footnoteReference w:id="1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المجلسي في المرآة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يتلذّذ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يمثّل به، ويزيد في عقوبته قبل قتله لزيادة التشفّي،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 عليه أي أجهزه وأسرع في قتله، ومنعه الجوهري وأثبت غيره، والخبر أيضاً يثبته</w:t>
      </w:r>
      <w:r>
        <w:rPr>
          <w:rFonts w:eastAsia="IRNazanin" w:cs="IRNazanin"/>
          <w:color w:val="111111"/>
          <w:sz w:val="28"/>
          <w:szCs w:val="28"/>
          <w:rtl w:val="true"/>
          <w:lang w:bidi="fa-IR"/>
        </w:rPr>
        <w:t>.</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مجمع الفائدة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دليل المذكور تحريم 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الغرق والحرق والقتل بالسيف الكالّ المسموم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القتل الذي جوّز له بدليله، وهو يحصل بما مرّ فلا يتعدّى</w:t>
      </w:r>
      <w:r>
        <w:rPr>
          <w:rFonts w:eastAsia="Amiri" w:cs="Amiri" w:ascii="Amiri" w:hAnsi="Amiri"/>
          <w:color w:val="111111"/>
          <w:sz w:val="28"/>
          <w:szCs w:val="28"/>
          <w:rtl w:val="true"/>
          <w:lang w:bidi="ar-SA"/>
        </w:rPr>
        <w:t>.</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وفي كلّ الوجوه مناقشة، وليس واحدٌ منها معتبراً وقابلاً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كونه في مسألة 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غير ثابت، بل خلافه محقّق من القديمين، ومن ظاهر المسالك</w:t>
      </w:r>
      <w:r>
        <w:rPr>
          <w:rStyle w:val="FootnoteAnchor"/>
          <w:rtl w:val="true"/>
        </w:rPr>
        <w:footnoteReference w:id="1517"/>
      </w:r>
      <w:r>
        <w:rPr>
          <w:rFonts w:ascii="Amiri" w:hAnsi="Amiri" w:eastAsia="Amiri" w:cs="Amiri"/>
          <w:color w:val="111111"/>
          <w:sz w:val="28"/>
          <w:sz w:val="28"/>
          <w:szCs w:val="28"/>
          <w:rtl w:val="true"/>
          <w:lang w:bidi="ar-SA"/>
        </w:rPr>
        <w:t>من نسبة ذلك القول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الناهية عن المثلة وأنّها من الإسراف في القتل،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النهي والإسراف هو المثلة بما هي هي؛ أي المثلة ابتداءً، لا ما كانت منها قصاصاً وجزاءً للسيّئة بمثلها من السيّئة، فإنّ الأحكام متعلّقة بموضوعاتها، بعناوينها الثابتة الذاتيّة لابها بالأعمّ من العنوان الذاتيوالعرضي</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قبح القتل وحرمته والنهي عنه في الكتاب والسنّة، لكنّه مع ذلك يكون جائزاً بعنوان القصاص، فالمحرّم هو القتل الابتدائي، وهو القتل بما هو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القتل بالقصاص بما هو قصاص وبما هو موضوع لعنوان عارضي 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والحرمة في صحاحها إنّما يكون عن العبث به، وأنّى ذلك بالمقابلة بالمثل ومتابعة القاتل في قتله قصاصاً ممّا ليست عبثاً ولغواً أصلاً، كما أنّ ما في خبر موسى بن بكر من النهي أو النفي عن التلذّذ، إنّما يكون مورده غير باب المماثلة، كما هو واضح لمن نظر إلى الخبر مع العناية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المقدّس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 حيث إنّه بعد ذكر تلك الأدلّة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هذه ليس لها دليلٌ واضح، فإن كانت إجماعيّة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عدمه كما نقله في شرح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فالظاهر جواز القتل بالمثل نقلاً، للآية والخبر، وعقلاً ما لم يكن محرّماً</w:t>
      </w:r>
      <w:r>
        <w:rPr>
          <w:rFonts w:eastAsia="Amiri" w:cs="Amiri" w:ascii="Amiri" w:hAnsi="Amiri"/>
          <w:color w:val="111111"/>
          <w:sz w:val="28"/>
          <w:szCs w:val="28"/>
          <w:rtl w:val="true"/>
          <w:lang w:bidi="ar-SA"/>
        </w:rPr>
        <w:t>.</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 xml:space="preserve">واستدلّ للقول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القديمين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 بِمِثْلِ مَا اعْتَدى عَلَيْكُمْ</w:t>
      </w:r>
      <w:r>
        <w:rPr>
          <w:rFonts w:ascii="IRNazanin" w:hAnsi="IRNazanin" w:eastAsia="IRNazanin"/>
          <w:color w:val="111111"/>
          <w:sz w:val="28"/>
          <w:sz w:val="28"/>
          <w:szCs w:val="28"/>
          <w:rtl w:val="true"/>
          <w:lang w:bidi="fa-IR"/>
        </w:rPr>
        <w:t>،</w:t>
      </w:r>
      <w:r>
        <w:rPr>
          <w:rStyle w:val="FootnoteAnchor"/>
          <w:rtl w:val="true"/>
        </w:rPr>
        <w:footnoteReference w:id="1519"/>
      </w: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حرق حرّقناه، ومن غرّق غرقناه</w:t>
      </w:r>
      <w:r>
        <w:rPr>
          <w:rFonts w:eastAsia="Amiri" w:cs="Amiri" w:ascii="Amiri" w:hAnsi="Amiri"/>
          <w:color w:val="111111"/>
          <w:sz w:val="28"/>
          <w:szCs w:val="28"/>
          <w:rtl w:val="true"/>
          <w:lang w:bidi="ar-SA"/>
        </w:rPr>
        <w:t>»</w:t>
      </w:r>
      <w:r>
        <w:rPr>
          <w:rStyle w:val="FootnoteAnchor"/>
          <w:rtl w:val="true"/>
        </w:rPr>
        <w:footnoteReference w:id="1520"/>
      </w:r>
      <w:r>
        <w:rPr>
          <w:rFonts w:ascii="IRNazanin" w:hAnsi="IRNazanin" w:eastAsia="IRNazanin"/>
          <w:color w:val="111111"/>
          <w:sz w:val="28"/>
          <w:sz w:val="28"/>
          <w:szCs w:val="28"/>
          <w:rtl w:val="true"/>
          <w:lang w:bidi="fa-IR"/>
        </w:rPr>
        <w:t xml:space="preserve">أنّ يهوديّاً رضخ رأس جارية بالحجارة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فرضخ رأسه بالحجارة</w:t>
      </w:r>
      <w:r>
        <w:rPr>
          <w:rFonts w:eastAsia="IRNazanin" w:cs="IRNazanin"/>
          <w:color w:val="111111"/>
          <w:sz w:val="28"/>
          <w:szCs w:val="28"/>
          <w:rtl w:val="true"/>
          <w:lang w:bidi="fa-IR"/>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الجواهر</w:t>
      </w:r>
      <w:r>
        <w:rPr>
          <w:rStyle w:val="FootnoteAnchor"/>
          <w:rtl w:val="true"/>
        </w:rPr>
        <w:footnoteReference w:id="1522"/>
      </w:r>
      <w:r>
        <w:rPr>
          <w:rFonts w:ascii="Amiri" w:hAnsi="Amiri" w:eastAsia="Amiri" w:cs="Amiri"/>
          <w:color w:val="111111"/>
          <w:sz w:val="28"/>
          <w:sz w:val="28"/>
          <w:szCs w:val="28"/>
          <w:rtl w:val="true"/>
          <w:lang w:bidi="ar-SA"/>
        </w:rPr>
        <w:t xml:space="preserve">الإشكال على الاستدلال بالنبويّ الأوّل بعدم الجابر له المعارض بغيره من النصوص التي فيها النبويّ وغيره، وبالنبويّ الآخر بأنّه قضيّة في واقعة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اليهودي، وعلى الاستدلال بآية الاعتداء بأنّه بعد خروج كثير من أفراد الاعتداء منها، وما سمعته من النصوص وغيرها يجب حملها على إرادته المماثلة في أصل الاعتداء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كون النبويّ الأوّل</w:t>
      </w:r>
      <w:r>
        <w:rPr>
          <w:rStyle w:val="FootnoteAnchor"/>
          <w:rtl w:val="true"/>
        </w:rPr>
        <w:footnoteReference w:id="1523"/>
      </w:r>
      <w:r>
        <w:rPr>
          <w:rFonts w:ascii="Amiri" w:hAnsi="Amiri" w:eastAsia="Amiri" w:cs="Amiri"/>
          <w:color w:val="111111"/>
          <w:sz w:val="28"/>
          <w:sz w:val="28"/>
          <w:szCs w:val="28"/>
          <w:rtl w:val="true"/>
          <w:lang w:bidi="ar-SA"/>
        </w:rPr>
        <w:t>معارضاً بغيره من النصوص، فضعفه ظاهر ممّا مرّ،</w:t>
      </w:r>
      <w:r>
        <w:rPr>
          <w:rStyle w:val="FootnoteAnchor"/>
          <w:rtl w:val="true"/>
        </w:rPr>
        <w:footnoteReference w:id="1524"/>
      </w:r>
      <w:r>
        <w:rPr>
          <w:rFonts w:ascii="Amiri" w:hAnsi="Amiri" w:eastAsia="Amiri" w:cs="Amiri"/>
          <w:color w:val="111111"/>
          <w:sz w:val="28"/>
          <w:sz w:val="28"/>
          <w:szCs w:val="28"/>
          <w:rtl w:val="true"/>
          <w:lang w:bidi="ar-SA"/>
        </w:rPr>
        <w:t>من كون الأخبار الناهية عن المثلة ناظرة إلى المثلة الابتدائيّة لا المثلة القصاصيّة، ومن كون أخبار الصحاح وخبر موسى بن بكر</w:t>
      </w:r>
      <w:r>
        <w:rPr>
          <w:rStyle w:val="FootnoteAnchor"/>
          <w:rtl w:val="true"/>
        </w:rPr>
        <w:footnoteReference w:id="1525"/>
      </w:r>
      <w:r>
        <w:rPr>
          <w:rFonts w:ascii="Amiri" w:hAnsi="Amiri" w:eastAsia="Amiri" w:cs="Amiri"/>
          <w:color w:val="111111"/>
          <w:sz w:val="28"/>
          <w:sz w:val="28"/>
          <w:szCs w:val="28"/>
          <w:rtl w:val="true"/>
          <w:lang w:bidi="ar-SA"/>
        </w:rPr>
        <w:t>مربوطة بالعبث بالقاتل والتلذّذ به، فأين المقابلة بالمثل المبحوث عنها في المقام؟</w:t>
      </w:r>
    </w:p>
    <w:p>
      <w:pPr>
        <w:pStyle w:val="BookText"/>
        <w:rPr/>
      </w:pPr>
      <w:r>
        <w:rPr>
          <w:rFonts w:ascii="Amiri" w:hAnsi="Amiri" w:eastAsia="Amiri" w:cs="Amiri"/>
          <w:color w:val="111111"/>
          <w:sz w:val="28"/>
          <w:sz w:val="28"/>
          <w:szCs w:val="28"/>
          <w:rtl w:val="true"/>
          <w:lang w:bidi="ar-SA"/>
        </w:rPr>
        <w:t xml:space="preserve">نعم،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 السند فيهما ومن كون الثاني قضيّة شخصيّة، ففي محلّه ويكون تامّاً وصحيحاً، كما 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الآية</w:t>
      </w:r>
      <w:r>
        <w:rPr>
          <w:rStyle w:val="FootnoteAnchor"/>
          <w:rtl w:val="true"/>
        </w:rPr>
        <w:footnoteReference w:id="1526"/>
      </w:r>
      <w:r>
        <w:rPr>
          <w:rFonts w:ascii="Amiri" w:hAnsi="Amiri" w:eastAsia="Amiri" w:cs="Amiri"/>
          <w:color w:val="111111"/>
          <w:sz w:val="28"/>
          <w:sz w:val="28"/>
          <w:szCs w:val="28"/>
          <w:rtl w:val="true"/>
          <w:lang w:bidi="ar-SA"/>
        </w:rPr>
        <w:t>في مقام جواز المماثلة في أصل الاعتداء لاخصوصيّاتها وكيفيّتها أيضاً في محلّه، لكن لا لما ذكره؛ لعدم تماميّته، بل لأنّ مورد الآية باب الجهاد والمقاتلة، ومن المعلوم عدم إمكان المماثلة في الاعتداء فيهما في الكيفيّة، فلابدّ من كون المراد المماثلة في أصل الاعتداء تحرّزاً عن خروج المورد</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لا يخفى عليك كفاية آية القصاص،</w:t>
      </w:r>
      <w:r>
        <w:rPr>
          <w:rStyle w:val="FootnoteAnchor"/>
          <w:rtl w:val="true"/>
        </w:rPr>
        <w:footnoteReference w:id="1527"/>
      </w:r>
      <w:r>
        <w:rPr>
          <w:rFonts w:ascii="Amiri" w:hAnsi="Amiri" w:eastAsia="Amiri" w:cs="Amiri"/>
          <w:color w:val="111111"/>
          <w:sz w:val="28"/>
          <w:sz w:val="28"/>
          <w:szCs w:val="28"/>
          <w:rtl w:val="true"/>
          <w:lang w:bidi="ar-SA"/>
        </w:rPr>
        <w:t>بل وآية جَزَاؤُ سَيِّئَةٍسَيِّئَةٌ مِّثْلُهَا</w:t>
      </w:r>
      <w:r>
        <w:rPr>
          <w:rStyle w:val="FootnoteAnchor"/>
          <w:rtl w:val="true"/>
        </w:rPr>
        <w:footnoteReference w:id="1528"/>
      </w:r>
      <w:r>
        <w:rPr>
          <w:rFonts w:ascii="Amiri" w:hAnsi="Amiri" w:eastAsia="Amiri" w:cs="Amiri"/>
          <w:color w:val="111111"/>
          <w:sz w:val="28"/>
          <w:sz w:val="28"/>
          <w:szCs w:val="28"/>
          <w:rtl w:val="true"/>
          <w:lang w:bidi="ar-SA"/>
        </w:rPr>
        <w:t xml:space="preserve">في كونها حجّة على مختار القديمين، فهو الأقوى، لكن يستثنى منه ما إذا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من يقيم الحدود الشرعيّة على بيت المال، وأُجرة المقتصّ على وليّ الدم لو كان الاقتصاص في النفس، وعلى المجنيّ عليه لو كان في الطرف، ومع إعسارهما استدين عليهما، ومع عدم الإمكان فمن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تكون ابتداءً على بيت المال، ومع فقده أو كان هناك ما هو أهمّ فعلى الوليّ أو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الجاني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قتله بالسحر أو الجماع قبلاً أو دبراً أو أوجره خمراً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فيه ظاهر؛ لأنّه عمل محرّم، ويزيد السحر بعدم انضباطه واختلاف تأثيراته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العامّة</w:t>
      </w:r>
      <w:r>
        <w:rPr>
          <w:rStyle w:val="FootnoteAnchor"/>
          <w:rtl w:val="true"/>
        </w:rPr>
        <w:footnoteReference w:id="1529"/>
      </w:r>
      <w:r>
        <w:rPr>
          <w:rFonts w:ascii="Amiri" w:hAnsi="Amiri" w:eastAsia="Amiri" w:cs="Amiri"/>
          <w:color w:val="111111"/>
          <w:sz w:val="28"/>
          <w:sz w:val="28"/>
          <w:szCs w:val="28"/>
          <w:rtl w:val="true"/>
          <w:lang w:bidi="ar-SA"/>
        </w:rPr>
        <w:t>قول بأنّه إذا أوجره خمراً يوجره ماء حتّى يموت، ولو قتله باللواط اتّخذ آلة شبيهة بآلة اللواط فيصنع به مثل ذلك حتّى يموت، مراعاةً لما يمكن من المماثلة التي من المعلوم عدم وجوب مراعاتها من كلّ وجه كما عرفت، ولكن لو فعل كذلك لم يكن عليه إلّا الإثم دون الضمان؛ لأنّه مهدور الدم بالنسبة إليه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من يقيم الحدود والتعزيرات ومن يأمر بالمعروف وينهى عن المنكر فيما يكون من مراتبهما المختصّة بالحكومة، ومستوفى القصاص إذا لم يستوفه الوليّ ولم يكن هناك من يتبرّع به من بيت المال؛ لأنّها من المصالح العظيمة المعدّ لها مع أصل براءة الجاني والوليّ ابتداءً، ولو لم يكن فيه مال أو كان وكان هناك ما هو أهمّ كسدّ الثغور أوالجهاد،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للمبسوط</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على المستوفي؛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عامل له فأُجرته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على الجاني التمكين لا الفعل والقتل، ولذا لو أراد أن يقتصّ من نفسه لم يمكّن منه إلّا بإذن الوليّ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عن الخلاف</w:t>
      </w:r>
      <w:r>
        <w:rPr>
          <w:rStyle w:val="FootnoteAnchor"/>
          <w:rtl w:val="true"/>
        </w:rPr>
        <w:footnoteReference w:id="1531"/>
      </w:r>
      <w:r>
        <w:rPr>
          <w:rFonts w:ascii="Amiri" w:hAnsi="Amiri" w:eastAsia="Amiri" w:cs="Amiri"/>
          <w:color w:val="111111"/>
          <w:sz w:val="28"/>
          <w:sz w:val="28"/>
          <w:szCs w:val="28"/>
          <w:rtl w:val="true"/>
          <w:lang w:bidi="ar-SA"/>
        </w:rPr>
        <w:t>من كونها على المقتصّ منه؛ لأنّ هذه الأُجرة مؤونة التسليم الواجب على الجاني، فهي كأُجرة الكيّال الواجبة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عليه تسليم النفس لا قتل نفسه أو قطع طرفه، فإنّهما حقّ الوليّ والمجنيّ عليه، كما لا يخفى، ولذا لا يجوز للجاني قتل نفسه ولا قطع طرفه، والجواز فيهما بيد الوليّ والمجنيّ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لم يكن على مذهب الخلاف للمقتصّ منه مال، فإن كان القصاص على النفس استدان الإمام على بيت المال؛ لعدم إمكان الاستدانة عليه، كما هو واضح، وإن كان القصاص على الطرف استدان على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مذهب المبسوط الذي قوّيناه استدان على المستوفي مطلقاً؛ لإمكان الاستدانة عليه ولو في قصاص النفس</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تمكّن المجنيّ عليه أو المستوفي من الأداء لكن مع التعسّر، وأمّا عدم الإمكان لهما فالاستدانة على بيت المال</w:t>
      </w:r>
      <w:r>
        <w:rPr>
          <w:rFonts w:eastAsia="Amiri" w:cs="Amiri" w:ascii="Amiri" w:hAnsi="Amiri"/>
          <w:color w:val="111111"/>
          <w:sz w:val="28"/>
          <w:szCs w:val="28"/>
          <w:rtl w:val="true"/>
          <w:lang w:bidi="ar-SA"/>
        </w:rPr>
        <w:t xml:space="preserve">. </w:t>
      </w:r>
      <w:bookmarkStart w:id="361" w:name="pg9428_72823"/>
    </w:p>
    <w:p>
      <w:pPr>
        <w:pStyle w:val="BookText"/>
        <w:rPr/>
      </w:pPr>
      <w:bookmarkEnd w:id="3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المقتصّ في الطرف سراية القصاص إلّا مع التعدّي في اقتصاصه، فلو كان متعمّداً اقتصّ منه في الزائد إن أمكن، ومع عدمه يضمن الدية أو الأرش، ولو ادّعى المقتصّ منه تعمّد المقتصّ وأنكره فالقول قول المقتصّ بيمينه، بل لو ادّعى الخطأ وأنكر المقتصّ منه، فالظاهر أنّ القول قول المقتصّ بيمينه على وجه، ولو ادّعى حصول الزيادة باضطراب المقتصّ منه أو بشيء من جهته، فالقول قول المقتصّ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ما في المتن من الخلط وعدم 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5797645_2870459653"/>
      <w:bookmarkStart w:id="363" w:name="_Toc123"/>
      <w:bookmarkEnd w:id="362"/>
      <w:r>
        <w:rPr>
          <w:rtl w:val="true"/>
        </w:rPr>
        <w:t>عدم الضمان في قصاص الطرف مع السراية</w:t>
      </w:r>
      <w:bookmarkEnd w:id="3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المقتصّ في الطرف السراية ولو إلى النفس مع عدم التعدّي، ممّا لاخلاف ولا إشكال فيه؛ وذلك لوجوهٍ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أثر فعل المقتصّ الجائز المستحقّ له والمأذون فيه، فلا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المقتصّ به العامد في الجناية على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المقتصّ المباشر، فإنّه المقدّم على استحقاقه القصاص، وتضعف المباشرة بعدم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التي يمكن دعوى تواترها أو القطع بمضمونها علىما في الجواهر</w:t>
      </w:r>
      <w:r>
        <w:rPr>
          <w:rFonts w:eastAsia="Amiri" w:cs="Amiri" w:ascii="Amiri" w:hAnsi="Amiri"/>
          <w:color w:val="111111"/>
          <w:sz w:val="28"/>
          <w:szCs w:val="28"/>
          <w:rtl w:val="true"/>
          <w:lang w:bidi="ar-SA"/>
        </w:rPr>
        <w:t>:</w:t>
      </w:r>
      <w:r>
        <w:rPr>
          <w:rStyle w:val="FootnoteAnchor"/>
          <w:rtl w:val="true"/>
        </w:rPr>
        <w:footnoteReference w:id="1532"/>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أيّما رجل قتله الحدّ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القصاص فلا دية له</w:t>
      </w:r>
      <w:r>
        <w:rPr>
          <w:rFonts w:eastAsia="Amiri" w:cs="Amiri" w:ascii="Amiri" w:hAnsi="Amiri"/>
          <w:color w:val="111111"/>
          <w:sz w:val="28"/>
          <w:szCs w:val="28"/>
          <w:rtl w:val="true"/>
          <w:lang w:bidi="ar-SA"/>
        </w:rPr>
        <w:t>».</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قتله القصاص فلا دية له</w:t>
      </w:r>
      <w:r>
        <w:rPr>
          <w:rFonts w:eastAsia="IRNazanin" w:cs="IRNazanin"/>
          <w:color w:val="111111"/>
          <w:sz w:val="28"/>
          <w:szCs w:val="28"/>
          <w:rtl w:val="true"/>
          <w:lang w:bidi="fa-IR"/>
        </w:rPr>
        <w:t>».</w:t>
      </w:r>
      <w:r>
        <w:rPr>
          <w:rStyle w:val="FootnoteAnchor"/>
          <w:rtl w:val="true"/>
        </w:rPr>
        <w:footnoteReference w:id="1534"/>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معلّى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قتله القصاص أو الحدّ لم يكن له دية</w:t>
      </w:r>
      <w:r>
        <w:rPr>
          <w:rFonts w:eastAsia="IRNazanin" w:cs="IRNazanin"/>
          <w:color w:val="111111"/>
          <w:sz w:val="28"/>
          <w:szCs w:val="28"/>
          <w:rtl w:val="true"/>
          <w:lang w:bidi="fa-IR"/>
        </w:rPr>
        <w:t>».</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اقتصّ منه فهو قتيل القرآن</w:t>
      </w:r>
      <w:r>
        <w:rPr>
          <w:rFonts w:eastAsia="IRNazanin" w:cs="IRNazanin"/>
          <w:color w:val="111111"/>
          <w:sz w:val="28"/>
          <w:szCs w:val="28"/>
          <w:rtl w:val="true"/>
          <w:lang w:bidi="fa-IR"/>
        </w:rPr>
        <w:t>».</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هذا على نقل الكافي ، 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اقتص منه فمات</w:t>
      </w:r>
      <w:r>
        <w:rPr>
          <w:rFonts w:eastAsia="Amiri" w:cs="Amiri" w:ascii="Amiri" w:hAnsi="Amiri"/>
          <w:color w:val="111111"/>
          <w:sz w:val="28"/>
          <w:szCs w:val="28"/>
          <w:rtl w:val="true"/>
          <w:lang w:bidi="ar-SA"/>
        </w:rPr>
        <w:t>...».</w:t>
      </w:r>
      <w:r>
        <w:rPr>
          <w:rStyle w:val="FootnoteAnchor"/>
          <w:rtl w:val="true"/>
        </w:rPr>
        <w:footnoteReference w:id="1537"/>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أبي الصباح الكناني،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قتله القصاص، له دية؟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ذلك لم يقتصّ من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يجري بينهم القصاص في النفس يجري في الطرف، ومن لا يقتصّ له في النفس لا يقتصّ له في الطرف، فلا يقطع يد والد لقطع يد ولده، ولا</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قتله الحدّ فلا دية له</w:t>
      </w:r>
      <w:r>
        <w:rPr>
          <w:rFonts w:eastAsia="Amiri" w:cs="Amiri" w:ascii="Amiri" w:hAnsi="Amiri"/>
          <w:color w:val="111111"/>
          <w:sz w:val="28"/>
          <w:szCs w:val="28"/>
          <w:rtl w:val="true"/>
          <w:lang w:bidi="ar-SA"/>
        </w:rPr>
        <w:t>».</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نحو ما عن أبي الصباح الكناني</w:t>
      </w:r>
      <w:r>
        <w:rPr>
          <w:rFonts w:eastAsia="IRNazanin" w:cs="IRNazanin"/>
          <w:color w:val="111111"/>
          <w:sz w:val="28"/>
          <w:szCs w:val="28"/>
          <w:rtl w:val="true"/>
          <w:lang w:bidi="fa-IR"/>
        </w:rPr>
        <w:t>.</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قتله القصاص بأمر الإمام فلا دية له في قتل ولا جراحة</w:t>
      </w:r>
      <w:r>
        <w:rPr>
          <w:rFonts w:eastAsia="IRNazanin" w:cs="IRNazanin"/>
          <w:color w:val="111111"/>
          <w:sz w:val="28"/>
          <w:szCs w:val="28"/>
          <w:rtl w:val="true"/>
          <w:lang w:bidi="fa-IR"/>
        </w:rPr>
        <w:t>».</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وما فيه من أمر الإمام فليس فيه بأزيد من الإشعار على اعتباره، مع أنّه على اعتباره لافرق في عدم الدية بين كون القصاص بأمره أو من دون أمره، كما مرّ من أنّه على الاعتبار ليس بأزيد من التكليف</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عدم التعدّي، وأمّا مع تعدّيه في اقتصاصه؛ بأن زاد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فضامن بلا خلاف ولا إشكال؛ لصدق الجناية حينئذٍ بغير حقّ، فإن اعترف به اقتصّ فيما زاد فيه بالقصاص أو الدية أو الأرش، ولو ادّعىالخطأ وأنكر المقتصّ منه فالقول قوله بيمينه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 مسلم لقطع يد 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المتن من كون القول قول المقتصّ منه مع ادّعاء المقتصّ حصول الزيادة باضطراب المقتصّ منه ومن جهته، لكون ذلك الحاصل ناشئاً منه، فهو أعلم به وإن كان لا يبعد تقدّم قول المقتصّ في هذا الفرع أيضاً؛ لأنّ الاقتصاص كان فعله، فهو أعلم بفعله، ولكون قوله موافقاً مع ظاهر حال المقتصّ منه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المسألة من كلّية الأصل ممّا لا إشكال فيه؛ لعموم أدلّة القصاص في النفس والطرف، سواء اتّفقوا في الدية أو اختلفوا على القول بالاختلاف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التساوي</w:t>
      </w:r>
      <w:r>
        <w:rPr>
          <w:rStyle w:val="FootnoteAnchor"/>
          <w:rtl w:val="true"/>
        </w:rPr>
        <w:footnoteReference w:id="1541"/>
      </w:r>
      <w:r>
        <w:rPr>
          <w:rFonts w:ascii="Amiri" w:hAnsi="Amiri" w:eastAsia="Amiri" w:cs="Amiri"/>
          <w:color w:val="111111"/>
          <w:sz w:val="28"/>
          <w:sz w:val="28"/>
          <w:szCs w:val="28"/>
          <w:rtl w:val="true"/>
          <w:lang w:bidi="ar-SA"/>
        </w:rPr>
        <w:t>في الدية المخالف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فيها من العكس، وهو عدم جريان القصاص في الأطراف مع عدم الجريان في النفس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له بعد الاختلاف بينهما في الموضوع، فالدليل على عدم القصاص في النفس كقصاص الوالد بولده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إفادة عدمه في قصاص الأطراف في ذلك المورد،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تعليقات صاحب مفتاح الكرامة في المسألة مزجاً بعبارة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يجري بينهم القصاص في النفس يجري بينهم القصاص في الأطراف والجراحات، وكلّ من لا يجري القصاص بينهم في الأنفس لا يجري في الأطراف</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قولنا طرداً وعكساً، كما في المبسوط</w:t>
      </w:r>
      <w:r>
        <w:rPr>
          <w:rFonts w:eastAsia="Amiri" w:cs="Amiri" w:ascii="Amiri" w:hAnsi="Amiri"/>
          <w:color w:val="111111"/>
          <w:sz w:val="28"/>
          <w:szCs w:val="28"/>
          <w:rtl w:val="true"/>
          <w:lang w:bidi="ar-SA"/>
        </w:rPr>
        <w:t>.</w:t>
      </w:r>
      <w:r>
        <w:rPr>
          <w:rStyle w:val="FootnoteAnchor"/>
          <w:rtl w:val="true"/>
        </w:rPr>
        <w:footnoteReference w:id="1542"/>
      </w:r>
      <w:r>
        <w:rPr>
          <w:rFonts w:ascii="Amiri" w:hAnsi="Amiri" w:eastAsia="Amiri" w:cs="Amiri"/>
          <w:color w:val="111111"/>
          <w:sz w:val="28"/>
          <w:sz w:val="28"/>
          <w:szCs w:val="28"/>
          <w:rtl w:val="true"/>
          <w:lang w:bidi="ar-SA"/>
        </w:rPr>
        <w:t>وهذا ممّا لا أجد فيه خلافاً، وهو الموافق للقواعد والاعتبار</w:t>
      </w:r>
      <w:r>
        <w:rPr>
          <w:rFonts w:eastAsia="Amiri" w:cs="Amiri" w:ascii="Amiri" w:hAnsi="Amiri"/>
          <w:color w:val="111111"/>
          <w:sz w:val="28"/>
          <w:szCs w:val="28"/>
          <w:rtl w:val="true"/>
          <w:lang w:bidi="ar-SA"/>
        </w:rPr>
        <w:t>.</w:t>
      </w:r>
      <w:r>
        <w:rPr>
          <w:rStyle w:val="FootnoteAnchor"/>
          <w:rtl w:val="true"/>
        </w:rPr>
        <w:footnoteReference w:id="1543"/>
      </w:r>
      <w:bookmarkStart w:id="364" w:name="pg9428_72827"/>
    </w:p>
    <w:p>
      <w:pPr>
        <w:pStyle w:val="BookText"/>
        <w:rPr/>
      </w:pPr>
      <w:bookmarkEnd w:id="3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أولياء شركاء في القصاص، فإن حضر بعض وغاب بعض، فعن الشيخ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للحاضر الاستيفاء بشرط أن يضمن حصص الباقين من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الغيبة قصيرة يصبر إلى مجيء الغائب، والظاهر جواز حبس الجاني إلى مجيئه لو كان في معرض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ولوكان غير منقطعة أو طويلة فأمر الغائب بيد الوالي، فيعمل بما هو مصلحة عنده أو مصلحة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بعضهم مجنوناً فأمره إلى وليّه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صغيراً ففي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انتظروا الذين قتل أبوهم أن يكبروا، فإذا بلغوا خيّروا، فإن أحبّوا قتلوا أو عفوا أو صالحوا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العكس لهما لا بيّن ولا مبيّن، بل قد عرفت أنّ مقتضى القواعد على 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الاعتبار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النفس والعضو اختلاف بحسب الاعتبار، فالعقلاء يرون الفرق بين النفس والعضو، وأنّ من الممكن عدم جريان القصاص بينهما في النفس دون القصاص بينهما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كلّية الأصل تامّة، وأمّا العكس فغير تامّ، والمتّبع فيه إطلاق أدلّة القصاص في الأطراف، وعلى هذا، فيقطع يد الوالد لولده ويد المسلم لقطع يد كافر ولو على القول بعدم قتل المسلم بالكافر فضلاً عن قتله به 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 هذا المثال الثاني مثالاً للممثّل كما لا يخفى</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5797647_2870459653"/>
      <w:bookmarkStart w:id="366" w:name="_Toc124"/>
      <w:bookmarkEnd w:id="365"/>
      <w:r>
        <w:rPr>
          <w:rtl w:val="true"/>
        </w:rPr>
        <w:t>جواز الاستيفاء مع غيبة بعض الأولياء</w:t>
      </w:r>
      <w:bookmarkEnd w:id="366"/>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الاستيفاء للحاضر بشرط ضمان حصصالبقيّة من الدية مبنيّ على مبناه المختار لنا أيضاً، وهو عدم اعتبار إذن البقيّة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كونهم حاضرين، كما مرّ نقله منه في المسألة السابعة، فراجعها</w:t>
      </w:r>
      <w:r>
        <w:rPr>
          <w:rFonts w:eastAsia="Amiri" w:cs="Amiri" w:ascii="Amiri" w:hAnsi="Amiri"/>
          <w:color w:val="111111"/>
          <w:sz w:val="28"/>
          <w:szCs w:val="28"/>
          <w:rtl w:val="true"/>
          <w:lang w:bidi="ar-SA"/>
        </w:rPr>
        <w:t>.</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فكما لم يكن إذن البقيّة مع حضورهم معتبراً في جواز الاستيفاء مع الضمان، فكذلك مع غيبتهم أو صغرهم أو جنونهم بل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اعتبار إذن البقيّة مع حضورهم، فيحتمل عدم اعتباره هنا من جهة ترتّب الضرر على الحاضر أو الكامل بالتأخير الذي هو معرض زوال الحقّ، وحبسه إلى أن يقدم الغائب ويبلغ الصبيّ ويفيق المجنون أو يموتوا ضررٌ على القاتل وتعجيل عقوبة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فيما كانت مدّة الغيبة قصيرة فالأشبه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إلى مجيء الغائب، وحبس الجاني إلى مجيئه لو كان في معرض الفرار؛ لكونه جمعاً بين الحقوق، وعدم كون الحبس مدّة قصيرة عقوبة وإضراراً محرّماً بالجاني، لكونه سبباً له، فتكون العقوبة والضررّ من ناحيته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عدم البعد في كون الحبس كذلك جائزاً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المتن من كون الولاية في الغائب بيد الوالي فيما تكون الغيبة غير منقطعة أو طويلة، فوجهه ولاية السلطان على القصّر والغيّب وفي المجنون لوليه؛ قضاءً لعموم ولايته، وعلى هذا كان على المتن إلحاق الصغير بهم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كلّه مربوط بما كان بعض الأولياء حاضراً وبعضهم غائباً أو قاصراً بالصباوة أو الجنون</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للحاضر أو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من عدم اعتبار إذنالجميع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الاستيفاء</w:t>
      </w:r>
      <w:r>
        <w:rPr>
          <w:rFonts w:eastAsia="Amiri" w:cs="Amiri" w:ascii="Amiri" w:hAnsi="Amiri"/>
          <w:color w:val="111111"/>
          <w:sz w:val="28"/>
          <w:szCs w:val="28"/>
          <w:rtl w:val="true"/>
          <w:lang w:bidi="ar-SA"/>
        </w:rPr>
        <w:t xml:space="preserve">. </w:t>
      </w:r>
      <w:bookmarkStart w:id="367" w:name="pg9428_72829"/>
    </w:p>
    <w:p>
      <w:pPr>
        <w:pStyle w:val="BookText"/>
        <w:rPr/>
      </w:pPr>
      <w:bookmarkEnd w:id="36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القول الآخر ففيه ما مرّ؛</w:t>
      </w:r>
      <w:r>
        <w:rPr>
          <w:rStyle w:val="FootnoteAnchor"/>
          <w:rtl w:val="true"/>
        </w:rPr>
        <w:footnoteReference w:id="1545"/>
      </w:r>
      <w:r>
        <w:rPr>
          <w:rFonts w:ascii="Amiri" w:hAnsi="Amiri" w:eastAsia="Amiri" w:cs="Amiri"/>
          <w:color w:val="111111"/>
          <w:sz w:val="28"/>
          <w:sz w:val="28"/>
          <w:szCs w:val="28"/>
          <w:rtl w:val="true"/>
          <w:lang w:bidi="ar-SA"/>
        </w:rPr>
        <w:t>من الاحتمالين، ومن الأشبه على ذلك المبنى</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5797649_2870459653"/>
      <w:bookmarkStart w:id="369" w:name="_Toc125"/>
      <w:bookmarkEnd w:id="368"/>
      <w:r>
        <w:rPr>
          <w:rtl w:val="true"/>
        </w:rPr>
        <w:t>فيما إذا كان الوليّ صغيراً أو مجنوناً</w:t>
      </w:r>
      <w:bookmarkEnd w:id="369"/>
    </w:p>
    <w:p>
      <w:pPr>
        <w:pStyle w:val="BookText"/>
        <w:rPr/>
      </w:pPr>
      <w:r>
        <w:rPr>
          <w:rFonts w:ascii="Amiri" w:hAnsi="Amiri" w:eastAsia="Amiri" w:cs="Amiri"/>
          <w:color w:val="111111"/>
          <w:sz w:val="28"/>
          <w:sz w:val="28"/>
          <w:szCs w:val="28"/>
          <w:rtl w:val="true"/>
          <w:lang w:bidi="ar-SA"/>
        </w:rPr>
        <w:t>وإن كان الوليّ صغيراً أو مجنوناً، ففيه وجوهٌ، بل أقوالٌ ثلاثة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للوليّ الولاية على القصاص مع رعاية المصلحة أو عدم المفسدة، كما هو المحكيّ عن الفاضل في الإرشاد</w:t>
      </w:r>
      <w:r>
        <w:rPr>
          <w:rStyle w:val="FootnoteAnchor"/>
          <w:rtl w:val="true"/>
        </w:rPr>
        <w:footnoteReference w:id="1546"/>
      </w:r>
      <w:r>
        <w:rPr>
          <w:rFonts w:ascii="IRNazanin" w:hAnsi="IRNazanin" w:eastAsia="IRNazanin"/>
          <w:color w:val="111111"/>
          <w:sz w:val="28"/>
          <w:sz w:val="28"/>
          <w:szCs w:val="28"/>
          <w:rtl w:val="true"/>
          <w:lang w:bidi="fa-IR"/>
        </w:rPr>
        <w:t>وحجر القواعد ،</w:t>
      </w:r>
      <w:r>
        <w:rPr>
          <w:rStyle w:val="FootnoteAnchor"/>
          <w:rtl w:val="true"/>
        </w:rPr>
        <w:footnoteReference w:id="1547"/>
      </w:r>
      <w:r>
        <w:rPr>
          <w:rFonts w:ascii="Amiri" w:hAnsi="Amiri" w:eastAsia="Amiri" w:cs="Amiri"/>
          <w:color w:val="111111"/>
          <w:sz w:val="28"/>
          <w:sz w:val="28"/>
          <w:szCs w:val="28"/>
          <w:rtl w:val="true"/>
          <w:lang w:bidi="ar-SA"/>
        </w:rPr>
        <w:t>وولده في الإيضاح هنا</w:t>
      </w:r>
      <w:r>
        <w:rPr>
          <w:rStyle w:val="FootnoteAnchor"/>
          <w:rtl w:val="true"/>
        </w:rPr>
        <w:footnoteReference w:id="1548"/>
      </w:r>
      <w:r>
        <w:rPr>
          <w:rFonts w:ascii="Amiri" w:hAnsi="Amiri" w:eastAsia="Amiri" w:cs="Amiri"/>
          <w:color w:val="111111"/>
          <w:sz w:val="28"/>
          <w:sz w:val="28"/>
          <w:szCs w:val="28"/>
          <w:rtl w:val="true"/>
          <w:lang w:bidi="ar-SA"/>
        </w:rPr>
        <w:t>وفي الحجر،</w:t>
      </w:r>
      <w:r>
        <w:rPr>
          <w:rStyle w:val="FootnoteAnchor"/>
          <w:rtl w:val="true"/>
        </w:rPr>
        <w:footnoteReference w:id="1549"/>
      </w:r>
      <w:r>
        <w:rPr>
          <w:rFonts w:ascii="Amiri" w:hAnsi="Amiri" w:eastAsia="Amiri" w:cs="Amiri"/>
          <w:color w:val="111111"/>
          <w:sz w:val="28"/>
          <w:sz w:val="28"/>
          <w:szCs w:val="28"/>
          <w:rtl w:val="true"/>
          <w:lang w:bidi="ar-SA"/>
        </w:rPr>
        <w:t>والشهيدين في الحواشي</w:t>
      </w:r>
      <w:r>
        <w:rPr>
          <w:rStyle w:val="FootnoteAnchor"/>
          <w:rtl w:val="true"/>
        </w:rPr>
        <w:footnoteReference w:id="1550"/>
      </w:r>
      <w:r>
        <w:rPr>
          <w:rFonts w:ascii="Amiri" w:hAnsi="Amiri" w:eastAsia="Amiri" w:cs="Amiri"/>
          <w:color w:val="111111"/>
          <w:sz w:val="28"/>
          <w:sz w:val="28"/>
          <w:szCs w:val="28"/>
          <w:rtl w:val="true"/>
          <w:lang w:bidi="ar-SA"/>
        </w:rPr>
        <w:t>والروضة</w:t>
      </w:r>
      <w:r>
        <w:rPr>
          <w:rStyle w:val="FootnoteAnchor"/>
          <w:rtl w:val="true"/>
        </w:rPr>
        <w:footnoteReference w:id="1551"/>
      </w:r>
      <w:r>
        <w:rPr>
          <w:rFonts w:ascii="Amiri" w:hAnsi="Amiri" w:eastAsia="Amiri" w:cs="Amiri"/>
          <w:color w:val="111111"/>
          <w:sz w:val="28"/>
          <w:sz w:val="28"/>
          <w:szCs w:val="28"/>
          <w:rtl w:val="true"/>
          <w:lang w:bidi="ar-SA"/>
        </w:rPr>
        <w:t>و المسالك ،</w:t>
      </w:r>
      <w:r>
        <w:rPr>
          <w:rStyle w:val="FootnoteAnchor"/>
          <w:rtl w:val="true"/>
        </w:rPr>
        <w:footnoteReference w:id="1552"/>
      </w:r>
      <w:r>
        <w:rPr>
          <w:rFonts w:ascii="Amiri" w:hAnsi="Amiri" w:eastAsia="Amiri" w:cs="Amiri"/>
          <w:color w:val="111111"/>
          <w:sz w:val="28"/>
          <w:sz w:val="28"/>
          <w:szCs w:val="28"/>
          <w:rtl w:val="true"/>
          <w:lang w:bidi="ar-SA"/>
        </w:rPr>
        <w:t>والكركي في حجر جامع المقاصد،</w:t>
      </w:r>
      <w:r>
        <w:rPr>
          <w:rStyle w:val="FootnoteAnchor"/>
          <w:rtl w:val="true"/>
        </w:rPr>
        <w:footnoteReference w:id="1553"/>
      </w:r>
      <w:r>
        <w:rPr>
          <w:rFonts w:ascii="Amiri" w:hAnsi="Amiri" w:eastAsia="Amiri" w:cs="Amiri"/>
          <w:color w:val="111111"/>
          <w:sz w:val="28"/>
          <w:sz w:val="28"/>
          <w:szCs w:val="28"/>
          <w:rtl w:val="true"/>
          <w:lang w:bidi="ar-SA"/>
        </w:rPr>
        <w:t>والكاشاني في المفاتيح؛</w:t>
      </w:r>
      <w:r>
        <w:rPr>
          <w:rStyle w:val="FootnoteAnchor"/>
          <w:rtl w:val="true"/>
        </w:rPr>
        <w:footnoteReference w:id="1554"/>
      </w:r>
      <w:r>
        <w:rPr>
          <w:rFonts w:ascii="Amiri" w:hAnsi="Amiri" w:eastAsia="Amiri" w:cs="Amiri"/>
          <w:color w:val="111111"/>
          <w:sz w:val="28"/>
          <w:sz w:val="28"/>
          <w:szCs w:val="28"/>
          <w:rtl w:val="true"/>
          <w:lang w:bidi="ar-SA"/>
        </w:rPr>
        <w:t>قضاءً لعموم أدلّة الولاية، من العمومات الآمرة بالبرّ والإحسان،</w:t>
      </w:r>
      <w:r>
        <w:rPr>
          <w:rStyle w:val="FootnoteAnchor"/>
          <w:rtl w:val="true"/>
        </w:rPr>
        <w:footnoteReference w:id="1555"/>
      </w:r>
      <w:r>
        <w:rPr>
          <w:rFonts w:ascii="IRNazanin" w:hAnsi="IRNazanin" w:eastAsia="IRNazanin"/>
          <w:color w:val="111111"/>
          <w:sz w:val="28"/>
          <w:sz w:val="28"/>
          <w:szCs w:val="28"/>
          <w:rtl w:val="true"/>
          <w:lang w:bidi="fa-IR"/>
        </w:rPr>
        <w:t>وعمل المعروف،</w:t>
      </w:r>
      <w:r>
        <w:rPr>
          <w:rStyle w:val="FootnoteAnchor"/>
          <w:rtl w:val="true"/>
        </w:rPr>
        <w:footnoteReference w:id="1556"/>
      </w:r>
      <w:r>
        <w:rPr>
          <w:rFonts w:ascii="Amiri" w:hAnsi="Amiri" w:eastAsia="Amiri" w:cs="Amiri"/>
          <w:color w:val="111111"/>
          <w:sz w:val="28"/>
          <w:sz w:val="28"/>
          <w:szCs w:val="28"/>
          <w:rtl w:val="true"/>
          <w:lang w:bidi="ar-SA"/>
        </w:rPr>
        <w:t>والمسارعة إلى المغفرة</w:t>
      </w:r>
      <w:r>
        <w:rPr>
          <w:rStyle w:val="FootnoteAnchor"/>
          <w:rtl w:val="true"/>
        </w:rPr>
        <w:footnoteReference w:id="155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فكما أنّ له التصرّف في مال المولّى عليه بالمعاملة، بل في نفسه أيضاً كجعله أجيراً مثلاً، فكذلك له التصرّف في حقّه القصاص من قتله القاتل أو العفو بدية أو أزيد مع رعاية المصلحة للمولّى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له العفو مجّاناً إلّا مع كونه ذا مصلحة للطفل بأزيد من مصلحة الدية، وهذا وإن كان نادراً لكنّه على فرض تحقّقه يكون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 العفو لما في العفو من الخيرية والمصلحة؛ لأنّها غير مربوطة بالمولّى عليه، بل إنّما تكون ثابتة لأصل العفو وترغيباً لمن له القود بنفسه كالكامل، أي البالغ العاقل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في الخلاف و‌المبسوط من أنّه ليس للوليّ الاستيفاء، ولابدّ من الصبر إلى أن يبلغ الصبيّ أو يفيق المجنون أو يموتا، ويحبس القاتل حتّى يبلغ الصبيّ ويفيق المجنون، مقدّمة لحفظ حقّهما وجمعاً بين مصلحة العيش والاستيثاق، بل عنه في الخلاف،</w:t>
      </w:r>
      <w:r>
        <w:rPr>
          <w:rStyle w:val="FootnoteAnchor"/>
          <w:rtl w:val="true"/>
        </w:rPr>
        <w:footnoteReference w:id="1558"/>
      </w:r>
      <w:r>
        <w:rPr>
          <w:rFonts w:ascii="IRNazanin" w:hAnsi="IRNazanin" w:eastAsia="IRNazanin"/>
          <w:color w:val="111111"/>
          <w:sz w:val="28"/>
          <w:sz w:val="28"/>
          <w:szCs w:val="28"/>
          <w:rtl w:val="true"/>
          <w:lang w:bidi="fa-IR"/>
        </w:rPr>
        <w:t>وعن ظاهر المبسوط</w:t>
      </w:r>
      <w:r>
        <w:rPr>
          <w:rFonts w:eastAsia="IRNazanin" w:cs="IRNazanin"/>
          <w:color w:val="111111"/>
          <w:sz w:val="28"/>
          <w:szCs w:val="28"/>
          <w:rtl w:val="true"/>
          <w:lang w:bidi="fa-IR"/>
        </w:rPr>
        <w:t>:</w:t>
      </w:r>
      <w:r>
        <w:rPr>
          <w:rStyle w:val="FootnoteAnchor"/>
          <w:rtl w:val="true"/>
        </w:rPr>
        <w:footnoteReference w:id="1559"/>
      </w:r>
      <w:r>
        <w:rPr>
          <w:rFonts w:ascii="Amiri" w:hAnsi="Amiri" w:eastAsia="Amiri" w:cs="Amiri"/>
          <w:color w:val="111111"/>
          <w:sz w:val="28"/>
          <w:sz w:val="28"/>
          <w:szCs w:val="28"/>
          <w:rtl w:val="true"/>
          <w:lang w:bidi="ar-SA"/>
        </w:rPr>
        <w:t>الإجماع عليه،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لعدم ثبوت الولاية على مثل ذلك ممّا لا يمكن تلافيه، كالعفو عن القصاص ولو على مال والطلاق والعتق، فهو على استحقاقه بعد الكمال</w:t>
      </w:r>
      <w:r>
        <w:rPr>
          <w:rFonts w:eastAsia="Amiri" w:cs="Amiri" w:ascii="Amiri" w:hAnsi="Amiri"/>
          <w:color w:val="111111"/>
          <w:sz w:val="28"/>
          <w:szCs w:val="28"/>
          <w:rtl w:val="true"/>
          <w:lang w:bidi="ar-SA"/>
        </w:rPr>
        <w:t>.</w:t>
      </w:r>
      <w:r>
        <w:rPr>
          <w:rStyle w:val="FootnoteAnchor"/>
          <w:rtl w:val="true"/>
        </w:rPr>
        <w:footnoteReference w:id="1560"/>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تقييد الولاية بما يكون قابلاً للجبران والتلافي حتّى يتمّ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أوّلاً، وأنّ عفوه على المال من الدية أو الزائد عليها جبران للقصاص وتلاف له ثانياً؛ لأنّ المال يكون عوضاً عن القصاص، مثل الثمن المقابل للمثمن في معاملة الوليّ على مال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ذكره في أمثلة ما لا يمكن تلافيه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ما في حبس القاتل خصوصاً في المجنون الذي لا ترجى إفاقته ضررٌ وتعجيل عقوبة لا دليل عليهما، بل لكونهما ضرراً وظلماً وعدواناً عليه محرّم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العفو على مال مع استحقاق الصغير والمجنون القصاص بعد كمالهما، وهو المحكيّ عن المبسوط</w:t>
      </w:r>
      <w:r>
        <w:rPr>
          <w:rStyle w:val="FootnoteAnchor"/>
          <w:rtl w:val="true"/>
        </w:rPr>
        <w:footnoteReference w:id="156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للوليّ العفو عن القصاص على مال؛ لأنّ المولّى عليه إذا كمل كان له القصاص</w:t>
      </w:r>
      <w:r>
        <w:rPr>
          <w:rFonts w:eastAsia="Amiri" w:cs="Amiri" w:ascii="Amiri" w:hAnsi="Amiri"/>
          <w:color w:val="111111"/>
          <w:sz w:val="28"/>
          <w:szCs w:val="28"/>
          <w:rtl w:val="true"/>
          <w:lang w:bidi="ar-SA"/>
        </w:rPr>
        <w:t>.</w:t>
      </w:r>
      <w:r>
        <w:rPr>
          <w:rStyle w:val="FootnoteAnchor"/>
          <w:rtl w:val="true"/>
        </w:rPr>
        <w:footnoteReference w:id="1562"/>
      </w:r>
    </w:p>
    <w:p>
      <w:pPr>
        <w:pStyle w:val="BookText"/>
        <w:rPr/>
      </w:pPr>
      <w:r>
        <w:rPr>
          <w:rFonts w:ascii="Amiri" w:hAnsi="Amiri" w:eastAsia="Amiri" w:cs="Amiri"/>
          <w:color w:val="111111"/>
          <w:sz w:val="28"/>
          <w:sz w:val="28"/>
          <w:szCs w:val="28"/>
          <w:rtl w:val="true"/>
          <w:lang w:bidi="ar-SA"/>
        </w:rPr>
        <w:t>والوجه في ذلك العمل بأدلّة الولاية المقيّدة بما فيه الجبران والجمع بين حقوق القاتل ووليّ الدم، وأنّ المال في المورد كالمال في بدل الحيلولة، فكما أنّ الضمان فيه مقيّد بالحيلولة وبارتفاعها ورفع الحائل عن العين المضمونة يرجع المال إلى الضامن، فكذلك المورد، كما لا يخفى</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مرّ من عدم الدليل على تقييد الولاية بما يكون فيه القدرة على الجبران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أدلّتها عامّة، وأنّ أخذ المال من القاتل على ذلكالنحو ضررٌ عليه، فلا يجوز إجباره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 العفو كذلك موجب لحرج التحيّر عليه، فإنّه لا يدري ما يفعل به في الغد، وذلك حرج، فجواز العفو كذلك استناداً إلى الجمع بين الحقوق على تسليمه منفيّ بقاعدتي نفي الضرر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القواعد، وقد ظهر أنّ الأقوى بحسبها من الوجوه والأقوال الثلاثة،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الرواية فليس في المسألة إلّا رواية واحدة،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معتبرة إسحاق ابن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بالصغار الذين قتل أبوهم أن يكبروا، فإذا بلغوا خيّروا، فإن أحبوا قتلوا أو عفوا، أو صالحوا</w:t>
      </w:r>
      <w:r>
        <w:rPr>
          <w:rFonts w:eastAsia="IRNazanin" w:cs="IRNazanin"/>
          <w:color w:val="111111"/>
          <w:sz w:val="28"/>
          <w:szCs w:val="28"/>
          <w:rtl w:val="true"/>
          <w:lang w:bidi="fa-IR"/>
        </w:rPr>
        <w:t>».</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ودلالتها على عدم جواز الاستيفاء ولزوم الصبر إلى بلوغهم ظاهرة، إلّا أنّها مخالفة للقواعد؛ لأنّ حفظ القاتل عن الفرار ليس إلّا بالحبس إلى بلوغهم وإن كانت المدّة إلى بلوغهم طويلة، وذلك ضرر على القاتل وعقوبة زائدة عليه، فكيف يصار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أنّه يمكن حفظ القاتل عن الفرار بأخذ التعهّد والوثيقة الماليّة منه، مدفوعٌ بأنّه غير مانع عن فراره ونجاة نفسه من القصاص الموجب لتضييع حقوق الصغار في القصاص</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حملها على ما كانت المدّة قليلة بحيث تكون مدّة الحبس قصيرة لا بأس به؛ </w:t>
      </w:r>
      <w:bookmarkStart w:id="370" w:name="pg9428_72833"/>
    </w:p>
    <w:p>
      <w:pPr>
        <w:pStyle w:val="BookText"/>
        <w:rPr/>
      </w:pPr>
      <w:bookmarkEnd w:id="3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اختار بعض الأولياء الدية عن القود فدفعها القاتل، لم يسقط القود لو أراد غيره ذلك، فللآخرين القصاص بعد أن يردّوا على الجاني نصيب من فاداه من الدية؛ من غير فرق بين كون ما دفعه أو صالح عليه بمقدار الدية أو أقلّ أو أکثر، ففي جميع الصور يردّ إليه مقدار نصيبه، فلو كان نصيبه الثلث يردّ إليه الثلث ولو دفع الجاني أقلّ أو أكثر، ولو عفا أو صالح بمقدار وامتنع الجاني من البدل، جاز لمن أراد القود أن يقتصّ بعد ردّ نصيب شريكه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اقتصر على مطالبة الدية وامتنع الجاني، لا يجوز الاقتصاص إلّا بإذن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عفا بعض مجّاناً لم يسقط القصاص، فللباقين القصاص بعد ردّ نصيب من عفا على الجاني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الضرر قليلاً قابلاً للتحمّل،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ظهر ممّا ذكرناه وقوع الخلط بين المسألتين في المتن، كما أنّ ما فيه من رعاية الوالي ما هو مصلحة عنده أو مصلحة الغائب غير تامّ أيضاً، حيث إنّ اللازم رعاية مصلحة القاصر وهو الغائب فقط لا غيره</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5797651_2870459653"/>
      <w:bookmarkStart w:id="372" w:name="_Toc126"/>
      <w:bookmarkEnd w:id="371"/>
      <w:r>
        <w:rPr>
          <w:rtl w:val="true"/>
        </w:rPr>
        <w:t>اختيار بعض الأولياء الدية أو العفو</w:t>
      </w:r>
      <w:bookmarkEnd w:id="3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متضمّنة لمسائل أربعة كلّها مشتركة في أنّ بعض أولياء الدم يريد القصاص وبعضهم الآخر يريد عفو الجاني مجّاناً أو صلحاً، كان الجاني مؤدّياً للمال أو ممتنعاً من أدائه، وإليك تفصيل المسائل</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وعمدتها ما إذا اختار بعض الأولياء الدية عوضاً عن القود وأجابهالجاني بالدفع أو بالذمّة، فللباقي القصاص مع أدائهم نصيب من فاداه من الدية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الجاني على المشهور، كما في الشرائع</w:t>
      </w:r>
      <w:r>
        <w:rPr>
          <w:rStyle w:val="FootnoteAnchor"/>
          <w:rtl w:val="true"/>
        </w:rPr>
        <w:footnoteReference w:id="1564"/>
      </w:r>
      <w:r>
        <w:rPr>
          <w:rFonts w:ascii="Amiri" w:hAnsi="Amiri" w:eastAsia="Amiri" w:cs="Amiri"/>
          <w:color w:val="111111"/>
          <w:sz w:val="28"/>
          <w:sz w:val="28"/>
          <w:szCs w:val="28"/>
          <w:rtl w:val="true"/>
          <w:lang w:bidi="ar-SA"/>
        </w:rPr>
        <w:t>والتحرير</w:t>
      </w:r>
      <w:r>
        <w:rPr>
          <w:rStyle w:val="FootnoteAnchor"/>
          <w:rtl w:val="true"/>
        </w:rPr>
        <w:footnoteReference w:id="1565"/>
      </w:r>
      <w:r>
        <w:rPr>
          <w:rFonts w:ascii="Amiri" w:hAnsi="Amiri" w:eastAsia="Amiri" w:cs="Amiri"/>
          <w:color w:val="111111"/>
          <w:sz w:val="28"/>
          <w:sz w:val="28"/>
          <w:szCs w:val="28"/>
          <w:rtl w:val="true"/>
          <w:lang w:bidi="ar-SA"/>
        </w:rPr>
        <w:t>و المسالك،</w:t>
      </w:r>
      <w:r>
        <w:rPr>
          <w:rStyle w:val="FootnoteAnchor"/>
          <w:rtl w:val="true"/>
        </w:rPr>
        <w:footnoteReference w:id="1566"/>
      </w:r>
      <w:r>
        <w:rPr>
          <w:rFonts w:ascii="IRNazanin" w:hAnsi="IRNazanin" w:eastAsia="IRNazanin"/>
          <w:color w:val="111111"/>
          <w:sz w:val="28"/>
          <w:sz w:val="28"/>
          <w:szCs w:val="28"/>
          <w:rtl w:val="true"/>
          <w:lang w:bidi="fa-IR"/>
        </w:rPr>
        <w:t>وعن المهذّب البارع</w:t>
      </w:r>
      <w:r>
        <w:rPr>
          <w:rStyle w:val="FootnoteAnchor"/>
          <w:rtl w:val="true"/>
        </w:rPr>
        <w:footnoteReference w:id="1567"/>
      </w:r>
      <w:r>
        <w:rPr>
          <w:rFonts w:ascii="IRNazanin" w:hAnsi="IRNazanin" w:eastAsia="IRNazanin"/>
          <w:color w:val="111111"/>
          <w:sz w:val="28"/>
          <w:sz w:val="28"/>
          <w:szCs w:val="28"/>
          <w:rtl w:val="true"/>
          <w:lang w:bidi="fa-IR"/>
        </w:rPr>
        <w:t>والمقتصر</w:t>
      </w:r>
      <w:r>
        <w:rPr>
          <w:rStyle w:val="FootnoteAnchor"/>
          <w:rtl w:val="true"/>
        </w:rPr>
        <w:footnoteReference w:id="1568"/>
      </w:r>
      <w:r>
        <w:rPr>
          <w:rFonts w:ascii="IRNazanin" w:hAnsi="IRNazanin" w:eastAsia="IRNazanin"/>
          <w:color w:val="111111"/>
          <w:sz w:val="28"/>
          <w:sz w:val="28"/>
          <w:szCs w:val="28"/>
          <w:rtl w:val="true"/>
          <w:lang w:bidi="fa-IR"/>
        </w:rPr>
        <w:t>و‌ملاذ الأخیار</w:t>
      </w:r>
      <w:r>
        <w:rPr>
          <w:rStyle w:val="FootnoteAnchor"/>
          <w:rtl w:val="true"/>
        </w:rPr>
        <w:footnoteReference w:id="1569"/>
      </w:r>
      <w:r>
        <w:rPr>
          <w:rFonts w:ascii="Amiri" w:hAnsi="Amiri" w:eastAsia="Amiri" w:cs="Amiri"/>
          <w:color w:val="111111"/>
          <w:sz w:val="28"/>
          <w:sz w:val="28"/>
          <w:szCs w:val="28"/>
          <w:rtl w:val="true"/>
          <w:lang w:bidi="ar-SA"/>
        </w:rPr>
        <w:t>والمفاتيح،</w:t>
      </w:r>
      <w:r>
        <w:rPr>
          <w:rStyle w:val="FootnoteAnchor"/>
          <w:rtl w:val="true"/>
        </w:rPr>
        <w:footnoteReference w:id="1570"/>
      </w:r>
      <w:r>
        <w:rPr>
          <w:rFonts w:ascii="Amiri" w:hAnsi="Amiri" w:eastAsia="Amiri" w:cs="Amiri"/>
          <w:color w:val="111111"/>
          <w:sz w:val="28"/>
          <w:sz w:val="28"/>
          <w:szCs w:val="28"/>
          <w:rtl w:val="true"/>
          <w:lang w:bidi="ar-SA"/>
        </w:rPr>
        <w:t>بل وفي التنقيح</w:t>
      </w:r>
      <w:r>
        <w:rPr>
          <w:rStyle w:val="FootnoteAnchor"/>
          <w:rtl w:val="true"/>
        </w:rPr>
        <w:footnoteReference w:id="1571"/>
      </w:r>
      <w:r>
        <w:rPr>
          <w:rFonts w:ascii="Amiri" w:hAnsi="Amiri" w:eastAsia="Amiri" w:cs="Amiri"/>
          <w:color w:val="111111"/>
          <w:sz w:val="28"/>
          <w:sz w:val="28"/>
          <w:szCs w:val="28"/>
          <w:rtl w:val="true"/>
          <w:lang w:bidi="ar-SA"/>
        </w:rPr>
        <w:t>والروضة</w:t>
      </w:r>
      <w:r>
        <w:rPr>
          <w:rStyle w:val="FootnoteAnchor"/>
          <w:rtl w:val="true"/>
        </w:rPr>
        <w:footnoteReference w:id="1572"/>
      </w:r>
      <w:r>
        <w:rPr>
          <w:rFonts w:ascii="Amiri" w:hAnsi="Amiri" w:eastAsia="Amiri" w:cs="Amiri"/>
          <w:color w:val="111111"/>
          <w:sz w:val="28"/>
          <w:sz w:val="28"/>
          <w:szCs w:val="28"/>
          <w:rtl w:val="true"/>
          <w:lang w:bidi="ar-SA"/>
        </w:rPr>
        <w:t>و‌الرياض</w:t>
      </w:r>
      <w:r>
        <w:rPr>
          <w:rFonts w:eastAsia="Amiri" w:cs="Amiri" w:ascii="Amiri" w:hAnsi="Amiri"/>
          <w:color w:val="111111"/>
          <w:sz w:val="28"/>
          <w:szCs w:val="28"/>
          <w:rtl w:val="true"/>
          <w:lang w:bidi="ar-SA"/>
        </w:rPr>
        <w:t>:</w:t>
      </w:r>
      <w:r>
        <w:rPr>
          <w:rStyle w:val="FootnoteAnchor"/>
          <w:rtl w:val="true"/>
        </w:rPr>
        <w:footnoteReference w:id="1573"/>
      </w:r>
      <w:r>
        <w:rPr>
          <w:rFonts w:ascii="Amiri" w:hAnsi="Amiri" w:eastAsia="Amiri" w:cs="Amiri"/>
          <w:color w:val="111111"/>
          <w:sz w:val="28"/>
          <w:sz w:val="28"/>
          <w:szCs w:val="28"/>
          <w:rtl w:val="true"/>
          <w:lang w:bidi="ar-SA"/>
        </w:rPr>
        <w:t>أنّ ثبوت القصاص للباقين هو المشهور لا نعلم خلافاً فيه، وعن المبسوط</w:t>
      </w:r>
      <w:r>
        <w:rPr>
          <w:rFonts w:eastAsia="Amiri" w:cs="Amiri" w:ascii="Amiri" w:hAnsi="Amiri"/>
          <w:color w:val="111111"/>
          <w:sz w:val="28"/>
          <w:szCs w:val="28"/>
          <w:rtl w:val="true"/>
          <w:lang w:bidi="ar-SA"/>
        </w:rPr>
        <w:t>:</w:t>
      </w:r>
      <w:r>
        <w:rPr>
          <w:rStyle w:val="FootnoteAnchor"/>
          <w:rtl w:val="true"/>
        </w:rPr>
        <w:footnoteReference w:id="1574"/>
      </w:r>
      <w:r>
        <w:rPr>
          <w:rFonts w:ascii="Amiri" w:hAnsi="Amiri" w:eastAsia="Amiri" w:cs="Amiri"/>
          <w:color w:val="111111"/>
          <w:sz w:val="28"/>
          <w:sz w:val="28"/>
          <w:szCs w:val="28"/>
          <w:rtl w:val="true"/>
          <w:lang w:bidi="ar-SA"/>
        </w:rPr>
        <w:t>كان للباقي القصاص عندنا في عدّة من مواضعه، وفي الغنية</w:t>
      </w:r>
      <w:r>
        <w:rPr>
          <w:rFonts w:eastAsia="Amiri" w:cs="Amiri" w:ascii="Amiri" w:hAnsi="Amiri"/>
          <w:color w:val="111111"/>
          <w:sz w:val="28"/>
          <w:szCs w:val="28"/>
          <w:rtl w:val="true"/>
          <w:lang w:bidi="ar-SA"/>
        </w:rPr>
        <w:t>:</w:t>
      </w:r>
      <w:r>
        <w:rPr>
          <w:rStyle w:val="FootnoteAnchor"/>
          <w:rtl w:val="true"/>
        </w:rPr>
        <w:footnoteReference w:id="1575"/>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تماميّة ما يقال من أنّ هذه الصورة مع صورة العفو مجّاناً من سنخ واحد، كما هو المحكيّ عن نصّ جماعة، يكثر الإجماع في المسألة، حيث إنّ الإجماع في صورة العفو إجماع على المسألة أيضاً؛ لأنّهما من سنخ واحد، فعن الخلاف </w:t>
      </w:r>
      <w:r>
        <w:rPr>
          <w:rStyle w:val="FootnoteAnchor"/>
          <w:rtl w:val="true"/>
        </w:rPr>
        <w:footnoteReference w:id="1576"/>
      </w:r>
      <w:r>
        <w:rPr>
          <w:rFonts w:ascii="Amiri" w:hAnsi="Amiri" w:eastAsia="Amiri" w:cs="Amiri"/>
          <w:color w:val="111111"/>
          <w:sz w:val="28"/>
          <w:sz w:val="28"/>
          <w:szCs w:val="28"/>
          <w:rtl w:val="true"/>
          <w:lang w:bidi="ar-SA"/>
        </w:rPr>
        <w:t xml:space="preserve">و الغنية </w:t>
      </w:r>
      <w:r>
        <w:rPr>
          <w:rStyle w:val="FootnoteAnchor"/>
          <w:rtl w:val="true"/>
        </w:rPr>
        <w:footnoteReference w:id="1577"/>
      </w:r>
      <w:r>
        <w:rPr>
          <w:rFonts w:ascii="Amiri" w:hAnsi="Amiri" w:eastAsia="Amiri" w:cs="Amiri"/>
          <w:color w:val="111111"/>
          <w:sz w:val="28"/>
          <w:sz w:val="28"/>
          <w:szCs w:val="28"/>
          <w:rtl w:val="true"/>
          <w:lang w:bidi="ar-SA"/>
        </w:rPr>
        <w:t xml:space="preserve">تعرّضهما لصورةالعفو مجّاناً وادّعائهما الإجماع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صريحاً، وعن ظاهر المسالك </w:t>
      </w:r>
      <w:r>
        <w:rPr>
          <w:rStyle w:val="FootnoteAnchor"/>
          <w:rtl w:val="true"/>
        </w:rPr>
        <w:footnoteReference w:id="1578"/>
      </w:r>
      <w:r>
        <w:rPr>
          <w:rFonts w:ascii="Amiri" w:hAnsi="Amiri" w:eastAsia="Amiri" w:cs="Amiri"/>
          <w:color w:val="111111"/>
          <w:sz w:val="28"/>
          <w:sz w:val="28"/>
          <w:szCs w:val="28"/>
          <w:rtl w:val="true"/>
          <w:lang w:bidi="ar-SA"/>
        </w:rPr>
        <w:t>وملاذ الأخيار</w:t>
      </w:r>
      <w:r>
        <w:rPr>
          <w:rStyle w:val="FootnoteAnchor"/>
          <w:rtl w:val="true"/>
        </w:rPr>
        <w:footnoteReference w:id="1579"/>
      </w:r>
      <w:r>
        <w:rPr>
          <w:rFonts w:ascii="Amiri" w:hAnsi="Amiri" w:eastAsia="Amiri" w:cs="Amiri"/>
          <w:color w:val="111111"/>
          <w:sz w:val="28"/>
          <w:sz w:val="28"/>
          <w:szCs w:val="28"/>
          <w:rtl w:val="true"/>
          <w:lang w:bidi="ar-SA"/>
        </w:rPr>
        <w:t>و الرياض</w:t>
      </w:r>
      <w:r>
        <w:rPr>
          <w:rFonts w:eastAsia="Amiri" w:cs="Amiri" w:ascii="Amiri" w:hAnsi="Amiri"/>
          <w:color w:val="111111"/>
          <w:sz w:val="28"/>
          <w:szCs w:val="28"/>
          <w:rtl w:val="true"/>
          <w:lang w:bidi="ar-SA"/>
        </w:rPr>
        <w:t>:</w:t>
      </w:r>
      <w:r>
        <w:rPr>
          <w:rStyle w:val="FootnoteAnchor"/>
          <w:rtl w:val="true"/>
        </w:rPr>
        <w:footnoteReference w:id="1580"/>
      </w:r>
      <w:r>
        <w:rPr>
          <w:rFonts w:ascii="Amiri" w:hAnsi="Amiri" w:eastAsia="Amiri" w:cs="Amiri"/>
          <w:color w:val="111111"/>
          <w:sz w:val="28"/>
          <w:sz w:val="28"/>
          <w:szCs w:val="28"/>
          <w:rtl w:val="true"/>
          <w:lang w:bidi="ar-SA"/>
        </w:rPr>
        <w:t>الإجماع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جماعة أنّ مسألة العفو لا خلاف فيها، وإنّما الشبهة أو الخلاف فيما إذا اختار أحدهما الدية، وأوّل من فتح ذلك المحقّق في الشرائع ،</w:t>
      </w:r>
      <w:r>
        <w:rPr>
          <w:rStyle w:val="FootnoteAnchor"/>
          <w:rtl w:val="true"/>
        </w:rPr>
        <w:footnoteReference w:id="1581"/>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أسمعناكه فيما إذا اختار أحدهما الدية، وجزم فيما إذا عفا البعض بعدم سقوط القصاص من غير تأ‌مّل ولا نسبه إلى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 على ذلك المصنّف في المنتهى،</w:t>
      </w:r>
      <w:r>
        <w:rPr>
          <w:rStyle w:val="FootnoteAnchor"/>
          <w:rtl w:val="true"/>
        </w:rPr>
        <w:footnoteReference w:id="1582"/>
      </w:r>
      <w:r>
        <w:rPr>
          <w:rFonts w:ascii="Amiri" w:hAnsi="Amiri" w:eastAsia="Amiri" w:cs="Amiri"/>
          <w:color w:val="111111"/>
          <w:sz w:val="28"/>
          <w:sz w:val="28"/>
          <w:szCs w:val="28"/>
          <w:rtl w:val="true"/>
          <w:lang w:bidi="ar-SA"/>
        </w:rPr>
        <w:t>والشهيد الثاني في المسالك و‌الروضة</w:t>
      </w:r>
      <w:r>
        <w:rPr>
          <w:rStyle w:val="FootnoteAnchor"/>
          <w:rtl w:val="true"/>
        </w:rPr>
        <w:footnoteReference w:id="1583"/>
      </w:r>
      <w:r>
        <w:rPr>
          <w:rFonts w:ascii="Amiri" w:hAnsi="Amiri" w:eastAsia="Amiri" w:cs="Amiri"/>
          <w:color w:val="111111"/>
          <w:sz w:val="28"/>
          <w:sz w:val="28"/>
          <w:szCs w:val="28"/>
          <w:rtl w:val="true"/>
          <w:lang w:bidi="ar-SA"/>
        </w:rPr>
        <w:t>وغيرهما،</w:t>
      </w:r>
      <w:r>
        <w:rPr>
          <w:rStyle w:val="FootnoteAnchor"/>
          <w:rtl w:val="true"/>
        </w:rPr>
        <w:footnoteReference w:id="1584"/>
      </w:r>
      <w:r>
        <w:rPr>
          <w:rFonts w:ascii="Amiri" w:hAnsi="Amiri" w:eastAsia="Amiri" w:cs="Amiri"/>
          <w:color w:val="111111"/>
          <w:sz w:val="28"/>
          <w:sz w:val="28"/>
          <w:szCs w:val="28"/>
          <w:rtl w:val="true"/>
          <w:lang w:bidi="ar-SA"/>
        </w:rPr>
        <w:t>فنسب في المسالك</w:t>
      </w:r>
      <w:r>
        <w:rPr>
          <w:rStyle w:val="FootnoteAnchor"/>
          <w:rtl w:val="true"/>
        </w:rPr>
        <w:footnoteReference w:id="1585"/>
      </w:r>
      <w:r>
        <w:rPr>
          <w:rFonts w:ascii="Amiri" w:hAnsi="Amiri" w:eastAsia="Amiri" w:cs="Amiri"/>
          <w:color w:val="111111"/>
          <w:sz w:val="28"/>
          <w:sz w:val="28"/>
          <w:szCs w:val="28"/>
          <w:rtl w:val="true"/>
          <w:lang w:bidi="ar-SA"/>
        </w:rPr>
        <w:t>مسألة العفو إلى الأصحاب ومسألة اختيار الدية إلى المشهور</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المحقّق في الشرائع في مسألة ما إذا اختار بعضهمالدية وأجاب القاتل نسب سقوط القود إلى الرواية، وتبعه على ذلك المصنّف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المنتهى، والشهيد الثاني في المسالك 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تتبّعنا أخبار الباب فوجدنا الأخبار الدالّة على سقوط القود إنّما هي في صورة ما إذا عفا بعضهم، وليس في الباب خبر ولا أثر يدلّ على سقوط القود إذا اختار بعضهم الدية بمنطوقه ولا بمفهومه، فكان الواجب على المحقّق وغيره أن يعكسوا الأمر، كما هو واضح</w:t>
      </w:r>
      <w:r>
        <w:rPr>
          <w:rFonts w:eastAsia="Amiri" w:cs="Amiri" w:ascii="Amiri" w:hAnsi="Amiri"/>
          <w:color w:val="111111"/>
          <w:sz w:val="28"/>
          <w:szCs w:val="28"/>
          <w:rtl w:val="true"/>
          <w:lang w:bidi="ar-SA"/>
        </w:rPr>
        <w:t>.</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واستدلّ للمشهور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والمستدلّ به اللثام</w:t>
      </w:r>
      <w:r>
        <w:rPr>
          <w:rFonts w:eastAsia="IRNazanin" w:cs="IRNazanin"/>
          <w:color w:val="111111"/>
          <w:sz w:val="28"/>
          <w:szCs w:val="28"/>
          <w:rtl w:val="true"/>
          <w:lang w:bidi="fa-IR"/>
        </w:rPr>
        <w:t>.</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جَعَلْنَا لِوَليِّه سُلْطاناً</w:t>
      </w:r>
      <w:r>
        <w:rPr>
          <w:rFonts w:ascii="IRNazanin" w:hAnsi="IRNazanin" w:eastAsia="IRNazanin"/>
          <w:color w:val="111111"/>
          <w:sz w:val="28"/>
          <w:sz w:val="28"/>
          <w:szCs w:val="28"/>
          <w:rtl w:val="true"/>
          <w:lang w:bidi="fa-IR"/>
        </w:rPr>
        <w:t>،</w:t>
      </w:r>
      <w:r>
        <w:rPr>
          <w:rStyle w:val="FootnoteAnchor"/>
          <w:rtl w:val="true"/>
        </w:rPr>
        <w:footnoteReference w:id="1588"/>
      </w:r>
      <w:r>
        <w:rPr>
          <w:rFonts w:ascii="Amiri" w:hAnsi="Amiri" w:eastAsia="Amiri" w:cs="Amiri"/>
          <w:color w:val="111111"/>
          <w:sz w:val="28"/>
          <w:sz w:val="28"/>
          <w:szCs w:val="28"/>
          <w:rtl w:val="true"/>
          <w:lang w:bidi="ar-SA"/>
        </w:rPr>
        <w:t>فإنّ مقتضى إطلاقه ثبوت الولاية للأولياء مع أخذ البقيّة الدية ومع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وله أُمّ وأب وابن؟ فقال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أريد أن أقتل قاتل أبي، وقال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أعفو، وقالت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أريد أن آخذ الدية،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فليعط الابنُ أُمّ المقتول السدس من الدية، ويعطي ورثة القاتل السدس من الدية حقّ الأب الذي عفا وليقتله</w:t>
      </w:r>
      <w:r>
        <w:rPr>
          <w:rFonts w:eastAsia="IRNazanin" w:cs="IRNazanin"/>
          <w:color w:val="111111"/>
          <w:sz w:val="28"/>
          <w:szCs w:val="28"/>
          <w:rtl w:val="true"/>
          <w:lang w:bidi="fa-IR"/>
        </w:rPr>
        <w:t>».</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منها عرفاً تقدّم مريد القصاص على مريد العفو ومريد أخذ الدية، 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تكون من أخبار المسألة أيضاً، فإنّ الأُمّ والأب فيها مريدة للدية فدلالتها أوضح، وطلب الدية من الجاني ملازم مع قبوله، فلا فرق بينه وبين ما أجاب القاتل بالدية وهو المفروض في المسألة،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دلالتها على المشهور كسندها تامّة، ولقد أجاد المسالك </w:t>
      </w:r>
      <w:r>
        <w:rPr>
          <w:rStyle w:val="FootnoteAnchor"/>
          <w:rtl w:val="true"/>
        </w:rPr>
        <w:footnoteReference w:id="1590"/>
      </w:r>
      <w:r>
        <w:rPr>
          <w:rFonts w:ascii="Amiri" w:hAnsi="Amiri" w:eastAsia="Amiri" w:cs="Amiri"/>
          <w:color w:val="111111"/>
          <w:sz w:val="28"/>
          <w:sz w:val="28"/>
          <w:szCs w:val="28"/>
          <w:rtl w:val="true"/>
          <w:lang w:bidi="ar-SA"/>
        </w:rPr>
        <w:t>في ذكرها في عداد الأدلّة، وما وجدت غيره استدلّ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جميل بن درّاج، عن بعض أصحابه، رفعه إلى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قتل وله وليّان، فعفا أحدهما وأبى الآخر أن يعفو،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أراد الذي لم يعف أن يقتل، قتل وردّ نصف الدية على أولياء المقتول المقاد منه</w:t>
      </w:r>
      <w:r>
        <w:rPr>
          <w:rFonts w:eastAsia="IRNazanin" w:cs="IRNazanin"/>
          <w:color w:val="111111"/>
          <w:sz w:val="28"/>
          <w:szCs w:val="28"/>
          <w:rtl w:val="true"/>
          <w:lang w:bidi="fa-IR"/>
        </w:rPr>
        <w:t>».</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 xml:space="preserve">ومورد السؤال فيها وإن كان عفو البقيّة، لكنّها دليل على محلّ البحث أيضاً من جهة ترك الاستفصال في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فتكون شاملة لعفو البعض مجّاناً ولعفوه مع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نظر المجمع</w:t>
      </w:r>
      <w:r>
        <w:rPr>
          <w:rStyle w:val="FootnoteAnchor"/>
          <w:rtl w:val="true"/>
        </w:rPr>
        <w:footnoteReference w:id="1592"/>
      </w:r>
      <w:r>
        <w:rPr>
          <w:rFonts w:ascii="Amiri" w:hAnsi="Amiri" w:eastAsia="Amiri" w:cs="Amiri"/>
          <w:color w:val="111111"/>
          <w:sz w:val="28"/>
          <w:sz w:val="28"/>
          <w:szCs w:val="28"/>
          <w:rtl w:val="true"/>
          <w:lang w:bidi="ar-SA"/>
        </w:rPr>
        <w:t>في وجه الاستدلال بها ما بيّناه من ترك الاستفصال، وإلّا فلا عموم فيها حتّى تكون شاملة لما نحن فيه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بقاء الحقّ، حيث إنّ حقّ القصاص لمريد القصاص قبل جواب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الجاني بالدية والمال للمريد لها من الأولياء كان ثابتاً له قطعاً يستصحب بقاءه إلى بعد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العمدة من الوجوه الخمسة الثاني، ثمّ بعدها الثالث، ثمّ بعدها الرابع، وأمّا الخامس فمنوط بعدم الدليل، فمع عدمه جارٍ وتامّ، وأمّا الأوّل ممنوع وجوداً وحجّة،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المتن من أنّ المردود إلى الجاني نصيب من فاداه وإن كان ما دفعه إلى من فاداه أكثر أو أقلّ من سهمه أو مساوياً له هو الموافق للاعتبار؛ لأنّه قد ملك من نفسه بمقدار نصيب العافي، سواء صالحه بأكثر أو أقلّ من نصيبه أو مساوياً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جواب الجاني بالمال، وهو العمدة من الصور، ومثلها بل أولى منها بجواز القصاص لمن أراده من الأولياء ما لو امتنع الجاني من الأداء بعد ما وقع العفو والصلح معه على مقدار من المال، فإنّه بعد ما كان له القصاص مع أداء الجاني المال فمع عدمه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له من أداء سهم العافي من الدية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اقتصر بعض الأولياء على مطالبته بالدية وامتنع الجاني، فالظاهر جواز الاقتصاص لمريده من الأولياء مع ردّ حصّة المطالب بها؛ لما مرّ</w:t>
      </w:r>
      <w:r>
        <w:rPr>
          <w:rStyle w:val="FootnoteAnchor"/>
          <w:rtl w:val="true"/>
        </w:rPr>
        <w:footnoteReference w:id="1593"/>
      </w:r>
      <w:r>
        <w:rPr>
          <w:rFonts w:ascii="Amiri" w:hAnsi="Amiri" w:eastAsia="Amiri" w:cs="Amiri"/>
          <w:color w:val="111111"/>
          <w:sz w:val="28"/>
          <w:sz w:val="28"/>
          <w:szCs w:val="28"/>
          <w:rtl w:val="true"/>
          <w:lang w:bidi="ar-SA"/>
        </w:rPr>
        <w:t>من عدم اعتبار إذن الجميع في القصاص، غاية الأمر أنّ المستوفي للقصاص يضمن حصص البقيّة من الدية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المتن من عدم الجواز في هذه الصورة مبني على مبناه في تلك المسألة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صور العفو مع عدم كونه مجّانيّاً، وأمّا صورة المجّانيّة منه، وهو المذكور في المتن في آخر المسألة، فجواز الاستيفاء فيها لغير العافي، وعليه الإجماع محصّلاً ومنقولاً مستفيضاً، كما يظهر لمن راجع الإجماعات المنقولة في الصورة الأُولى، ومرّ الكلام فيها في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آية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w:t>
      </w:r>
      <w:r>
        <w:rPr>
          <w:rFonts w:ascii="IRNazanin" w:hAnsi="IRNazanin" w:eastAsia="IRNazanin"/>
          <w:color w:val="111111"/>
          <w:sz w:val="28"/>
          <w:sz w:val="28"/>
          <w:szCs w:val="28"/>
          <w:rtl w:val="true"/>
          <w:lang w:bidi="fa-IR"/>
        </w:rPr>
        <w:t>،</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وصحيحة أبي ولّاد،</w:t>
      </w:r>
      <w:r>
        <w:rPr>
          <w:rStyle w:val="FootnoteAnchor"/>
          <w:rtl w:val="true"/>
        </w:rPr>
        <w:footnoteReference w:id="1595"/>
      </w:r>
      <w:r>
        <w:rPr>
          <w:rFonts w:ascii="Amiri" w:hAnsi="Amiri" w:eastAsia="Amiri" w:cs="Amiri"/>
          <w:color w:val="111111"/>
          <w:sz w:val="28"/>
          <w:sz w:val="28"/>
          <w:szCs w:val="28"/>
          <w:rtl w:val="true"/>
          <w:lang w:bidi="ar-SA"/>
        </w:rPr>
        <w:t>ومرسلة جميل،</w:t>
      </w:r>
      <w:r>
        <w:rPr>
          <w:rStyle w:val="FootnoteAnchor"/>
          <w:rtl w:val="true"/>
        </w:rPr>
        <w:footnoteReference w:id="1596"/>
      </w:r>
      <w:r>
        <w:rPr>
          <w:rFonts w:ascii="Amiri" w:hAnsi="Amiri" w:eastAsia="Amiri" w:cs="Amiri"/>
          <w:color w:val="111111"/>
          <w:sz w:val="28"/>
          <w:sz w:val="28"/>
          <w:szCs w:val="28"/>
          <w:rtl w:val="true"/>
          <w:lang w:bidi="ar-SA"/>
        </w:rPr>
        <w:t>من أدلّة الجواز لصورة العفو مع عدم مجّانيّته، ودلالتهما على جواز الاستيفاء في هذه الصورة واضحة كالدلالة في تلك الصورة فغير محتاجة إلى البيان، لكنّ الأخبار المستفيضة التي تبلغ عددها الخمسة تدلّ على سقوط حقّ القصاص عن البقيّة في هذه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عبدالرحمن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قتلا رجلاً عمداً وله وليّان فعفا أحد الوليين؟ قا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عفا بعض الأولياء درئ عنهما القتل، وطرح عنهما من الدية بقدر حصّة من عفا، وأَدّيا الباقي من أموالهما إلى الذين لم يعفوا</w:t>
      </w:r>
      <w:r>
        <w:rPr>
          <w:rFonts w:eastAsia="IRNazanin" w:cs="IRNazanin"/>
          <w:color w:val="111111"/>
          <w:sz w:val="28"/>
          <w:szCs w:val="28"/>
          <w:rtl w:val="true"/>
          <w:lang w:bidi="fa-IR"/>
        </w:rPr>
        <w:t>».</w:t>
      </w:r>
      <w:r>
        <w:rPr>
          <w:rStyle w:val="FootnoteAnchor"/>
          <w:rtl w:val="true"/>
        </w:rPr>
        <w:footnoteReference w:id="1597"/>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رجلين قتلارجلاً عمداً وله وليّان فعفا أحد الوليين؟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عفا عنهما بعض الأولياء درئ عنهما القتل، وطرح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عنهما من الدية بقدر حصّة من عفا، وأدّيا الباقي من أموالهما إلى الذي لم يعف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 كلّ ذي سهم جائز</w:t>
      </w:r>
      <w:r>
        <w:rPr>
          <w:rFonts w:eastAsia="Amiri" w:cs="Amiri" w:ascii="Amiri" w:hAnsi="Amiri"/>
          <w:color w:val="111111"/>
          <w:sz w:val="28"/>
          <w:szCs w:val="28"/>
          <w:rtl w:val="true"/>
          <w:lang w:bidi="ar-SA"/>
        </w:rPr>
        <w:t>».</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عفا عن الدم من ذي سهم له فيه فعفوه جائز وسقط الدم وتصير دية، ويرفع عنه حصّة الذي عفا</w:t>
      </w:r>
      <w:r>
        <w:rPr>
          <w:rFonts w:eastAsia="IRNazanin" w:cs="IRNazanin"/>
          <w:color w:val="111111"/>
          <w:sz w:val="28"/>
          <w:szCs w:val="28"/>
          <w:rtl w:val="true"/>
          <w:lang w:bidi="fa-IR"/>
        </w:rPr>
        <w:t>».</w:t>
      </w:r>
      <w:r>
        <w:rPr>
          <w:rStyle w:val="FootnoteAnchor"/>
          <w:rtl w:val="true"/>
        </w:rPr>
        <w:footnoteReference w:id="1599"/>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أبي مريم،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عفا من ذي سهم فإنّ عفوه جائز، وقضى في أربعة إخوة عفا أحدهم،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 بقيّتهم الدية، ويرفع عنهم بحصّة الذي عفا</w:t>
      </w:r>
      <w:r>
        <w:rPr>
          <w:rFonts w:eastAsia="IRNazanin" w:cs="IRNazanin"/>
          <w:color w:val="111111"/>
          <w:sz w:val="28"/>
          <w:szCs w:val="28"/>
          <w:rtl w:val="true"/>
          <w:lang w:bidi="fa-IR"/>
        </w:rPr>
        <w:t>».</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عفا واحد من الأولياء ارتفع القود</w:t>
      </w:r>
      <w:r>
        <w:rPr>
          <w:rFonts w:eastAsia="Amiri" w:cs="Amiri" w:ascii="Amiri" w:hAnsi="Amiri"/>
          <w:color w:val="111111"/>
          <w:sz w:val="28"/>
          <w:szCs w:val="28"/>
          <w:rtl w:val="true"/>
          <w:lang w:bidi="ar-SA"/>
        </w:rPr>
        <w:t>».</w:t>
      </w:r>
      <w:r>
        <w:rPr>
          <w:rStyle w:val="FootnoteAnchor"/>
          <w:rtl w:val="true"/>
        </w:rPr>
        <w:footnoteReference w:id="1601"/>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الأخبار قد أعرض عنها الأصحاب فليست بحجّة وإن كانتمستفيضة، وفيها الصحيح والموثّق، فإنّ الخبر المعرض عنه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إزداد قوّة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إزداد ضعفاً، وحملها جماعة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ملاذ الأخيار</w:t>
      </w:r>
      <w:r>
        <w:rPr>
          <w:rFonts w:eastAsia="Amiri" w:cs="Amiri" w:ascii="Amiri" w:hAnsi="Amiri"/>
          <w:color w:val="111111"/>
          <w:sz w:val="28"/>
          <w:szCs w:val="28"/>
          <w:rtl w:val="true"/>
          <w:lang w:bidi="ar-SA"/>
        </w:rPr>
        <w:t>:</w:t>
      </w:r>
      <w:r>
        <w:rPr>
          <w:rStyle w:val="FootnoteAnchor"/>
          <w:rtl w:val="true"/>
        </w:rPr>
        <w:footnoteReference w:id="1602"/>
      </w:r>
      <w:r>
        <w:rPr>
          <w:rFonts w:ascii="Amiri" w:hAnsi="Amiri" w:eastAsia="Amiri" w:cs="Amiri"/>
          <w:color w:val="111111"/>
          <w:sz w:val="28"/>
          <w:sz w:val="28"/>
          <w:szCs w:val="28"/>
          <w:rtl w:val="true"/>
          <w:lang w:bidi="ar-SA"/>
        </w:rPr>
        <w:t>هو الأظهر حمله على التقيّة؛ لاشتهار ذلك بين العامّة، وحملت أيضاً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وحملها الشيخ في الاستبصار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يؤدّ من يريد القود إلى أولياء المقاد منه مقدار ما عفى عنه؛ لأنّه متى لم يؤدّ ذلك لم يكن له القود على حالٍ</w:t>
      </w:r>
      <w:r>
        <w:rPr>
          <w:rFonts w:eastAsia="Amiri" w:cs="Amiri" w:ascii="Amiri" w:hAnsi="Amiri"/>
          <w:color w:val="111111"/>
          <w:sz w:val="28"/>
          <w:szCs w:val="28"/>
          <w:rtl w:val="true"/>
          <w:lang w:bidi="ar-SA"/>
        </w:rPr>
        <w:t>».</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مثل الشرائع بتلك الأخبار لاستناده في سقوط القصاص إلى الرواية، وليس في الأخبار ما يدلّ على ذلك إلّا تلك الأخبار، والمسألتان من سنخ واحد، كما عليه جماعة، فالإعراض المسقط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مراده من الرواية تلك الأخبار؛ لأنّه أفتى بالجزم على عدم سقوط القود والقصاص عن البقيّة مع العفو المجاني عن بعض الأولياء، مع أنّه المورد لتلك الأخبار،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عفا البعض لم يسقط القصاص، وللباقين أن يقتصّوا بعد ردّ نصيب من عفا على القاتل</w:t>
      </w:r>
      <w:r>
        <w:rPr>
          <w:rFonts w:eastAsia="Amiri" w:cs="Amiri" w:ascii="Amiri" w:hAnsi="Amiri"/>
          <w:color w:val="111111"/>
          <w:sz w:val="28"/>
          <w:szCs w:val="28"/>
          <w:rtl w:val="true"/>
          <w:lang w:bidi="ar-SA"/>
        </w:rPr>
        <w:t>.</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والمسألتان ليستا من سنخ واحد؛ لما عرفت من الإجماع وعدم الخلاف، والجزم بالجواز في هذه الصورة دون الصورة الأُولى، وممّا في مثل الشرائع من نسبة سقوط القود إلى الرواية وعدم السقوط إلى الشهرة في الصورة الأُولى</w:t>
      </w:r>
      <w:r>
        <w:rPr>
          <w:rFonts w:eastAsia="Amiri" w:cs="Amiri" w:ascii="Amiri" w:hAnsi="Amiri"/>
          <w:color w:val="111111"/>
          <w:sz w:val="28"/>
          <w:szCs w:val="28"/>
          <w:rtl w:val="true"/>
          <w:lang w:bidi="ar-SA"/>
        </w:rPr>
        <w:t xml:space="preserve">. </w:t>
      </w:r>
      <w:bookmarkStart w:id="373" w:name="pg9428_72842"/>
    </w:p>
    <w:p>
      <w:pPr>
        <w:pStyle w:val="BookText"/>
        <w:rPr/>
      </w:pPr>
      <w:bookmarkEnd w:id="3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 الأب والأجنبيّ في قتل ولده، أو المسلم والذمّي في قتل ذمّي، فعلى الشريك القود، لكن يردّ الشريك الآخر عليه نصف ديته، أو يردّ الوليّ نصفها ويطالب الآخر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أحدهما عامداً والآخر خاطئاً، فالقود على العامد بعد ردّ نصف الدية على المقتصّ منه، فإن كان القتل خطأً محضاً فالنصف على العاقلة، وإن كان شبه عمد كان الردّ من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شارك العامد سبع ونحوه يقتصّ منه بعد ردّ نصف 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5797653_2870459653"/>
      <w:bookmarkStart w:id="375" w:name="_Toc127"/>
      <w:bookmarkEnd w:id="374"/>
      <w:r>
        <w:rPr>
          <w:rtl w:val="true"/>
        </w:rPr>
        <w:t>اشتراك الأب في قتل ولده مع الأجنبيّ</w:t>
      </w:r>
      <w:bookmarkEnd w:id="3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الصور المذكورة في المسألة كون أحدهما ممّن عليه القصاص لو كان منفرداً دون الآخر الذي لاقصاص عليه؛ لعدم الشرط، أو وجود المانع، أو لعدم العمد، أو لكونه سبعاً ونحوه وإن كان عليه</w:t>
      </w:r>
      <w:r>
        <w:rPr>
          <w:rStyle w:val="FootnoteAnchor"/>
          <w:rtl w:val="true"/>
        </w:rPr>
        <w:footnoteReference w:id="1605"/>
      </w:r>
      <w:r>
        <w:rPr>
          <w:rFonts w:ascii="Amiri" w:hAnsi="Amiri" w:eastAsia="Amiri" w:cs="Amiri"/>
          <w:color w:val="111111"/>
          <w:sz w:val="28"/>
          <w:sz w:val="28"/>
          <w:szCs w:val="28"/>
          <w:rtl w:val="true"/>
          <w:lang w:bidi="ar-SA"/>
        </w:rPr>
        <w:t>أو على عاقلته نصف الدية للمقتصّ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يجوز لوليّ الدم ردّ النصف إليه وأخذه من ذلك الآخر الذي عليه نصف دية المقتصّ منه من نفسه أو عاقلته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كان المشارك السبع ردّ النصف إلى المقتصّ منه على الوليّ ومستقرّ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جميع الصور ثبوت القصاص لوليّ الدم لمن كان عليه القصاص إن كان منفرداً بلا إشكال، بل لاخلاف فيه منّا؛ لإطلاق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جَعَلْنا لِوَلِيِّهِ سُلْطَاناً</w:t>
      </w:r>
      <w:r>
        <w:rPr>
          <w:rFonts w:ascii="IRNazanin" w:hAnsi="IRNazanin" w:eastAsia="IRNazanin"/>
          <w:color w:val="111111"/>
          <w:sz w:val="28"/>
          <w:sz w:val="28"/>
          <w:szCs w:val="28"/>
          <w:rtl w:val="true"/>
          <w:lang w:bidi="fa-IR"/>
        </w:rPr>
        <w:t>،</w:t>
      </w:r>
      <w:r>
        <w:rPr>
          <w:rStyle w:val="FootnoteAnchor"/>
          <w:rtl w:val="true"/>
        </w:rPr>
        <w:footnoteReference w:id="1606"/>
      </w:r>
      <w:r>
        <w:rPr>
          <w:rFonts w:ascii="Amiri" w:hAnsi="Amiri" w:eastAsia="Amiri" w:cs="Amiri"/>
          <w:color w:val="111111"/>
          <w:sz w:val="28"/>
          <w:sz w:val="28"/>
          <w:szCs w:val="28"/>
          <w:rtl w:val="true"/>
          <w:lang w:bidi="ar-SA"/>
        </w:rPr>
        <w:t>ولأنّ البناء على تغليب القصاص فيالموارد المختلفة نصّاً وفتوىً</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تنقسم الجناية بتعدّد الأولياء كذا تنقسم بتعدّد الجاني، وكما لا يمنع عفو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لفلس أو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استيفاء القصاص، فللمحجور عليه الاقتصاص، ولو عفا المحجور عليه لفلس على مال، ورضي به القاتل، قسّمه على الغرماء كغيره من الأموال المكتسبة بعد حجر الحاكم جديداً عنه، والحجر السابق لا يكفي في ذلك، وللمحجور عليه العفو مجّاناً وبأقلّ من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الأولياء الباقين عن القصاص كذا لا يمنع عدم تعلّق القصاص ببعض الجانين تعلّقه بالباقي ووجوب ردّ نصف الدية على المقتصّ منه إنّما يكون لشركة الآخر في القتل فإنّها وإن لم تكن موجبة للقصاص عليه؛ لكونه والداً مثلاً، إلّا أنّ ذلك لا يرفع ضمان النصف المقتصّ منه الذي ليس عليه إلّا نصف بمقتضى الشركة، هذا كلّه حكم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مثالية جميع الأمثلة مبتنية على المبنى في شرائط القصاص، كما أنّ مافيها من الدية على العاقلة أيضاً مبتنية على ذلك في الديات، فتدبّر ليظهر لك الحقّ فيهما في الأمثلة من الحقّ في المبنيين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عدم مانعيّة الحجر للفلس أو السفه عن الاستيفاء هو اختصاص الحجر عليهما بالمال، والقصاص ليس منه حتّى على المختار من أنّ الواجب في العمد أحد الأمرين، فإنّ ذلك لا يجعله مالاً، بل لا يجب عليه معيّناً حتّى على المختار، اختيار الدية، إذ هو تكسّب لا يجب عليه، كما أنّه ليس استيفاؤهما القصاص تصرّفاً مالياً كي يمنعا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عفا المفلّس على مال أقلّ من الدية أو أكثر أو مساو ورضي القاتل، قسّمه على الغرماء كغيره من الأموال التي يكتسبها، ولهما العفو مجّاناً فضلاً عن العفو على الأقلّ من الدية؛ بناءً على عدم وجوب غير القود بقتل العمد</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المختار من أنّ الواجب أحد الأمرين، فالمتّجه عدم جواز عفوهما عن المال؛ لكونه أمراً ماليّاً غير جائز منهما، كما هو واضح</w:t>
      </w:r>
      <w:r>
        <w:rPr>
          <w:rFonts w:eastAsia="Amiri" w:cs="Amiri" w:ascii="Amiri" w:hAnsi="Amiri"/>
          <w:color w:val="111111"/>
          <w:sz w:val="28"/>
          <w:szCs w:val="28"/>
          <w:rtl w:val="true"/>
          <w:lang w:bidi="ar-SA"/>
        </w:rPr>
        <w:t xml:space="preserve">. </w:t>
      </w:r>
      <w:bookmarkStart w:id="376" w:name="pg9428_72844"/>
    </w:p>
    <w:p>
      <w:pPr>
        <w:pStyle w:val="BookText"/>
        <w:rPr/>
      </w:pPr>
      <w:bookmarkEnd w:id="3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شخص وعليه دين، فإن أخذ الورثة ديته صرفت في ديون المقتول ووصاياه كباقي أمواله؛ ولا فرق في ذلك بين دية القتل خطأً، أو شبه عمد، أو ما صولح عليه في العمد؛ كان بمقدار ديته أو أقلّ أو أكثر، بجنس ديته أو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5797655_2870459653"/>
      <w:bookmarkStart w:id="378" w:name="_Toc128"/>
      <w:bookmarkEnd w:id="377"/>
      <w:r>
        <w:rPr>
          <w:rtl w:val="true"/>
        </w:rPr>
        <w:t>صرف الدية في ديون المقتول</w:t>
      </w:r>
      <w:bookmarkEnd w:id="3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إشارة إلى وجه صرف الدية في ديون المقتول ووصاياه قبل الإرث، وهو التشبيه بباقي أمواله، فإنّ الدية كباقي أمواله على الأظهر الأشهر بل المشهور، بل نفي عنه الخلاف في مجمع الفائدة والبرهان</w:t>
      </w:r>
      <w:r>
        <w:rPr>
          <w:rStyle w:val="FootnoteAnchor"/>
          <w:rtl w:val="true"/>
        </w:rPr>
        <w:footnoteReference w:id="1607"/>
      </w:r>
      <w:r>
        <w:rPr>
          <w:rFonts w:ascii="Amiri" w:hAnsi="Amiri" w:eastAsia="Amiri" w:cs="Amiri"/>
          <w:color w:val="111111"/>
          <w:sz w:val="28"/>
          <w:sz w:val="28"/>
          <w:szCs w:val="28"/>
          <w:rtl w:val="true"/>
          <w:lang w:bidi="ar-SA"/>
        </w:rPr>
        <w:t>والكفاية</w:t>
      </w:r>
      <w:r>
        <w:rPr>
          <w:rStyle w:val="FootnoteAnchor"/>
          <w:rtl w:val="true"/>
        </w:rPr>
        <w:footnoteReference w:id="1608"/>
      </w:r>
      <w:r>
        <w:rPr>
          <w:rFonts w:ascii="Amiri" w:hAnsi="Amiri" w:eastAsia="Amiri" w:cs="Amiri"/>
          <w:color w:val="111111"/>
          <w:sz w:val="28"/>
          <w:sz w:val="28"/>
          <w:szCs w:val="28"/>
          <w:rtl w:val="true"/>
          <w:lang w:bidi="ar-SA"/>
        </w:rPr>
        <w:t>وقواعد الأحكام،</w:t>
      </w:r>
      <w:r>
        <w:rPr>
          <w:rStyle w:val="FootnoteAnchor"/>
          <w:rtl w:val="true"/>
        </w:rPr>
        <w:footnoteReference w:id="1609"/>
      </w:r>
      <w:r>
        <w:rPr>
          <w:rFonts w:ascii="Amiri" w:hAnsi="Amiri" w:eastAsia="Amiri" w:cs="Amiri"/>
          <w:color w:val="111111"/>
          <w:sz w:val="28"/>
          <w:sz w:val="28"/>
          <w:szCs w:val="28"/>
          <w:rtl w:val="true"/>
          <w:lang w:bidi="ar-SA"/>
        </w:rPr>
        <w:t>وفي السرائر</w:t>
      </w:r>
      <w:r>
        <w:rPr>
          <w:rStyle w:val="FootnoteAnchor"/>
          <w:rtl w:val="true"/>
        </w:rPr>
        <w:footnoteReference w:id="1610"/>
      </w:r>
      <w:r>
        <w:rPr>
          <w:rFonts w:ascii="Amiri" w:hAnsi="Amiri" w:eastAsia="Amiri" w:cs="Amiri"/>
          <w:color w:val="111111"/>
          <w:sz w:val="28"/>
          <w:sz w:val="28"/>
          <w:szCs w:val="28"/>
          <w:rtl w:val="true"/>
          <w:lang w:bidi="ar-SA"/>
        </w:rPr>
        <w:t>و‌المهذّب</w:t>
      </w:r>
      <w:r>
        <w:rPr>
          <w:rFonts w:eastAsia="Amiri" w:cs="Amiri" w:ascii="Amiri" w:hAnsi="Amiri"/>
          <w:color w:val="111111"/>
          <w:sz w:val="28"/>
          <w:szCs w:val="28"/>
          <w:rtl w:val="true"/>
          <w:lang w:bidi="ar-SA"/>
        </w:rPr>
        <w:t>:</w:t>
      </w:r>
      <w:r>
        <w:rPr>
          <w:rStyle w:val="FootnoteAnchor"/>
          <w:rtl w:val="true"/>
        </w:rPr>
        <w:footnoteReference w:id="1611"/>
      </w:r>
      <w:r>
        <w:rPr>
          <w:rFonts w:ascii="Amiri" w:hAnsi="Amiri" w:eastAsia="Amiri" w:cs="Amiri"/>
          <w:color w:val="111111"/>
          <w:sz w:val="28"/>
          <w:sz w:val="28"/>
          <w:szCs w:val="28"/>
          <w:rtl w:val="true"/>
          <w:lang w:bidi="ar-SA"/>
        </w:rPr>
        <w:t>الإجماع عليه، لكن في دية الخطأ خاصّة، وهو الحجّة مضافاً إلى المعتبرة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لرجل بوصيّة من ماله ثلث أو ربع، فقتل الرجل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تجاز لهذا الوصيّة من ميراثه ومن ديته</w:t>
      </w:r>
      <w:r>
        <w:rPr>
          <w:rFonts w:eastAsia="Amiri" w:cs="Amiri" w:ascii="Amiri" w:hAnsi="Amiri"/>
          <w:color w:val="111111"/>
          <w:sz w:val="28"/>
          <w:szCs w:val="28"/>
          <w:rtl w:val="true"/>
          <w:lang w:bidi="ar-SA"/>
        </w:rPr>
        <w:t>».</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صحيح ابن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أوصى لرجل وصيّة مقطوعة غير مسمّاة من ماله ثلثاً، أو ربعاً أو أقلّ من ذلك أو أكثر،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قتل بعد ذلك الموصي فودي، فقضى في وصيّته، أنّها تنفذ من ماله ودِيته كما أوصى</w:t>
      </w:r>
      <w:r>
        <w:rPr>
          <w:rFonts w:eastAsia="Amiri" w:cs="Amiri" w:ascii="Amiri" w:hAnsi="Amiri"/>
          <w:color w:val="111111"/>
          <w:sz w:val="28"/>
          <w:szCs w:val="28"/>
          <w:rtl w:val="true"/>
          <w:lang w:bidi="ar-SA"/>
        </w:rPr>
        <w:t>».</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 xml:space="preserve">وفي صحيح يحيى الأزرق،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قتل وعليه دين ولم يترك مالاً فأخذ أهله الدية من قاتله، عليهم أن يقضوا دينه؟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لم يترك شيئاً،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أخذوا الدية فعليهم أن يقضوا دينه</w:t>
      </w:r>
      <w:r>
        <w:rPr>
          <w:rFonts w:eastAsia="IRNazanin" w:cs="IRNazanin"/>
          <w:color w:val="111111"/>
          <w:sz w:val="28"/>
          <w:szCs w:val="28"/>
          <w:rtl w:val="true"/>
          <w:lang w:bidi="fa-IR"/>
        </w:rPr>
        <w:t>».</w:t>
      </w:r>
      <w:r>
        <w:rPr>
          <w:rStyle w:val="FootnoteAnchor"/>
          <w:rtl w:val="true"/>
        </w:rPr>
        <w:footnoteReference w:id="1614"/>
      </w:r>
      <w:r>
        <w:rPr>
          <w:rFonts w:ascii="IRNazanin" w:hAnsi="IRNazanin" w:eastAsia="IRNazanin"/>
          <w:color w:val="111111"/>
          <w:sz w:val="28"/>
          <w:sz w:val="28"/>
          <w:szCs w:val="28"/>
          <w:rtl w:val="true"/>
          <w:lang w:bidi="fa-IR"/>
        </w:rPr>
        <w:t>ونحوه خبر عبد الحميد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وانجبار ضعف رواية عبد الحميد بن سعيد والحكم باعتبارها من جهة رواية صفوان بن يحيى الذي يكون من أصحاب الإجماع عنه، إنّما يتمّ على بعض الاحتمالات في أصحاب الإجماع</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الأمر سهلٌ مع وجود الروايات الصحيحة وإطلاق الثلاثة الأخيرة، بل عمومها الناشئ من ترك الاستفصال، مضافاً إلى النصّ الصريح المرويّ في الفقيه عن عليّ بن أبي حمزة، عن أبي الحسن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قتل عمداً وصالح أولياؤه قاتله علىالدية فعلى من الدين؟ على أوليائه من الدية أو على إمام المسلمين؟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يؤدّوا دينه من ديته التي صالحوا عليها أولياءه، فإنّه أحقّ بديته من غيره</w:t>
      </w:r>
      <w:r>
        <w:rPr>
          <w:rFonts w:eastAsia="IRNazanin" w:cs="IRNazanin"/>
          <w:color w:val="111111"/>
          <w:sz w:val="28"/>
          <w:szCs w:val="28"/>
          <w:rtl w:val="true"/>
          <w:lang w:bidi="fa-IR"/>
        </w:rPr>
        <w:t>».</w:t>
      </w:r>
      <w:r>
        <w:rPr>
          <w:rStyle w:val="FootnoteAnchor"/>
          <w:rtl w:val="true"/>
        </w:rPr>
        <w:footnoteReference w:id="16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التهذيب عن إسحاق بن عمّار،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قبلت دية العمد فصارت مالاً فهي ميراث كسائر الأموال</w:t>
      </w:r>
      <w:r>
        <w:rPr>
          <w:rFonts w:eastAsia="IRNazanin" w:cs="IRNazanin"/>
          <w:color w:val="111111"/>
          <w:sz w:val="28"/>
          <w:szCs w:val="28"/>
          <w:rtl w:val="true"/>
          <w:lang w:bidi="fa-IR"/>
        </w:rPr>
        <w:t>».</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حجّة على عدم الفرق في ذلك بين دية الخطأ والعمد، وعليه الإجماع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للحلّي</w:t>
      </w:r>
      <w:r>
        <w:rPr>
          <w:rStyle w:val="FootnoteAnchor"/>
          <w:rtl w:val="true"/>
        </w:rPr>
        <w:footnoteReference w:id="1618"/>
      </w:r>
      <w:r>
        <w:rPr>
          <w:rFonts w:ascii="Amiri" w:hAnsi="Amiri" w:eastAsia="Amiri" w:cs="Amiri"/>
          <w:color w:val="111111"/>
          <w:sz w:val="28"/>
          <w:sz w:val="28"/>
          <w:szCs w:val="28"/>
          <w:rtl w:val="true"/>
          <w:lang w:bidi="ar-SA"/>
        </w:rPr>
        <w:t>فخصّ الحكم بدية الخطأ؛ معلّلاً بأنّ العمد إنّما يوجب القصاص، وهو حقّ للوارث، فإذا رضي بالدية كانت عوضاً عنه، فكانت أبعد عن استحقاق الميّت من دية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إليه في الكفاية،</w:t>
      </w:r>
      <w:r>
        <w:rPr>
          <w:rStyle w:val="FootnoteAnchor"/>
          <w:rtl w:val="true"/>
        </w:rPr>
        <w:footnoteReference w:id="1619"/>
      </w:r>
      <w:r>
        <w:rPr>
          <w:rFonts w:ascii="Amiri" w:hAnsi="Amiri" w:eastAsia="Amiri" w:cs="Amiri"/>
          <w:color w:val="111111"/>
          <w:sz w:val="28"/>
          <w:sz w:val="28"/>
          <w:szCs w:val="28"/>
          <w:rtl w:val="true"/>
          <w:lang w:bidi="ar-SA"/>
        </w:rPr>
        <w:t>حيث استشكل في الحكم في دية العمد؛ معتذراً بما مرّ</w:t>
      </w:r>
      <w:r>
        <w:rPr>
          <w:rFonts w:eastAsia="Amiri" w:cs="Amiri" w:ascii="Amiri" w:hAnsi="Amiri"/>
          <w:color w:val="111111"/>
          <w:sz w:val="28"/>
          <w:szCs w:val="28"/>
          <w:rtl w:val="true"/>
          <w:lang w:bidi="ar-SA"/>
        </w:rPr>
        <w:t>.</w:t>
      </w:r>
      <w:r>
        <w:rPr>
          <w:rStyle w:val="FootnoteAnchor"/>
          <w:rtl w:val="true"/>
        </w:rPr>
        <w:footnoteReference w:id="1620"/>
      </w:r>
      <w:r>
        <w:rPr>
          <w:rFonts w:ascii="Amiri" w:hAnsi="Amiri" w:eastAsia="Amiri" w:cs="Amiri"/>
          <w:color w:val="111111"/>
          <w:sz w:val="28"/>
          <w:sz w:val="28"/>
          <w:szCs w:val="28"/>
          <w:rtl w:val="true"/>
          <w:lang w:bidi="ar-SA"/>
        </w:rPr>
        <w:t>وبكون الصحيحين الأوّلين غير شاملين لدية العمد، لاختصاص أوّلهما بدية الخطأ وكون الثاني قضيّة في واقعة، فلا تعمّ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من قضايا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إطلاقه كبقيّة الإطلاقات، ولا فرق بينهما حيث إنّ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يكون لبيان الحكم بالعمل، ولا فرق في الإطلاق بين لسان العمل ولسان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ما كان منقولاً بنقل غيرهم فقضيّة في واقعة، ولا إطلاق فيها؛حيث إنّ النقل لبيان التاريخ والقضيّة الواقعة، فلسان النقل لسان التاريخ ولسان القضايا الشخصيّة الاتّفاقيّة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عدم الإطلاق في نقل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إذا اُحرز كونه لنقل القضيّة والتاريخ لا لبيان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ما في صحيح يحيى الأزرق وخبر عبد الحميد المماثل له من الإطلاق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والشمول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الاستفصال ومن 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يعضد ما ذكره من الاختصاص بدية الخطأ مفهوم القوي بالسكوني المجمع على تصحيح رواياته كما حكي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أوصى بثلثه، ثمّ قتل خطأً، فإنّ ثلث ديته داخل في وصيّته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1"/>
      </w:r>
      <w:r>
        <w:rPr>
          <w:rFonts w:ascii="Amiri" w:hAnsi="Amiri" w:eastAsia="Amiri" w:cs="Amiri"/>
          <w:color w:val="111111"/>
          <w:sz w:val="28"/>
          <w:sz w:val="28"/>
          <w:szCs w:val="28"/>
          <w:rtl w:val="true"/>
          <w:lang w:bidi="ar-SA"/>
        </w:rPr>
        <w:t>فيقيّد به إطلاق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ويذبّ عن النصّ الصريح بضعفه بمحمّد بن أسلم الجبلي وعليّ بن حمزة البطائي</w:t>
      </w:r>
      <w:r>
        <w:rPr>
          <w:rFonts w:eastAsia="Amiri" w:cs="Amiri" w:ascii="Amiri" w:hAnsi="Amiri"/>
          <w:color w:val="111111"/>
          <w:sz w:val="28"/>
          <w:szCs w:val="28"/>
          <w:rtl w:val="true"/>
          <w:lang w:bidi="ar-SA"/>
        </w:rPr>
        <w:t>.</w:t>
      </w:r>
      <w:r>
        <w:rPr>
          <w:rStyle w:val="FootnoteAnchor"/>
          <w:rtl w:val="true"/>
        </w:rPr>
        <w:footnoteReference w:id="1622"/>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كون قتل الخطأ في سؤال السائل لا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لتكرار نسبة القول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بما يكون ظاهراً فيما ذكرناه على نقل التهذيب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أوصى بثلثه، ثمّ قتل خطأً،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ديته داخل في وصيّته</w:t>
      </w:r>
      <w:r>
        <w:rPr>
          <w:rFonts w:eastAsia="IRNazanin" w:cs="IRNazanin"/>
          <w:color w:val="111111"/>
          <w:sz w:val="28"/>
          <w:szCs w:val="28"/>
          <w:rtl w:val="true"/>
          <w:lang w:bidi="fa-IR"/>
        </w:rPr>
        <w:t>».</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 xml:space="preserve">بل صريح نقل الفقيه وأنّ السؤال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ففيه وفي خبر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أوصى بثلث ماله، ثمّ قتل خطأً؟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ديته داخل في وصيّته</w:t>
      </w:r>
      <w:r>
        <w:rPr>
          <w:rFonts w:eastAsia="IRNazanin" w:cs="IRNazanin"/>
          <w:color w:val="111111"/>
          <w:sz w:val="28"/>
          <w:szCs w:val="28"/>
          <w:rtl w:val="true"/>
          <w:lang w:bidi="fa-IR"/>
        </w:rPr>
        <w:t>».</w:t>
      </w:r>
      <w:r>
        <w:rPr>
          <w:rStyle w:val="FootnoteAnchor"/>
          <w:rtl w:val="true"/>
        </w:rPr>
        <w:footnoteReference w:id="1624"/>
      </w:r>
      <w:r>
        <w:rPr>
          <w:rFonts w:ascii="Amiri" w:hAnsi="Amiri" w:eastAsia="Amiri" w:cs="Amiri"/>
          <w:color w:val="111111"/>
          <w:sz w:val="28"/>
          <w:sz w:val="28"/>
          <w:szCs w:val="28"/>
          <w:rtl w:val="true"/>
          <w:lang w:bidi="ar-SA"/>
        </w:rPr>
        <w:t xml:space="preserve">نعم، ظاهر ما في الرياض الموافق لنقل الكافي </w:t>
      </w:r>
      <w:r>
        <w:rPr>
          <w:rStyle w:val="FootnoteAnchor"/>
          <w:rtl w:val="true"/>
        </w:rPr>
        <w:footnoteReference w:id="1625"/>
      </w:r>
      <w:r>
        <w:rPr>
          <w:rFonts w:ascii="IRNazanin" w:hAnsi="IRNazanin" w:eastAsia="IRNazanin"/>
          <w:color w:val="111111"/>
          <w:sz w:val="28"/>
          <w:sz w:val="28"/>
          <w:szCs w:val="28"/>
          <w:rtl w:val="true"/>
          <w:lang w:bidi="fa-IR"/>
        </w:rPr>
        <w:t xml:space="preserve">كون القيد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أنّه على كونه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بأزيد من مفهوم اللقب، ومع </w:t>
      </w:r>
      <w:bookmarkStart w:id="379" w:name="pg9428_72848"/>
    </w:p>
    <w:p>
      <w:pPr>
        <w:pStyle w:val="BookText"/>
        <w:rPr/>
      </w:pPr>
      <w:bookmarkEnd w:id="3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للورثة استيفاء القصاص للمديون من دون ضمان الدية للغرماء؟ فيه قولان،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عدم الاستيفاء إلّا بعد الضمان، بل الأحوط مع هبة الأولياء دمه للقاتل ضمان الدية للغرماء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شمول المفهوم للعمد حتّى يكون مقيّداً للإطلاقات موقوفٌ على الإطلاق في المفهوم الشامل للعمد وشبه العمد، وهو ممنوع كما حقّقناه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فلا‌ريب ولا شبهة فيما ذكره الجماعة، وكون رأي الحلّي ضعيفاً غايته، ولذا لم يشر إليه أحد في الكتب الاستدلاليّة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القول المحكيّ عن نادر مجهول بعدم كون الدية مطلقاً كبقيّة أمواله، معلّلاً بتأخّر استحقاقها عن الحياة التي هي شرط الملك، والدين كان متعلّقاً بالذمّة حال الحياة وبالمال بعد الوفاة، والميّت لا يملك بعدها شيئاً، وإن هو إلّا اجتهاد صرف في مقابل النصوص المستفيضة المعتضدة بالإجماعات المحكيّة</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5797657_2870459653"/>
      <w:bookmarkStart w:id="381" w:name="_Toc129"/>
      <w:bookmarkEnd w:id="380"/>
      <w:r>
        <w:rPr>
          <w:rtl w:val="true"/>
        </w:rPr>
        <w:t>استيفاء القصاص للمديون</w:t>
      </w:r>
      <w:bookmarkEnd w:id="3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وهو لابن إدريس،</w:t>
      </w:r>
      <w:r>
        <w:rPr>
          <w:rStyle w:val="FootnoteAnchor"/>
          <w:rtl w:val="true"/>
        </w:rPr>
        <w:footnoteReference w:id="1626"/>
      </w:r>
      <w:r>
        <w:rPr>
          <w:rFonts w:ascii="Amiri" w:hAnsi="Amiri" w:eastAsia="Amiri" w:cs="Amiri"/>
          <w:color w:val="111111"/>
          <w:sz w:val="28"/>
          <w:sz w:val="28"/>
          <w:szCs w:val="28"/>
          <w:rtl w:val="true"/>
          <w:lang w:bidi="ar-SA"/>
        </w:rPr>
        <w:t>والمحقّق،</w:t>
      </w:r>
      <w:r>
        <w:rPr>
          <w:rStyle w:val="FootnoteAnchor"/>
          <w:rtl w:val="true"/>
        </w:rPr>
        <w:footnoteReference w:id="1627"/>
      </w:r>
      <w:r>
        <w:rPr>
          <w:rFonts w:ascii="Amiri" w:hAnsi="Amiri" w:eastAsia="Amiri" w:cs="Amiri"/>
          <w:color w:val="111111"/>
          <w:sz w:val="28"/>
          <w:sz w:val="28"/>
          <w:szCs w:val="28"/>
          <w:rtl w:val="true"/>
          <w:lang w:bidi="ar-SA"/>
        </w:rPr>
        <w:t>والعلّامة في المختلف</w:t>
      </w:r>
      <w:r>
        <w:rPr>
          <w:rStyle w:val="FootnoteAnchor"/>
          <w:rtl w:val="true"/>
        </w:rPr>
        <w:footnoteReference w:id="1628"/>
      </w:r>
      <w:r>
        <w:rPr>
          <w:rFonts w:ascii="Amiri" w:hAnsi="Amiri" w:eastAsia="Amiri" w:cs="Amiri"/>
          <w:color w:val="111111"/>
          <w:sz w:val="28"/>
          <w:sz w:val="28"/>
          <w:szCs w:val="28"/>
          <w:rtl w:val="true"/>
          <w:lang w:bidi="ar-SA"/>
        </w:rPr>
        <w:t>وفي كثير من كتبه</w:t>
      </w:r>
      <w:r>
        <w:rPr>
          <w:rFonts w:eastAsia="Amiri" w:cs="Amiri" w:ascii="Amiri" w:hAnsi="Amiri"/>
          <w:color w:val="111111"/>
          <w:sz w:val="28"/>
          <w:szCs w:val="28"/>
          <w:rtl w:val="true"/>
          <w:lang w:bidi="ar-SA"/>
        </w:rPr>
        <w:t>.</w:t>
      </w:r>
      <w:r>
        <w:rPr>
          <w:rStyle w:val="FootnoteAnchor"/>
          <w:rtl w:val="true"/>
        </w:rPr>
        <w:footnoteReference w:id="1629"/>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وهو لابن الجنيد</w:t>
      </w:r>
      <w:r>
        <w:rPr>
          <w:rStyle w:val="FootnoteAnchor"/>
          <w:rtl w:val="true"/>
        </w:rPr>
        <w:footnoteReference w:id="1630"/>
      </w:r>
      <w:r>
        <w:rPr>
          <w:rFonts w:ascii="Amiri" w:hAnsi="Amiri" w:eastAsia="Amiri" w:cs="Amiri"/>
          <w:color w:val="111111"/>
          <w:sz w:val="28"/>
          <w:sz w:val="28"/>
          <w:szCs w:val="28"/>
          <w:rtl w:val="true"/>
          <w:lang w:bidi="ar-SA"/>
        </w:rPr>
        <w:t>والشيخ في النهاية ،</w:t>
      </w:r>
      <w:r>
        <w:rPr>
          <w:rStyle w:val="FootnoteAnchor"/>
          <w:rtl w:val="true"/>
        </w:rPr>
        <w:footnoteReference w:id="1631"/>
      </w:r>
      <w:r>
        <w:rPr>
          <w:rFonts w:ascii="Amiri" w:hAnsi="Amiri" w:eastAsia="Amiri" w:cs="Amiri"/>
          <w:color w:val="111111"/>
          <w:sz w:val="28"/>
          <w:sz w:val="28"/>
          <w:szCs w:val="28"/>
          <w:rtl w:val="true"/>
          <w:lang w:bidi="ar-SA"/>
        </w:rPr>
        <w:t xml:space="preserve">وتبع‌النهاية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أبوالصلاح</w:t>
      </w:r>
      <w:r>
        <w:rPr>
          <w:rStyle w:val="FootnoteAnchor"/>
          <w:rtl w:val="true"/>
        </w:rPr>
        <w:footnoteReference w:id="1632"/>
      </w:r>
      <w:r>
        <w:rPr>
          <w:rFonts w:ascii="Amiri" w:hAnsi="Amiri" w:eastAsia="Amiri" w:cs="Amiri"/>
          <w:color w:val="111111"/>
          <w:sz w:val="28"/>
          <w:sz w:val="28"/>
          <w:szCs w:val="28"/>
          <w:rtl w:val="true"/>
          <w:lang w:bidi="ar-SA"/>
        </w:rPr>
        <w:t>والقاضي</w:t>
      </w:r>
      <w:r>
        <w:rPr>
          <w:rStyle w:val="FootnoteAnchor"/>
          <w:rtl w:val="true"/>
        </w:rPr>
        <w:footnoteReference w:id="1633"/>
      </w:r>
      <w:r>
        <w:rPr>
          <w:rFonts w:ascii="Amiri" w:hAnsi="Amiri" w:eastAsia="Amiri" w:cs="Amiri"/>
          <w:color w:val="111111"/>
          <w:sz w:val="28"/>
          <w:sz w:val="28"/>
          <w:szCs w:val="28"/>
          <w:rtl w:val="true"/>
          <w:lang w:bidi="ar-SA"/>
        </w:rPr>
        <w:t>وابن زهرة</w:t>
      </w:r>
      <w:r>
        <w:rPr>
          <w:rStyle w:val="FootnoteAnchor"/>
          <w:rtl w:val="true"/>
        </w:rPr>
        <w:footnoteReference w:id="1634"/>
      </w:r>
      <w:r>
        <w:rPr>
          <w:rFonts w:ascii="Amiri" w:hAnsi="Amiri" w:eastAsia="Amiri" w:cs="Amiri"/>
          <w:color w:val="111111"/>
          <w:sz w:val="28"/>
          <w:sz w:val="28"/>
          <w:szCs w:val="28"/>
          <w:rtl w:val="true"/>
          <w:lang w:bidi="ar-SA"/>
        </w:rPr>
        <w:t>والكيدري</w:t>
      </w:r>
      <w:r>
        <w:rPr>
          <w:rStyle w:val="FootnoteAnchor"/>
          <w:rtl w:val="true"/>
        </w:rPr>
        <w:footnoteReference w:id="1635"/>
      </w:r>
      <w:r>
        <w:rPr>
          <w:rFonts w:ascii="Amiri" w:hAnsi="Amiri" w:eastAsia="Amiri" w:cs="Amiri"/>
          <w:color w:val="111111"/>
          <w:sz w:val="28"/>
          <w:sz w:val="28"/>
          <w:szCs w:val="28"/>
          <w:rtl w:val="true"/>
          <w:lang w:bidi="ar-SA"/>
        </w:rPr>
        <w:t>وصفي الدين محمّد بن معد العلوي الموسوي على ما حكاه عنه غاية المراد،</w:t>
      </w:r>
      <w:r>
        <w:rPr>
          <w:rStyle w:val="FootnoteAnchor"/>
          <w:rtl w:val="true"/>
        </w:rPr>
        <w:footnoteReference w:id="1636"/>
      </w:r>
      <w:r>
        <w:rPr>
          <w:rFonts w:ascii="Amiri" w:hAnsi="Amiri" w:eastAsia="Amiri" w:cs="Amiri"/>
          <w:color w:val="111111"/>
          <w:sz w:val="28"/>
          <w:sz w:val="28"/>
          <w:szCs w:val="28"/>
          <w:rtl w:val="true"/>
          <w:lang w:bidi="ar-SA"/>
        </w:rPr>
        <w:t>بل في الجواهر عن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المشهور،</w:t>
      </w:r>
      <w:r>
        <w:rPr>
          <w:rStyle w:val="FootnoteAnchor"/>
          <w:rtl w:val="true"/>
        </w:rPr>
        <w:footnoteReference w:id="1637"/>
      </w:r>
      <w:r>
        <w:rPr>
          <w:rFonts w:ascii="Amiri" w:hAnsi="Amiri" w:eastAsia="Amiri" w:cs="Amiri"/>
          <w:color w:val="111111"/>
          <w:sz w:val="28"/>
          <w:sz w:val="28"/>
          <w:szCs w:val="28"/>
          <w:rtl w:val="true"/>
          <w:lang w:bidi="ar-SA"/>
        </w:rPr>
        <w:t>بل عن الغنية</w:t>
      </w:r>
      <w:r>
        <w:rPr>
          <w:rFonts w:eastAsia="Amiri" w:cs="Amiri" w:ascii="Amiri" w:hAnsi="Amiri"/>
          <w:color w:val="111111"/>
          <w:sz w:val="28"/>
          <w:szCs w:val="28"/>
          <w:rtl w:val="true"/>
          <w:lang w:bidi="ar-SA"/>
        </w:rPr>
        <w:t>:</w:t>
      </w:r>
      <w:r>
        <w:rPr>
          <w:rStyle w:val="FootnoteAnchor"/>
          <w:rtl w:val="true"/>
        </w:rPr>
        <w:footnoteReference w:id="1638"/>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للأوّل بالأصل، وبإطلاق أدلّة القصاص،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w:t>
      </w:r>
      <w:r>
        <w:rPr>
          <w:rFonts w:ascii="IRNazanin" w:hAnsi="IRNazanin" w:eastAsia="IRNazanin"/>
          <w:color w:val="111111"/>
          <w:sz w:val="28"/>
          <w:sz w:val="28"/>
          <w:szCs w:val="28"/>
          <w:rtl w:val="true"/>
          <w:lang w:bidi="fa-IR"/>
        </w:rPr>
        <w:t>،</w:t>
      </w:r>
      <w:r>
        <w:rPr>
          <w:rStyle w:val="FootnoteAnchor"/>
          <w:rtl w:val="true"/>
        </w:rPr>
        <w:footnoteReference w:id="1639"/>
      </w:r>
      <w:r>
        <w:rPr>
          <w:rFonts w:ascii="Amiri" w:hAnsi="Amiri" w:eastAsia="Amiri" w:cs="Amiri"/>
          <w:color w:val="111111"/>
          <w:sz w:val="28"/>
          <w:sz w:val="28"/>
          <w:szCs w:val="28"/>
          <w:rtl w:val="true"/>
          <w:lang w:bidi="ar-SA"/>
        </w:rPr>
        <w:t>وكغيره من الكتاب</w:t>
      </w:r>
      <w:r>
        <w:rPr>
          <w:rStyle w:val="FootnoteAnchor"/>
          <w:rtl w:val="true"/>
        </w:rPr>
        <w:footnoteReference w:id="1640"/>
      </w:r>
      <w:r>
        <w:rPr>
          <w:rFonts w:ascii="Amiri" w:hAnsi="Amiri" w:eastAsia="Amiri" w:cs="Amiri"/>
          <w:color w:val="111111"/>
          <w:sz w:val="28"/>
          <w:sz w:val="28"/>
          <w:szCs w:val="28"/>
          <w:rtl w:val="true"/>
          <w:lang w:bidi="ar-SA"/>
        </w:rPr>
        <w:t>والسنّة</w:t>
      </w:r>
      <w:r>
        <w:rPr>
          <w:rFonts w:eastAsia="Amiri" w:cs="Amiri" w:ascii="Amiri" w:hAnsi="Amiri"/>
          <w:color w:val="111111"/>
          <w:sz w:val="28"/>
          <w:szCs w:val="28"/>
          <w:rtl w:val="true"/>
          <w:lang w:bidi="ar-SA"/>
        </w:rPr>
        <w:t>.</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وللثاني بخبر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يقتل وعليه دين وليس له مال، فهل لأوليائه أن يهبوا دمه لقاتله وعليه دين؟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الدين هم الخصماء للقاتل، فإن وهبوا أولياءه دية القاتل فجائز، وإن أرادوا القود فليس لهم ذلك حتّى يضمنوا الدين للغرماء، وإلّا فلا</w:t>
      </w:r>
      <w:r>
        <w:rPr>
          <w:rFonts w:eastAsia="IRNazanin" w:cs="IRNazanin"/>
          <w:color w:val="111111"/>
          <w:sz w:val="28"/>
          <w:szCs w:val="28"/>
          <w:rtl w:val="true"/>
          <w:lang w:bidi="fa-IR"/>
        </w:rPr>
        <w:t>».</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احتجّ به الشيخ على ما في المختلف من خبر عبد الحميد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وعليه دين ولم يترك مالاً، فأخذ أهله الدية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قاتله، أعليهم أن يقضوا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يترك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أخذوا الدية فعليهم أن يقضوا عنه الدين</w:t>
      </w:r>
      <w:r>
        <w:rPr>
          <w:rFonts w:eastAsia="Amiri" w:cs="Amiri" w:ascii="Amiri" w:hAnsi="Amiri"/>
          <w:color w:val="111111"/>
          <w:sz w:val="28"/>
          <w:szCs w:val="28"/>
          <w:rtl w:val="true"/>
          <w:lang w:bidi="ar-SA"/>
        </w:rPr>
        <w:t>».</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وأجاب عنه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الدلالة على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فلاحتمال أن يكون القتل خطأً أو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فلأنّ السؤال إنّما وقع عن أولياء أخذوا الدية، ونحن نقول بموجبه، فإنّ الورثة لو صالحوا القاتل على الدية وجب قضاء الدين منها</w:t>
      </w:r>
      <w:r>
        <w:rPr>
          <w:rFonts w:eastAsia="Amiri" w:cs="Amiri" w:ascii="Amiri" w:hAnsi="Amiri"/>
          <w:color w:val="111111"/>
          <w:sz w:val="28"/>
          <w:szCs w:val="28"/>
          <w:rtl w:val="true"/>
          <w:lang w:bidi="ar-SA"/>
        </w:rPr>
        <w:t>.</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أجاد في الجواب عن الخبر ببيان المنع من وجهين، وإن كان الأوّل كافياً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يصحّ الجواب عن خبر أبي بصير بشيء من الوجهين، فإنّ تجويز كون القتل خطأً وشبهةً منفي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أرادوا القود</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كون السؤال وقع عمّن أخذ الدية ظاهر الانتفاء أيضاً، 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الضعف في السند بمحمّد بن أسلم الجبلّي الواقع في سند الصدوق</w:t>
      </w:r>
      <w:r>
        <w:rPr>
          <w:rStyle w:val="FootnoteAnchor"/>
          <w:rtl w:val="true"/>
        </w:rPr>
        <w:footnoteReference w:id="1645"/>
      </w:r>
      <w:r>
        <w:rPr>
          <w:rFonts w:ascii="Amiri" w:hAnsi="Amiri" w:eastAsia="Amiri" w:cs="Amiri"/>
          <w:color w:val="111111"/>
          <w:sz w:val="28"/>
          <w:sz w:val="28"/>
          <w:szCs w:val="28"/>
          <w:rtl w:val="true"/>
          <w:lang w:bidi="ar-SA"/>
        </w:rPr>
        <w:t>وواحد من سندي التهذيب،</w:t>
      </w:r>
      <w:r>
        <w:rPr>
          <w:rStyle w:val="FootnoteAnchor"/>
          <w:rtl w:val="true"/>
        </w:rPr>
        <w:footnoteReference w:id="1646"/>
      </w:r>
      <w:r>
        <w:rPr>
          <w:rFonts w:ascii="Amiri" w:hAnsi="Amiri" w:eastAsia="Amiri" w:cs="Amiri"/>
          <w:color w:val="111111"/>
          <w:sz w:val="28"/>
          <w:sz w:val="28"/>
          <w:szCs w:val="28"/>
          <w:rtl w:val="true"/>
          <w:lang w:bidi="ar-SA"/>
        </w:rPr>
        <w:t>فإنّه ممّن اتّفق علىضعفه،</w:t>
      </w:r>
      <w:r>
        <w:rPr>
          <w:rStyle w:val="FootnoteAnchor"/>
          <w:rtl w:val="true"/>
        </w:rPr>
        <w:footnoteReference w:id="1647"/>
      </w:r>
      <w:r>
        <w:rPr>
          <w:rFonts w:ascii="Amiri" w:hAnsi="Amiri" w:eastAsia="Amiri" w:cs="Amiri"/>
          <w:color w:val="111111"/>
          <w:sz w:val="28"/>
          <w:sz w:val="28"/>
          <w:szCs w:val="28"/>
          <w:rtl w:val="true"/>
          <w:lang w:bidi="ar-SA"/>
        </w:rPr>
        <w:t>وبجهالة إسماعيل بن مرار وصالح بن السندي الواقفي في سند آخر للشيخ،</w:t>
      </w:r>
      <w:r>
        <w:rPr>
          <w:rStyle w:val="FootnoteAnchor"/>
          <w:rtl w:val="true"/>
        </w:rPr>
        <w:footnoteReference w:id="1648"/>
      </w:r>
      <w:r>
        <w:rPr>
          <w:rFonts w:ascii="Amiri" w:hAnsi="Amiri" w:eastAsia="Amiri" w:cs="Amiri"/>
          <w:color w:val="111111"/>
          <w:sz w:val="28"/>
          <w:sz w:val="28"/>
          <w:szCs w:val="28"/>
          <w:rtl w:val="true"/>
          <w:lang w:bidi="ar-SA"/>
        </w:rPr>
        <w:t xml:space="preserve">وباشتراك أبي بصير،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وبكونه موافقاً للعامّة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مختلّ المتن باعتبار فرقه بين الهبة وبين القود، فجوّز للوارث الأوّل دون الثاني، وهما معاً مشتركان في تفويت حقّ الدين، وباعتبار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الدين هم الخصماء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المناسب لتفريع عدم جواز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وقع التفريع كذلك في خبره الآخر أيضاً المرويّ في التهذيب والفقيه،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وعليه دين وليس له مال، فهل لأوليائه أن يهبوا دمه لقاتله وعليه دين؟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الدين هم الخصماء للقاتل، فإن وهب أولياؤه دمه للقاتل ضمن الدية للغرماء، وإلّا فلا</w:t>
      </w:r>
      <w:r>
        <w:rPr>
          <w:rFonts w:eastAsia="IRNazanin" w:cs="IRNazanin"/>
          <w:color w:val="111111"/>
          <w:sz w:val="28"/>
          <w:szCs w:val="28"/>
          <w:rtl w:val="true"/>
          <w:lang w:bidi="fa-IR"/>
        </w:rPr>
        <w:t>».</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ومع هذه المحاذير ليس بحجّة في نفسه، فضلاً عن كونه موجباً للخروج عن عموم الأدلّة وإطلاقها، كما اعترف المحقّق بذلك في النكت</w:t>
      </w:r>
      <w:r>
        <w:rPr>
          <w:rStyle w:val="FootnoteAnchor"/>
          <w:rtl w:val="true"/>
        </w:rPr>
        <w:footnoteReference w:id="1650"/>
      </w:r>
      <w:r>
        <w:rPr>
          <w:rFonts w:ascii="Amiri" w:hAnsi="Amiri" w:eastAsia="Amiri" w:cs="Amiri"/>
          <w:color w:val="111111"/>
          <w:sz w:val="28"/>
          <w:sz w:val="28"/>
          <w:szCs w:val="28"/>
          <w:rtl w:val="true"/>
          <w:lang w:bidi="ar-SA"/>
        </w:rPr>
        <w:t>بعد بيانه الضعف في السند والموافقة للعامّة فقط، فكيف بما ذكرناه من الزيادة عليهما بالاختلال في المتن؟</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معارضته مع ذلك الخبر المرويّ في التهذيب والفقيه في مورد هبة القاتل، بل وخبره الثالث المرويّ عن الفقيه أيضاً عن أبي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رجلاًمتعمّداً أو خطأً وعليه دين ومال وأراد أولياؤه أن يهبوا دمه للقاتل؟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وهبوا دمه ضمنوا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هم أرادوا قتله؟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قتل عمداً قتل قاتله وأدّى عنه الإمام الدين من سهم الغارمين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قتل عمداً وصالح أولياؤه قاتله على الدية، فعلى من الدين؟ على أوليائه من الدية أو على إمام المسلمين؟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يؤدّوا دينه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ديته التي صالحوا عليها أولياؤه، فإنّه أحقّ بديته من غيره</w:t>
      </w:r>
      <w:r>
        <w:rPr>
          <w:rFonts w:eastAsia="Amiri" w:cs="Amiri" w:ascii="Amiri" w:hAnsi="Amiri"/>
          <w:color w:val="111111"/>
          <w:sz w:val="28"/>
          <w:szCs w:val="28"/>
          <w:rtl w:val="true"/>
          <w:lang w:bidi="ar-SA"/>
        </w:rPr>
        <w:t>».</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فإنّهما يدلاّن على الضمان في الهبة المخالف مع ما في الأوّل من جواز الهبة من دون ذكر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أبي منصور الطبرسي في كافيته</w:t>
      </w:r>
      <w:r>
        <w:rPr>
          <w:rStyle w:val="FootnoteAnchor"/>
          <w:rtl w:val="true"/>
        </w:rPr>
        <w:footnoteReference w:id="1652"/>
      </w:r>
      <w:r>
        <w:rPr>
          <w:rFonts w:ascii="Amiri" w:hAnsi="Amiri" w:eastAsia="Amiri" w:cs="Amiri"/>
          <w:color w:val="111111"/>
          <w:sz w:val="28"/>
          <w:sz w:val="28"/>
          <w:szCs w:val="28"/>
          <w:rtl w:val="true"/>
          <w:lang w:bidi="ar-SA"/>
        </w:rPr>
        <w:t>من حمل الخبر الأوّل لأبي بصير على ما إذا بذل القاتل الدية، فإنّه يجب حينئذٍ قبولها، ولا يجوز للأولياء القصاص إلّا بعد الضمان، فإن لم يبذلها جاز القود من غير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خرق للإجماع المركّب، أنّه لا فرق بين البذل وعدمه بالنسبة إلى عموم الأدلّة، وأنّ الحمل كذلك تبرّعي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خبر عليّ بن أبي حمزة،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قتل رجلاً متعمّداً أو خطأً وعليه دين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وأراد أولياؤه أن يهبوا دمه للقاتل؟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وهبوا دمه ضمنوا ديته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 أرادوا قتله؟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قتل عمداً قتل قاتله وأدّى عنه الإمام الدين من سهم الغارمين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قتل عمداً وصالح أولياؤه قاتله على الدية، فعلى من الدين؟ على أوليائه من الدية أو على إمام المسلمين؟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يؤدّوا دينه من ديته التي صالحوا عليها أولياؤه، فإنّه أحقّ بديته من غيره</w:t>
      </w:r>
      <w:r>
        <w:rPr>
          <w:rFonts w:eastAsia="IRNazanin" w:cs="IRNazanin"/>
          <w:color w:val="111111"/>
          <w:sz w:val="28"/>
          <w:szCs w:val="28"/>
          <w:rtl w:val="true"/>
          <w:lang w:bidi="fa-IR"/>
        </w:rPr>
        <w:t>».</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موافق لخبر أبي بصير الثاني في الضمان في الهبة ومخالف لخبره الأوّل فيها؛ لما مرّ من دلالته على جواز الهبة من دون الضمان، لكنّه مخالف لهما في القود،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لدلالته على جوازه وضمان الدين على الإمام يؤدّيه من سهم الغارمين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ذكرناه وبيّناه أنّ الحقّ بحسب الصناعة القول الأوّل في القود بل وفي الهبة أيضاً؛ لما عرفت من المحاذير في الأخبار وعدم خلوّ شيء منها من المحذور، وأنّ كلّها مشتركة في الضعف في السند، لكنّ مقتضى الجمع بين الحقوق الثاني، إلّا أنّه دراية رفع اليد عنها مشكل، وتقييد الإطلاقات بها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المتن من الاحتياط في محلّه،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التفصيل بين ما كان المقتول مقصّراً في أداء الدين من جهة الإفراط والتفريط، وبين ما لم يكن كذلك بعدم جواز القصاص أو العفو إلّا مع ضمان الدين في الأوّل دون الثاني، وذلك لكون جواز القصاص أو العفو مقيّداً بما لم يكن فيه حرج وضرر ومشقّة وعذاب للمقتول، فإنّ أدلّة نفي الحرج والضرر كما تكون شاملة للدنيوي منهما فكذلك الأُخروي؛ قضاءً للإطلاق أو لإلغاء الخصوصيّة والأولويّة، حيث إنّ مقتضى مذاق الشرع عدم رضايته بكونه معذّباً لقصاص وليه دمه، فإنّ الدم دمه والقصاص إنّما يكون للورثة؛ لأنّهم ورثته، وإلّا فالحقّ للمقتول أوّلاً وبالذات هذا كلّه فيما كان المقتول مقصّراً في أداء الدين</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فيما لم يكن مقصّراً في أداء الدين، فالقصاص من الوليّ ليس سبباً للضرر والحرج عليه في الآخرة بالعذاب بعدم أداء الدين؛ لعدم العذاب له بذلك، لما كان عليه من العسر وعدم القدرة على الأداء، فالله تعالى ينظر لمعسر في الآخرة، كيف وأمر عباده بالإنظار للمعسر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ذُوعُسْرَةٍ فَنَظِرَةٌ إِلَى مَيْسَرَةٍ</w:t>
      </w:r>
      <w:r>
        <w:rPr>
          <w:rFonts w:ascii="IRNazanin" w:hAnsi="IRNazanin" w:eastAsia="IRNazanin"/>
          <w:color w:val="111111"/>
          <w:sz w:val="28"/>
          <w:sz w:val="28"/>
          <w:szCs w:val="28"/>
          <w:rtl w:val="true"/>
          <w:lang w:bidi="fa-IR"/>
        </w:rPr>
        <w:t>،</w:t>
      </w:r>
      <w:r>
        <w:rPr>
          <w:rStyle w:val="FootnoteAnchor"/>
          <w:rtl w:val="true"/>
        </w:rPr>
        <w:footnoteReference w:id="1654"/>
      </w:r>
      <w:r>
        <w:rPr>
          <w:rFonts w:ascii="Amiri" w:hAnsi="Amiri" w:eastAsia="Amiri" w:cs="Amiri"/>
          <w:color w:val="111111"/>
          <w:sz w:val="28"/>
          <w:sz w:val="28"/>
          <w:szCs w:val="28"/>
          <w:rtl w:val="true"/>
          <w:lang w:bidi="ar-SA"/>
        </w:rPr>
        <w:t>فلا مانع للوليّ من القصاص مع عدم تقصير المقتول في الأداء كما لا يخفى</w:t>
      </w:r>
      <w:r>
        <w:rPr>
          <w:rFonts w:eastAsia="Amiri" w:cs="Amiri" w:ascii="Amiri" w:hAnsi="Amiri"/>
          <w:color w:val="111111"/>
          <w:sz w:val="28"/>
          <w:szCs w:val="28"/>
          <w:rtl w:val="true"/>
          <w:lang w:bidi="ar-SA"/>
        </w:rPr>
        <w:t xml:space="preserve">. </w:t>
      </w:r>
      <w:bookmarkStart w:id="382" w:name="pg9428_72854"/>
    </w:p>
    <w:p>
      <w:pPr>
        <w:pStyle w:val="BookText"/>
        <w:rPr/>
      </w:pPr>
      <w:bookmarkEnd w:id="3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واحد رجلين أو أكثر عمداً على التعاقب أو معاً قتل بهم، ولا سبيل لهم على ماله، فلو عفا أولياء بعض لا على مال، كان للباقين القصاص من دون ردّ شيء، وإن تراضى الأولياء مع الجاني بالدية فلكلّ منهم 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لكلّ واحد منهم الاستبداد بقتله من غير رضا الباقين أو لا، أو يجوز مع كون قتل الجميع معاً، وأمّا مع التعاقب فيقدّم حقّ السابق فالسابق، فلو قتل عشرة متعاقباً يقدّم حقّ وليّ الأوّل، فجاز له الاستبداد بقتله بلا إذن منهم، فلو عفا فالحقّ للمتأخّر منه وهكذا؟ وجوه، لعلّ أوجهها عدم جواز الاستبداد ولزوم الإذن من الجميع، لكن لو قتله ليس عليه إلّا الإثم، وللحاكم تعزيره، ولا شيء عليه ولا على الجاني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اختلفوا في الاستيفاء ولم يمكن الاجتماع فيه فالمرجع القرعة، فإن استوفى أحدهم بالقرعة أو بلا قرعة سقط حقّ الباقين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5797659_2870459653"/>
      <w:bookmarkStart w:id="384" w:name="_Toc130"/>
      <w:bookmarkEnd w:id="383"/>
      <w:r>
        <w:rPr>
          <w:rtl w:val="true"/>
        </w:rPr>
        <w:t>تعدّد القتيل مع كون القاتل واحداً</w:t>
      </w:r>
      <w:bookmarkEnd w:id="3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المذكورة في المسألة المربوطة بتعدّد القتل، يتمّ بيانها في مسائل</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قتل الواحد جماعة ثبت لوليّ كلّ واحد منهم القود معيّناً، على المعروف، أو هو مخيّر بينه وبين الدية على مذهب القديمين المختار، بلا خلاف ولا إشكال؛ لتحقّق السبب من القاتل بالنسبة إلى كلّ واحد من المقتولين، فإنّه القاتل لهم بالضرورة والوضوح، وحينئذٍ فلا يتعلّق حقّ واحد بالآخر؛ للأصل، ولعدم الوجه له، بل يتعلّق حقّ الجميع به، فإن اجتمعوا على المطالبة بالقود فقتلوه مباشرةً منهم، أو وكّلوا من يقتله فقد استوفوا حقوقهم بلا خلاف فيه بيننا، بل ولا إشكال؛ إذ ليس لهم عليه مع مطالبة القود إلّا القود ونفسه فقط ولو على مذهب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القديمين فضلاً عن المذهب المعروف، كما هو الظاهر بل الواضح؛ إذ لا يجني الجاني أكثر من جنايته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وجود النصّ على ذلك أيضاً، وهو صحيح ابن مسكان على نقل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مرسلة على نقل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الرجل الرجلين أو أكثر من ذلك قتل بهم</w:t>
      </w:r>
      <w:r>
        <w:rPr>
          <w:rFonts w:eastAsia="IRNazanin" w:cs="IRNazanin"/>
          <w:color w:val="111111"/>
          <w:sz w:val="28"/>
          <w:szCs w:val="28"/>
          <w:rtl w:val="true"/>
          <w:lang w:bidi="fa-IR"/>
        </w:rPr>
        <w:t>».</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خلافاً لما عن عثمان البتي، فإنّه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يقتل بجماعتهم، فإذا قتل سقط من الديات واحدة، وكان ما بقي من الديات في تركته، يأخذها أولياء القتلی بالحصص</w:t>
      </w:r>
      <w:r>
        <w:rPr>
          <w:rFonts w:eastAsia="IRNazanin" w:cs="IRNazanin"/>
          <w:color w:val="111111"/>
          <w:sz w:val="28"/>
          <w:szCs w:val="28"/>
          <w:rtl w:val="true"/>
          <w:lang w:bidi="fa-IR"/>
        </w:rPr>
        <w:t>.</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ولا دليل عليه، بل الأدلّة من الإجماع والقاعدة والنصّ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 الأولياء على الدية تخييراً أو تراضياً فلكلٍّ منهم دية كاملة؛ لاستحقاق كلّ منهم عليه نفساً كاملة بالنفس الكاملة، ولذا لو عفا أحدهم استحقّ الباقي القصاص فقط، أو هو مع الدية تخييراً على القولين، والدية المصالح بها أو المختار من كلٍّ إنّما هي على ما يستحقّه صلحاً أو تخييراً، وليس إلّا نفساً كاملة كما عرفته، فما بإزائها أو عدلها أيضاً دية كاملة إلّا أن تراضوا بالأقلّ</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اختلفوا فطلب بعضهم الدية والباقي القصاص، فهل لهم ذلك؟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أي الجواز وأنّ لهم ذلك، هو خيرة الغنية</w:t>
      </w:r>
      <w:r>
        <w:rPr>
          <w:rStyle w:val="FootnoteAnchor"/>
          <w:rtl w:val="true"/>
        </w:rPr>
        <w:footnoteReference w:id="16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والمختلف</w:t>
      </w:r>
      <w:r>
        <w:rPr>
          <w:rStyle w:val="FootnoteAnchor"/>
          <w:rtl w:val="true"/>
        </w:rPr>
        <w:footnoteReference w:id="1658"/>
      </w:r>
      <w:r>
        <w:rPr>
          <w:rFonts w:ascii="Amiri" w:hAnsi="Amiri" w:eastAsia="Amiri" w:cs="Amiri"/>
          <w:color w:val="111111"/>
          <w:sz w:val="28"/>
          <w:sz w:val="28"/>
          <w:szCs w:val="28"/>
          <w:rtl w:val="true"/>
          <w:lang w:bidi="ar-SA"/>
        </w:rPr>
        <w:t>والمسالك،</w:t>
      </w:r>
      <w:r>
        <w:rPr>
          <w:rStyle w:val="FootnoteAnchor"/>
          <w:rtl w:val="true"/>
        </w:rPr>
        <w:footnoteReference w:id="1659"/>
      </w:r>
      <w:r>
        <w:rPr>
          <w:rFonts w:ascii="Amiri" w:hAnsi="Amiri" w:eastAsia="Amiri" w:cs="Amiri"/>
          <w:color w:val="111111"/>
          <w:sz w:val="28"/>
          <w:sz w:val="28"/>
          <w:szCs w:val="28"/>
          <w:rtl w:val="true"/>
          <w:lang w:bidi="ar-SA"/>
        </w:rPr>
        <w:t>وهو لازم لكلّ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قتله أحدهما كان للآخر أخذ الدية من التركة، كأبي علي كما نقله المختلف،</w:t>
      </w:r>
      <w:r>
        <w:rPr>
          <w:rStyle w:val="FootnoteAnchor"/>
          <w:rtl w:val="true"/>
        </w:rPr>
        <w:footnoteReference w:id="1660"/>
      </w:r>
      <w:r>
        <w:rPr>
          <w:rFonts w:ascii="Amiri" w:hAnsi="Amiri" w:eastAsia="Amiri" w:cs="Amiri"/>
          <w:color w:val="111111"/>
          <w:sz w:val="28"/>
          <w:sz w:val="28"/>
          <w:szCs w:val="28"/>
          <w:rtl w:val="true"/>
          <w:lang w:bidi="ar-SA"/>
        </w:rPr>
        <w:t>والعلّامة في الإرشاد</w:t>
      </w:r>
      <w:r>
        <w:rPr>
          <w:rStyle w:val="FootnoteAnchor"/>
          <w:rtl w:val="true"/>
        </w:rPr>
        <w:footnoteReference w:id="1661"/>
      </w:r>
      <w:r>
        <w:rPr>
          <w:rFonts w:ascii="Amiri" w:hAnsi="Amiri" w:eastAsia="Amiri" w:cs="Amiri"/>
          <w:color w:val="111111"/>
          <w:sz w:val="28"/>
          <w:sz w:val="28"/>
          <w:szCs w:val="28"/>
          <w:rtl w:val="true"/>
          <w:lang w:bidi="ar-SA"/>
        </w:rPr>
        <w:t>والتحرير،</w:t>
      </w:r>
      <w:r>
        <w:rPr>
          <w:rStyle w:val="FootnoteAnchor"/>
          <w:rtl w:val="true"/>
        </w:rPr>
        <w:footnoteReference w:id="1662"/>
      </w:r>
      <w:r>
        <w:rPr>
          <w:rFonts w:ascii="Amiri" w:hAnsi="Amiri" w:eastAsia="Amiri" w:cs="Amiri"/>
          <w:color w:val="111111"/>
          <w:sz w:val="28"/>
          <w:sz w:val="28"/>
          <w:szCs w:val="28"/>
          <w:rtl w:val="true"/>
          <w:lang w:bidi="ar-SA"/>
        </w:rPr>
        <w:t>وعن ولده في موضعين من الإيضاح،</w:t>
      </w:r>
      <w:r>
        <w:rPr>
          <w:rStyle w:val="FootnoteAnchor"/>
          <w:rtl w:val="true"/>
        </w:rPr>
        <w:footnoteReference w:id="1663"/>
      </w:r>
      <w:r>
        <w:rPr>
          <w:rFonts w:ascii="Amiri" w:hAnsi="Amiri" w:eastAsia="Amiri" w:cs="Amiri"/>
          <w:color w:val="111111"/>
          <w:sz w:val="28"/>
          <w:sz w:val="28"/>
          <w:szCs w:val="28"/>
          <w:rtl w:val="true"/>
          <w:lang w:bidi="ar-SA"/>
        </w:rPr>
        <w:t>وعن السيوري في التنقيح،</w:t>
      </w:r>
      <w:r>
        <w:rPr>
          <w:rStyle w:val="FootnoteAnchor"/>
          <w:rtl w:val="true"/>
        </w:rPr>
        <w:footnoteReference w:id="1664"/>
      </w:r>
      <w:r>
        <w:rPr>
          <w:rFonts w:ascii="Amiri" w:hAnsi="Amiri" w:eastAsia="Amiri" w:cs="Amiri"/>
          <w:color w:val="111111"/>
          <w:sz w:val="28"/>
          <w:sz w:val="28"/>
          <w:szCs w:val="28"/>
          <w:rtl w:val="true"/>
          <w:lang w:bidi="ar-SA"/>
        </w:rPr>
        <w:t xml:space="preserve">واستشكل القواعد </w:t>
      </w:r>
      <w:r>
        <w:rPr>
          <w:rStyle w:val="FootnoteAnchor"/>
          <w:rtl w:val="true"/>
        </w:rPr>
        <w:footnoteReference w:id="1665"/>
      </w:r>
      <w:r>
        <w:rPr>
          <w:rFonts w:ascii="Amiri" w:hAnsi="Amiri" w:eastAsia="Amiri" w:cs="Amiri"/>
          <w:color w:val="111111"/>
          <w:sz w:val="28"/>
          <w:sz w:val="28"/>
          <w:szCs w:val="28"/>
          <w:rtl w:val="true"/>
          <w:lang w:bidi="ar-SA"/>
        </w:rPr>
        <w:t>في المسألة وفي المسألة الأُخرى؛ أي أخذ أحدهما الدية إذا قتله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أي عدم الجواز، ففي التعليقات على قصاص اللثام</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صريح المحقّق الثاني،</w:t>
      </w:r>
      <w:r>
        <w:rPr>
          <w:rStyle w:val="FootnoteAnchor"/>
          <w:rtl w:val="true"/>
        </w:rPr>
        <w:footnoteReference w:id="1666"/>
      </w:r>
      <w:r>
        <w:rPr>
          <w:rFonts w:ascii="Amiri" w:hAnsi="Amiri" w:eastAsia="Amiri" w:cs="Amiri"/>
          <w:color w:val="111111"/>
          <w:sz w:val="28"/>
          <w:sz w:val="28"/>
          <w:szCs w:val="28"/>
          <w:rtl w:val="true"/>
          <w:lang w:bidi="ar-SA"/>
        </w:rPr>
        <w:t xml:space="preserve">ولازم لكلّ من قال في الفرع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إذا قتله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للآخر أخذ الدية، كالمفيد في المقنعة،</w:t>
      </w:r>
      <w:r>
        <w:rPr>
          <w:rStyle w:val="FootnoteAnchor"/>
          <w:rtl w:val="true"/>
        </w:rPr>
        <w:footnoteReference w:id="1667"/>
      </w:r>
      <w:r>
        <w:rPr>
          <w:rFonts w:ascii="Amiri" w:hAnsi="Amiri" w:eastAsia="Amiri" w:cs="Amiri"/>
          <w:color w:val="111111"/>
          <w:sz w:val="28"/>
          <w:sz w:val="28"/>
          <w:szCs w:val="28"/>
          <w:rtl w:val="true"/>
          <w:lang w:bidi="ar-SA"/>
        </w:rPr>
        <w:t>والشيخ في النهاية</w:t>
      </w:r>
      <w:r>
        <w:rPr>
          <w:rStyle w:val="FootnoteAnchor"/>
          <w:rtl w:val="true"/>
        </w:rPr>
        <w:footnoteReference w:id="1668"/>
      </w:r>
      <w:r>
        <w:rPr>
          <w:rFonts w:ascii="IRNazanin" w:hAnsi="IRNazanin" w:eastAsia="IRNazanin"/>
          <w:color w:val="111111"/>
          <w:sz w:val="28"/>
          <w:sz w:val="28"/>
          <w:szCs w:val="28"/>
          <w:rtl w:val="true"/>
          <w:lang w:bidi="fa-IR"/>
        </w:rPr>
        <w:t>و‌المبسوط</w:t>
      </w:r>
      <w:r>
        <w:rPr>
          <w:rStyle w:val="FootnoteAnchor"/>
          <w:rtl w:val="true"/>
        </w:rPr>
        <w:footnoteReference w:id="1669"/>
      </w:r>
      <w:r>
        <w:rPr>
          <w:rFonts w:ascii="IRNazanin" w:hAnsi="IRNazanin" w:eastAsia="IRNazanin"/>
          <w:color w:val="111111"/>
          <w:sz w:val="28"/>
          <w:sz w:val="28"/>
          <w:szCs w:val="28"/>
          <w:rtl w:val="true"/>
          <w:lang w:bidi="fa-IR"/>
        </w:rPr>
        <w:t>والخلاف،</w:t>
      </w:r>
      <w:r>
        <w:rPr>
          <w:rStyle w:val="FootnoteAnchor"/>
          <w:rtl w:val="true"/>
        </w:rPr>
        <w:footnoteReference w:id="1670"/>
      </w:r>
      <w:r>
        <w:rPr>
          <w:rFonts w:ascii="Amiri" w:hAnsi="Amiri" w:eastAsia="Amiri" w:cs="Amiri"/>
          <w:color w:val="111111"/>
          <w:sz w:val="28"/>
          <w:sz w:val="28"/>
          <w:szCs w:val="28"/>
          <w:rtl w:val="true"/>
          <w:lang w:bidi="ar-SA"/>
        </w:rPr>
        <w:t>والطوسي في الوسيلة،</w:t>
      </w:r>
      <w:r>
        <w:rPr>
          <w:rStyle w:val="FootnoteAnchor"/>
          <w:rtl w:val="true"/>
        </w:rPr>
        <w:footnoteReference w:id="1671"/>
      </w:r>
      <w:r>
        <w:rPr>
          <w:rFonts w:ascii="Amiri" w:hAnsi="Amiri" w:eastAsia="Amiri" w:cs="Amiri"/>
          <w:color w:val="111111"/>
          <w:sz w:val="28"/>
          <w:sz w:val="28"/>
          <w:szCs w:val="28"/>
          <w:rtl w:val="true"/>
          <w:lang w:bidi="ar-SA"/>
        </w:rPr>
        <w:t>والقاضي في المهذّبعلى ما حُكي عنه،</w:t>
      </w:r>
      <w:r>
        <w:rPr>
          <w:rStyle w:val="FootnoteAnchor"/>
          <w:rtl w:val="true"/>
        </w:rPr>
        <w:footnoteReference w:id="1672"/>
      </w:r>
      <w:r>
        <w:rPr>
          <w:rFonts w:ascii="Amiri" w:hAnsi="Amiri" w:eastAsia="Amiri" w:cs="Amiri"/>
          <w:color w:val="111111"/>
          <w:sz w:val="28"/>
          <w:sz w:val="28"/>
          <w:szCs w:val="28"/>
          <w:rtl w:val="true"/>
          <w:lang w:bidi="ar-SA"/>
        </w:rPr>
        <w:t xml:space="preserve">والعجلي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w:t>
      </w:r>
      <w:r>
        <w:rPr>
          <w:rStyle w:val="FootnoteAnchor"/>
          <w:rtl w:val="true"/>
        </w:rPr>
        <w:footnoteReference w:id="1673"/>
      </w:r>
      <w:r>
        <w:rPr>
          <w:rFonts w:ascii="Amiri" w:hAnsi="Amiri" w:eastAsia="Amiri" w:cs="Amiri"/>
          <w:color w:val="111111"/>
          <w:sz w:val="28"/>
          <w:sz w:val="28"/>
          <w:szCs w:val="28"/>
          <w:rtl w:val="true"/>
          <w:lang w:bidi="ar-SA"/>
        </w:rPr>
        <w:t>وابني سعيد في الجامع</w:t>
      </w:r>
      <w:r>
        <w:rPr>
          <w:rStyle w:val="FootnoteAnchor"/>
          <w:rtl w:val="true"/>
        </w:rPr>
        <w:footnoteReference w:id="1674"/>
      </w:r>
      <w:r>
        <w:rPr>
          <w:rFonts w:ascii="IRNazanin" w:hAnsi="IRNazanin" w:eastAsia="IRNazanin"/>
          <w:color w:val="111111"/>
          <w:sz w:val="28"/>
          <w:sz w:val="28"/>
          <w:szCs w:val="28"/>
          <w:rtl w:val="true"/>
          <w:lang w:bidi="fa-IR"/>
        </w:rPr>
        <w:t>والشرائع</w:t>
      </w:r>
      <w:r>
        <w:rPr>
          <w:rStyle w:val="FootnoteAnchor"/>
          <w:rtl w:val="true"/>
        </w:rPr>
        <w:footnoteReference w:id="1675"/>
      </w:r>
      <w:r>
        <w:rPr>
          <w:rFonts w:ascii="Amiri" w:hAnsi="Amiri" w:eastAsia="Amiri" w:cs="Amiri"/>
          <w:color w:val="111111"/>
          <w:sz w:val="28"/>
          <w:sz w:val="28"/>
          <w:szCs w:val="28"/>
          <w:rtl w:val="true"/>
          <w:lang w:bidi="ar-SA"/>
        </w:rPr>
        <w:t>في موضع منها، و‌النافع</w:t>
      </w:r>
      <w:r>
        <w:rPr>
          <w:rStyle w:val="FootnoteAnchor"/>
          <w:rtl w:val="true"/>
        </w:rPr>
        <w:footnoteReference w:id="1676"/>
      </w:r>
      <w:r>
        <w:rPr>
          <w:rFonts w:ascii="Amiri" w:hAnsi="Amiri" w:eastAsia="Amiri" w:cs="Amiri"/>
          <w:color w:val="111111"/>
          <w:sz w:val="28"/>
          <w:sz w:val="28"/>
          <w:szCs w:val="28"/>
          <w:rtl w:val="true"/>
          <w:lang w:bidi="ar-SA"/>
        </w:rPr>
        <w:t>في موضعين منه، والشهيد في اللمعة،</w:t>
      </w:r>
      <w:r>
        <w:rPr>
          <w:rStyle w:val="FootnoteAnchor"/>
          <w:rtl w:val="true"/>
        </w:rPr>
        <w:footnoteReference w:id="1677"/>
      </w:r>
      <w:r>
        <w:rPr>
          <w:rFonts w:ascii="Amiri" w:hAnsi="Amiri" w:eastAsia="Amiri" w:cs="Amiri"/>
          <w:color w:val="111111"/>
          <w:sz w:val="28"/>
          <w:sz w:val="28"/>
          <w:szCs w:val="28"/>
          <w:rtl w:val="true"/>
          <w:lang w:bidi="ar-SA"/>
        </w:rPr>
        <w:t>وفي الخلاف وظاهر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الكتب متفاوتة في الظهور، وعبارة اللمعة أوجزها،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قتل حرّ حرّين فصاعداً فليس لهم إلّا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فهم منها الشهيد الثاني</w:t>
      </w:r>
      <w:r>
        <w:rPr>
          <w:rStyle w:val="FootnoteAnchor"/>
          <w:rtl w:val="true"/>
        </w:rPr>
        <w:footnoteReference w:id="1678"/>
      </w:r>
      <w:r>
        <w:rPr>
          <w:rFonts w:ascii="Amiri" w:hAnsi="Amiri" w:eastAsia="Amiri" w:cs="Amiri"/>
          <w:color w:val="111111"/>
          <w:sz w:val="28"/>
          <w:sz w:val="28"/>
          <w:szCs w:val="28"/>
          <w:rtl w:val="true"/>
          <w:lang w:bidi="ar-SA"/>
        </w:rPr>
        <w:t>أنّه لا يجوز لبعضهم المطالبة بالدية ولبعضهم المطالبة بالقصاص، وأنّه إذا قتله أحدهما ليس للآخر المطالبة بالدية، وأنّه لا يجوز قتله بواحد، إمّا الأوّل أو بالقرعة أو يتخيّر أو يأخذ الدية من ماله للباقين، فتكون بقيّة العبارات مثلها في الدلالة على ذلك، أو أوضح منها دلالة ممّا كان أوضح منها عبارة</w:t>
      </w:r>
      <w:r>
        <w:rPr>
          <w:rFonts w:eastAsia="Amiri" w:cs="Amiri" w:ascii="Amiri" w:hAnsi="Amiri"/>
          <w:color w:val="111111"/>
          <w:sz w:val="28"/>
          <w:szCs w:val="28"/>
          <w:rtl w:val="true"/>
          <w:lang w:bidi="ar-SA"/>
        </w:rPr>
        <w:t>.</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والأقوى الأشبه بقواعد المذهب الأوّل؛ لوجوهٌ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دم امرءٍ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0"/>
      </w:r>
      <w:r>
        <w:rPr>
          <w:rFonts w:ascii="Amiri" w:hAnsi="Amiri" w:eastAsia="Amiri" w:cs="Amiri"/>
          <w:color w:val="111111"/>
          <w:sz w:val="28"/>
          <w:sz w:val="28"/>
          <w:szCs w:val="28"/>
          <w:rtl w:val="true"/>
          <w:lang w:bidi="ar-SA"/>
        </w:rPr>
        <w:t xml:space="preserve">واللازم من القول الثانيطلّ 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 بالنسبة إلى الوليّ المريد للدية، فإنّ الجاني قد أتلف على كلّ واحد منهم نفساً كاملة لا تعلّق لها بباقي النفوس المتلفة، وإنّما يملك الجاني بدلاً واحداً وهو نفسه، فكان لمن لم يقتصّ الدية، لتعذّر البدل، وإلّا يلزم بطلان الدم،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لو انفرد كان له القصاص أو العفو على الدية، فكذلك الأمر مع اجتماعه مع الوليّ الآخر، ولا دليل على أنّ إرادته القصاص واختياره على التراضي بالدية مانع من حقّ الوليّ الآخر المريد للدية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فحوى ما يدلّ على الدية فيما هرب قاتل العمد ومات، وفحوى القول بالدية بموته قبل القصاص وإن لم يكن هارباً، في صحيح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قتل رجلاً عمداً، فرفع إلى الوالي، فدفعه الوالي إلى أولياء المقتول ليقتلوه، فوثب عليهم قوم فخلّصوا القاتل من أيدي الأولياء؟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أن يحبس الذين خلّصوا القاتل من أيدي الأولياء حتّى يأتوا بالقاتل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القاتل وهم في السجن؟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مات فعليهم الدية يؤدّونها جميعاً إلى أولياء المقتول</w:t>
      </w:r>
      <w:r>
        <w:rPr>
          <w:rFonts w:eastAsia="IRNazanin" w:cs="IRNazanin"/>
          <w:color w:val="111111"/>
          <w:sz w:val="28"/>
          <w:szCs w:val="28"/>
          <w:rtl w:val="true"/>
          <w:lang w:bidi="fa-IR"/>
        </w:rPr>
        <w:t>».</w:t>
      </w:r>
      <w:r>
        <w:rPr>
          <w:rStyle w:val="FootnoteAnchor"/>
          <w:rtl w:val="true"/>
        </w:rPr>
        <w:footnoteReference w:id="1681"/>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عبدالرحمن،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قتل رجلين عمداً ولهما أولياء، فعفا أولياء أحدهما وأبى الآخرون؟قال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الذي لم يعف، وإن أحبوا أن يأخذوا الدية أخذوا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وإن كان مربوطاً بعفو أولياء أحدهما لا أخذهم الدية المورد للبحث، لكنّ المستفاد منه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بإلغاء الخصوصيّة وتنقيح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ذلك، حيث إنّ المتفاهم من الصحيح عرفاً أنّ لكلٍّ من الأولياء ولاية مستقلّة غير مرتبطة بالآخر، وكأنّها كانت لذينك الأولياء منفردين عن الآخر، ولذلك كما للآخر القود والدية مع عفو أولياء أحدهما فكذلك له ذلك مع أخذهم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احتمال العموم في الحديث، قضاءً لترك الاستفصال، وكون العفو قابلاً وصادقاً مع الدية ودونها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كلٍّ من أولياء المقتولين القصاص والمقابلة بالمثل مستقلاً؛ قضاءً 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 يَا أُوْلِي الأَلْبابِ</w:t>
      </w:r>
      <w:r>
        <w:rPr>
          <w:rFonts w:ascii="IRNazanin" w:hAnsi="IRNazanin" w:eastAsia="IRNazanin"/>
          <w:color w:val="111111"/>
          <w:sz w:val="28"/>
          <w:sz w:val="28"/>
          <w:szCs w:val="28"/>
          <w:rtl w:val="true"/>
          <w:lang w:bidi="fa-IR"/>
        </w:rPr>
        <w:t>،</w:t>
      </w:r>
      <w:r>
        <w:rPr>
          <w:rStyle w:val="FootnoteAnchor"/>
          <w:rtl w:val="true"/>
        </w:rPr>
        <w:footnoteReference w:id="1683"/>
      </w:r>
      <w:r>
        <w:rPr>
          <w:rFonts w:ascii="Amiri" w:hAnsi="Amiri" w:eastAsia="Amiri" w:cs="Amiri"/>
          <w:color w:val="111111"/>
          <w:sz w:val="28"/>
          <w:sz w:val="28"/>
          <w:szCs w:val="28"/>
          <w:rtl w:val="true"/>
          <w:lang w:bidi="ar-SA"/>
        </w:rPr>
        <w:t>ولما لم يريد الجميع القود فلهم بدله، وهو الدية؛ حفظاً للحقوق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بالأصل القصاص، والدية لا تجب إلّا صلحاً، والفرض عدمه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التعليقات بعد استدلاله بهذا الوجه أورد على ما في اللثام</w:t>
      </w:r>
      <w:r>
        <w:rPr>
          <w:rStyle w:val="FootnoteAnchor"/>
          <w:rtl w:val="true"/>
        </w:rPr>
        <w:footnoteReference w:id="1684"/>
      </w:r>
      <w:r>
        <w:rPr>
          <w:rFonts w:ascii="Amiri" w:hAnsi="Amiri" w:eastAsia="Amiri" w:cs="Amiri"/>
          <w:color w:val="111111"/>
          <w:sz w:val="28"/>
          <w:sz w:val="28"/>
          <w:szCs w:val="28"/>
          <w:rtl w:val="true"/>
          <w:lang w:bidi="ar-SA"/>
        </w:rPr>
        <w:t>و الرياض</w:t>
      </w:r>
      <w:r>
        <w:rPr>
          <w:rStyle w:val="FootnoteAnchor"/>
          <w:rtl w:val="true"/>
        </w:rPr>
        <w:footnoteReference w:id="1685"/>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نسلّم ما ذكره الشارح وشيخنا صاحب الرياض من أنّ أحدهما لو انفرد كان له القصاص والعفو على الدية؛ لأنّهما إن أرادا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العفو على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له بدون رضى الجاني فأوهن شيء وأوّل ممنوع، وإن أرادا مع التراضي فلا ريب فيه، والمفروض خلافه</w:t>
      </w:r>
      <w:r>
        <w:rPr>
          <w:rFonts w:eastAsia="Amiri" w:cs="Amiri" w:ascii="Amiri" w:hAnsi="Amiri"/>
          <w:color w:val="111111"/>
          <w:sz w:val="28"/>
          <w:szCs w:val="28"/>
          <w:rtl w:val="true"/>
          <w:lang w:bidi="ar-SA"/>
        </w:rPr>
        <w:t>.</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يجني أحد أكثر من جنايته على نفسه</w:t>
      </w:r>
      <w:r>
        <w:rPr>
          <w:rFonts w:eastAsia="IRNazanin" w:cs="IRNazanin"/>
          <w:color w:val="111111"/>
          <w:sz w:val="28"/>
          <w:szCs w:val="28"/>
          <w:rtl w:val="true"/>
          <w:lang w:bidi="fa-IR"/>
        </w:rPr>
        <w:t>».</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واللازم من جواز أخذ الدية من القاتل لأولياء القتيل مع مطالبة أولياء القتيل الآخر بالقصاص كونه جانياً بالزائد على نفسه، وهو الدية، وهو منفيّ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على الأوّل أنّ ذلك الواجب بالأصل لما يكون لكلّ واحد من أولياء الجماعة المقتولين بيد القاتل الواحد، ومن المعلوم عدم إمكانه للجميع فيما لم يريدوا الاستيفاء بالاستيفاء على نحو الوحدة، فالقول بعدم جواز أخذ الدية والمطالبة بها من بعضهم موجب لتضييع الحقّ وبطلان الدم، وهو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هذا الوجه لما يكون موجباً لطلّ الدم فمردود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يبطل دم امرءٍ مسلم</w:t>
      </w:r>
      <w:r>
        <w:rPr>
          <w:rFonts w:eastAsia="IRNazanin" w:cs="IRNazanin"/>
          <w:color w:val="111111"/>
          <w:sz w:val="28"/>
          <w:szCs w:val="28"/>
          <w:rtl w:val="true"/>
          <w:lang w:bidi="fa-IR"/>
        </w:rPr>
        <w:t>».</w:t>
      </w:r>
      <w:r>
        <w:rPr>
          <w:rStyle w:val="FootnoteAnchor"/>
          <w:rtl w:val="true"/>
        </w:rPr>
        <w:footnoteReference w:id="1688"/>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غير تامّ في مورده، وهو قتل المرأة بالرجل؛ لما مرّ في قصاص الرجل بالمرأة وعكسه، من كون الحكم بالردّ في قتل الرجل بالمرأة دون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عكسه مخالفٌ للأُصول المسلّمة العقليّة والنقليّة، فإنّ التبعيض ظلمٌ وخلافٌ للعدل كما بيّناه، ومضافاً إلى معارضته في مورده بها في خبر أبي مريم الأنصاري،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ويؤدّي وليّها بقيّة المال</w:t>
      </w:r>
      <w:r>
        <w:rPr>
          <w:rFonts w:eastAsia="IRNazanin" w:cs="IRNazanin"/>
          <w:color w:val="111111"/>
          <w:sz w:val="28"/>
          <w:szCs w:val="28"/>
          <w:rtl w:val="true"/>
          <w:lang w:bidi="fa-IR"/>
        </w:rPr>
        <w:t>»</w:t>
      </w:r>
      <w:r>
        <w:rPr>
          <w:rStyle w:val="FootnoteAnchor"/>
          <w:rtl w:val="true"/>
        </w:rPr>
        <w:footnoteReference w:id="1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دم امرءٍ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مقدّماً عليه في المقام، حيث إنّ عدم زيادة الجناية على نفس الجاني مربوط بحقّ الجاني وبرعاية حاله، فإنّ أخذ المال منه زائد على نفسه زيادة جناية عليه، ومخالف للنفس بالنفس، فلا يردّ مع القود على المرأة القاتلة على أولياء الرجل المقتول شيئاً من مالها، فإنّه زائد على نفسها، بل ظلمٌ في حقّها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عدم طلّ الدم، فإنّه مربوط بحقّ المجنيّ عليه، وأنّه لا يهدر ولا يبطل دمه بمحض عدم إمكان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لابدّ معه من الدية؛ حفظاً لدم المقتول ودفعاً لهدره وبطلانه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بعد ما كان لكلّ وليّ دم من القتيل المتعدّد على القاتل حقّ القصاص على الاستقلال من باب النفس بالنفس، فالقول بعدم جواز مطالبة بعضهم الدية مع مطالبة غيرهم القصاص موجب لبطلان دمهم وطلّه، وليس أخذ الدية منه ظلماً بحاله وزيادة على جنايته على نفسه؛ لكون الأخذ مسبّباً عن زيادته في القتل والجناية، فليس بظلم ولا زائداً على نفسه،ومخالفاً لرعاية حاله، كما لا يخفى</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مورد كلٍّ من الحديثين وما فيهما من العناية به مخالفٌ ومباينٌ للآخر،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تعارض بينهما، فحديث نفي الطلّ مربوط بحال المقتول، وحديث نفي الجناية الزائدة مربوطٌ بالقاتل، فكلّ واحد منهما في مقام بيان حيثيّة وجهه مستقلّة متفاوتة مع الآخر، فلا إطلاق فيهما، بحيث يشمل كلٌّ منهما مورد الآخر فيحصل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التعليقات في آخر بحثه عن المسألة من كون حديث نفي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مقصوراً على ما إذا كان الإبطال باختيار المكلّف وبسببه، وهنا لا اختيار للجاني كما هو واضح، وإلّا فلو مات ولا مال له ولا قريب فإنّه يبطل بالإجماع، سلّمنا، لكنّ الخبر ليس صريحاً ولا ظاهراً في كون الدية في مال القاتل لِمَ لم تكن في بيت المال</w:t>
      </w:r>
      <w:r>
        <w:rPr>
          <w:rFonts w:eastAsia="Amiri" w:cs="Amiri" w:ascii="Amiri" w:hAnsi="Amiri"/>
          <w:color w:val="111111"/>
          <w:sz w:val="28"/>
          <w:szCs w:val="28"/>
          <w:rtl w:val="true"/>
          <w:lang w:bidi="ar-SA"/>
        </w:rPr>
        <w:t>.</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الاقتصار مخالفٌ للإطلاق، بل ولمورده من المقتول في زحام، وأنّ الظاهر كون الدية في مال القاتل، فإنّه السبب للقتل والجناية، فأيّ ارتباط له ببيت المال؟</w:t>
      </w:r>
    </w:p>
    <w:p>
      <w:pPr>
        <w:pStyle w:val="BookText"/>
        <w:rPr/>
      </w:pPr>
      <w:r>
        <w:rPr>
          <w:rFonts w:ascii="Amiri" w:hAnsi="Amiri" w:eastAsia="Amiri" w:cs="Amiri"/>
          <w:color w:val="111111"/>
          <w:sz w:val="28"/>
          <w:sz w:val="28"/>
          <w:szCs w:val="28"/>
          <w:rtl w:val="true"/>
          <w:lang w:bidi="ar-SA"/>
        </w:rPr>
        <w:t>هذا، مع أنّ كونه على بيت المال ليس من مصالح الإسلام ولا المسلمين، بل من مصالح الجاني، وهو كما ترى، ومع أنّه على تسليم عدم ظهور الحديث في كونها على الجاني فالإجماع المركّب حجّة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كان بناءً على المعروف من انحصار الحقّ في القصاص وإلّا فعلى المختار من التخيير فالحكم بجواز الأخذ، وهو القول الأوّل،أوضح</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ذكرناه أنّ في مال الجاني الدية لغير المبادر الذي لم يستأذن من الجميع؛ قضاءً لعدم طلّ الدم،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فما في المتن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w:t>
      </w:r>
      <w:bookmarkStart w:id="385" w:name="pg9428_72863"/>
    </w:p>
    <w:p>
      <w:pPr>
        <w:pStyle w:val="BookText"/>
        <w:rPr/>
      </w:pPr>
      <w:bookmarkEnd w:id="3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التوكيل في استيفاء القصاص، فلو عزله قبل استيفائه فإن علم الوكيل بالعزل فعليه القصاص، وإن لم يعلم فلا قصاص ولا دية، ولو عفا الموكّل عن القصاص قبل الاستيفاء، فإن علم الوكيل واستوفاه فعليه القصاص، وإن لم يعلم فعليه الدية، ويرجع فيها بعد الأداء على الموكّل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الجاني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على مبناه، دون المختار</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5797661_2870459653"/>
      <w:bookmarkStart w:id="387" w:name="_Toc131"/>
      <w:bookmarkEnd w:id="386"/>
      <w:r>
        <w:rPr>
          <w:rtl w:val="true"/>
        </w:rPr>
        <w:t>التوكيل في استيفاء القصاص</w:t>
      </w:r>
      <w:bookmarkEnd w:id="3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صحّة التوكيل لاستيفاء القصاص، بل الإجماع بقسميه عليه، كغيرها ممّا تدخله النيابة ممّا جعل ذريعة إلى غرض لا يختصّ بالمباشرة، قضاءً لعموم الوكالة والعقود، كما حُقّق في كتاب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عزله قبل استيفائه القصاص ثمّ استوفى، فإن علم الوكيل بالعزل ومع ذلك استوفاه، فعليه القصاص بلا خلاف ولا إشكال؛ لأنّه صار بالانعزال أجنبيّاً، وقد تعمّد القتل ظلماً وعدواناً، وللموكّل دية مورّثه على ورثة قاتله؛ لئلّا يبطل دم مورّثه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يعلم فلا قصاص ولا دية قطعاً؛ بناءً على عدم الانعزال بالعزل ما لم يعلم، وأمّا على انعزاله بالعزل مطلقاً فعدم القصاص عليه؛ لعدم العدوان والظلم ممّا لا كلام ولا إشكال فيه، وهو صريح كلّ من تعرّض للمسألة، كالتحرير،</w:t>
      </w:r>
      <w:r>
        <w:rPr>
          <w:rStyle w:val="FootnoteAnchor"/>
          <w:rtl w:val="true"/>
        </w:rPr>
        <w:footnoteReference w:id="1691"/>
      </w:r>
      <w:r>
        <w:rPr>
          <w:rFonts w:ascii="Amiri" w:hAnsi="Amiri" w:eastAsia="Amiri" w:cs="Amiri"/>
          <w:color w:val="111111"/>
          <w:sz w:val="28"/>
          <w:sz w:val="28"/>
          <w:szCs w:val="28"/>
          <w:rtl w:val="true"/>
          <w:lang w:bidi="ar-SA"/>
        </w:rPr>
        <w:t>والمسالك،</w:t>
      </w:r>
      <w:r>
        <w:rPr>
          <w:rStyle w:val="FootnoteAnchor"/>
          <w:rtl w:val="true"/>
        </w:rPr>
        <w:footnoteReference w:id="1692"/>
      </w:r>
      <w:r>
        <w:rPr>
          <w:rFonts w:ascii="IRNazanin" w:hAnsi="IRNazanin" w:eastAsia="IRNazanin"/>
          <w:color w:val="111111"/>
          <w:sz w:val="28"/>
          <w:sz w:val="28"/>
          <w:szCs w:val="28"/>
          <w:rtl w:val="true"/>
          <w:lang w:bidi="fa-IR"/>
        </w:rPr>
        <w:t xml:space="preserve">واللثام </w:t>
      </w:r>
      <w:r>
        <w:rPr>
          <w:rStyle w:val="FootnoteAnchor"/>
          <w:rtl w:val="true"/>
        </w:rPr>
        <w:footnoteReference w:id="169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الدية، ففيها كلام يأتي في العفو؛ لوحدة المناط، وعدم الفرق بين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وصورة العفو في الوجوه والأقوال، كما سيظهر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عفا الموكّل فاستوفى الوكيل عالماً به، فهو قاتل عمد، كما هو واضح، وإن لم يكن يعلم فلا قصاص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الدية ففيها احتمالات ووجوه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للمباشرة في قتل من ظنّه مباح الدم ولم يكن كذلك، وهذا يكون كمن قتل مجاهداً من المسلمين حسبه محارباً مشركاً مهدور الدم ثمّ انكشف أنّه كان مسلماً محقون الدم من دون فرق بينهما في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المثال على بيت المال، وفيما نحن فيه على الوكيل ويرجع بها على الموكّل؛ لأنّه غرّه بالعفو عن غير علمه، وهو مختار المبسوط</w:t>
      </w:r>
      <w:r>
        <w:rPr>
          <w:rStyle w:val="FootnoteAnchor"/>
          <w:rtl w:val="true"/>
        </w:rPr>
        <w:footnoteReference w:id="1694"/>
      </w:r>
      <w:r>
        <w:rPr>
          <w:rFonts w:ascii="IRNazanin" w:hAnsi="IRNazanin" w:eastAsia="IRNazanin"/>
          <w:color w:val="111111"/>
          <w:sz w:val="28"/>
          <w:sz w:val="28"/>
          <w:szCs w:val="28"/>
          <w:rtl w:val="true"/>
          <w:lang w:bidi="fa-IR"/>
        </w:rPr>
        <w:t>و الشرائع</w:t>
      </w:r>
      <w:r>
        <w:rPr>
          <w:rStyle w:val="FootnoteAnchor"/>
          <w:rtl w:val="true"/>
        </w:rPr>
        <w:footnoteReference w:id="1695"/>
      </w:r>
      <w:r>
        <w:rPr>
          <w:rFonts w:ascii="Amiri" w:hAnsi="Amiri" w:eastAsia="Amiri" w:cs="Amiri"/>
          <w:color w:val="111111"/>
          <w:sz w:val="28"/>
          <w:sz w:val="28"/>
          <w:szCs w:val="28"/>
          <w:rtl w:val="true"/>
          <w:lang w:bidi="ar-SA"/>
        </w:rPr>
        <w:t>والتحرير</w:t>
      </w:r>
      <w:r>
        <w:rPr>
          <w:rStyle w:val="FootnoteAnchor"/>
          <w:rtl w:val="true"/>
        </w:rPr>
        <w:footnoteReference w:id="1696"/>
      </w:r>
      <w:r>
        <w:rPr>
          <w:rFonts w:ascii="Amiri" w:hAnsi="Amiri" w:eastAsia="Amiri" w:cs="Amiri"/>
          <w:color w:val="111111"/>
          <w:sz w:val="28"/>
          <w:sz w:val="28"/>
          <w:szCs w:val="28"/>
          <w:rtl w:val="true"/>
          <w:lang w:bidi="ar-SA"/>
        </w:rPr>
        <w:t xml:space="preserve">والمسالك </w:t>
      </w:r>
      <w:r>
        <w:rPr>
          <w:rStyle w:val="FootnoteAnchor"/>
          <w:rtl w:val="true"/>
        </w:rPr>
        <w:footnoteReference w:id="1697"/>
      </w:r>
      <w:r>
        <w:rPr>
          <w:rFonts w:ascii="IRNazanin" w:hAnsi="IRNazanin" w:eastAsia="IRNazanin"/>
          <w:color w:val="111111"/>
          <w:sz w:val="28"/>
          <w:sz w:val="28"/>
          <w:szCs w:val="28"/>
          <w:rtl w:val="true"/>
          <w:lang w:bidi="fa-IR"/>
        </w:rPr>
        <w:t xml:space="preserve">و الجواهر </w:t>
      </w:r>
      <w:r>
        <w:rPr>
          <w:rStyle w:val="FootnoteAnchor"/>
          <w:rtl w:val="true"/>
        </w:rPr>
        <w:footnoteReference w:id="1698"/>
      </w:r>
      <w:r>
        <w:rPr>
          <w:rFonts w:ascii="IRNazanin" w:hAnsi="IRNazanin" w:eastAsia="IRNazanin"/>
          <w:color w:val="111111"/>
          <w:sz w:val="28"/>
          <w:sz w:val="28"/>
          <w:szCs w:val="28"/>
          <w:rtl w:val="true"/>
          <w:lang w:bidi="fa-IR"/>
        </w:rPr>
        <w:t>والمتن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للدية لبطلان العفو؛ لأنّ العفو إنّما حصل عند حصول سبب الهلاك فصار كما لو عفا بعد رمي السهم، فهو كالعفو بعد الاستيفاء</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على الوكيل من دون المراجعة إلى الموكّل، فالضمان واستقراره كلاهما عليه؛ لعدم التعزير للموكّل، فإنّه إنّما فعل ما ندب الشرع إليه، والعفو إحسان إلى القاتل، وعدم علم الوكيل ليس من فعلالموكّل، ولا دخل له فيه، بل يكون مربوطاً بنفس الوكيل والمباشر واستقرار الضمان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الرجوع إلى الموكّل بعد كون أصله على الوكيل بين إمكان الإعلام وعدمه بجواز الرجوع مع الإمكان وعدمه مع عدمه، أوجهها وأقواها الثاني؛ لضعف المباشر بكونه كالآلة للموكّل، فإنّه يعمل ويستوفي القصاص نيابةً عن الموكّل لا عن نفسه، فكأنّه ما قتل الوكيل الجاني بل قتله الموكّل بالنيابة، وأنّه لو كان عالماً بعفو الموكّل ما قتله، وكأنّه ما أراد ولا اختار قتله؛ لأنّه لم يقتله عن نفسه بل قتله عن الموكّل وعن ذلك الغير، فكيف عليه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الموكّل فلا دية عليه لما كان له حقّ القصاص، وعفوه لما يكون مجّاناً، فهو إحسان إليه،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الجواهر من الإشكال في الاستدلال على الاحتمال الثاني؛ أي عدم الدية على الوكيل بأنّ العفو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خروج الأمر من يده فيكون لغواً كعفوه بعد خروج السهم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ولأنّ القتل يباح له في الظاهر فلا يتّجه التضمين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 الفساد، إذ هما معاً كما ترى؛ ضرورة خروجه في الأوّل عن الاختيار دون الفرض، وإباحة الدم في الظاهر لا تنافي التضمين كما في نظائره</w:t>
      </w:r>
      <w:r>
        <w:rPr>
          <w:rFonts w:eastAsia="Amiri" w:cs="Amiri" w:ascii="Amiri" w:hAnsi="Amiri"/>
          <w:color w:val="111111"/>
          <w:sz w:val="28"/>
          <w:szCs w:val="28"/>
          <w:rtl w:val="true"/>
          <w:lang w:bidi="ar-SA"/>
        </w:rPr>
        <w:t>.</w:t>
      </w:r>
      <w:r>
        <w:rPr>
          <w:rStyle w:val="FootnoteAnchor"/>
          <w:rtl w:val="true"/>
        </w:rPr>
        <w:footnoteReference w:id="1699"/>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الفرض كالأوّل في الخروج عن اختيار الوكيل، فإنّه لم يستوف القصاص لنفسه ولاختياره وإرادته، بل استوفاه للموكّل وباختياره وإرادته نيابة عنه فلا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ضعف مباشرة الوكيلأيضاً فلا يصير ضامناً، </w:t>
      </w:r>
      <w:bookmarkStart w:id="388" w:name="pg9428_72866"/>
    </w:p>
    <w:p>
      <w:pPr>
        <w:pStyle w:val="BookText"/>
        <w:rPr/>
      </w:pPr>
      <w:bookmarkEnd w:id="3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 من الحامل حتّى تضع حملها ولو تجدّد الحمل بعد الجناية، بل ولو كان الحمل من زنا، ولو ادّعت الحمل وشهدت لها أربع قوابل ثبت حملها، وإن تجرّدت دعواها فالأحوط التأخير إلى اتّضاح الحال، ولو وضعت حملها فلا يجوز قتلها إذا توقّف حياة الصبيّ عليها، بل لو خيف موت الولد لا يجوز ويجب التأخير، ولو وجد ما يعيش به الولد فالظاهر أنّ له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قتلت المرأة قصاصاً فبانت حاملاً فالدية على الوليّ القاتل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وضمانه مناف لضعف المباشرة، وبهذا يفترق المورد عن بقيّة موارد التضمين بالمباشرة مع إباحة الدم،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عفوه مجّاناً، وأمّا لو كان عفوه على المال بالتراضي مع الجاني أو باختياره الدية على التخيير، ففيه كلام وبحث آخر من جهة دية الجاني، فهو وغيره من مباحث أُخرى مذكورة في الجواهر</w:t>
      </w:r>
      <w:r>
        <w:rPr>
          <w:rStyle w:val="FootnoteAnchor"/>
          <w:rtl w:val="true"/>
        </w:rPr>
        <w:footnoteReference w:id="1700"/>
      </w:r>
      <w:r>
        <w:rPr>
          <w:rFonts w:ascii="Amiri" w:hAnsi="Amiri" w:eastAsia="Amiri" w:cs="Amiri"/>
          <w:color w:val="111111"/>
          <w:sz w:val="28"/>
          <w:sz w:val="28"/>
          <w:szCs w:val="28"/>
          <w:rtl w:val="true"/>
          <w:lang w:bidi="ar-SA"/>
        </w:rPr>
        <w:t>و‌مجمع الفائدة والبرهان</w:t>
      </w:r>
      <w:r>
        <w:rPr>
          <w:rStyle w:val="FootnoteAnchor"/>
          <w:rtl w:val="true"/>
        </w:rPr>
        <w:footnoteReference w:id="1701"/>
      </w:r>
      <w:r>
        <w:rPr>
          <w:rFonts w:ascii="Amiri" w:hAnsi="Amiri" w:eastAsia="Amiri" w:cs="Amiri"/>
          <w:color w:val="111111"/>
          <w:sz w:val="28"/>
          <w:sz w:val="28"/>
          <w:szCs w:val="28"/>
          <w:rtl w:val="true"/>
          <w:lang w:bidi="ar-SA"/>
        </w:rPr>
        <w:t>وغيرهما، فعلى مريد البحث عن تلك المباحث والاطّلاع عليه الرجوع إلى تلك الكتب، وإنّما تركنا التعرّض لذلك لقلّة الابتلاء بمسألة الوكالة في الاستيفاء فضلاً عن أمثال تلك المباحث</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5797663_2870459653"/>
      <w:bookmarkStart w:id="390" w:name="_Toc132"/>
      <w:bookmarkEnd w:id="389"/>
      <w:r>
        <w:rPr>
          <w:rtl w:val="true"/>
        </w:rPr>
        <w:t>عدم جواز الاقتصاص من الحامل</w:t>
      </w:r>
      <w:bookmarkEnd w:id="390"/>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 من الحامل حتّى تضع ولو تجدّد حملها بعد الجناية وكانمن زنا بلا خلاف أجده فيه، بل في كشف اللثام</w:t>
      </w:r>
      <w:r>
        <w:rPr>
          <w:rFonts w:eastAsia="Amiri" w:cs="Amiri" w:ascii="Amiri" w:hAnsi="Amiri"/>
          <w:color w:val="111111"/>
          <w:sz w:val="28"/>
          <w:szCs w:val="28"/>
          <w:rtl w:val="true"/>
          <w:lang w:bidi="ar-SA"/>
        </w:rPr>
        <w:t>:</w:t>
      </w:r>
      <w:r>
        <w:rPr>
          <w:rStyle w:val="FootnoteAnchor"/>
          <w:rtl w:val="true"/>
        </w:rPr>
        <w:footnoteReference w:id="1702"/>
      </w:r>
      <w:r>
        <w:rPr>
          <w:rFonts w:ascii="Amiri" w:hAnsi="Amiri" w:eastAsia="Amiri" w:cs="Amiri"/>
          <w:color w:val="111111"/>
          <w:sz w:val="28"/>
          <w:sz w:val="28"/>
          <w:szCs w:val="28"/>
          <w:rtl w:val="true"/>
          <w:lang w:bidi="ar-SA"/>
        </w:rPr>
        <w:t xml:space="preserve">الاتّفاق عليه؛ لكونه إسرافاً في القتل،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ولغير ذلك ممّا هو واضح ومعلوم من روايات الحدود</w:t>
      </w:r>
      <w:r>
        <w:rPr>
          <w:rStyle w:val="FootnoteAnchor"/>
          <w:rtl w:val="true"/>
        </w:rPr>
        <w:footnoteReference w:id="170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كذلك مع ثبوت الحمل بالأمارات الدالّة عليه، فإن لم يثبت ولا ادّعته فلا إشكال في القصاص منها وإن احتمل الحمل، للأصل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ادّعت الحمل وأثبتته بالحجّة الشرعيّة فلا يجوز قصاصها، وإن تجرّدت دعواها عن الحجّة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بقولها؛ لأنّ فيه دفعاً للوليّ عن سلطنته مع أنّ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بقولها فيؤخّر حتّى يعلم حالها كان أحوط احتياطاً يلزم مراعاته، كما جزم به الفاضل في الإرشاد وولده والشهيدان والعلّامة والأردبيلي</w:t>
      </w:r>
      <w:r>
        <w:rPr>
          <w:rStyle w:val="FootnoteAnchor"/>
          <w:rtl w:val="true"/>
        </w:rPr>
        <w:footnoteReference w:id="1704"/>
      </w:r>
      <w:r>
        <w:rPr>
          <w:rFonts w:ascii="Amiri" w:hAnsi="Amiri" w:eastAsia="Amiri" w:cs="Amiri"/>
          <w:color w:val="111111"/>
          <w:sz w:val="28"/>
          <w:sz w:val="28"/>
          <w:szCs w:val="28"/>
          <w:rtl w:val="true"/>
          <w:lang w:bidi="ar-SA"/>
        </w:rPr>
        <w:t>على ما حكى عن بعضهم؛ لأنّ للحمل أمارات تظهر وأمارات تخفى، وهي عوارض تجدها الحامل من نفسها وتختصّ بمراعاتها على وجه يتعذّر إقامة البيّنة عليها، فيقبل قولها فيه كالحيض ونحوه ممّا دلّت عليه الأدلّة في قبول قولها فيهما، بل لعلّ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لَهُنَّ أَنْ يَكْتُمْنَ مَا خَلَقَ اللهُ فِي أَرْحامِهِنَّ</w:t>
      </w:r>
      <w:r>
        <w:rPr>
          <w:rStyle w:val="FootnoteAnchor"/>
          <w:rtl w:val="true"/>
        </w:rPr>
        <w:footnoteReference w:id="1705"/>
      </w:r>
      <w:r>
        <w:rPr>
          <w:rFonts w:ascii="Amiri" w:hAnsi="Amiri" w:eastAsia="Amiri" w:cs="Amiri"/>
          <w:color w:val="111111"/>
          <w:sz w:val="28"/>
          <w:sz w:val="28"/>
          <w:szCs w:val="28"/>
          <w:rtl w:val="true"/>
          <w:lang w:bidi="ar-SA"/>
        </w:rPr>
        <w:t>ظاهر في تصديقها، ولا أقلّ من الشبهة المقتضية تأخير ذلك إلى أن يعلم الحال</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لم نجد مخالفاً صريحاً، فإنّ الشرائع</w:t>
      </w:r>
      <w:r>
        <w:rPr>
          <w:rStyle w:val="FootnoteAnchor"/>
          <w:rtl w:val="true"/>
        </w:rPr>
        <w:footnoteReference w:id="1706"/>
      </w:r>
      <w:r>
        <w:rPr>
          <w:rFonts w:ascii="Amiri" w:hAnsi="Amiri" w:eastAsia="Amiri" w:cs="Amiri"/>
          <w:color w:val="111111"/>
          <w:sz w:val="28"/>
          <w:sz w:val="28"/>
          <w:szCs w:val="28"/>
          <w:rtl w:val="true"/>
          <w:lang w:bidi="ar-SA"/>
        </w:rPr>
        <w:t>والفاضل في القواعد</w:t>
      </w:r>
      <w:r>
        <w:rPr>
          <w:rStyle w:val="FootnoteAnchor"/>
          <w:rtl w:val="true"/>
        </w:rPr>
        <w:footnoteReference w:id="1707"/>
      </w:r>
      <w:r>
        <w:rPr>
          <w:rFonts w:ascii="Amiri" w:hAnsi="Amiri" w:eastAsia="Amiri" w:cs="Amiri"/>
          <w:color w:val="111111"/>
          <w:sz w:val="28"/>
          <w:sz w:val="28"/>
          <w:szCs w:val="28"/>
          <w:rtl w:val="true"/>
          <w:lang w:bidi="ar-SA"/>
        </w:rPr>
        <w:t>والشيخ فيالمبسوط</w:t>
      </w:r>
      <w:r>
        <w:rPr>
          <w:rStyle w:val="FootnoteAnchor"/>
          <w:rtl w:val="true"/>
        </w:rPr>
        <w:footnoteReference w:id="17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ذكروا أنّ الأولى الاحتياط، لكن يمكن إرادتهم الاحتياط اللازم، بل لعلّه الظاهر من عبارة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أيضاً عدم جواز قتلها بعد الوضع حتّى يشرب الصبيّ اللبأ الذي ذكر الشيخ</w:t>
      </w:r>
      <w:r>
        <w:rPr>
          <w:rStyle w:val="FootnoteAnchor"/>
          <w:rtl w:val="true"/>
        </w:rPr>
        <w:footnoteReference w:id="1709"/>
      </w:r>
      <w:r>
        <w:rPr>
          <w:rFonts w:ascii="IRNazanin" w:hAnsi="IRNazanin" w:eastAsia="IRNazanin"/>
          <w:color w:val="111111"/>
          <w:sz w:val="28"/>
          <w:sz w:val="28"/>
          <w:szCs w:val="28"/>
          <w:rtl w:val="true"/>
          <w:lang w:bidi="fa-IR"/>
        </w:rPr>
        <w:t>والفاضل</w:t>
      </w:r>
      <w:r>
        <w:rPr>
          <w:rStyle w:val="FootnoteAnchor"/>
          <w:rtl w:val="true"/>
        </w:rPr>
        <w:footnoteReference w:id="1710"/>
      </w:r>
      <w:r>
        <w:rPr>
          <w:rFonts w:ascii="Amiri" w:hAnsi="Amiri" w:eastAsia="Amiri" w:cs="Amiri"/>
          <w:color w:val="111111"/>
          <w:sz w:val="28"/>
          <w:sz w:val="28"/>
          <w:szCs w:val="28"/>
          <w:rtl w:val="true"/>
          <w:lang w:bidi="ar-SA"/>
        </w:rPr>
        <w:t>والشهيد</w:t>
      </w:r>
      <w:r>
        <w:rPr>
          <w:rStyle w:val="FootnoteAnchor"/>
          <w:rtl w:val="true"/>
        </w:rPr>
        <w:footnoteReference w:id="1711"/>
      </w:r>
      <w:r>
        <w:rPr>
          <w:rFonts w:ascii="Amiri" w:hAnsi="Amiri" w:eastAsia="Amiri" w:cs="Amiri"/>
          <w:color w:val="111111"/>
          <w:sz w:val="28"/>
          <w:sz w:val="28"/>
          <w:szCs w:val="28"/>
          <w:rtl w:val="true"/>
          <w:lang w:bidi="ar-SA"/>
        </w:rPr>
        <w:t>وغيرهم من أنّه لا يعيش الصبيّ بدونه وإن كان الوجدان يشهد بخلافه، كما اعترف به في المسالك ،</w:t>
      </w:r>
      <w:r>
        <w:rPr>
          <w:rStyle w:val="FootnoteAnchor"/>
          <w:rtl w:val="true"/>
        </w:rPr>
        <w:footnoteReference w:id="1712"/>
      </w:r>
      <w:r>
        <w:rPr>
          <w:rFonts w:ascii="Amiri" w:hAnsi="Amiri" w:eastAsia="Amiri" w:cs="Amiri"/>
          <w:color w:val="111111"/>
          <w:sz w:val="28"/>
          <w:sz w:val="28"/>
          <w:szCs w:val="28"/>
          <w:rtl w:val="true"/>
          <w:lang w:bidi="ar-SA"/>
        </w:rPr>
        <w:t>إلّا أنه يمكن أن يكون ذلك غالباً، ويكفي حينئذٍ في تأخير القتل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عدم جواز قتلها أيضاً إذا توقّفت حياة الصبيّ عليها؛ لعدم وجود ما يعيش به غيرها؛ لأنّه إذا وجب الانتظار احتياطاً للحمل فبعد الوضع وتيقّن الوجود أولى، بل احتمل غير واحد القصاص عليه لو بادر إلى القصاص والحال هذه عالماً بالحال؛ لصدق قتله التسبّبي، نحو ما لو حبس رجلاً ومنعه الطعام أو الشراب حتّى مات جوعاً أو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العدم؛ لعدم صدق التسبيب إلى قتله على وجه يترتّب عليه القصاص، لأنّه كمن غصب طعام رجل أو سلبه فتركه حتّى مات جوعاً أو برداً لكن يمكن حصول الغذاء له إلّا أنّه اتّفق العدم</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يوجد ما يعيش به، أمّا مع وجوده ولو من شاة أو مراضع متعدّدة يتناوبن عليه أو نحو ذلك، فالظاهر أنّ له القصاص وإن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 له الصبر لئلّا يفسد خلقه ونشوؤه بالألبان المختلفة، بل ربّما احتمل العدم لذلك حتّى لو </w:t>
      </w:r>
      <w:bookmarkStart w:id="391" w:name="pg9428_72869"/>
    </w:p>
    <w:p>
      <w:pPr>
        <w:pStyle w:val="BookText"/>
        <w:rPr/>
      </w:pPr>
      <w:bookmarkEnd w:id="3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يد رجل وقتل رجلاً آخر تقطع يده أوّلاً ثمّ يقتل؛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كون القطع أوّلاً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قتله وليّ المقتول قبل القطع أثم، وللوالي تعزيره، ولا ضمان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سرى القطع في المجنيّ عليه قبل القصاص يستحقّ وليّه ووليّ المقتول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سرى بعد القصاص فالظاهر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شيء في تركة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مرضعة راتبه؛ لأنّ لبن أُمّه أوفق بطبعه وإن كان فيه منع واضح حتّى مع القول بمثله في الحدود التي مبناها التخفيف، بخلاف حقوق الناس التي لا يجوز تأخيرها مع طلب أهلها بمثل هذه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قتلت المرأة قصاصاً فبانت حاملاً فالدية على الوليّ القاتل لها بدون إذن الحاكم، بل ومع إذنه مع علمهما بالحال أو جهلهما أو علم القاتل دون الحاكم؛ لأنّه المباشر، وأمّا الإثمّ فعلى من علم منهما</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5797665_2870459653"/>
      <w:bookmarkStart w:id="393" w:name="_Toc133"/>
      <w:bookmarkEnd w:id="392"/>
      <w:r>
        <w:rPr>
          <w:rtl w:val="true"/>
        </w:rPr>
        <w:t>حكم ما لو قطع الجاني يد رجل ثمّ قتل آخر</w:t>
      </w:r>
      <w:bookmarkEnd w:id="3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الحقّين واستيفاءً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لكن كون دية اليد في تركة الجاني في مثله غير بعيد؛ لئلّا يذهب حقّ المقطوع ولا يهدر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لتساوي الوليّين في استحاق القتل، وصار كما لو اتّحد القاتل وتعدّد القتيل، وقد سبق حكمه</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للظهور إلّا الأصل وعدم وجود الجاني حتّى يكون ضامناً، لكنّ الظاهر لئلّا يبطل الدم ولا يبطل كون الدية في ماله</w:t>
      </w:r>
      <w:r>
        <w:rPr>
          <w:rFonts w:eastAsia="Amiri" w:cs="Amiri" w:ascii="Amiri" w:hAnsi="Amiri"/>
          <w:color w:val="111111"/>
          <w:sz w:val="28"/>
          <w:szCs w:val="28"/>
          <w:rtl w:val="true"/>
          <w:lang w:bidi="ar-SA"/>
        </w:rPr>
        <w:t xml:space="preserve">. </w:t>
      </w:r>
      <w:bookmarkStart w:id="394" w:name="pg9428_72870"/>
    </w:p>
    <w:p>
      <w:pPr>
        <w:pStyle w:val="BookText"/>
        <w:rPr/>
      </w:pPr>
      <w:bookmarkEnd w:id="394"/>
      <w:r>
        <w:rPr>
          <w:rFonts w:ascii="Amiri" w:hAnsi="Amiri" w:eastAsia="Amiri" w:cs="Amiri"/>
          <w:color w:val="111111"/>
          <w:sz w:val="28"/>
          <w:sz w:val="28"/>
          <w:szCs w:val="28"/>
          <w:rtl w:val="true"/>
          <w:lang w:bidi="ar-SA"/>
        </w:rPr>
        <w:t>ولو قطع فاقتصّ منه ثمّ سرت جراحة المجنيّ عليه، فلوليّه القصاص في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هلك قاتل العمد سقط القصاص بل والدية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هرب فلم يقدر عليه حتّى مات، ففي رواية معمول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مال أُخذ منه، وإلّا أُخذ من الأقرب 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بأس به، لكن يقتصر على موردها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سببه، ولا ينافيه القطع السابق الواقع عوضاً عن بدله، بل لا شيء له عوضاً عنه بعد أن قطع قصاصاً وإن كان لولا الاستيفاء لدخل في النفس، كما هو واضح</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5797667_2870459653"/>
      <w:bookmarkStart w:id="396" w:name="_Toc134"/>
      <w:bookmarkEnd w:id="395"/>
      <w:r>
        <w:rPr>
          <w:rtl w:val="true"/>
        </w:rPr>
        <w:t>سقوط القصاص بهلاك قاتل العمد</w:t>
      </w:r>
      <w:bookmarkEnd w:id="3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القصاص مع هلاك قاتل العمد بلا تقصير ولا تفريط منه لا إشكال ولا كلام فيه، بل قطعي وعقلي؛ لانتفاء المحلّ</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5797669_2870459653"/>
      <w:bookmarkStart w:id="398" w:name="_Toc135"/>
      <w:bookmarkEnd w:id="397"/>
      <w:r>
        <w:rPr>
          <w:rtl w:val="true"/>
        </w:rPr>
        <w:t>هل تسقط الدية بهلاك قاتل العمد؟</w:t>
      </w:r>
      <w:bookmarkEnd w:id="398"/>
    </w:p>
    <w:p>
      <w:pPr>
        <w:pStyle w:val="BookText"/>
        <w:rPr/>
      </w:pPr>
      <w:r>
        <w:rPr>
          <w:rFonts w:ascii="Amiri" w:hAnsi="Amiri" w:eastAsia="Amiri" w:cs="Amiri"/>
          <w:color w:val="111111"/>
          <w:sz w:val="28"/>
          <w:sz w:val="28"/>
          <w:szCs w:val="28"/>
          <w:rtl w:val="true"/>
          <w:lang w:bidi="ar-SA"/>
        </w:rPr>
        <w:t>وإنّما الكلام والإشكال في ثبوت الدية في مال الجاني وسقوطها على المشهور في قتل العمد من كون الحكم فيه القصاص فقط، ففيه قولان</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للشيخ في النهاية</w:t>
      </w:r>
      <w:r>
        <w:rPr>
          <w:rStyle w:val="FootnoteAnchor"/>
          <w:rtl w:val="true"/>
        </w:rPr>
        <w:footnoteReference w:id="1713"/>
      </w:r>
      <w:r>
        <w:rPr>
          <w:rFonts w:ascii="Amiri" w:hAnsi="Amiri" w:eastAsia="Amiri" w:cs="Amiri"/>
          <w:color w:val="111111"/>
          <w:sz w:val="28"/>
          <w:sz w:val="28"/>
          <w:szCs w:val="28"/>
          <w:rtl w:val="true"/>
          <w:lang w:bidi="ar-SA"/>
        </w:rPr>
        <w:t>وابن زهرة</w:t>
      </w:r>
      <w:r>
        <w:rPr>
          <w:rStyle w:val="FootnoteAnchor"/>
          <w:rtl w:val="true"/>
        </w:rPr>
        <w:footnoteReference w:id="1714"/>
      </w:r>
      <w:r>
        <w:rPr>
          <w:rFonts w:ascii="Amiri" w:hAnsi="Amiri" w:eastAsia="Amiri" w:cs="Amiri"/>
          <w:color w:val="111111"/>
          <w:sz w:val="28"/>
          <w:sz w:val="28"/>
          <w:szCs w:val="28"/>
          <w:rtl w:val="true"/>
          <w:lang w:bidi="ar-SA"/>
        </w:rPr>
        <w:t>مدّعياً للإجماع، والقاضي</w:t>
      </w:r>
      <w:r>
        <w:rPr>
          <w:rStyle w:val="FootnoteAnchor"/>
          <w:rtl w:val="true"/>
        </w:rPr>
        <w:footnoteReference w:id="1715"/>
      </w:r>
      <w:r>
        <w:rPr>
          <w:rFonts w:ascii="Amiri" w:hAnsi="Amiri" w:eastAsia="Amiri" w:cs="Amiri"/>
          <w:color w:val="111111"/>
          <w:sz w:val="28"/>
          <w:sz w:val="28"/>
          <w:szCs w:val="28"/>
          <w:rtl w:val="true"/>
          <w:lang w:bidi="ar-SA"/>
        </w:rPr>
        <w:t>والطبرسي</w:t>
      </w:r>
      <w:r>
        <w:rPr>
          <w:rStyle w:val="FootnoteAnchor"/>
          <w:rtl w:val="true"/>
        </w:rPr>
        <w:footnoteReference w:id="1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وابن‌حمزة</w:t>
      </w:r>
      <w:r>
        <w:rPr>
          <w:rStyle w:val="FootnoteAnchor"/>
          <w:rtl w:val="true"/>
        </w:rPr>
        <w:footnoteReference w:id="1717"/>
      </w:r>
      <w:r>
        <w:rPr>
          <w:rFonts w:ascii="Amiri" w:hAnsi="Amiri" w:eastAsia="Amiri" w:cs="Amiri"/>
          <w:color w:val="111111"/>
          <w:sz w:val="28"/>
          <w:sz w:val="28"/>
          <w:szCs w:val="28"/>
          <w:rtl w:val="true"/>
          <w:lang w:bidi="ar-SA"/>
        </w:rPr>
        <w:t>والكيدري،</w:t>
      </w:r>
      <w:r>
        <w:rPr>
          <w:rStyle w:val="FootnoteAnchor"/>
          <w:rtl w:val="true"/>
        </w:rPr>
        <w:footnoteReference w:id="1718"/>
      </w:r>
      <w:r>
        <w:rPr>
          <w:rFonts w:ascii="Amiri" w:hAnsi="Amiri" w:eastAsia="Amiri" w:cs="Amiri"/>
          <w:color w:val="111111"/>
          <w:sz w:val="28"/>
          <w:sz w:val="28"/>
          <w:szCs w:val="28"/>
          <w:rtl w:val="true"/>
          <w:lang w:bidi="ar-SA"/>
        </w:rPr>
        <w:t>وعليه المحقّق في النافع</w:t>
      </w:r>
      <w:r>
        <w:rPr>
          <w:rStyle w:val="FootnoteAnchor"/>
          <w:rtl w:val="true"/>
        </w:rPr>
        <w:footnoteReference w:id="1719"/>
      </w:r>
      <w:r>
        <w:rPr>
          <w:rFonts w:ascii="Amiri" w:hAnsi="Amiri" w:eastAsia="Amiri" w:cs="Amiri"/>
          <w:color w:val="111111"/>
          <w:sz w:val="28"/>
          <w:sz w:val="28"/>
          <w:szCs w:val="28"/>
          <w:rtl w:val="true"/>
          <w:lang w:bidi="ar-SA"/>
        </w:rPr>
        <w:t>والنكت</w:t>
      </w:r>
      <w:r>
        <w:rPr>
          <w:rStyle w:val="FootnoteAnchor"/>
          <w:rtl w:val="true"/>
        </w:rPr>
        <w:footnoteReference w:id="1720"/>
      </w:r>
      <w:r>
        <w:rPr>
          <w:rFonts w:ascii="Amiri" w:hAnsi="Amiri" w:eastAsia="Amiri" w:cs="Amiri"/>
          <w:color w:val="111111"/>
          <w:sz w:val="28"/>
          <w:sz w:val="28"/>
          <w:szCs w:val="28"/>
          <w:rtl w:val="true"/>
          <w:lang w:bidi="ar-SA"/>
        </w:rPr>
        <w:t>والعلّامة في القواعد</w:t>
      </w:r>
      <w:r>
        <w:rPr>
          <w:rStyle w:val="FootnoteAnchor"/>
          <w:rtl w:val="true"/>
        </w:rPr>
        <w:footnoteReference w:id="1721"/>
      </w:r>
      <w:r>
        <w:rPr>
          <w:rFonts w:ascii="Amiri" w:hAnsi="Amiri" w:eastAsia="Amiri" w:cs="Amiri"/>
          <w:color w:val="111111"/>
          <w:sz w:val="28"/>
          <w:sz w:val="28"/>
          <w:szCs w:val="28"/>
          <w:rtl w:val="true"/>
          <w:lang w:bidi="ar-SA"/>
        </w:rPr>
        <w:t>و‌التبصرة</w:t>
      </w:r>
      <w:r>
        <w:rPr>
          <w:rStyle w:val="FootnoteAnchor"/>
          <w:rtl w:val="true"/>
        </w:rPr>
        <w:footnoteReference w:id="1722"/>
      </w:r>
      <w:r>
        <w:rPr>
          <w:rFonts w:ascii="IRNazanin" w:hAnsi="IRNazanin" w:eastAsia="IRNazanin"/>
          <w:color w:val="111111"/>
          <w:sz w:val="28"/>
          <w:sz w:val="28"/>
          <w:szCs w:val="28"/>
          <w:rtl w:val="true"/>
          <w:lang w:bidi="fa-IR"/>
        </w:rPr>
        <w:t>بل و‌الإرشاد</w:t>
      </w:r>
      <w:r>
        <w:rPr>
          <w:rFonts w:eastAsia="IRNazanin" w:cs="IRNazanin"/>
          <w:color w:val="111111"/>
          <w:sz w:val="28"/>
          <w:szCs w:val="28"/>
          <w:rtl w:val="true"/>
          <w:lang w:bidi="fa-IR"/>
        </w:rPr>
        <w:t>.</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والثاني للمبسوط،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يقتضيه 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4"/>
      </w:r>
      <w:r>
        <w:rPr>
          <w:rFonts w:ascii="IRNazanin" w:hAnsi="IRNazanin" w:eastAsia="IRNazanin"/>
          <w:color w:val="111111"/>
          <w:sz w:val="28"/>
          <w:sz w:val="28"/>
          <w:szCs w:val="28"/>
          <w:rtl w:val="true"/>
          <w:lang w:bidi="fa-IR"/>
        </w:rPr>
        <w:t>و‌السرائر</w:t>
      </w:r>
      <w:r>
        <w:rPr>
          <w:rStyle w:val="FootnoteAnchor"/>
          <w:rtl w:val="true"/>
        </w:rPr>
        <w:footnoteReference w:id="1725"/>
      </w:r>
      <w:r>
        <w:rPr>
          <w:rFonts w:ascii="Amiri" w:hAnsi="Amiri" w:eastAsia="Amiri" w:cs="Amiri"/>
          <w:color w:val="111111"/>
          <w:sz w:val="28"/>
          <w:sz w:val="28"/>
          <w:szCs w:val="28"/>
          <w:rtl w:val="true"/>
          <w:lang w:bidi="ar-SA"/>
        </w:rPr>
        <w:t>وادّعى عليه الإجماع، ولظاهر المختلف</w:t>
      </w:r>
      <w:r>
        <w:rPr>
          <w:rStyle w:val="FootnoteAnchor"/>
          <w:rtl w:val="true"/>
        </w:rPr>
        <w:footnoteReference w:id="1726"/>
      </w:r>
      <w:r>
        <w:rPr>
          <w:rFonts w:ascii="IRNazanin" w:hAnsi="IRNazanin" w:eastAsia="IRNazanin"/>
          <w:color w:val="111111"/>
          <w:sz w:val="28"/>
          <w:sz w:val="28"/>
          <w:szCs w:val="28"/>
          <w:rtl w:val="true"/>
          <w:lang w:bidi="fa-IR"/>
        </w:rPr>
        <w:t>والمحقّق الکرکي</w:t>
      </w:r>
      <w:r>
        <w:rPr>
          <w:rFonts w:eastAsia="IRNazanin" w:cs="IRNazanin"/>
          <w:color w:val="111111"/>
          <w:sz w:val="28"/>
          <w:szCs w:val="28"/>
          <w:rtl w:val="true"/>
          <w:lang w:bidi="fa-IR"/>
        </w:rPr>
        <w:t>.</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ولا يتوهّم أنّ عبارة السرائر كانت في موت القاتل الهارب لا موته وهلاكه بدون الهرب؛ أي موضوع البحث هنا؛ لأنّ القول بعدم الدية في الهارب الهالك المفوّت للمعوّض مستلزم لعدمها في الهالك من دون الهرب المفوّت للمفوّض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القول بالدية في الهارب المفوّت، فإنّه غير مستلزم للقول بها من غير الهارب الذي لا يقصر ولا دخالة له في فوت المعوّض، كما لايخفى</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وتردّد في الخلاف ،</w:t>
      </w:r>
      <w:r>
        <w:rPr>
          <w:rStyle w:val="FootnoteAnchor"/>
          <w:rtl w:val="true"/>
        </w:rPr>
        <w:footnoteReference w:id="1728"/>
      </w:r>
      <w:r>
        <w:rPr>
          <w:rFonts w:ascii="Amiri" w:hAnsi="Amiri" w:eastAsia="Amiri" w:cs="Amiri"/>
          <w:color w:val="111111"/>
          <w:sz w:val="28"/>
          <w:sz w:val="28"/>
          <w:szCs w:val="28"/>
          <w:rtl w:val="true"/>
          <w:lang w:bidi="ar-SA"/>
        </w:rPr>
        <w:t xml:space="preserve">بل لا يبعد كونه موافقاً له في التردّد، حيث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اكتفى بنقل موافقة المبسوط في سقوط الدية، وتردّد الخلاف فيه، ونقل رواية أبي بصير الواردة في القاتل الهارب من دون اختيار النظر والردّ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 جعلنا التردّد في المسألة قولاً فالمسألة ذات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لثبوت الدية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قُتِلَ مَظْلُوماً فَقَدْ جَعَلْنَا لِوَلِيِّهِ سُلْطَاناً</w:t>
      </w:r>
      <w:r>
        <w:rPr>
          <w:rFonts w:ascii="IRNazanin" w:hAnsi="IRNazanin" w:eastAsia="IRNazanin"/>
          <w:color w:val="111111"/>
          <w:sz w:val="28"/>
          <w:sz w:val="28"/>
          <w:szCs w:val="28"/>
          <w:rtl w:val="true"/>
          <w:lang w:bidi="fa-IR"/>
        </w:rPr>
        <w:t>،</w:t>
      </w:r>
      <w:r>
        <w:rPr>
          <w:rStyle w:val="FootnoteAnchor"/>
          <w:rtl w:val="true"/>
        </w:rPr>
        <w:footnoteReference w:id="1729"/>
      </w:r>
      <w:r>
        <w:rPr>
          <w:rFonts w:ascii="Amiri" w:hAnsi="Amiri" w:eastAsia="Amiri" w:cs="Amiri"/>
          <w:color w:val="111111"/>
          <w:sz w:val="28"/>
          <w:sz w:val="28"/>
          <w:szCs w:val="28"/>
          <w:rtl w:val="true"/>
          <w:lang w:bidi="ar-SA"/>
        </w:rPr>
        <w:t>فإطلاق السلطنة مقتضٍ لسلطنة الوليّ على أخذ الدية مع هلاك القاتل قبل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دم امرءٍ مسلم</w:t>
      </w:r>
      <w:r>
        <w:rPr>
          <w:rFonts w:eastAsia="Amiri" w:cs="Amiri" w:ascii="Amiri" w:hAnsi="Amiri"/>
          <w:color w:val="111111"/>
          <w:sz w:val="28"/>
          <w:szCs w:val="28"/>
          <w:rtl w:val="true"/>
          <w:lang w:bidi="ar-SA"/>
        </w:rPr>
        <w:t>».</w:t>
      </w:r>
      <w:r>
        <w:rPr>
          <w:rStyle w:val="FootnoteAnchor"/>
          <w:rtl w:val="true"/>
        </w:rPr>
        <w:footnoteReference w:id="1730"/>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المورد كمن قطع يد رجل ولا يد له، فإنّ عليه الدية، فكذا في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البزنطي،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كون المراد من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فمرسل؛ لعدم رواية البزنطي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رجل قتل رجلاً عمداً، ثمّ فرّ فلم يقدر عليه حتّى 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له مال أخذ منه، وإلّا أخذ من الأقرب فالأقرب</w:t>
      </w:r>
      <w:r>
        <w:rPr>
          <w:rFonts w:eastAsia="IRNazanin" w:cs="IRNazanin"/>
          <w:color w:val="111111"/>
          <w:sz w:val="28"/>
          <w:szCs w:val="28"/>
          <w:rtl w:val="true"/>
          <w:lang w:bidi="fa-IR"/>
        </w:rPr>
        <w:t>».</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خبر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زيادة التعليل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يبطل دم امرءٍ مسلم</w:t>
      </w:r>
      <w:r>
        <w:rPr>
          <w:rFonts w:eastAsia="IRNazanin" w:cs="IRNazanin"/>
          <w:color w:val="111111"/>
          <w:sz w:val="28"/>
          <w:szCs w:val="28"/>
          <w:rtl w:val="true"/>
          <w:lang w:bidi="fa-IR"/>
        </w:rPr>
        <w:t>».</w:t>
      </w:r>
      <w:r>
        <w:rPr>
          <w:rStyle w:val="FootnoteAnchor"/>
          <w:rtl w:val="true"/>
        </w:rPr>
        <w:footnoteReference w:id="17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الوجوه غير الثاني منها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فالسلطان فيه إنّما هو على القتل فقط لا عليه وعلى الدية؛ لما في ذيله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يُسْرِفْ فِي القَتْلِ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وأمّا القياس على مقطوع الطرف، فالفرق واضح؛ لأنّ الثابت عليه من أوّل الأمر وحين الجناية الدية، وهذا بخلاف المورد ممّا كان الثابت من أوّل الأمر القود، والدية على ثبوتها تكون من باب البدل، فالدية في المقطوع على الأصلية، وفي المورد على البدلية فليس من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الحديثين، فموردهما الفرار الموجب لكون القاتل الهارب مفوّتاً للعوض ومقصّراً في تضييع حقّ المقتول، وهذا بخلاف المقام حيث لم يفرّ القاتل ولم يقصّر، فالاستدلال بهما على المقام غير تامّ،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ذكر الهرب والموت في الحديثين في السؤال لا في الجواب، بل في خبر أبي بصير لا ذكر فيه للموت في السؤال فضلاً عن الجواب، ومن هنا جعل غير واحد العنوان كالمتن الهالك، يدفعها عدم الاستقلال وعموم في الجواب،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غير مخصّص له، بل الجواب جواب خاصّ بالسؤال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الاستدلال بالوجه الثاني تامّ ولا ينبغي الإشكال فيه، فإنّ حجّيّة العلّة ممّا عليها بناء العقلاء بل عليها مدار الفقه، بل الظاهر أنّ مخالفة مثل السيّد المرتضى في حجّيّة العلّة تكون مخالفة في الصغرى لا في الكبرى،فالنزاع في الحجّية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الجواهر من الإشكال على هذا الوجه بقوله</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أنّه ظاهر في كونه تعليلاً لتأدية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لا أصل الحكم، ولعلّه </w:t>
      </w:r>
      <w:bookmarkStart w:id="399" w:name="pg9428_72874"/>
    </w:p>
    <w:p>
      <w:pPr>
        <w:pStyle w:val="BookText"/>
        <w:rPr/>
      </w:pPr>
      <w:bookmarkEnd w:id="3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كان ظاهر الأصحاب الاقتصار على خصوص الهارب الميّت</w:t>
      </w:r>
      <w:r>
        <w:rPr>
          <w:rFonts w:eastAsia="Amiri" w:cs="Amiri" w:ascii="Amiri" w:hAnsi="Amiri"/>
          <w:color w:val="111111"/>
          <w:sz w:val="28"/>
          <w:szCs w:val="28"/>
          <w:rtl w:val="true"/>
          <w:lang w:bidi="ar-SA"/>
        </w:rPr>
        <w:t>.</w:t>
      </w:r>
      <w:r>
        <w:rPr>
          <w:rStyle w:val="FootnoteAnchor"/>
          <w:rtl w:val="true"/>
        </w:rPr>
        <w:footnoteReference w:id="1734"/>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على تسليم ذلك الظهور، فمربوطٌ بمثل خبر أبي بصير في المقام، لا بما في خبره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اليمين على مدّعي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وحكم في دمائكم أنّ البيّنة على المدّعى عليه، واليمين على من أدّعى، لئلّا يبطل دم امرءٍ مسلم</w:t>
      </w:r>
      <w:r>
        <w:rPr>
          <w:rFonts w:eastAsia="IRNazanin" w:cs="IRNazanin"/>
          <w:color w:val="111111"/>
          <w:sz w:val="28"/>
          <w:szCs w:val="28"/>
          <w:rtl w:val="true"/>
          <w:lang w:bidi="fa-IR"/>
        </w:rPr>
        <w:t>».</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وبما ذكرناه من تماميّة الوجه الثاني يظهر الجواب عمّا استدلّ به للسقوط من الأُصول، فإنّه لامحلّ لها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موت القاتل من دون الهرب والتقصير</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5797671_2870459653"/>
      <w:bookmarkStart w:id="401" w:name="_Toc136"/>
      <w:bookmarkEnd w:id="400"/>
      <w:r>
        <w:rPr>
          <w:rtl w:val="true"/>
        </w:rPr>
        <w:t>ثبوت الدية مع موت القاتل الهارب</w:t>
      </w:r>
      <w:bookmarkEnd w:id="401"/>
    </w:p>
    <w:p>
      <w:pPr>
        <w:pStyle w:val="BookText"/>
        <w:rPr/>
      </w:pPr>
      <w:r>
        <w:rPr>
          <w:rFonts w:ascii="Amiri" w:hAnsi="Amiri" w:eastAsia="Amiri" w:cs="Amiri"/>
          <w:color w:val="111111"/>
          <w:sz w:val="28"/>
          <w:sz w:val="28"/>
          <w:szCs w:val="28"/>
          <w:rtl w:val="true"/>
          <w:lang w:bidi="ar-SA"/>
        </w:rPr>
        <w:t>وأمّا موته مع الهرب فثبوت الدية فيه على مال الجاني على المختار من التخيير أولى من الصورة السابقة، ولا نزاع فيه، كما لا يخفى</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الكلام على المبنى المعروف ففيه خلاف أيضاً كالسابقة، فالقول بالدية للشيخ في النهاية</w:t>
      </w:r>
      <w:r>
        <w:rPr>
          <w:rStyle w:val="FootnoteAnchor"/>
          <w:rtl w:val="true"/>
        </w:rPr>
        <w:footnoteReference w:id="1736"/>
      </w:r>
      <w:r>
        <w:rPr>
          <w:rFonts w:ascii="Amiri" w:hAnsi="Amiri" w:eastAsia="Amiri" w:cs="Amiri"/>
          <w:color w:val="111111"/>
          <w:sz w:val="28"/>
          <w:sz w:val="28"/>
          <w:szCs w:val="28"/>
          <w:rtl w:val="true"/>
          <w:lang w:bidi="ar-SA"/>
        </w:rPr>
        <w:t>وابن زهرة</w:t>
      </w:r>
      <w:r>
        <w:rPr>
          <w:rStyle w:val="FootnoteAnchor"/>
          <w:rtl w:val="true"/>
        </w:rPr>
        <w:footnoteReference w:id="1737"/>
      </w:r>
      <w:r>
        <w:rPr>
          <w:rFonts w:ascii="Amiri" w:hAnsi="Amiri" w:eastAsia="Amiri" w:cs="Amiri"/>
          <w:color w:val="111111"/>
          <w:sz w:val="28"/>
          <w:sz w:val="28"/>
          <w:szCs w:val="28"/>
          <w:rtl w:val="true"/>
          <w:lang w:bidi="ar-SA"/>
        </w:rPr>
        <w:t>والقاضي</w:t>
      </w:r>
      <w:r>
        <w:rPr>
          <w:rStyle w:val="FootnoteAnchor"/>
          <w:rtl w:val="true"/>
        </w:rPr>
        <w:footnoteReference w:id="1738"/>
      </w:r>
      <w:r>
        <w:rPr>
          <w:rFonts w:ascii="Amiri" w:hAnsi="Amiri" w:eastAsia="Amiri" w:cs="Amiri"/>
          <w:color w:val="111111"/>
          <w:sz w:val="28"/>
          <w:sz w:val="28"/>
          <w:szCs w:val="28"/>
          <w:rtl w:val="true"/>
          <w:lang w:bidi="ar-SA"/>
        </w:rPr>
        <w:t>والتقي</w:t>
      </w:r>
      <w:r>
        <w:rPr>
          <w:rStyle w:val="FootnoteAnchor"/>
          <w:rtl w:val="true"/>
        </w:rPr>
        <w:footnoteReference w:id="1739"/>
      </w:r>
      <w:r>
        <w:rPr>
          <w:rFonts w:ascii="Amiri" w:hAnsi="Amiri" w:eastAsia="Amiri" w:cs="Amiri"/>
          <w:color w:val="111111"/>
          <w:sz w:val="28"/>
          <w:sz w:val="28"/>
          <w:szCs w:val="28"/>
          <w:rtl w:val="true"/>
          <w:lang w:bidi="ar-SA"/>
        </w:rPr>
        <w:t>وابن حمزة</w:t>
      </w:r>
      <w:r>
        <w:rPr>
          <w:rStyle w:val="FootnoteAnchor"/>
          <w:rtl w:val="true"/>
        </w:rPr>
        <w:footnoteReference w:id="1740"/>
      </w:r>
      <w:r>
        <w:rPr>
          <w:rFonts w:ascii="Amiri" w:hAnsi="Amiri" w:eastAsia="Amiri" w:cs="Amiri"/>
          <w:color w:val="111111"/>
          <w:sz w:val="28"/>
          <w:sz w:val="28"/>
          <w:szCs w:val="28"/>
          <w:rtl w:val="true"/>
          <w:lang w:bidi="ar-SA"/>
        </w:rPr>
        <w:t>والكيدري</w:t>
      </w:r>
      <w:r>
        <w:rPr>
          <w:rStyle w:val="FootnoteAnchor"/>
          <w:rtl w:val="true"/>
        </w:rPr>
        <w:footnoteReference w:id="17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 بل في غاية المراد والمسالك والتنقيح</w:t>
      </w:r>
      <w:r>
        <w:rPr>
          <w:rStyle w:val="FootnoteAnchor"/>
          <w:rtl w:val="true"/>
        </w:rPr>
        <w:footnoteReference w:id="1742"/>
      </w:r>
      <w:r>
        <w:rPr>
          <w:rFonts w:ascii="Amiri" w:hAnsi="Amiri" w:eastAsia="Amiri" w:cs="Amiri"/>
          <w:color w:val="111111"/>
          <w:sz w:val="28"/>
          <w:sz w:val="28"/>
          <w:szCs w:val="28"/>
          <w:rtl w:val="true"/>
          <w:lang w:bidi="ar-SA"/>
        </w:rPr>
        <w:t>نسبته إلى أكثر الأصحاب تارة وإليهم أُخرى، بل عن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1743"/>
      </w:r>
      <w:r>
        <w:rPr>
          <w:rFonts w:ascii="Amiri" w:hAnsi="Amiri" w:eastAsia="Amiri" w:cs="Amiri"/>
          <w:color w:val="111111"/>
          <w:sz w:val="28"/>
          <w:sz w:val="28"/>
          <w:szCs w:val="28"/>
          <w:rtl w:val="true"/>
          <w:lang w:bidi="ar-SA"/>
        </w:rPr>
        <w:t>وبعدمه لابن إدريس في السرائر</w:t>
      </w:r>
      <w:r>
        <w:rPr>
          <w:rStyle w:val="FootnoteAnchor"/>
          <w:rtl w:val="true"/>
        </w:rPr>
        <w:footnoteReference w:id="1744"/>
      </w:r>
      <w:r>
        <w:rPr>
          <w:rFonts w:ascii="Amiri" w:hAnsi="Amiri" w:eastAsia="Amiri" w:cs="Amiri"/>
          <w:color w:val="111111"/>
          <w:sz w:val="28"/>
          <w:sz w:val="28"/>
          <w:szCs w:val="28"/>
          <w:rtl w:val="true"/>
          <w:lang w:bidi="ar-SA"/>
        </w:rPr>
        <w:t>وادّعى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والوجوه المستدلّ بها على الثبوت في هذه الصورة هي المستدلّ بها في السابقة بزيادة ما في المختلف من سببيّة تفويت الواجب عليه حتّى تعذّر فعليه البدل، والدية تؤخذ من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الشيخ في النهاية ، وهو قول ابن الجنيد،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يطلّ دم امرءٍ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5"/>
      </w:r>
      <w:r>
        <w:rPr>
          <w:rFonts w:ascii="IRNazanin" w:hAnsi="IRNazanin" w:eastAsia="IRNazanin"/>
          <w:color w:val="111111"/>
          <w:sz w:val="28"/>
          <w:sz w:val="28"/>
          <w:szCs w:val="28"/>
          <w:rtl w:val="true"/>
          <w:lang w:bidi="fa-IR"/>
        </w:rPr>
        <w:t>وعموم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قُتِلَ مَظْلُوماً فَقَدْ جَعَلْنا لِوَلِيِّهِ سُلْطَاناً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6"/>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أحمد بن محمّد بن أبي نصر،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رجل قتل رجلاً عمداً، ثمّ فرّ فلم يقدر عليه حتّى 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له مال أُخذ منه، وإلّا أُخذ من الأقرب فالأقرب</w:t>
      </w:r>
      <w:r>
        <w:rPr>
          <w:rFonts w:eastAsia="IRNazanin" w:cs="IRNazanin"/>
          <w:color w:val="111111"/>
          <w:sz w:val="28"/>
          <w:szCs w:val="28"/>
          <w:rtl w:val="true"/>
          <w:lang w:bidi="fa-IR"/>
        </w:rPr>
        <w:t>».</w:t>
      </w:r>
      <w:r>
        <w:rPr>
          <w:rStyle w:val="FootnoteAnchor"/>
          <w:rtl w:val="true"/>
        </w:rPr>
        <w:footnoteReference w:id="17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قتل رجلاً متعمّداً ثمّ هرب القاتل فلم يقدر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له مال أُخذت الدية من ماله، وإلّا فمن الأقرب فالأقرب، فإنّه لا يبطل دم امرءٍ مسلم</w:t>
      </w:r>
      <w:r>
        <w:rPr>
          <w:rFonts w:eastAsia="IRNazanin" w:cs="IRNazanin"/>
          <w:color w:val="111111"/>
          <w:sz w:val="28"/>
          <w:szCs w:val="28"/>
          <w:rtl w:val="true"/>
          <w:lang w:bidi="fa-IR"/>
        </w:rPr>
        <w:t>».</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ولأنّه أخلّ بدفع الواجب عليه حتّى تعذّر، فكان عليه البدل، فإذا مات وجب أن تؤخذ من تركته</w:t>
      </w:r>
      <w:r>
        <w:rPr>
          <w:rFonts w:eastAsia="Amiri" w:cs="Amiri" w:ascii="Amiri" w:hAnsi="Amiri"/>
          <w:color w:val="111111"/>
          <w:sz w:val="28"/>
          <w:szCs w:val="28"/>
          <w:rtl w:val="true"/>
          <w:lang w:bidi="ar-SA"/>
        </w:rPr>
        <w:t>.</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وفي هذه الوجوه غير الوجه الأوّل تأ‌مّل وإشكال، أمّا رواية أحمد بن أبي نصر البزنطي فمردّدة بين كونها صحيحة أو مرسلة كما مرّ،</w:t>
      </w:r>
      <w:r>
        <w:rPr>
          <w:rStyle w:val="FootnoteAnchor"/>
          <w:rtl w:val="true"/>
        </w:rPr>
        <w:footnoteReference w:id="1750"/>
      </w:r>
      <w:r>
        <w:rPr>
          <w:rFonts w:ascii="IRNazanin" w:hAnsi="IRNazanin" w:eastAsia="IRNazanin"/>
          <w:color w:val="111111"/>
          <w:sz w:val="28"/>
          <w:sz w:val="28"/>
          <w:szCs w:val="28"/>
          <w:rtl w:val="true"/>
          <w:lang w:bidi="fa-IR"/>
        </w:rPr>
        <w:t xml:space="preserve">بل الظاهر أنّها مرسلة؛ لكونها منقولة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الإطلاق المنصرف إلى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لابن نصر رواية عنه بلا واسطة فإنّه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رواية أبي بصير، فضعيفة باشتراكه بين الثقة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الموثّقة المرويّة في التهذيب </w:t>
      </w:r>
      <w:r>
        <w:rPr>
          <w:rStyle w:val="FootnoteAnchor"/>
          <w:rtl w:val="true"/>
        </w:rPr>
        <w:footnoteReference w:id="1751"/>
      </w:r>
      <w:r>
        <w:rPr>
          <w:rFonts w:ascii="Amiri" w:hAnsi="Amiri" w:eastAsia="Amiri" w:cs="Amiri"/>
          <w:color w:val="111111"/>
          <w:sz w:val="28"/>
          <w:sz w:val="28"/>
          <w:szCs w:val="28"/>
          <w:rtl w:val="true"/>
          <w:lang w:bidi="ar-SA"/>
        </w:rPr>
        <w:t xml:space="preserve">و الكافي </w:t>
      </w:r>
      <w:r>
        <w:rPr>
          <w:rStyle w:val="FootnoteAnchor"/>
          <w:rtl w:val="true"/>
        </w:rPr>
        <w:footnoteReference w:id="1752"/>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أعلم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وجود أبان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السند موجب لاعتباره؛ لأنّ شأن كونه من أصحاب الإجماع مقتضٍ لعدم نقلهم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المجهول أو الضعيف، ولازم ذلك كون أبي بصير هو الثقة، هذا مضافاً إلى أنّ الشهرة وعمل الأصحاب جابران لضعف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كلّه ما في متنها ومتن خبر أبي نصر من إيجاب الدية على الأقرب فالأقرب مع عدم ضبط ذلك، بعيد وخلاف القوانين العقليّة والنقليّة كما سنوضحه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رحمه الله من الوجهين الاعتباريّين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يأخذون ديته مع العفو على المال أو تعذّر الاستيفاء بالقصاص، فكانت ديته عليهم كما في الخطأ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ولأنّهم يضمنون دية الخطأ ولم يُبطلها الشارع حراسةً للنفوس وحفظاً لها وزجراً عن القتل خطأً، فالعمد أولى بالحراسة والزجر عنه والمعاقبة عليه وأخذ العوض فيه</w:t>
      </w:r>
      <w:r>
        <w:rPr>
          <w:rFonts w:eastAsia="Amiri" w:cs="Amiri" w:ascii="Amiri" w:hAnsi="Amiri"/>
          <w:color w:val="111111"/>
          <w:sz w:val="28"/>
          <w:szCs w:val="28"/>
          <w:rtl w:val="true"/>
          <w:lang w:bidi="ar-SA"/>
        </w:rPr>
        <w:t>.</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فليس بأزيد من الاعتبار لادليلاً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ذلك الحكم بالدليل كان ذلك وجه مناسبة له، فإنّ إثبات هذه الأحكام بمجرّد مثل هذه الأُمور غير ممكنة؛ لعدم الاعتبار بالاعتبار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آية السلطنة، مضت</w:t>
      </w:r>
      <w:r>
        <w:rPr>
          <w:rStyle w:val="FootnoteAnchor"/>
          <w:rtl w:val="true"/>
        </w:rPr>
        <w:footnoteReference w:id="1755"/>
      </w:r>
      <w:r>
        <w:rPr>
          <w:rFonts w:ascii="Amiri" w:hAnsi="Amiri" w:eastAsia="Amiri" w:cs="Amiri"/>
          <w:color w:val="111111"/>
          <w:sz w:val="28"/>
          <w:sz w:val="28"/>
          <w:szCs w:val="28"/>
          <w:rtl w:val="true"/>
          <w:lang w:bidi="ar-SA"/>
        </w:rPr>
        <w:t>المناقشة في الاستدلال بها فلا نعيدها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الوجه الأوّل كما كان الاستدلال به تامّاً في الصورة السابقة، فكذلك في هذه الصورة؛ لعدم الفرق بينهما في لزوم أنّه لا يبطل دم امرءٍ مسلم</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السرائر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غير واضح؛ لأنّه خلاف الإجماع وظاهر الكتاب، والمتواتر من الأخبار، وأُصول مذهبنا، وهو أنّ موجب القتل العمد القود دون الدية، على ما كرّرنا القول فيه بلا خلاف بيننا، فإذا فات محلّه، وهو الرقبة، فقد سقط لا إلى بدل، وانتقاله إلى المال الذي للميّت، أو إلى مال أوليائه، حكم شرعي يحتاج مثبته إلى دليل شرعي، ولن يجده أبداً، وهذه أخبار آحاد شواذّ أوردها شيخنا في نهايته</w:t>
      </w:r>
      <w:r>
        <w:rPr>
          <w:rStyle w:val="FootnoteAnchor"/>
          <w:rtl w:val="true"/>
        </w:rPr>
        <w:footnoteReference w:id="1756"/>
      </w:r>
      <w:r>
        <w:rPr>
          <w:rFonts w:ascii="Amiri" w:hAnsi="Amiri" w:eastAsia="Amiri" w:cs="Amiri"/>
          <w:color w:val="111111"/>
          <w:sz w:val="28"/>
          <w:sz w:val="28"/>
          <w:szCs w:val="28"/>
          <w:rtl w:val="true"/>
          <w:lang w:bidi="ar-SA"/>
        </w:rPr>
        <w:t>إيراداً لا اعتقاداً؛ لأنّه رجع عن هذا القول في مسائل خلافه وأفتى بخلافه، وهو الحقّ اليقين</w:t>
      </w:r>
      <w:r>
        <w:rPr>
          <w:rFonts w:eastAsia="Amiri" w:cs="Amiri" w:ascii="Amiri" w:hAnsi="Amiri"/>
          <w:color w:val="111111"/>
          <w:sz w:val="28"/>
          <w:szCs w:val="28"/>
          <w:rtl w:val="true"/>
          <w:lang w:bidi="ar-SA"/>
        </w:rPr>
        <w:t>.</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إدريس من أنّ قول شيخنا في النهاية مخالف للإجماع جَهْلٌ منه وخطأ في القول، وحاشا شيخنا عن مخالفة الإجماع، مع أنّه أعرف بمواضعه منه، وأيّ أخبار تواترت له في ذلك حتّى يخالفها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منافاة بين ما قلناه وبين أنّ الواجب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لو سلّمنا له ذلك لم يلزم إبطال ما اخترناه، فإنّ مفوّت العوض مع مباشرة إتلاف العوض ضامن للبدل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لم يرجع في الخلاف عن قوله في النهاية ، بل صدر المسألة مطابق لما أفتى به في الخلاف ، ثمّ عقّب في آخرها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قلنا بقول أبي حنيفة كان قويّاً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8"/>
      </w:r>
      <w:r>
        <w:rPr>
          <w:rFonts w:ascii="Amiri" w:hAnsi="Amiri" w:eastAsia="Amiri" w:cs="Amiri"/>
          <w:color w:val="111111"/>
          <w:sz w:val="28"/>
          <w:sz w:val="28"/>
          <w:szCs w:val="28"/>
          <w:rtl w:val="true"/>
          <w:lang w:bidi="ar-SA"/>
        </w:rPr>
        <w:t>وليس في ذلك إفتاء بقوله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مع ذلك ،كيف يدّعي مخالفة الشيخ للإجماع وقد أفتى بقوله جماعة من علمائنا؟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في الخبرين من كون الدية على الأقرب فالأقرب مع عدم المال له مخالفٌ للقواعد، فإنّه لا تزر وازرة وزر أُخرى، وأنّه لا ضمان إلّا على المتلف والجاني، وأنّ جعل الدية في مالهم ظلم عليهم فلا يصحّ الذهاب إليه ولا الفتوى به للمخالفة مع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فتوى العلّامة في الإرشاد</w:t>
      </w:r>
      <w:r>
        <w:rPr>
          <w:rStyle w:val="FootnoteAnchor"/>
          <w:rtl w:val="true"/>
        </w:rPr>
        <w:footnoteReference w:id="1759"/>
      </w:r>
      <w:r>
        <w:rPr>
          <w:rFonts w:ascii="Amiri" w:hAnsi="Amiri" w:eastAsia="Amiri" w:cs="Amiri"/>
          <w:color w:val="111111"/>
          <w:sz w:val="28"/>
          <w:sz w:val="28"/>
          <w:szCs w:val="28"/>
          <w:rtl w:val="true"/>
          <w:lang w:bidi="ar-SA"/>
        </w:rPr>
        <w:t>بالسقوط مع عدم المال له، إنّما تكون لتلك المخالفة، بل في المسالك</w:t>
      </w:r>
      <w:r>
        <w:rPr>
          <w:rFonts w:eastAsia="Amiri" w:cs="Amiri" w:ascii="Amiri" w:hAnsi="Amiri"/>
          <w:color w:val="111111"/>
          <w:sz w:val="28"/>
          <w:szCs w:val="28"/>
          <w:rtl w:val="true"/>
          <w:lang w:bidi="ar-SA"/>
        </w:rPr>
        <w:t>:</w:t>
      </w:r>
      <w:r>
        <w:rPr>
          <w:rStyle w:val="FootnoteAnchor"/>
          <w:rtl w:val="true"/>
        </w:rPr>
        <w:footnoteReference w:id="1760"/>
      </w:r>
      <w:r>
        <w:rPr>
          <w:rFonts w:ascii="Amiri" w:hAnsi="Amiri" w:eastAsia="Amiri" w:cs="Amiri"/>
          <w:color w:val="111111"/>
          <w:sz w:val="28"/>
          <w:sz w:val="28"/>
          <w:szCs w:val="28"/>
          <w:rtl w:val="true"/>
          <w:lang w:bidi="ar-SA"/>
        </w:rPr>
        <w:t>أنّ المتأخّرين على السقوط مع عدم المال له، ودفع المخالفة بكونه مؤثّراً في عدم تفويت العوض من جهة عدم حفظ الجاني بحيث لا يكون قادراً على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الرواية والفتوى مطلقة شاملة لمطلق الأقارب وإن لم يكن لهم دخل في المنع عن الفرار، أنّه لاخصوصيّة للأقربيّة، فضلاً عن الأقرب فالأقرب، بل الخصوصيّة للدخيل الأقوى ثمّ الأقوى،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الأقربيّة غير مضبوطة فيهما والضبط على الدقّة لازم للشارع ولمقنّن الحكم، ومع أنّ أصل إثبات مثل هذه الأحكام المخالفة للقواعد العقلائيّة والعقليّة والشرعيّة بالخبرين بل وبالثلاثة والأربعة محلّ إشكال وتأ‌مّل؛ لعدم الدليل على حجّية الخبر إلّا بناء العقلاء غير المحرز في مثل المورد، فلابدّ من الاقتصار على المتيقّن</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ذكرناه يظهر عدم تماميّة ما في الجواهر من نفي الاستبعاد،ففيه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ضرب الوليّ القاتل وتركه ظنّاً منه أنّه مات فبرئ، فالأشبه أن يعتبر الضرب، فإن كان ضربه ممّا يسوغ له القتل والقصاص به لم يقتصّ من الوليّ، بل جاز له قتله قصاصاً، وإن كان ضربه ممّا لا يسوغ القصاص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w:t>
      </w:r>
    </w:p>
    <w:p>
      <w:pPr>
        <w:pStyle w:val="BookText"/>
        <w:rPr/>
      </w:pPr>
      <w:r>
        <w:rPr>
          <w:rFonts w:ascii="Amiri" w:hAnsi="Amiri" w:eastAsia="Amiri" w:cs="Amiri"/>
          <w:color w:val="111111"/>
          <w:sz w:val="28"/>
          <w:sz w:val="28"/>
          <w:szCs w:val="28"/>
          <w:rtl w:val="true"/>
          <w:lang w:bidi="ar-SA"/>
        </w:rPr>
        <w:t>استبعاد في الحكم الشرعي، خصوصاً بعد أن كان إرثه لهم</w:t>
      </w:r>
      <w:r>
        <w:rPr>
          <w:rFonts w:eastAsia="Amiri" w:cs="Amiri" w:ascii="Amiri" w:hAnsi="Amiri"/>
          <w:color w:val="111111"/>
          <w:sz w:val="28"/>
          <w:szCs w:val="28"/>
          <w:rtl w:val="true"/>
          <w:lang w:bidi="ar-SA"/>
        </w:rPr>
        <w:t>».</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وذلك لأنّ الكلام في الثبوت ودفاعه في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بجواز أخذ الدية في الهالك ليس دائراً مدار فراره، بل يكون ثابتاً أيضاً مع عدم إمكان الوصول إليه وإن لم يكن فارّاً؛ لإلغاء الخصوصيّة، ولعموم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الظاهر على مثل مذهب ابني‌الجنيد وأبي عقيل</w:t>
      </w:r>
      <w:r>
        <w:rPr>
          <w:rStyle w:val="FootnoteAnchor"/>
          <w:rtl w:val="true"/>
        </w:rPr>
        <w:footnoteReference w:id="1762"/>
      </w:r>
      <w:r>
        <w:rPr>
          <w:rFonts w:ascii="Amiri" w:hAnsi="Amiri" w:eastAsia="Amiri" w:cs="Amiri"/>
          <w:color w:val="111111"/>
          <w:sz w:val="28"/>
          <w:sz w:val="28"/>
          <w:szCs w:val="28"/>
          <w:rtl w:val="true"/>
          <w:lang w:bidi="ar-SA"/>
        </w:rPr>
        <w:t>من التخيير بين القود والدية، عدم توقّف جواز أخذ الدية للوليّ في الفرار على هلاكه؛ لأنّ له ذلك مع حضور الجاني، فضلاً عن فراره وفضلاً عن موته مع الفرار، بل له ذلك أيضاً مع عدم التوقّف على الموت على القول به مع البناء على المعروف من تعيّن القصاص لكن فيما إذا انجرّ مدّة الفرار إلى الضرر والحرج على الوليّ، وكانا مرتفعين بأخذه الدية؛ قضاءً لحاكميّة أدلّتهما على دليل التعيّن، كما أنّ الظاهر أيضاً لزوم ردّ الدية على القاتل مع كشف الخلاف ورجوعه على ذلك القول؛ لأنّ الدية عليه بمنزلة بدلالحيلولة، وهذا بخلاف القول الآخر المختار، فليس على الوليّ الرجوع بل لا يكون له ذلك؛ لأنّ الظاهر كون التخيير بدويّاً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402" w:name="pg9428_72881"/>
    </w:p>
    <w:p>
      <w:pPr>
        <w:pStyle w:val="BookText"/>
        <w:rPr/>
      </w:pPr>
      <w:bookmarkEnd w:id="402"/>
      <w:r>
        <w:rPr>
          <w:rFonts w:ascii="Amiri" w:hAnsi="Amiri" w:eastAsia="Amiri" w:cs="Amiri"/>
          <w:color w:val="111111"/>
          <w:sz w:val="28"/>
          <w:sz w:val="28"/>
          <w:szCs w:val="28"/>
          <w:rtl w:val="true"/>
          <w:lang w:bidi="ar-SA"/>
        </w:rPr>
        <w:t xml:space="preserve">ضربه بالحجر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للجاني الاقتصاص، ثمّ للوليّ أن يقتله قصاصاً أو يتتاركان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5797673_2870459653"/>
      <w:bookmarkStart w:id="404" w:name="_Toc137"/>
      <w:bookmarkEnd w:id="403"/>
      <w:r>
        <w:rPr>
          <w:rtl w:val="true"/>
        </w:rPr>
        <w:t>حكم ما لو برئ الجاني من ضربة وليّ الدم</w:t>
      </w:r>
      <w:bookmarkEnd w:id="4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اللثام</w:t>
      </w:r>
      <w:r>
        <w:rPr>
          <w:rStyle w:val="FootnoteAnchor"/>
          <w:rtl w:val="true"/>
        </w:rPr>
        <w:footnoteReference w:id="1763"/>
      </w:r>
      <w:r>
        <w:rPr>
          <w:rFonts w:ascii="Amiri" w:hAnsi="Amiri" w:eastAsia="Amiri" w:cs="Amiri"/>
          <w:color w:val="111111"/>
          <w:sz w:val="28"/>
          <w:sz w:val="28"/>
          <w:szCs w:val="28"/>
          <w:rtl w:val="true"/>
          <w:lang w:bidi="ar-SA"/>
        </w:rPr>
        <w:t>أنّ الأصل في التفصيل متن المحقّق في الشرائع</w:t>
      </w:r>
      <w:r>
        <w:rPr>
          <w:rStyle w:val="FootnoteAnchor"/>
          <w:rtl w:val="true"/>
        </w:rPr>
        <w:footnoteReference w:id="1764"/>
      </w:r>
      <w:r>
        <w:rPr>
          <w:rFonts w:ascii="IRNazanin" w:hAnsi="IRNazanin" w:eastAsia="IRNazanin"/>
          <w:color w:val="111111"/>
          <w:sz w:val="28"/>
          <w:sz w:val="28"/>
          <w:szCs w:val="28"/>
          <w:rtl w:val="true"/>
          <w:lang w:bidi="fa-IR"/>
        </w:rPr>
        <w:t>والنافع،</w:t>
      </w:r>
      <w:r>
        <w:rPr>
          <w:rStyle w:val="FootnoteAnchor"/>
          <w:rtl w:val="true"/>
        </w:rPr>
        <w:footnoteReference w:id="1765"/>
      </w:r>
      <w:r>
        <w:rPr>
          <w:rFonts w:ascii="Amiri" w:hAnsi="Amiri" w:eastAsia="Amiri" w:cs="Amiri"/>
          <w:color w:val="111111"/>
          <w:sz w:val="28"/>
          <w:sz w:val="28"/>
          <w:szCs w:val="28"/>
          <w:rtl w:val="true"/>
          <w:lang w:bidi="ar-SA"/>
        </w:rPr>
        <w:t>وبعده العلّامة</w:t>
      </w:r>
      <w:r>
        <w:rPr>
          <w:rStyle w:val="FootnoteAnchor"/>
          <w:rtl w:val="true"/>
        </w:rPr>
        <w:footnoteReference w:id="1766"/>
      </w:r>
      <w:r>
        <w:rPr>
          <w:rFonts w:ascii="Amiri" w:hAnsi="Amiri" w:eastAsia="Amiri" w:cs="Amiri"/>
          <w:color w:val="111111"/>
          <w:sz w:val="28"/>
          <w:sz w:val="28"/>
          <w:szCs w:val="28"/>
          <w:rtl w:val="true"/>
          <w:lang w:bidi="ar-SA"/>
        </w:rPr>
        <w:t>في بعض كتبه، وابنه في الإيضاح،</w:t>
      </w:r>
      <w:r>
        <w:rPr>
          <w:rStyle w:val="FootnoteAnchor"/>
          <w:rtl w:val="true"/>
        </w:rPr>
        <w:footnoteReference w:id="1767"/>
      </w:r>
      <w:r>
        <w:rPr>
          <w:rFonts w:ascii="Amiri" w:hAnsi="Amiri" w:eastAsia="Amiri" w:cs="Amiri"/>
          <w:color w:val="111111"/>
          <w:sz w:val="28"/>
          <w:sz w:val="28"/>
          <w:szCs w:val="28"/>
          <w:rtl w:val="true"/>
          <w:lang w:bidi="ar-SA"/>
        </w:rPr>
        <w:t xml:space="preserve">والشهيد في المسالك </w:t>
      </w:r>
      <w:r>
        <w:rPr>
          <w:rStyle w:val="FootnoteAnchor"/>
          <w:rtl w:val="true"/>
        </w:rPr>
        <w:footnoteReference w:id="1768"/>
      </w:r>
      <w:r>
        <w:rPr>
          <w:rFonts w:ascii="Amiri" w:hAnsi="Amiri" w:eastAsia="Amiri" w:cs="Amiri"/>
          <w:color w:val="111111"/>
          <w:sz w:val="28"/>
          <w:sz w:val="28"/>
          <w:szCs w:val="28"/>
          <w:rtl w:val="true"/>
          <w:lang w:bidi="ar-SA"/>
        </w:rPr>
        <w:t>وغيرهما ممّن تأخّر عنه، وإلّا فالشيخ في النهاية</w:t>
      </w:r>
      <w:r>
        <w:rPr>
          <w:rStyle w:val="FootnoteAnchor"/>
          <w:rtl w:val="true"/>
        </w:rPr>
        <w:footnoteReference w:id="1769"/>
      </w:r>
      <w:r>
        <w:rPr>
          <w:rFonts w:ascii="Amiri" w:hAnsi="Amiri" w:eastAsia="Amiri" w:cs="Amiri"/>
          <w:color w:val="111111"/>
          <w:sz w:val="28"/>
          <w:sz w:val="28"/>
          <w:szCs w:val="28"/>
          <w:rtl w:val="true"/>
          <w:lang w:bidi="ar-SA"/>
        </w:rPr>
        <w:t>وأتباعه قائلون بالاقتصاص للجاني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الرياض</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الوليّ الجاني وتركه ظنّاً منه أنّه مات فبرئ، ففي رواية</w:t>
      </w:r>
      <w:r>
        <w:rPr>
          <w:rStyle w:val="FootnoteAnchor"/>
          <w:rtl w:val="true"/>
        </w:rPr>
        <w:footnoteReference w:id="1770"/>
      </w:r>
      <w:r>
        <w:rPr>
          <w:rFonts w:ascii="Amiri" w:hAnsi="Amiri" w:eastAsia="Amiri" w:cs="Amiri"/>
          <w:color w:val="111111"/>
          <w:sz w:val="28"/>
          <w:sz w:val="28"/>
          <w:szCs w:val="28"/>
          <w:rtl w:val="true"/>
          <w:lang w:bidi="ar-SA"/>
        </w:rPr>
        <w:t>أنّه يقتصّ بمثل ذلك الضرب من الوليّ ثمّ يقتله الوليّ، أو يتتاركا؛ أي يترك كلّ واحد الآخر ويتجاوز عنه، وعمل بإطلاقها الشيخ وأتباعه، كما في المسالك وغيره، ولم يرتضه المتأخّرون، كالماتن هنا وفي الشرائع ، والفاضل فيالإرشاد</w:t>
      </w:r>
      <w:r>
        <w:rPr>
          <w:rStyle w:val="FootnoteAnchor"/>
          <w:rtl w:val="true"/>
        </w:rPr>
        <w:footnoteReference w:id="1771"/>
      </w:r>
      <w:r>
        <w:rPr>
          <w:rFonts w:ascii="Amiri" w:hAnsi="Amiri" w:eastAsia="Amiri" w:cs="Amiri"/>
          <w:color w:val="111111"/>
          <w:sz w:val="28"/>
          <w:sz w:val="28"/>
          <w:szCs w:val="28"/>
          <w:rtl w:val="true"/>
          <w:lang w:bidi="ar-SA"/>
        </w:rPr>
        <w:t xml:space="preserve">و‌التحرير والقواعد ، وولده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شرحه، والفاضل المقداد في التنقيح،</w:t>
      </w:r>
      <w:r>
        <w:rPr>
          <w:rStyle w:val="FootnoteAnchor"/>
          <w:rtl w:val="true"/>
        </w:rPr>
        <w:footnoteReference w:id="1772"/>
      </w:r>
      <w:r>
        <w:rPr>
          <w:rFonts w:ascii="Amiri" w:hAnsi="Amiri" w:eastAsia="Amiri" w:cs="Amiri"/>
          <w:color w:val="111111"/>
          <w:sz w:val="28"/>
          <w:sz w:val="28"/>
          <w:szCs w:val="28"/>
          <w:rtl w:val="true"/>
          <w:lang w:bidi="ar-SA"/>
        </w:rPr>
        <w:t>وشيخنا في المسالك وغيرهم</w:t>
      </w:r>
      <w:r>
        <w:rPr>
          <w:rFonts w:eastAsia="Amiri" w:cs="Amiri" w:ascii="Amiri" w:hAnsi="Amiri"/>
          <w:color w:val="111111"/>
          <w:sz w:val="28"/>
          <w:szCs w:val="28"/>
          <w:rtl w:val="true"/>
          <w:lang w:bidi="ar-SA"/>
        </w:rPr>
        <w:t>.</w:t>
      </w:r>
      <w:r>
        <w:rPr>
          <w:rStyle w:val="FootnoteAnchor"/>
          <w:rtl w:val="true"/>
        </w:rPr>
        <w:footnoteReference w:id="1773"/>
      </w:r>
    </w:p>
    <w:p>
      <w:pPr>
        <w:pStyle w:val="BookText"/>
        <w:rPr/>
      </w:pPr>
      <w:r>
        <w:rPr>
          <w:rFonts w:ascii="IRNazanin" w:hAnsi="IRNazanin" w:eastAsia="IRNazanin"/>
          <w:color w:val="111111"/>
          <w:sz w:val="28"/>
          <w:sz w:val="28"/>
          <w:szCs w:val="28"/>
          <w:rtl w:val="true"/>
          <w:lang w:bidi="fa-IR"/>
        </w:rPr>
        <w:t xml:space="preserve">ثمّ إنّ مستند الشيخ وأتباعه رواية أبان بن عثمان، عمّن أخبره،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عمر بن الخطّاب برجلٍ قد قتل أخا رجل فدفعه إليه وأمره بقتله، فضربه الرجل حتّى رأى أنّه قد قتله، فحمل إلى منزله فوجدوا به رمقاً فعالجوه فبرئ، فلمّا خرج أخذه أخو المقتول 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قاتل أخي ولي أن أقتلك،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قتلتني مرّة، فانطلق به إلى عمر فأمر بقتله، فخرج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قتلتني مرّة، فمرّوا على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خبره،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تعجل حتّى أخرج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على عمر،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الحكم فيه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يا أبا الحسن؟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يقتصّ هذا من أخي المقتول الأوّل ما صنع به ثمّ يقتله بأخيه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فنظر الرجل أنّه إن اقتصّ منه أتى على نفسه، فعفا عنه وتتاركا</w:t>
      </w:r>
      <w:r>
        <w:rPr>
          <w:rFonts w:eastAsia="IRNazanin" w:cs="IRNazanin"/>
          <w:color w:val="111111"/>
          <w:sz w:val="28"/>
          <w:szCs w:val="28"/>
          <w:rtl w:val="true"/>
          <w:lang w:bidi="fa-IR"/>
        </w:rPr>
        <w:t>».</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وفي الشرائع</w:t>
      </w:r>
      <w:r>
        <w:rPr>
          <w:rStyle w:val="FootnoteAnchor"/>
          <w:rtl w:val="true"/>
        </w:rPr>
        <w:footnoteReference w:id="1775"/>
      </w:r>
      <w:r>
        <w:rPr>
          <w:rFonts w:ascii="Amiri" w:hAnsi="Amiri" w:eastAsia="Amiri" w:cs="Amiri"/>
          <w:color w:val="111111"/>
          <w:sz w:val="28"/>
          <w:sz w:val="28"/>
          <w:szCs w:val="28"/>
          <w:rtl w:val="true"/>
          <w:lang w:bidi="ar-SA"/>
        </w:rPr>
        <w:t>وغيره الإشكال على الرواية بالضعف في أبان بفساد عقيدته بالناووسيّة على ما ذكره عليّ بن الحسن بن فضّال، وبإرسال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تامّ، أمّا بالنسبة إلى أبان،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الناقل لكلام ابنفضّال هو الكشّي،</w:t>
      </w:r>
      <w:r>
        <w:rPr>
          <w:rStyle w:val="FootnoteAnchor"/>
          <w:rtl w:val="true"/>
        </w:rPr>
        <w:footnoteReference w:id="1776"/>
      </w:r>
      <w:r>
        <w:rPr>
          <w:rFonts w:ascii="Amiri" w:hAnsi="Amiri" w:eastAsia="Amiri" w:cs="Amiri"/>
          <w:color w:val="111111"/>
          <w:sz w:val="28"/>
          <w:sz w:val="28"/>
          <w:szCs w:val="28"/>
          <w:rtl w:val="true"/>
          <w:lang w:bidi="ar-SA"/>
        </w:rPr>
        <w:t>وفي نسخه اختلاف على ما يظهر من كتاب الكفالة من مجمع الفائدة والبرهان، قال</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الكشّي الذي عندي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قادسياً؛ أي من القادسيّة،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فكأنّه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وهو لابأس به وأحسن من الحسن</w:t>
      </w:r>
      <w:r>
        <w:rPr>
          <w:rFonts w:eastAsia="Amiri" w:cs="Amiri" w:ascii="Amiri" w:hAnsi="Amiri"/>
          <w:color w:val="111111"/>
          <w:sz w:val="28"/>
          <w:szCs w:val="28"/>
          <w:rtl w:val="true"/>
          <w:lang w:bidi="ar-SA"/>
        </w:rPr>
        <w:t>.</w:t>
      </w:r>
      <w:r>
        <w:rPr>
          <w:rStyle w:val="FootnoteAnchor"/>
          <w:rtl w:val="true"/>
        </w:rPr>
        <w:footnoteReference w:id="1777"/>
      </w:r>
    </w:p>
    <w:p>
      <w:pPr>
        <w:pStyle w:val="BookText"/>
        <w:rPr/>
      </w:pPr>
      <w:r>
        <w:rPr>
          <w:rFonts w:ascii="IRNazanin" w:hAnsi="IRNazanin" w:eastAsia="IRNazanin"/>
          <w:color w:val="111111"/>
          <w:sz w:val="28"/>
          <w:sz w:val="28"/>
          <w:szCs w:val="28"/>
          <w:rtl w:val="true"/>
          <w:lang w:bidi="fa-IR"/>
        </w:rPr>
        <w:t xml:space="preserve">واحتمال أن يراد به أنّه من قوم ناووسيّة، لا أنّه ناوسيّ ثانياً، وكونه ناقلاً عن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ذكره الشيخ</w:t>
      </w:r>
      <w:r>
        <w:rPr>
          <w:rStyle w:val="FootnoteAnchor"/>
          <w:rtl w:val="true"/>
        </w:rPr>
        <w:footnoteReference w:id="1778"/>
      </w:r>
      <w:r>
        <w:rPr>
          <w:rFonts w:ascii="Amiri" w:hAnsi="Amiri" w:eastAsia="Amiri" w:cs="Amiri"/>
          <w:color w:val="111111"/>
          <w:sz w:val="28"/>
          <w:sz w:val="28"/>
          <w:szCs w:val="28"/>
          <w:rtl w:val="true"/>
          <w:lang w:bidi="ar-SA"/>
        </w:rPr>
        <w:t>والنجاشي،</w:t>
      </w:r>
      <w:r>
        <w:rPr>
          <w:rStyle w:val="FootnoteAnchor"/>
          <w:rtl w:val="true"/>
        </w:rPr>
        <w:footnoteReference w:id="1779"/>
      </w:r>
      <w:r>
        <w:rPr>
          <w:rFonts w:ascii="IRNazanin" w:hAnsi="IRNazanin" w:eastAsia="IRNazanin"/>
          <w:color w:val="111111"/>
          <w:sz w:val="28"/>
          <w:sz w:val="28"/>
          <w:szCs w:val="28"/>
          <w:rtl w:val="true"/>
          <w:lang w:bidi="fa-IR"/>
        </w:rPr>
        <w:t>منافياً لنسبة الناووسيّة كما لا يخفى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الناووسيّة هم المعتقدون بختم الإمامة بالصادق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حيّ لن يموت، ولا إمام بعده إلى أن يظهر أمره وهو القائم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وأنّه على تسليم النسخة والظهور ونسبة الاستناد في ضعف أبان بكونه ناووسيّاً بكلام مثل ابن فضّال الفطحي محال رابعاً؛ لما يلزم من حجّيّة كلامه في النسبة عدم حجّيّة كلامه لكونه فطحيّاً، فكما أنّ الناووسيّة موجبة لضعف الناووسي وعدم حجّيّة خبره مع كونه موثّقاً، فكذلك الفطحيّة موجبة لضعف الفطحي وعدم حجّيّة خبره مثله؛ لعدم الفرق بينهما في الضعف على القول بمضريّة غير الإماميّة الاثنا عشريّة في حجّيّة الخبر، وأنّ المعتبر في الحجّيّة الوثاقة والاثنا عشريّة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خبر ابن فضّال في نسبة الناووسيّة إلى أبان معتبراً وموجباً لضعفه، فلازمه عدم حجّيّة خبر ابن فضال الفطحي المذهب؛ لما مرّ، وهو كما ترى</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قلنا بعدم كون الفطحيّة مضرّة، فإنّها وإن كانت تثبت بأخبار ابن فضّال، لكنّه يقبل رواية أبان كما يقبل فساد عقيدته؛ إذ كما لا يمنع فساد العقيدة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المخبر، كذا لا يمنع في المخبر عن حاله، وأنّه على تسليم جميع ما ذكر، فقول ابن فضّال معارضٌ بقول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أجمعت العصابة على تصحيح ما يصحّ عنه</w:t>
      </w:r>
      <w:r>
        <w:rPr>
          <w:rFonts w:eastAsia="Amiri" w:cs="Amiri" w:ascii="Amiri" w:hAnsi="Amiri"/>
          <w:color w:val="111111"/>
          <w:sz w:val="28"/>
          <w:szCs w:val="28"/>
          <w:rtl w:val="true"/>
          <w:lang w:bidi="ar-SA"/>
        </w:rPr>
        <w:t>»</w:t>
      </w:r>
      <w:r>
        <w:rPr>
          <w:rStyle w:val="FootnoteAnchor"/>
          <w:rtl w:val="true"/>
        </w:rPr>
        <w:footnoteReference w:id="1781"/>
      </w:r>
      <w:r>
        <w:rPr>
          <w:rFonts w:ascii="Amiri" w:hAnsi="Amiri" w:eastAsia="Amiri" w:cs="Amiri"/>
          <w:color w:val="111111"/>
          <w:sz w:val="28"/>
          <w:sz w:val="28"/>
          <w:szCs w:val="28"/>
          <w:rtl w:val="true"/>
          <w:lang w:bidi="ar-SA"/>
        </w:rPr>
        <w:t>والإقرار له بالفقه، فأبان من أصحاب الإجماع، والترجيح مع الكشّي؛ لأنّه أعدل من الجارح فليقدّم عليه، على دلالته على الوثاقة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العدالة هي الوثاقة منضمّة مع الاعتقاد بإمامة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عدم دلالة عبارة الكشّي على أزيد من الوثاقة أو الاعتبار، فلا تعارض بينهما من رأس، فيكون أبان موثّقاً، كما هو المشهور على ما في الرياض ، أو قويّاً على ما جعله الأقوى في عبارته أيضاً خامساً،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الجمع بينهما أفاد كونه موثّقاً، كما هو المشهور، أو قويّاً على الأقوى؛ بناءً على عدم ظهور دعوى الإجماع في التوثيق، وإن جعلوها صريحة فيه، أو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فلا ريب في قوّة الراوي وجواز الاعتماد على روايته، كما هو ظاهر المشهور، وصرّح به في الخلاصة</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وبالجملة؛ أبان إن لم يكن ثقة فلا أقلّ من أنّه موثّق، كيف وهو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نفسه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إرساله، فمضافاً إلى كون المرسل من أصحابالإجماع، وإلى انجباره بعمل المشهور، وبكونه مرويّاً في الكتب الثلاثة الكافي</w:t>
      </w:r>
      <w:r>
        <w:rPr>
          <w:rStyle w:val="FootnoteAnchor"/>
          <w:rtl w:val="true"/>
        </w:rPr>
        <w:footnoteReference w:id="1784"/>
      </w:r>
      <w:r>
        <w:rPr>
          <w:rFonts w:ascii="Amiri" w:hAnsi="Amiri" w:eastAsia="Amiri" w:cs="Amiri"/>
          <w:color w:val="111111"/>
          <w:sz w:val="28"/>
          <w:sz w:val="28"/>
          <w:szCs w:val="28"/>
          <w:rtl w:val="true"/>
          <w:lang w:bidi="ar-SA"/>
        </w:rPr>
        <w:t>والتهذيب</w:t>
      </w:r>
      <w:r>
        <w:rPr>
          <w:rStyle w:val="FootnoteAnchor"/>
          <w:rtl w:val="true"/>
        </w:rPr>
        <w:footnoteReference w:id="17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و‌الفقيه،</w:t>
      </w:r>
      <w:r>
        <w:rPr>
          <w:rStyle w:val="FootnoteAnchor"/>
          <w:rtl w:val="true"/>
        </w:rPr>
        <w:footnoteReference w:id="1786"/>
      </w:r>
      <w:r>
        <w:rPr>
          <w:rFonts w:ascii="Amiri" w:hAnsi="Amiri" w:eastAsia="Amiri" w:cs="Amiri"/>
          <w:color w:val="111111"/>
          <w:sz w:val="28"/>
          <w:sz w:val="28"/>
          <w:szCs w:val="28"/>
          <w:rtl w:val="true"/>
          <w:lang w:bidi="ar-SA"/>
        </w:rPr>
        <w:t>أنّه لا إرسال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أبان بن عثمان أنّ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في الرواية مناقشات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ضعفها بالإرسال قبل أبان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بعض أصحابه، عن أبان بن عثمان عمّن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وبالجهالة في التهذيب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عن إبراهيم بن عبدالله، عن أبان بن عثمان عمّن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السند إليه صحيح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أبان بن عثمان أنّ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الرواية من تيقّن اقتصاص الجاني مع مخالفة الوليّ في كيفيّة الاقتصاص باقتصاص الجاني بأمر غير سائغ، منافٍ لما هو المعروف من أنّه ليس فيه على الوليّ شيء إلّا الإثم والتعزير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فيما حصل القصاص وصار الجاني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مثل ما نحن فيه، فمقتضى القواعد من الضمان بالقصاص أو الدية والأرش محكّم، ولا 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إطلاقها الضمان وإن كانت كيفيّة قتل الوليّ سائغة، كضرب عنقه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 فعل سائغ له، ودمه هدرٌ بالنسبة إليه، فكيف الضمان معه؟</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الضمان من جهة تقصيره في الفحص والدقّة وللضرب الذي لم يكن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قاتلاً، فإنّ السائغ له قتله بضرب عنقه، وهو غير محقّق، والمحقّق غير سائغ،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الرواية شخصيّة فلا إطلاق فيها، وهذه المناقشة واردة على نقل الفقيه؛ لعدم كونه عن المعصوم وعدم كونه بأزيد من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نقل التهذيب و‌الكافي فإنّه عن المعصوم، والأصل في نقل التاريخ والقضايا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معصوم آخر كونه بياناً للحكم الشرعي كبيانه الحكم بلسانه، فالفرق بين بيان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الشرعي باللسان وبين بيانه بنقل القضايا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يكون في اللسان والعمل، فكما أنّ للبيان باللسان ظهور وإطلاق فكذلك للعمل والنقل، وعلى ذلك بناء العقلاء وطريقة الكتاب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لقائل أن يقول في مثل ما في الرواية من القضايا الدالّة على جهالة مثل عمر لا ظهور فيه أن يكون لبيان الحكم، بل لعلّة يكون لفرض الإعلام بجهل المدّعي للخلافة والإمامة، وبعلم من كان خليفة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وليّاً للدين وهادياً للمسلمين إلى الحقّ والقرآن المبين؛ أعني 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الأزل إلى يوم القيام</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يظهر ممّا ذكرناه عدم تماميّة التفصيل وضعفه من دون احتياجإلى البيان، فإنّهم استدلّوا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w:t>
      </w:r>
      <w:r>
        <w:rPr>
          <w:rFonts w:eastAsia="Amiri" w:cs="Amiri" w:ascii="Amiri" w:hAnsi="Amiri"/>
          <w:color w:val="111111"/>
          <w:sz w:val="28"/>
          <w:szCs w:val="28"/>
          <w:rtl w:val="true"/>
          <w:lang w:bidi="ar-SA"/>
        </w:rPr>
        <w:t>-</w:t>
      </w:r>
      <w:r>
        <w:rPr>
          <w:rStyle w:val="FootnoteAnchor"/>
          <w:rtl w:val="true"/>
        </w:rPr>
        <w:footnoteReference w:id="1787"/>
      </w:r>
      <w:r>
        <w:rPr>
          <w:rFonts w:ascii="Amiri" w:hAnsi="Amiri" w:eastAsia="Amiri" w:cs="Amiri"/>
          <w:color w:val="111111"/>
          <w:sz w:val="28"/>
          <w:sz w:val="28"/>
          <w:szCs w:val="28"/>
          <w:rtl w:val="true"/>
          <w:lang w:bidi="ar-SA"/>
        </w:rPr>
        <w:t xml:space="preserve">بعد ردّ الرواية بالضعف بالجهالة والإرسال، بعدم ضمان الوليّ، وعدم جواز اقتصاص الجاني منه إن كان اقتصاصه </w:t>
      </w:r>
      <w:bookmarkStart w:id="405" w:name="pg9428_72887"/>
    </w:p>
    <w:p>
      <w:pPr>
        <w:pStyle w:val="BookText"/>
        <w:rPr/>
      </w:pPr>
      <w:bookmarkEnd w:id="4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يده فعفا المقطوع ثمّ قتله القاطع، فللوليّ القصاص في النفس، وهل هو بعد ردّ دية اليد أم يقتصّ بلا ردّ؟ الأشبه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قتل رجل صحيح رجلاً مقطوع اليد قتل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قطعت في جناية جناها أو قطع يده وأخذ ديتها، يردّ عليه دية يده ويقتلوه، ولو قطعت من غير جناية ولا أخذ لها دية قتلوه بلا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مورد إشكال وتردّد، والأحوط العمل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بالأمر السائغ؛ لعدم الضمان فيه، دون ما كان بأمر غير سائغ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وجواز الاقتصاص للجاني مطلقاً؛ وفاقاً للشيخ في النهاية</w:t>
      </w:r>
      <w:r>
        <w:rPr>
          <w:rStyle w:val="FootnoteAnchor"/>
          <w:rtl w:val="true"/>
        </w:rPr>
        <w:footnoteReference w:id="1788"/>
      </w:r>
      <w:r>
        <w:rPr>
          <w:rFonts w:ascii="Amiri" w:hAnsi="Amiri" w:eastAsia="Amiri" w:cs="Amiri"/>
          <w:color w:val="111111"/>
          <w:sz w:val="28"/>
          <w:sz w:val="28"/>
          <w:szCs w:val="28"/>
          <w:rtl w:val="true"/>
          <w:lang w:bidi="ar-SA"/>
        </w:rPr>
        <w:t>وأتباعه، وقضاءً للقواعد، بل وللرواية أيضاً على ما مرّ في بيانهما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5797675_2870459653"/>
      <w:bookmarkStart w:id="407" w:name="_Toc138"/>
      <w:bookmarkEnd w:id="406"/>
      <w:r>
        <w:rPr>
          <w:rtl w:val="true"/>
        </w:rPr>
        <w:t>حكم قصاص قتل الكامل الناقص</w:t>
      </w:r>
      <w:bookmarkEnd w:id="4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عمّا في مثل المتن من الصور بحث عن حكم قتل الكامل الناقص من أنّه القصاص بلا ردّ، كقتل الكامل مثله أو الناقص مثله مطلقاً أو فيه تفصيل، والصور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نقصان المقتول خلقةً أو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جهة جناية الجاني وعفو المجنيّ عليه، وفي هذه الصورة إمّا يكون القاتل الكامل هو الجاني المعفو عنه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النقصان في المقتول قصاصاً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الناقص المقتول الدية على نقصه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فالبحث عمّا في المسألة إنّما يتمّ بالبحث عن حكم الصور على القاعدة والنصّ،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وأقول مستعيناً بالله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إشكال ولا كلام في القصاص وعدم الردّ في الصورة الأُولى؛ لعموم النفس بالنفس كتاباً وسنّة، ولما في ذيل رواية سورة بن كليب،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كانت يده قطعت من غير جناية جناها على نفسه ولا أخذ لها دية قتلوا قاتله ولا يغرم شيئاً، وإن شاؤوا أخذوا دية كاملة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وهكذا وجدناه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وأمّا الصورة الثانية، وهي ما كان القاتل هو الجاني المعفو عنه، ففيه خلاف، فظاهر الشرائع</w:t>
      </w:r>
      <w:r>
        <w:rPr>
          <w:rStyle w:val="FootnoteAnchor"/>
          <w:rtl w:val="true"/>
        </w:rPr>
        <w:footnoteReference w:id="1790"/>
      </w:r>
      <w:r>
        <w:rPr>
          <w:rFonts w:ascii="IRNazanin" w:hAnsi="IRNazanin" w:eastAsia="IRNazanin"/>
          <w:color w:val="111111"/>
          <w:sz w:val="28"/>
          <w:sz w:val="28"/>
          <w:szCs w:val="28"/>
          <w:rtl w:val="true"/>
          <w:lang w:bidi="fa-IR"/>
        </w:rPr>
        <w:t xml:space="preserve">أنّ للوليّ القصاص مع ردّه دية المقطوع إلى القاطع القاتل؛ استناداً إلى رواية سورة بن كليب،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قتل رجلاً عمداً وكان المقتول أقطع اليد اليمنى؟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قطعت يده في جناية جناها على نفسه، أو كان قطع فأخذ دية يده من الذي قطعها، فإن أراد أولياؤه أن يقتلوا قاتله أدّوا إلى أولياء قاتله دية يده الذي قيد منها، وإن كان أخذ دية يده ويقتلوه، وإن شاؤوا طرحوا عنه دية يد، وأخذوا الباقي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كانت يده قطعت من غير جناية جناها على نفسه ولا أخذ لها دية قتلوا قاتله ولا يغرم شيئاً، وإن شاؤوا أخذوا دية كاملة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وهكذا وجدناه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مؤ‌يّدة بوجهين، سيأتي بيانهما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تماميّة استناده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على كون العفو بمنزلة أخذ الدية، وهو غير بعيدٍ كما سنبيّنه، أو إلى إلغاء الخصوصيّة من الأخذ إلى العفو، وإلّا فليس في الرواية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صورة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 المسألة وجهان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قتل القاطع أصلاً؛ أخذاً من أنّ القتل بعد القطع كسراية الجناية الأولى، وقد سبق العفو عن بعضها، فليس له القصاص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علّله في المبسوط</w:t>
      </w:r>
      <w:r>
        <w:rPr>
          <w:rFonts w:eastAsia="Amiri" w:cs="Amiri" w:ascii="Amiri" w:hAnsi="Amiri"/>
          <w:color w:val="111111"/>
          <w:sz w:val="28"/>
          <w:szCs w:val="28"/>
          <w:rtl w:val="true"/>
          <w:lang w:bidi="ar-SA"/>
        </w:rPr>
        <w:t>.</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ولا يخفى ضعفه، فإنّ القتل إحداث قاطع للسراية، فكيف يتوهّم أنّه كالسراية؟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تقديره فاستلزام العفو عن البعض سقوط القود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من غير ردّ، وهو الذي جعله اللثام</w:t>
      </w:r>
      <w:r>
        <w:rPr>
          <w:rStyle w:val="FootnoteAnchor"/>
          <w:rtl w:val="true"/>
        </w:rPr>
        <w:footnoteReference w:id="1792"/>
      </w:r>
      <w:r>
        <w:rPr>
          <w:rFonts w:ascii="IRNazanin" w:hAnsi="IRNazanin" w:eastAsia="IRNazanin"/>
          <w:color w:val="111111"/>
          <w:sz w:val="28"/>
          <w:sz w:val="28"/>
          <w:szCs w:val="28"/>
          <w:rtl w:val="true"/>
          <w:lang w:bidi="fa-IR"/>
        </w:rPr>
        <w:t xml:space="preserve">عنده أقوى؛ لعموم </w:t>
      </w:r>
      <w:r>
        <w:rPr>
          <w:rFonts w:ascii="Amiri" w:hAnsi="Amiri" w:eastAsia="Amiri" w:cs="Amiri"/>
          <w:color w:val="111111"/>
          <w:sz w:val="28"/>
          <w:sz w:val="28"/>
          <w:szCs w:val="28"/>
          <w:rtl w:val="true"/>
          <w:lang w:bidi="ar-SA"/>
        </w:rPr>
        <w:t>النَّفْسَ بالنَّفْسِ</w:t>
      </w:r>
      <w:r>
        <w:rPr>
          <w:rStyle w:val="FootnoteAnchor"/>
          <w:rtl w:val="true"/>
        </w:rPr>
        <w:footnoteReference w:id="1793"/>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الْحُرُّ بِالحُرِّ</w:t>
      </w:r>
      <w:r>
        <w:rPr>
          <w:rFonts w:ascii="IRNazanin" w:hAnsi="IRNazanin" w:eastAsia="IRNazanin"/>
          <w:color w:val="111111"/>
          <w:sz w:val="28"/>
          <w:sz w:val="28"/>
          <w:szCs w:val="28"/>
          <w:rtl w:val="true"/>
          <w:lang w:bidi="fa-IR"/>
        </w:rPr>
        <w:t>،</w:t>
      </w:r>
      <w:r>
        <w:rPr>
          <w:rStyle w:val="FootnoteAnchor"/>
          <w:rtl w:val="true"/>
        </w:rPr>
        <w:footnoteReference w:id="1794"/>
      </w:r>
      <w:r>
        <w:rPr>
          <w:rFonts w:ascii="Amiri" w:hAnsi="Amiri" w:eastAsia="Amiri" w:cs="Amiri"/>
          <w:color w:val="111111"/>
          <w:sz w:val="28"/>
          <w:sz w:val="28"/>
          <w:szCs w:val="28"/>
          <w:rtl w:val="true"/>
          <w:lang w:bidi="ar-SA"/>
        </w:rPr>
        <w:t>ولأنّ النفس بدلاً بانفرادها، ونقصان اليد يجري مجرى نقص صفة في الطرف، فإنّه ليس بمانع من القصاص في الطرف ولا من الردّ، فكذلك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لو قتل القاتل فاقد اليد خلقة قتل من غير ردّ مع تحقّق النقصان، فكذا هنا، لكون العفو من القطع بجعله كالقطع خلقةً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القتل بعد العفو عن القطع كالقتل بعد اندمال الجرح، فللوليّ كمال الدية أو القصاص بلا ردّ</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استدلّ للردّ مضافاً إلى الرواية بأنّه لا يقتل الكامل كمثل هذا بالناقص إلّا بعد الردّ كالمرأة من الرجل، وكقطع الكفّ الذي ليس له أصابع،فإنّه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قطعت كفّه بعد ردّ دية الأصابع، كما في الخبر،</w:t>
      </w:r>
      <w:r>
        <w:rPr>
          <w:rStyle w:val="FootnoteAnchor"/>
          <w:rtl w:val="true"/>
        </w:rPr>
        <w:footnoteReference w:id="1795"/>
      </w:r>
      <w:r>
        <w:rPr>
          <w:rFonts w:ascii="Amiri" w:hAnsi="Amiri" w:eastAsia="Amiri" w:cs="Amiri"/>
          <w:color w:val="111111"/>
          <w:sz w:val="28"/>
          <w:sz w:val="28"/>
          <w:szCs w:val="28"/>
          <w:rtl w:val="true"/>
          <w:lang w:bidi="ar-SA"/>
        </w:rPr>
        <w:t>فهنا كذلك؛ لعدم الفرق بينهما وبين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وفاقاً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الردّ؛ وذلك للأصل، وعموم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بِالنَّفْسِ</w:t>
      </w:r>
      <w:r>
        <w:rPr>
          <w:rFonts w:ascii="IRNazanin" w:hAnsi="IRNazanin" w:eastAsia="IRNazanin"/>
          <w:color w:val="111111"/>
          <w:sz w:val="28"/>
          <w:sz w:val="28"/>
          <w:szCs w:val="28"/>
          <w:rtl w:val="true"/>
          <w:lang w:bidi="fa-IR"/>
        </w:rPr>
        <w:t>،</w:t>
      </w:r>
      <w:r>
        <w:rPr>
          <w:rStyle w:val="FootnoteAnchor"/>
          <w:rtl w:val="true"/>
        </w:rPr>
        <w:footnoteReference w:id="1796"/>
      </w:r>
      <w:r>
        <w:rPr>
          <w:rFonts w:ascii="Amiri" w:hAnsi="Amiri" w:eastAsia="Amiri" w:cs="Amiri"/>
          <w:color w:val="111111"/>
          <w:sz w:val="28"/>
          <w:sz w:val="28"/>
          <w:szCs w:val="28"/>
          <w:rtl w:val="true"/>
          <w:lang w:bidi="ar-SA"/>
        </w:rPr>
        <w:t>ونفي السبيل على المحسن،</w:t>
      </w:r>
      <w:r>
        <w:rPr>
          <w:rStyle w:val="FootnoteAnchor"/>
          <w:rtl w:val="true"/>
        </w:rPr>
        <w:footnoteReference w:id="1797"/>
      </w:r>
      <w:r>
        <w:rPr>
          <w:rFonts w:ascii="Amiri" w:hAnsi="Amiri" w:eastAsia="Amiri" w:cs="Amiri"/>
          <w:color w:val="111111"/>
          <w:sz w:val="28"/>
          <w:sz w:val="28"/>
          <w:szCs w:val="28"/>
          <w:rtl w:val="true"/>
          <w:lang w:bidi="ar-SA"/>
        </w:rPr>
        <w:t>فإنّ المقتول العافي كان محسناً إلى القاطع بعفوه، فلزوم ردّ الدية من وليّ المقتول المقطوع العافي إلى القاتل المعفوّ عنه سبيل على المقتول عرفاً ومنفيّ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السبيل عليه إنّما يكون مع لزوم الردّ من مال المقتول دون ما لو كان من مال الوليّ، كما هو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قصاص الوليّ إنّما هو لارتباطه بالمقتول وكونه حقّاً له بالأصالة، وإن أبيت عن ذلك فنقول بإلغاء الخصوصيّة وتنقيح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 حتّى يندفع لك ذلك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الوجوه المستدلّ بها من الرواية والدراية</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الرواية، فهي محكومة لآية نفي السبيل، على تسليم كون العفو بمنزلة أخذ الدية، نظير ما في هبة المرأة مهرها لزوجها قبل الدخول ثمّ طلّقها، ففي موثّقة سماعة</w:t>
      </w:r>
      <w:r>
        <w:rPr>
          <w:rStyle w:val="FootnoteAnchor"/>
          <w:rtl w:val="true"/>
        </w:rPr>
        <w:footnoteReference w:id="1798"/>
      </w:r>
      <w:r>
        <w:rPr>
          <w:rFonts w:ascii="Amiri" w:hAnsi="Amiri" w:eastAsia="Amiri" w:cs="Amiri"/>
          <w:color w:val="111111"/>
          <w:sz w:val="28"/>
          <w:sz w:val="28"/>
          <w:szCs w:val="28"/>
          <w:rtl w:val="true"/>
          <w:lang w:bidi="ar-SA"/>
        </w:rPr>
        <w:t>أنّ عليها أداء نصف المهر إلى الزوج؛ لأنّهبتها قبضها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 أنّ إطلاق الموثّقة منافٍ لنفي السبيل، فلابدّ من تقييد إطلاقها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كلّيّته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يقتل الكامل بالناقص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فممنوعة، وما ذكر في بيانها من قصاص المرأة قياس غير مسموع، مضافاً إلى الفارق، لنقص المرأة نفساً لا طرفاً، مع معارضته بما كان النقص بحسب الخلقة، فلا ردّ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المعروف من الردّ في قتل الرجل بالمرأة، وإلّا فعلى المختار فالبيان غير تامّ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المقايسة بقطع الكفّ من دون الأصابع، فبعد تسليمها مقتضاها الردّ على الإطلاق، ولا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كون جميع تلك الوجوه الدرائيّة محكومة لآية نفي السبيل كالرواية، بل تكون الدراية في مقابل الآية اجتهاداً في مقابل النصّ،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كان القاتل هو القاطع المعفوّ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غير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في حكم الصورة الخامسة؛ لأنّ الظاهر كون عفو المقتول بمنزلة أخذ الدية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الرابعة والخامس فالعمدة في لزوم الردّ فيهما رواية سورة بن كليب</w:t>
      </w:r>
      <w:r>
        <w:rPr>
          <w:rFonts w:eastAsia="Amiri" w:cs="Amiri" w:ascii="Amiri" w:hAnsi="Amiri"/>
          <w:color w:val="111111"/>
          <w:sz w:val="28"/>
          <w:szCs w:val="28"/>
          <w:rtl w:val="true"/>
          <w:lang w:bidi="ar-SA"/>
        </w:rPr>
        <w:t>.</w:t>
      </w:r>
      <w:r>
        <w:rPr>
          <w:rStyle w:val="FootnoteAnchor"/>
          <w:rtl w:val="true"/>
        </w:rPr>
        <w:footnoteReference w:id="1799"/>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أنّ ظاهر الشرائع</w:t>
      </w:r>
      <w:r>
        <w:rPr>
          <w:rStyle w:val="FootnoteAnchor"/>
          <w:rtl w:val="true"/>
        </w:rPr>
        <w:footnoteReference w:id="1800"/>
      </w:r>
      <w:r>
        <w:rPr>
          <w:rFonts w:ascii="Amiri" w:hAnsi="Amiri" w:eastAsia="Amiri" w:cs="Amiri"/>
          <w:color w:val="111111"/>
          <w:sz w:val="28"/>
          <w:sz w:val="28"/>
          <w:szCs w:val="28"/>
          <w:rtl w:val="true"/>
          <w:lang w:bidi="ar-SA"/>
        </w:rPr>
        <w:t>الاستناد إليها، وعمل بها الحلّي فيالسرائر</w:t>
      </w:r>
      <w:r>
        <w:rPr>
          <w:rStyle w:val="FootnoteAnchor"/>
          <w:rtl w:val="true"/>
        </w:rPr>
        <w:footnoteReference w:id="1801"/>
      </w:r>
      <w:r>
        <w:rPr>
          <w:rFonts w:ascii="Amiri" w:hAnsi="Amiri" w:eastAsia="Amiri" w:cs="Amiri"/>
          <w:color w:val="111111"/>
          <w:sz w:val="28"/>
          <w:sz w:val="28"/>
          <w:szCs w:val="28"/>
          <w:rtl w:val="true"/>
          <w:lang w:bidi="ar-SA"/>
        </w:rPr>
        <w:t>والفاضل في التحرير</w:t>
      </w:r>
      <w:r>
        <w:rPr>
          <w:rStyle w:val="FootnoteAnchor"/>
          <w:rtl w:val="true"/>
        </w:rPr>
        <w:footnoteReference w:id="1802"/>
      </w:r>
      <w:r>
        <w:rPr>
          <w:rFonts w:ascii="Amiri" w:hAnsi="Amiri" w:eastAsia="Amiri" w:cs="Amiri"/>
          <w:color w:val="111111"/>
          <w:sz w:val="28"/>
          <w:sz w:val="28"/>
          <w:szCs w:val="28"/>
          <w:rtl w:val="true"/>
          <w:lang w:bidi="ar-SA"/>
        </w:rPr>
        <w:t xml:space="preserve">وغيرهما، وهو مشكل؛ لجهالة سورة بن كليب، ولذا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ردّها فخرالدين في الإيضاح</w:t>
      </w:r>
      <w:r>
        <w:rPr>
          <w:rFonts w:eastAsia="Amiri" w:cs="Amiri" w:ascii="Amiri" w:hAnsi="Amiri"/>
          <w:color w:val="111111"/>
          <w:sz w:val="28"/>
          <w:szCs w:val="28"/>
          <w:rtl w:val="true"/>
          <w:lang w:bidi="ar-SA"/>
        </w:rPr>
        <w:t>.</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ولكن في السند قبله الحسن بن محبوب المجمع على تصحيح ما يصحّ عنه، فيكون كافياً في الاعتبار والصحّة على القول بأنّ المراد من الإجماع صحّة ما صحّ عنهم وإن كان من بعدهم من الرواة مجهولاً أو ضعيفاً أو مرسلاً، إلّا أنّ الشأن في صحّة ذلك القول وذلك المعنى، فالمسألة مشكلة، لكنّ الأحوط الذي لا ينبغي تركه العمل بالرواية في موردها خروجاً عن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الحقيق بالتصديق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الردّ مطلقاً؛ قضاءً لتحقّق القصاص والمقابلة بالمثل في قصاص الكامل بالناقص كالكامل بالكامل، فإنّ المقابلة والقصاص في النفس بما هي هي بالنفس كذلك، ولا نظر ولا اعتبار فيها بالأطراف والأعضاء فإنّها خارجة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على تسليم تماميّة الرواية سنداً فليست بحجّة على التخصيص؛ لإباء لسان الآية منه، فإنّ ردّ دية النقص إلى الكامل في قصاصه بالناقص يكون زائداً على النفس بالنفس، والآية ناصّة على عدم الزيادة لا ظاهرة، حيت يصحّ التخصيص، بل لا يصحّ التخصيص مع الظهور أيضاً؛ لإبائها عنه، كما لا يخفى</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القول بالردّ وتخصيص الآية مستلزم لما لا يقول به أحد، وهو القول بردّ ديات خمس لقتل الكامل بالناقص حتّى من اليدين والرجلين والعينين والأُذنين والنخاع قصاصاً أو في صورة أخذ الدية، وهو كماترى، فإنّه يلزم بطلان دم الناقص، فالدليل على الردّ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تسليم التماميّة وعلى تسليم </w:t>
      </w:r>
      <w:bookmarkStart w:id="408" w:name="pg9428_72893"/>
    </w:p>
    <w:p>
      <w:pPr>
        <w:pStyle w:val="BookText"/>
        <w:rPr/>
      </w:pPr>
      <w:bookmarkEnd w:id="408"/>
      <w:r>
        <w:rPr>
          <w:rFonts w:ascii="Amiri" w:hAnsi="Amiri" w:eastAsia="Amiri" w:cs="Amiri"/>
          <w:color w:val="111111"/>
          <w:sz w:val="28"/>
          <w:sz w:val="28"/>
          <w:szCs w:val="28"/>
          <w:rtl w:val="true"/>
          <w:lang w:bidi="ar-SA"/>
        </w:rPr>
        <w:t>وكذا الحال في مسألة أُخرى بها رواية، وهي لو قطع كفّاً بغير أصابع قطعت كفّه بعد ردّ دية الأصابع، فإنّها مشكلة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التخصيص، لمنافاته مع الدليل القطعي والضرورة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للاعتماد</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5797677_2870459653"/>
      <w:bookmarkStart w:id="410" w:name="_Toc139"/>
      <w:bookmarkEnd w:id="409"/>
      <w:r>
        <w:rPr>
          <w:rtl w:val="true"/>
        </w:rPr>
        <w:t>قطع كفّ الجاني مع كون كفّ المجنيّ عليه بغير أصابع</w:t>
      </w:r>
      <w:bookmarkEnd w:id="4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الجواهر حام حول البحث عن هذه المسألة، وأتى في بيانها بما لا مزيد عليه من البحث عن الرواية وقواعد القصاص ونفي الضرر، فلنكتف بنقل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العفو غير تامّ؛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الميل إلى الاعتماد بخبر سورة بن كليب، وأنّه عمل بها ابن إدريس</w:t>
      </w:r>
      <w:r>
        <w:rPr>
          <w:rStyle w:val="FootnoteAnchor"/>
          <w:rtl w:val="true"/>
        </w:rPr>
        <w:footnoteReference w:id="1804"/>
      </w:r>
      <w:r>
        <w:rPr>
          <w:rFonts w:ascii="Amiri" w:hAnsi="Amiri" w:eastAsia="Amiri" w:cs="Amiri"/>
          <w:color w:val="111111"/>
          <w:sz w:val="28"/>
          <w:sz w:val="28"/>
          <w:szCs w:val="28"/>
          <w:rtl w:val="true"/>
          <w:lang w:bidi="ar-SA"/>
        </w:rPr>
        <w:t xml:space="preserve">الذي لا يعمل إلّا بالقطعيّات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نعرف من ردّها صريحاً إلّا ما سمعته من الشيخ، ويحكى عن الفخر</w:t>
      </w:r>
      <w:r>
        <w:rPr>
          <w:rFonts w:eastAsia="Amiri" w:cs="Amiri" w:ascii="Amiri" w:hAnsi="Amiri"/>
          <w:color w:val="111111"/>
          <w:sz w:val="28"/>
          <w:szCs w:val="28"/>
          <w:rtl w:val="true"/>
          <w:lang w:bidi="ar-SA"/>
        </w:rPr>
        <w:t>.</w:t>
      </w:r>
      <w:r>
        <w:rPr>
          <w:rStyle w:val="FootnoteAnchor"/>
          <w:rtl w:val="true"/>
        </w:rPr>
        <w:footnoteReference w:id="1805"/>
      </w:r>
      <w:r>
        <w:rPr>
          <w:rFonts w:ascii="Amiri" w:hAnsi="Amiri" w:eastAsia="Amiri" w:cs="Amiri"/>
          <w:color w:val="111111"/>
          <w:sz w:val="28"/>
          <w:sz w:val="28"/>
          <w:szCs w:val="28"/>
          <w:rtl w:val="true"/>
          <w:lang w:bidi="ar-SA"/>
        </w:rPr>
        <w:t>نعم، توقّف فيه غير واحد</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مؤيّدةً مع ذلك بخبر الحسن بن الجريش</w:t>
      </w:r>
      <w:r>
        <w:rPr>
          <w:rStyle w:val="FootnoteAnchor"/>
          <w:rtl w:val="true"/>
        </w:rPr>
        <w:footnoteReference w:id="1806"/>
      </w:r>
      <w:r>
        <w:rPr>
          <w:rFonts w:ascii="IRNazanin" w:hAnsi="IRNazanin" w:eastAsia="IRNazanin"/>
          <w:color w:val="111111"/>
          <w:sz w:val="28"/>
          <w:sz w:val="28"/>
          <w:szCs w:val="28"/>
          <w:rtl w:val="true"/>
          <w:lang w:bidi="fa-IR"/>
        </w:rPr>
        <w:t xml:space="preserve">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أشار المصنّف إلى مضمونه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قطع كفّاً بغير أصابع قطعت كفّه بعد ردّ دية الأصابع،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عبّاس أنشدك الله هل في حكم الله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ترى في رجل ضربت أصابعه بالسيف حتّىسقطت فذهب فأتي رجل آخر فأطار يده فأتى به إليك وأنت قاض، كيف أنت صانع؟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لهذا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دية كفّه، وأقول لهذا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 على ما شئت أو أبعث إليهما ذوي 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الاختلاف في حكم الله، ونقضت القول الأوّل، أبى الله أن يحدث في خلقه شيئاً من الحدود وليس تفسيره في الأرض، أقطع يد قاطع الكفّ أصلاً، ثمّ أعط دية الأصابع، هكذا حكم الله عزّوجلّ</w:t>
      </w:r>
      <w:r>
        <w:rPr>
          <w:rFonts w:eastAsia="Amiri" w:cs="Amiri" w:ascii="Amiri" w:hAnsi="Amiri"/>
          <w:color w:val="111111"/>
          <w:sz w:val="28"/>
          <w:szCs w:val="28"/>
          <w:rtl w:val="true"/>
          <w:lang w:bidi="ar-SA"/>
        </w:rPr>
        <w:t>».</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ونحوه ما عن الكليني من المرسل في باب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وتفسيرها من كتاب الحجّة من الكافي</w:t>
      </w:r>
      <w:r>
        <w:rPr>
          <w:rStyle w:val="FootnoteAnchor"/>
          <w:rtl w:val="true"/>
        </w:rPr>
        <w:footnoteReference w:id="1808"/>
      </w:r>
      <w:r>
        <w:rPr>
          <w:rFonts w:ascii="IRNazanin" w:hAnsi="IRNazanin" w:eastAsia="IRNazanin"/>
          <w:color w:val="111111"/>
          <w:sz w:val="28"/>
          <w:sz w:val="28"/>
          <w:szCs w:val="28"/>
          <w:rtl w:val="true"/>
          <w:lang w:bidi="fa-IR"/>
        </w:rPr>
        <w:t xml:space="preserve">عن الصادق،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عمل به الشيخ</w:t>
      </w:r>
      <w:r>
        <w:rPr>
          <w:rStyle w:val="FootnoteAnchor"/>
          <w:rtl w:val="true"/>
        </w:rPr>
        <w:footnoteReference w:id="1809"/>
      </w:r>
      <w:r>
        <w:rPr>
          <w:rFonts w:ascii="Amiri" w:hAnsi="Amiri" w:eastAsia="Amiri" w:cs="Amiri"/>
          <w:color w:val="111111"/>
          <w:sz w:val="28"/>
          <w:sz w:val="28"/>
          <w:szCs w:val="28"/>
          <w:rtl w:val="true"/>
          <w:lang w:bidi="ar-SA"/>
        </w:rPr>
        <w:t>والمصنّف</w:t>
      </w:r>
      <w:r>
        <w:rPr>
          <w:rStyle w:val="FootnoteAnchor"/>
          <w:rtl w:val="true"/>
        </w:rPr>
        <w:footnoteReference w:id="1810"/>
      </w:r>
      <w:r>
        <w:rPr>
          <w:rFonts w:ascii="Amiri" w:hAnsi="Amiri" w:eastAsia="Amiri" w:cs="Amiri"/>
          <w:color w:val="111111"/>
          <w:sz w:val="28"/>
          <w:sz w:val="28"/>
          <w:szCs w:val="28"/>
          <w:rtl w:val="true"/>
          <w:lang w:bidi="ar-SA"/>
        </w:rPr>
        <w:t>وغيرهما، بل عن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رواه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1"/>
      </w:r>
      <w:r>
        <w:rPr>
          <w:rFonts w:ascii="Amiri" w:hAnsi="Amiri" w:eastAsia="Amiri" w:cs="Amiri"/>
          <w:color w:val="111111"/>
          <w:sz w:val="28"/>
          <w:sz w:val="28"/>
          <w:szCs w:val="28"/>
          <w:rtl w:val="true"/>
          <w:lang w:bidi="ar-SA"/>
        </w:rPr>
        <w:t>بل في غاية المراد</w:t>
      </w:r>
      <w:r>
        <w:rPr>
          <w:rStyle w:val="FootnoteAnchor"/>
          <w:rtl w:val="true"/>
        </w:rPr>
        <w:footnoteReference w:id="1812"/>
      </w:r>
      <w:r>
        <w:rPr>
          <w:rFonts w:ascii="Amiri" w:hAnsi="Amiri" w:eastAsia="Amiri" w:cs="Amiri"/>
          <w:color w:val="111111"/>
          <w:sz w:val="28"/>
          <w:sz w:val="28"/>
          <w:szCs w:val="28"/>
          <w:rtl w:val="true"/>
          <w:lang w:bidi="ar-SA"/>
        </w:rPr>
        <w:t>و المسالك</w:t>
      </w:r>
      <w:r>
        <w:rPr>
          <w:rFonts w:eastAsia="Amiri" w:cs="Amiri" w:ascii="Amiri" w:hAnsi="Amiri"/>
          <w:color w:val="111111"/>
          <w:sz w:val="28"/>
          <w:szCs w:val="28"/>
          <w:rtl w:val="true"/>
          <w:lang w:bidi="ar-SA"/>
        </w:rPr>
        <w:t>:</w:t>
      </w:r>
      <w:r>
        <w:rPr>
          <w:rStyle w:val="FootnoteAnchor"/>
          <w:rtl w:val="true"/>
        </w:rPr>
        <w:footnoteReference w:id="1813"/>
      </w:r>
      <w:r>
        <w:rPr>
          <w:rFonts w:ascii="Amiri" w:hAnsi="Amiri" w:eastAsia="Amiri" w:cs="Amiri"/>
          <w:color w:val="111111"/>
          <w:sz w:val="28"/>
          <w:sz w:val="28"/>
          <w:szCs w:val="28"/>
          <w:rtl w:val="true"/>
          <w:lang w:bidi="ar-SA"/>
        </w:rPr>
        <w:t>عمل به الأكثر</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عن الخلاف </w:t>
      </w:r>
      <w:r>
        <w:rPr>
          <w:rStyle w:val="FootnoteAnchor"/>
          <w:rtl w:val="true"/>
        </w:rPr>
        <w:footnoteReference w:id="1814"/>
      </w:r>
      <w:r>
        <w:rPr>
          <w:rFonts w:ascii="IRNazanin" w:hAnsi="IRNazanin" w:eastAsia="IRNazanin"/>
          <w:color w:val="111111"/>
          <w:sz w:val="28"/>
          <w:sz w:val="28"/>
          <w:szCs w:val="28"/>
          <w:rtl w:val="true"/>
          <w:lang w:bidi="fa-IR"/>
        </w:rPr>
        <w:t>و‌المبسوط</w:t>
      </w:r>
      <w:r>
        <w:rPr>
          <w:rStyle w:val="FootnoteAnchor"/>
          <w:rtl w:val="true"/>
        </w:rPr>
        <w:footnoteReference w:id="1815"/>
      </w:r>
      <w:r>
        <w:rPr>
          <w:rFonts w:ascii="Amiri" w:hAnsi="Amiri" w:eastAsia="Amiri" w:cs="Amiri"/>
          <w:color w:val="111111"/>
          <w:sz w:val="28"/>
          <w:sz w:val="28"/>
          <w:szCs w:val="28"/>
          <w:rtl w:val="true"/>
          <w:lang w:bidi="ar-SA"/>
        </w:rPr>
        <w:t xml:space="preserve">الإجماع على أنّ من قطع ذراعرجل بلا كفّ كان للمجنيّ عليه القصاص وردّ دية، بل عن الخلاف منهما نسبته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أخبار الفرقة أيضاً، بل عن الغنية </w:t>
      </w:r>
      <w:r>
        <w:rPr>
          <w:rStyle w:val="FootnoteAnchor"/>
          <w:rtl w:val="true"/>
        </w:rPr>
        <w:footnoteReference w:id="1816"/>
      </w:r>
      <w:r>
        <w:rPr>
          <w:rFonts w:ascii="Amiri" w:hAnsi="Amiri" w:eastAsia="Amiri" w:cs="Amiri"/>
          <w:color w:val="111111"/>
          <w:sz w:val="28"/>
          <w:sz w:val="28"/>
          <w:szCs w:val="28"/>
          <w:rtl w:val="true"/>
          <w:lang w:bidi="ar-SA"/>
        </w:rPr>
        <w:t>الإجماع على أنّه إذا كانت يد المقطوع ناقصة أصابع أنّ له قطع يد الجاني وردّ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نعرف له رادّاً إلّا ابن إدريس بناءً منه على أصله،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مخالف لأُصول المذهب؛ إذ لا خلاف بيننا أنّه لا يقتصّ العضو الكامل للناقص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والأولى الحكومة في ذلك وترك القصاص وأخذ 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7"/>
      </w:r>
      <w:r>
        <w:rPr>
          <w:rFonts w:ascii="IRNazanin" w:hAnsi="IRNazanin" w:eastAsia="IRNazanin"/>
          <w:color w:val="111111"/>
          <w:sz w:val="28"/>
          <w:sz w:val="28"/>
          <w:szCs w:val="28"/>
          <w:rtl w:val="true"/>
          <w:lang w:bidi="fa-IR"/>
        </w:rPr>
        <w:t>نحو ما سمعته من ابن عبّاس المخالف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وَالْجُرُوحَ قِصَاصٌ</w:t>
      </w:r>
      <w:r>
        <w:rPr>
          <w:rStyle w:val="FootnoteAnchor"/>
          <w:rtl w:val="true"/>
        </w:rPr>
        <w:footnoteReference w:id="1818"/>
      </w:r>
      <w:r>
        <w:rPr>
          <w:rFonts w:ascii="Amiri" w:hAnsi="Amiri" w:eastAsia="Amiri" w:cs="Amiri"/>
          <w:color w:val="111111"/>
          <w:sz w:val="28"/>
          <w:sz w:val="28"/>
          <w:szCs w:val="28"/>
          <w:rtl w:val="true"/>
          <w:lang w:bidi="ar-SA"/>
        </w:rPr>
        <w:t>وغيره، والفاضل في المختلف وإن نفى البأس عنه،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في هذه المسألة من المتوقّفين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9"/>
      </w:r>
      <w:r>
        <w:rPr>
          <w:rFonts w:ascii="Amiri" w:hAnsi="Amiri" w:eastAsia="Amiri" w:cs="Amiri"/>
          <w:color w:val="111111"/>
          <w:sz w:val="28"/>
          <w:sz w:val="28"/>
          <w:szCs w:val="28"/>
          <w:rtl w:val="true"/>
          <w:lang w:bidi="ar-SA"/>
        </w:rPr>
        <w:t>فانحصر الخلاف فيه خاصّة بناءً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فضعف الخبر المزبور بسهل 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منجبرٌ بما عرفت، كما أنّ احتمال ضرب الأصابع فيه مفسّر بخبر سورة</w:t>
      </w:r>
      <w:r>
        <w:rPr>
          <w:rStyle w:val="FootnoteAnchor"/>
          <w:rtl w:val="true"/>
        </w:rPr>
        <w:footnoteReference w:id="1820"/>
      </w:r>
      <w:r>
        <w:rPr>
          <w:rFonts w:ascii="Amiri" w:hAnsi="Amiri" w:eastAsia="Amiri" w:cs="Amiri"/>
          <w:color w:val="111111"/>
          <w:sz w:val="28"/>
          <w:sz w:val="28"/>
          <w:szCs w:val="28"/>
          <w:rtl w:val="true"/>
          <w:lang w:bidi="ar-SA"/>
        </w:rPr>
        <w:t>السابق، المراد من الأخذ فيه ما يشمل صورة العفو ولو باعتبار أنّه أخذ للعوض الذي هو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غير المقام تنزيل العفو منزلة الأداء، وبذلك كلّه تخصّ العمومات إن قلنا بظهورها في عدم الردّ، وإلّا فلا منافاة</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يظهر من الأخير أنّ ذلك هو مقتضى الجمع بين قوله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وَالْجُرُوحَ قِصاصٌوَالنَّفْسَ بِالنَّفْسِ</w:t>
      </w:r>
      <w:r>
        <w:rPr>
          <w:rStyle w:val="FootnoteAnchor"/>
          <w:rtl w:val="true"/>
        </w:rPr>
        <w:footnoteReference w:id="1821"/>
      </w:r>
      <w:r>
        <w:rPr>
          <w:rFonts w:ascii="Amiri" w:hAnsi="Amiri" w:eastAsia="Amiri" w:cs="Amiri"/>
          <w:color w:val="111111"/>
          <w:sz w:val="28"/>
          <w:sz w:val="28"/>
          <w:szCs w:val="28"/>
          <w:rtl w:val="true"/>
          <w:lang w:bidi="ar-SA"/>
        </w:rPr>
        <w:t>وبين قاعدة الضرر والضرار والتساوي في الاقتصاص المبنيّ على التغليب، فيكون عامّاً لمحلّ الخبر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فإنّه نافع جدّاً</w:t>
      </w:r>
      <w:r>
        <w:rPr>
          <w:rFonts w:eastAsia="Amiri" w:cs="Amiri" w:ascii="Amiri" w:hAnsi="Amiri"/>
          <w:color w:val="111111"/>
          <w:sz w:val="28"/>
          <w:szCs w:val="28"/>
          <w:rtl w:val="true"/>
          <w:lang w:bidi="ar-SA"/>
        </w:rPr>
        <w:t>.</w:t>
      </w:r>
      <w:r>
        <w:rPr>
          <w:rStyle w:val="FootnoteAnchor"/>
          <w:rtl w:val="true"/>
        </w:rPr>
        <w:footnoteReference w:id="1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من الردّ في المسألة في غير صورة العفو غير بعيدٍ، بل لا يخلو من قوّة؛ قضاءً لمفهوم القصاص في الجروح، وللرواية، ولما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القواعد</w:t>
      </w:r>
      <w:r>
        <w:rPr>
          <w:rFonts w:eastAsia="Amiri" w:cs="Amiri" w:ascii="Amiri" w:hAnsi="Amiri"/>
          <w:color w:val="111111"/>
          <w:sz w:val="28"/>
          <w:szCs w:val="28"/>
          <w:rtl w:val="true"/>
          <w:lang w:bidi="ar-SA"/>
        </w:rPr>
        <w:t xml:space="preserve">.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9428_72898"/>
      <w:bookmarkStart w:id="412" w:name="pg9428_72898"/>
      <w:bookmarkEnd w:id="412"/>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3" w:name="pg9428_72898"/>
      <w:bookmarkStart w:id="414" w:name="__RefHeading___Toc5797679_2870459653"/>
      <w:bookmarkStart w:id="415" w:name="_Toc140"/>
      <w:bookmarkEnd w:id="413"/>
      <w:bookmarkEnd w:id="414"/>
      <w:r>
        <w:rPr>
          <w:rtl w:val="true"/>
        </w:rPr>
        <w:t xml:space="preserve">القسم الثاني </w:t>
      </w:r>
      <w:r>
        <w:rPr>
          <w:rtl w:val="true"/>
        </w:rPr>
        <w:t xml:space="preserve">: </w:t>
      </w:r>
      <w:r>
        <w:rPr>
          <w:rtl w:val="true"/>
        </w:rPr>
        <w:t>في قصاص ما دون النفس</w:t>
      </w:r>
      <w:bookmarkEnd w:id="415"/>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9428_72900"/>
      <w:bookmarkStart w:id="417" w:name="pg9428_72900"/>
      <w:bookmarkEnd w:id="417"/>
    </w:p>
    <w:p>
      <w:pPr>
        <w:pStyle w:val="Heading2"/>
        <w:numPr>
          <w:ilvl w:val="1"/>
          <w:numId w:val="1"/>
        </w:numPr>
        <w:rPr/>
      </w:pPr>
      <w:bookmarkStart w:id="418" w:name="pg9428_72900"/>
      <w:bookmarkStart w:id="419" w:name="__RefHeading___Toc5797681_2870459653"/>
      <w:bookmarkStart w:id="420" w:name="_Toc141"/>
      <w:bookmarkEnd w:id="418"/>
      <w:bookmarkEnd w:id="419"/>
      <w:r>
        <w:rPr>
          <w:rtl w:val="true"/>
        </w:rPr>
        <w:t xml:space="preserve">القسم الثاني </w:t>
      </w:r>
      <w:r>
        <w:rPr>
          <w:rtl w:val="true"/>
        </w:rPr>
        <w:t xml:space="preserve">: </w:t>
      </w:r>
      <w:r>
        <w:rPr>
          <w:rtl w:val="true"/>
        </w:rPr>
        <w:t>في قصاص ما دون النفس</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له هاهنا كالموجب في قتل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الجناية العمديّة مباشرة أو تسبيباً حسب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جنى بما يتلف العضو غالباً</w:t>
      </w:r>
    </w:p>
    <w:p>
      <w:pPr>
        <w:pStyle w:val="Heading2"/>
        <w:numPr>
          <w:ilvl w:val="1"/>
          <w:numId w:val="1"/>
        </w:numPr>
        <w:rPr/>
      </w:pPr>
      <w:bookmarkStart w:id="421" w:name="__RefHeading___Toc5797683_2870459653"/>
      <w:bookmarkStart w:id="422" w:name="_Toc142"/>
      <w:bookmarkEnd w:id="421"/>
      <w:r>
        <w:rPr>
          <w:rtl w:val="true"/>
        </w:rPr>
        <w:t>قصاص الطرف</w:t>
      </w:r>
      <w:bookmarkEnd w:id="4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الإيجاب للقصاص هاهنا الكتاب من عموم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وَجَزَاؤُاْ سَيِّئَةٍ سَيِّئَةٌ مِثْلُهَا</w:t>
      </w:r>
      <w:r>
        <w:rPr>
          <w:rFonts w:ascii="IRNazanin" w:hAnsi="IRNazanin" w:eastAsia="IRNazanin"/>
          <w:color w:val="111111"/>
          <w:sz w:val="28"/>
          <w:sz w:val="28"/>
          <w:szCs w:val="28"/>
          <w:rtl w:val="true"/>
          <w:lang w:bidi="fa-IR"/>
        </w:rPr>
        <w:t>،</w:t>
      </w:r>
      <w:r>
        <w:rPr>
          <w:rStyle w:val="FootnoteAnchor"/>
          <w:rtl w:val="true"/>
        </w:rPr>
        <w:footnoteReference w:id="1823"/>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وَلَكُمْ فِي الْقِصَاصِ حَياةٌ يَا أُوْلِي الأَلبَابِ</w:t>
      </w:r>
      <w:r>
        <w:rPr>
          <w:rStyle w:val="FootnoteAnchor"/>
          <w:rtl w:val="true"/>
        </w:rPr>
        <w:footnoteReference w:id="1824"/>
      </w:r>
      <w:r>
        <w:rPr>
          <w:rFonts w:ascii="Amiri" w:hAnsi="Amiri" w:eastAsia="Amiri" w:cs="Amiri"/>
          <w:color w:val="111111"/>
          <w:sz w:val="28"/>
          <w:sz w:val="28"/>
          <w:szCs w:val="28"/>
          <w:rtl w:val="true"/>
          <w:lang w:bidi="ar-SA"/>
        </w:rPr>
        <w:t>إن لم يكن الألف واللام للعهد الذكري، ومن خصوص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وَالْجُرُوحَ قِصَاصٌ</w:t>
      </w:r>
      <w:r>
        <w:rPr>
          <w:rStyle w:val="FootnoteAnchor"/>
          <w:rtl w:val="true"/>
        </w:rPr>
        <w:footnoteReference w:id="1825"/>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وَالحُرُماتُ قِصَاصٌ</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6"/>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والسنّة من الأخبار الكثيرة المتواترة في خصوصيّات المسألةومواردها الدالّة على الفراغ من الأصل، بل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عليه ضرورة الفقه الإسلامي</w:t>
      </w:r>
      <w:r>
        <w:rPr>
          <w:rFonts w:eastAsia="Amiri" w:cs="Amiri" w:ascii="Amiri" w:hAnsi="Amiri"/>
          <w:color w:val="111111"/>
          <w:sz w:val="28"/>
          <w:szCs w:val="28"/>
          <w:rtl w:val="true"/>
          <w:lang w:bidi="ar-SA"/>
        </w:rPr>
        <w:t xml:space="preserve">. </w:t>
      </w:r>
      <w:bookmarkStart w:id="423" w:name="pg9428_72901"/>
    </w:p>
    <w:p>
      <w:pPr>
        <w:pStyle w:val="BookText"/>
        <w:rPr/>
      </w:pPr>
      <w:bookmarkEnd w:id="423"/>
      <w:r>
        <w:rPr>
          <w:rFonts w:ascii="Amiri" w:hAnsi="Amiri" w:eastAsia="Amiri" w:cs="Amiri"/>
          <w:color w:val="111111"/>
          <w:sz w:val="28"/>
          <w:sz w:val="28"/>
          <w:szCs w:val="28"/>
          <w:rtl w:val="true"/>
          <w:lang w:bidi="ar-SA"/>
        </w:rPr>
        <w:t>فهو عمد؛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الإتلاف به أو لا، ولو جنى بما لا يتلف به غالباً، فهو عمد مع قصد الإتلاف ولو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جواز الاقتصاص فيه ما يشترط في الاقتصاص في النفس؛ من التساوي في الإسلام والحرّيّة وانتفاء الأُبوّة وكون الجاني عاقلاً بالغاً، فلا يقتصّ في الطرف لمن لا يقتصّ له في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لملازمة القصد بالجناية المتلفة للعضو غالباً مع قصد الإتلاف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إلى الجناية كذلك أمارة عرفيّة على قصد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الظاهر عدم الاحتياج إلى الاستدلال بالملازمة أو الأخبار كما فعله الأخيار؛ لكفاية آية القصاص في ذلك، فإنّ القصاص المتابعة والمقابلة بالمثل، فقصاص الجاني بالآلة القتّالة وما به يقتل غالباً من حيث المكان أو الزمان أو الخصوصيات الأُخرى الجناية عليه بمثل تلك الآلة الملازم لقتله، ولعلّ ما في الأخبار ناظر إلى ذلك الوجه، لا التعبّد أو مسألة الملازمة والقصد إلى القتل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 فإنّه وجهٌ جيّدٌ دقيقٌ</w:t>
      </w:r>
      <w:r>
        <w:rPr>
          <w:rFonts w:eastAsia="Amiri" w:cs="Amiri" w:ascii="Amiri" w:hAnsi="Amiri"/>
          <w:color w:val="111111"/>
          <w:sz w:val="28"/>
          <w:szCs w:val="28"/>
          <w:rtl w:val="true"/>
          <w:lang w:bidi="ar-SA"/>
        </w:rPr>
        <w:t>.</w:t>
      </w:r>
    </w:p>
    <w:p>
      <w:pPr>
        <w:pStyle w:val="Heading2"/>
        <w:numPr>
          <w:ilvl w:val="1"/>
          <w:numId w:val="1"/>
        </w:numPr>
        <w:rPr/>
      </w:pPr>
      <w:bookmarkStart w:id="424" w:name="__RefHeading___Toc5797685_2870459653"/>
      <w:bookmarkStart w:id="425" w:name="_Toc143"/>
      <w:bookmarkEnd w:id="424"/>
      <w:r>
        <w:rPr>
          <w:rtl w:val="true"/>
        </w:rPr>
        <w:t>فيما يشترط في قصاص الطرف</w:t>
      </w:r>
      <w:bookmarkEnd w:id="4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قصاص النفس عدم شرطيّة الإسلام فيه، فكذلك الأمر في قصاص الطرف؛ قضاءً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وَالْجُرُوحَ قِصَاصٌ</w:t>
      </w:r>
      <w:r>
        <w:rPr>
          <w:rFonts w:ascii="IRNazanin" w:hAnsi="IRNazanin" w:eastAsia="IRNazanin"/>
          <w:color w:val="111111"/>
          <w:sz w:val="28"/>
          <w:sz w:val="28"/>
          <w:szCs w:val="28"/>
          <w:rtl w:val="true"/>
          <w:lang w:bidi="fa-IR"/>
        </w:rPr>
        <w:t>،</w:t>
      </w:r>
      <w:r>
        <w:rPr>
          <w:rStyle w:val="FootnoteAnchor"/>
          <w:rtl w:val="true"/>
        </w:rPr>
        <w:footnoteReference w:id="1827"/>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وَالحُرُماتُ قِصَاصٌ</w:t>
      </w:r>
      <w:r>
        <w:rPr>
          <w:rStyle w:val="FootnoteAnchor"/>
          <w:rtl w:val="true"/>
        </w:rPr>
        <w:footnoteReference w:id="1828"/>
      </w:r>
      <w:r>
        <w:rPr>
          <w:rFonts w:ascii="Amiri" w:hAnsi="Amiri" w:eastAsia="Amiri" w:cs="Amiri"/>
          <w:color w:val="111111"/>
          <w:sz w:val="28"/>
          <w:sz w:val="28"/>
          <w:szCs w:val="28"/>
          <w:rtl w:val="true"/>
          <w:lang w:bidi="ar-SA"/>
        </w:rPr>
        <w:t>ولما مرّ من إباء مثل هذه الألسنة عن التخصيص</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انتفاء الأُبوّة، فليست شرطاً في المقام؛ لعدم الدليل عليه لا من النصّ ولا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غيره، وإلغاء الخصوصيّة من القتل إلى القطع كما ترى، ولم أجدها مذكورة في مثل الشرائع المعدّ لتنظيم الأبواب والشرائط والموانع فضلاً عن غيره، والمتن متفرّد بذكرها من الشرائط، وهو أعلم بما ذكره وأفتى به وإن كان الحقّ عدم الاعتبار والشرطيّة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اعتبار الكمال هنا هو الدليل على اعتباره في قصاص النفس، والعمدة فيه عدم صدق العمد المعتبر في القصاص مطلقاً في الصبيّ غير المميّز الذي يكون كالمجنون في عدم العمد له، فعمدهما كالعدم وكعمد الحيوان، فكما لاجزاء في عمله فكذا في عملهما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 المراد من الصبيّ المقارن مع المجنون في كون عمدهما خطأ تحمّله العاقلة غير المميّز منه، بمناسبة الحكم والموضوع ووحدة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الدية على العاقلة عقلاً وعرفاً تكون مسبّبة من عدم ردعه ومنعه، وهذا إنّما يتمّ في غير المميّز كما كان تامّاً في المجنون، وحمل الحكم فيهما على التعبّد والأخذ بإطلاق الصبيّ كما ترى، فإنّه مخالف للظاهر لتلك المناسبة العرفيّة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وإثبات مثل ذلك التعبّد لمثل هذه من الرواية أو الروايتين أو الثلاث بل والزائد عليها مالم تصل الروايات إلى بيان شائع رائج مشكل بل ممنوع ثانياً، فإنّ الحكمة مقتضية لبيان الشارع الحكيم مثل ذلك التعبّد، بياناً رائجاً شائعاً واضح الدلالة بحيث يكون البيان كافياً ووافياً ولا يشوبه الشكّ في إعماله التعبد سنداً ودلالة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بناء العقلاء على حجّيّة الخبر أو الخبرين وما زاد عليه فيبيان مثل التعبّد كذلك ممنوعة، أو لا أقلّ من عدم كونها محرزة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 في هذه النكتة، فإنّها نافعة لك في الفقة نفعاً كثيراً</w:t>
      </w:r>
      <w:r>
        <w:rPr>
          <w:rFonts w:eastAsia="Amiri" w:cs="Amiri" w:ascii="Amiri" w:hAnsi="Amiri"/>
          <w:color w:val="111111"/>
          <w:sz w:val="28"/>
          <w:szCs w:val="28"/>
          <w:rtl w:val="true"/>
          <w:lang w:bidi="ar-SA"/>
        </w:rPr>
        <w:t xml:space="preserve">. </w:t>
      </w:r>
      <w:bookmarkStart w:id="426" w:name="pg9428_72903"/>
    </w:p>
    <w:p>
      <w:pPr>
        <w:pStyle w:val="BookText"/>
        <w:rPr/>
      </w:pPr>
      <w:bookmarkEnd w:id="4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التساوي في الذكورة والأُنوثة، فيقتصّ فيه للرجل من الرجل ومن المرأة من غير أخذ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ويقتصّ للمرأة من المرأة ومن الرجل، لكن بعد ردّ التفاوت فيما بلغ الثلث كما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427" w:name="__RefHeading___Toc5797687_2870459653"/>
      <w:bookmarkStart w:id="428" w:name="_Toc144"/>
      <w:bookmarkEnd w:id="427"/>
      <w:r>
        <w:rPr>
          <w:rtl w:val="true"/>
        </w:rPr>
        <w:t>قصاص الطرف للرجل من الرجل ومن المرأة</w:t>
      </w:r>
      <w:bookmarkEnd w:id="4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شرطيّة التساوي في الذكورة والأُنوثة بمعنى القصاص للرجل من الرجل ومن المرأة من دون أخذ الفضل، لا إشكال ولا كلام ولا خلاف فيها بل إجماعي؛ لعموم الأدلّة من الكتاب والسنّة، وهو الموافق مع الأُصول، لما بين الجاني والمجنيّ عليه من التساوي، فإنّ الكلّ من أبناء البشر وأباهم آدم وأُمّهم حوّاء، ولا فضل لأحد إلّا بالتقوى، الموجبة للفضل عند الله أيضاً لا في جهة الحقوق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كما مرّ في ردّ التفاوت فيما بلغ الثلث في القصاص للمرأة من المرأة ومن الرجل، فإنّه مخالف لتلك الأُصول والضوابط المشار إليها، كما مرّ تحقيقه في ذيل مسألة من مسائل الكتاب، والاكتفاء في البحث هنا بما مرّ في السابق وإن كان تامّاً، لكن لما كانت المسألة مهمّة والحوالة لم تكن عن المحذور خالية، والإعادة ليست بلافائدة ولا إفادة، كان المناسب هو التعرّض لها هنا أيضاً</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 مستعيناً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المتن هو المعروف، بل ادّعى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الفرقة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9"/>
      </w:r>
      <w:r>
        <w:rPr>
          <w:rFonts w:ascii="Amiri" w:hAnsi="Amiri" w:eastAsia="Amiri" w:cs="Amiri"/>
          <w:color w:val="111111"/>
          <w:sz w:val="28"/>
          <w:sz w:val="28"/>
          <w:szCs w:val="28"/>
          <w:rtl w:val="true"/>
          <w:lang w:bidi="ar-SA"/>
        </w:rPr>
        <w:t>ومستندهم الأخبار الواردة في دية الأطراف، إلّا أنّها مختلفة اللسان ومتعارضة البيان، مع ما في أظهرها متناًوأصحّها سنداً من الشذوذ ما يسقطه عن الحجّيّة من رأس؛ وذلك لأنّ تلك الأخبار على أربعة أنواع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الخمسة التي تدلّ على المعروف بين الأصحاب، وهو تساوي دية المرأة مع دية الرجل إلى أن تبلغ الثلث، فإذا بلغت الثلث ترجع إلى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أصرح أخبار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قطع إصبعاً من أصابع المرأة، كم فيها؟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اثنتين؟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يقطع ثلاثاً فيكون عليه ثلاثون، ويقطع أربعاً فيكون عليه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كان يبلغنا ونحن بالعراق فنبرأ ممّن قاله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 به شيطان،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يا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حكم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المرأة تعاقل الرجل إلى ثلث الدية، فإذا بلغت الثلث رجعت إلى النصف، يا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أخذتني بالقياس، والسنّة إذا قيست محق الدين</w:t>
      </w:r>
      <w:r>
        <w:rPr>
          <w:rFonts w:eastAsia="IRNazanin" w:cs="IRNazanin"/>
          <w:color w:val="111111"/>
          <w:sz w:val="28"/>
          <w:szCs w:val="28"/>
          <w:rtl w:val="true"/>
          <w:lang w:bidi="fa-IR"/>
        </w:rPr>
        <w:t>».</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جراحة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والنساء في الدية سواء حتّى تبلغ الثلث، فإذا جازت الثلث فإنّها مثل نصف دية الرجل</w:t>
      </w:r>
      <w:r>
        <w:rPr>
          <w:rFonts w:eastAsia="Amiri" w:cs="Amiri" w:ascii="Amiri" w:hAnsi="Amiri"/>
          <w:color w:val="111111"/>
          <w:sz w:val="28"/>
          <w:szCs w:val="28"/>
          <w:rtl w:val="true"/>
          <w:lang w:bidi="ar-SA"/>
        </w:rPr>
        <w:t>».</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بينها وبين الرجل قصاص؟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في الجراحات حتّى تبلغ الثلث سواء، فإذا بلغت الثلث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ارتفع الرجل وسفلت المرأة</w:t>
      </w:r>
      <w:r>
        <w:rPr>
          <w:rFonts w:eastAsia="Amiri" w:cs="Amiri" w:ascii="Amiri" w:hAnsi="Amiri"/>
          <w:color w:val="111111"/>
          <w:sz w:val="28"/>
          <w:szCs w:val="28"/>
          <w:rtl w:val="true"/>
          <w:lang w:bidi="ar-SA"/>
        </w:rPr>
        <w:t>».</w:t>
      </w:r>
      <w:r>
        <w:rPr>
          <w:rStyle w:val="FootnoteAnchor"/>
          <w:rtl w:val="true"/>
        </w:rPr>
        <w:footnoteReference w:id="1832"/>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الجراحات؟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جراحة المرأة مثل جراحة الرجل حتّى تبلغ ثلث الدية، فإذا بلغت ثلث الدية سواء أضعفت جراحة الرجل ضعفين على جراحة المرأة، وسنّ الرجل وسنّ المرأة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وإصبع المرأة بإصبع الرجل حتّى تبلغ الجراحة ثلث الدية، فإذا بلغت ثلث الدية ضعفت دية الرجل على دية المرأة</w:t>
      </w:r>
      <w:r>
        <w:rPr>
          <w:rFonts w:eastAsia="IRNazanin" w:cs="IRNazanin"/>
          <w:color w:val="111111"/>
          <w:sz w:val="28"/>
          <w:szCs w:val="28"/>
          <w:rtl w:val="true"/>
          <w:lang w:bidi="fa-IR"/>
        </w:rPr>
        <w:t>».</w:t>
      </w:r>
      <w:r>
        <w:rPr>
          <w:rStyle w:val="FootnoteAnchor"/>
          <w:rtl w:val="true"/>
        </w:rPr>
        <w:footnoteReference w:id="1834"/>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أنّ ديتهما إلى الثلث مساوية مع الآخر، ومع التجاوز عنه صارت دية جرح الرجل ثلثي الدية وجرح المرأة ثلثها مطلقاً، وهو صحيح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جراحات الرجال والنساء في الديات والقصاص سواء؟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الرجال والنساء فيالقصاص السنّ بالسنّ، والشجّة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بالشجّة، والإصبع بالإصبع سواء حتّى تبلغ الجراحات ثلث الدية، فإذا جازت الثلث صيرت دية الرجال في الجراحات ثلثي الدية، ودية النساء ثلث الدية</w:t>
      </w:r>
      <w:r>
        <w:rPr>
          <w:rFonts w:eastAsia="Amiri" w:cs="Amiri" w:ascii="Amiri" w:hAnsi="Amiri"/>
          <w:color w:val="111111"/>
          <w:sz w:val="28"/>
          <w:szCs w:val="28"/>
          <w:rtl w:val="true"/>
          <w:lang w:bidi="ar-SA"/>
        </w:rPr>
        <w:t>».</w:t>
      </w:r>
      <w:r>
        <w:rPr>
          <w:rStyle w:val="FootnoteAnchor"/>
          <w:rtl w:val="true"/>
        </w:rPr>
        <w:footnoteReference w:id="183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أنّ دية جراحات النساء على النصف من جراحات الرجال، وهو موثّق أبي مريم،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جراحات النساء على النصف من جراحات الرجال في كلّ شيء</w:t>
      </w:r>
      <w:r>
        <w:rPr>
          <w:rFonts w:eastAsia="IRNazanin" w:cs="IRNazanin"/>
          <w:color w:val="111111"/>
          <w:sz w:val="28"/>
          <w:szCs w:val="28"/>
          <w:rtl w:val="true"/>
          <w:lang w:bidi="fa-IR"/>
        </w:rPr>
        <w:t>».</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مساواة دية المرأة مع الرجل إلى أن تبلغ الدية ثلث دية المرأة، أي ثلث نصف الدية الكاملة؛ بناءً على كون دية نفس المرأة نصف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خبر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قطع إصبع امرأة؟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 إصبعه حتّى تنتهي إلى ثلث المرأة، فإذا جاز الثلث أضعف الرجل</w:t>
      </w:r>
      <w:r>
        <w:rPr>
          <w:rFonts w:eastAsia="IRNazanin" w:cs="IRNazanin"/>
          <w:color w:val="111111"/>
          <w:sz w:val="28"/>
          <w:szCs w:val="28"/>
          <w:rtl w:val="true"/>
          <w:lang w:bidi="fa-IR"/>
        </w:rPr>
        <w:t>».</w:t>
      </w:r>
      <w:r>
        <w:rPr>
          <w:rStyle w:val="FootnoteAnchor"/>
          <w:rtl w:val="true"/>
        </w:rPr>
        <w:footnoteReference w:id="1837"/>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الأنواع الأربعة تعارض واختلاف من جهات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أنّالتفاوت بين دية جرح الرجل والمرأة فيما زاد على الثلث بالثلث، فتكون في الرجل الثلثين وفي المرأة الثلث والثلثين، كما عليه النوع الثاني، أو بالنصف كما عليه الأوّل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أنّ الثلث الذي فيه المساواة ثلث دية الرجل كما في الأوّل والثاني، أو ثلث دية المرأة كما في الرابع على 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كون جراحات النساء على النصف مطلقاً حتّى فيما دون الثلث، كما عليه الثالث، مع ما في بقيّة الأنواع من التساوي فيما دون الثلث، فالاختلاف بينها في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عدم التعارض بين الثالث مع البقيّة؛ لكونه أعمّ منها، فإطلاقة مقيّد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مدفوعٌ، مضافاً إلى إباء لسانه عن التقييد والتخصيص؛ لكونه في مقام بيان الضابطة والقاعدة الكلية لحدّ التفاوت بينهما، فتخصيصه كما ترى، أنّ مضمونه فتوى بعض العامّة مع ما لهم من الاختلاف في المسألة، فلعلّه يكون نظر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أنّ التقييد والتخصيص فيه مستلزم لتأخير البيان عن وقت الحاجة، وهو ممنوعٌ وغير جائز، حيث إنّ ذلك الخبر، أي خبر أبي مريم منقول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وأخبار الأنواع الثلاثة الباقية منقولة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التعارض لابدّ من التساقط، وأدلّة التخيير على إطلاقها منصرفة عن مثل الأخبار الكثيرة المتعارضة بالاختلاف في جهات ثلاث، وإنّما تكون منصرفة إلى خبرين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الترجيح للنوع الأوّل بالشهرة مدفوع؛ لعدم الشهرة القويّة الواضحة الظاهرة أوّلاً، كيف مع أنّ ادّعاء الإجماع على القول المعروفليس إلّا في الخلاف</w:t>
      </w:r>
      <w:r>
        <w:rPr>
          <w:rStyle w:val="FootnoteAnchor"/>
          <w:rtl w:val="true"/>
        </w:rPr>
        <w:footnoteReference w:id="18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الغنية ،</w:t>
      </w:r>
      <w:r>
        <w:rPr>
          <w:rStyle w:val="FootnoteAnchor"/>
          <w:rtl w:val="true"/>
        </w:rPr>
        <w:footnoteReference w:id="1839"/>
      </w:r>
      <w:r>
        <w:rPr>
          <w:rFonts w:ascii="Amiri" w:hAnsi="Amiri" w:eastAsia="Amiri" w:cs="Amiri"/>
          <w:color w:val="111111"/>
          <w:sz w:val="28"/>
          <w:sz w:val="28"/>
          <w:szCs w:val="28"/>
          <w:rtl w:val="true"/>
          <w:lang w:bidi="ar-SA"/>
        </w:rPr>
        <w:t>دون غيرهما من الكتب المنقول فيها الإجماع كثيراً، فضلاً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 في الاستدلال على ذلك القول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للنصوص المستفيضة المعتضدة بعمل الأصحاب من غير خلاف محقّق أجده فيه، بل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Style w:val="FootnoteAnchor"/>
          <w:rtl w:val="true"/>
        </w:rPr>
        <w:footnoteReference w:id="1840"/>
      </w:r>
    </w:p>
    <w:p>
      <w:pPr>
        <w:pStyle w:val="BookText"/>
        <w:rPr/>
      </w:pPr>
      <w:r>
        <w:rPr>
          <w:rFonts w:ascii="IRNazanin" w:hAnsi="IRNazanin" w:eastAsia="IRNazanin"/>
          <w:color w:val="111111"/>
          <w:sz w:val="28"/>
          <w:sz w:val="28"/>
          <w:szCs w:val="28"/>
          <w:rtl w:val="true"/>
          <w:lang w:bidi="fa-IR"/>
        </w:rPr>
        <w:t xml:space="preserve">وبعدم كونها كاشفة عن الشهرة بين أصحاب الحديث في زمان الباقرين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بعدهما عن الأئمّة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حيث إنّ الطريق المتعارف في فهم فتواهم منحصرٌ بأخبارهم؛ لأنّهم كانوا يفتون بمضمون الخبر بنقله، والفرض أنّ الأخبار مختلفة، فالظاهر أنّ مضمون كلّ واحد من الأحاديث فتوى ناقله، ومن المعلوم أنّ الشهرة المرجّحة هي الشهرة العمليّة بين أصحاب الحديث وبعده، فإنّها التي توجب صحّة المشهورة ونفي الريب فيها وفي بطلان غير المشهورة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وبعدم كونها مرجّحة على تسليم تحقّقها ثالثة؛ لاحتمال عدم كون البقيّة من الأخبار بمرأى منهم، فلعلّها لم يكن عندهم إلّا النوع الأوّل، فعدم فتواهم بالبقيّة ليس بكاشف عن الإعراض، كما لا يخفى</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بالشهرة وإن لم يكن تامّاً لما ذكر، لكنّ الترجيحبالأكثريّة والأصحيّة والأظهريّة مع النوع الأوّل أيضاً، فلابدّ من الذهاب إلى القول المعروف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بتلك المرجّحات غير المنصوصة إنّما يكون من جهة التعيين في الدوران بين التعيين والتخيير، والدوران في مثل أخبار المسألة بين ثلاثة بإضافة التساقط إليهما؛ لانصراف أخبار التخيير عن مثلها،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 حتّى لا تغترّ بالترجيح بتلك المرجّحات بها؛ قضاءً لأصل التعيين في الدوران بينه وبين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ما في صحيحة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في 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الدلاله فإنّها أظهر أخباره، ومن حيث السند فإنّها الأصحّ منها، إن لم يكن من جميع أخبار الباب ما لا يخفى من المحاذير المتعددّة الموجبة للخلل في المتن الموجب لعدم الحجّية، لعدم بناء العقلاء على مثل الصحيحة ممّا فيها من تلك المحاذير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الناقل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أصحاب الأئمّة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محمّد زين العابدين، وأبي جعفر الباقر، وأبي عبدالله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كلام في وثاقته، ولم يغمض أحد فيها وإن وقع الغمض على مثل عبدالرحمن بن الحجّاج</w:t>
      </w:r>
      <w:r>
        <w:rPr>
          <w:rStyle w:val="FootnoteAnchor"/>
          <w:rtl w:val="true"/>
        </w:rPr>
        <w:footnoteReference w:id="1841"/>
      </w:r>
      <w:r>
        <w:rPr>
          <w:rFonts w:ascii="Amiri" w:hAnsi="Amiri" w:eastAsia="Amiri" w:cs="Amiri"/>
          <w:color w:val="111111"/>
          <w:sz w:val="28"/>
          <w:sz w:val="28"/>
          <w:szCs w:val="28"/>
          <w:rtl w:val="true"/>
          <w:lang w:bidi="ar-SA"/>
        </w:rPr>
        <w:t>الواقع في سند الرواية</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إجلس في مسجد المدينة وأفت الناس، فإنّيأحبّ أن يرى في شيعتي مثلك</w:t>
      </w:r>
      <w:r>
        <w:rPr>
          <w:rFonts w:eastAsia="IRNazanin" w:cs="IRNazanin"/>
          <w:color w:val="111111"/>
          <w:sz w:val="28"/>
          <w:szCs w:val="28"/>
          <w:rtl w:val="true"/>
          <w:lang w:bidi="fa-IR"/>
        </w:rPr>
        <w:t>».</w:t>
      </w:r>
      <w:r>
        <w:rPr>
          <w:rStyle w:val="FootnoteAnchor"/>
          <w:rtl w:val="true"/>
        </w:rPr>
        <w:footnoteReference w:id="18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هذا شهادة على أنّ فقاهته وورعه وعرفانه الحلال والحرام بالغة إلى مرتبة عالية، إلى مرتبة موجبة لحبّ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جلوسه في المدينة للإفتاء وبيان الأحكام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أنّه إذا ورد مسجد الرسول يكرمونه بالجلوس على أسطوانته،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أبان إذا قدم المدينة تفوّضت إليه الحلق وأخليت له سارية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843"/>
      </w:r>
    </w:p>
    <w:p>
      <w:pPr>
        <w:pStyle w:val="BookText"/>
        <w:rPr/>
      </w:pPr>
      <w:r>
        <w:rPr>
          <w:rFonts w:ascii="IRNazanin" w:hAnsi="IRNazanin" w:eastAsia="IRNazanin"/>
          <w:color w:val="111111"/>
          <w:sz w:val="28"/>
          <w:sz w:val="28"/>
          <w:szCs w:val="28"/>
          <w:rtl w:val="true"/>
          <w:lang w:bidi="fa-IR"/>
        </w:rPr>
        <w:t xml:space="preserve">ومع ما له من تلك الموجبات للفضيلة والكرامة والأدب، فهل يجوّز أحد أن يتكلّم هو مع 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ما أجاب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سؤاله عن دية قطع إصبع المرأة وبيّن أحكامه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نقل عنه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يقطع ثلاثاً فيكون عليه ثلاثون ويقطع أربعاً فيكون عليه عشرون، إنّ هذا كان يبلغنا ونحن بالعراق نبرأ ممّن قاله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جاء به 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في هذه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صادرة ممّن هو دون أبان فضلاً عن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للأدب والاحترام اللازم مراعاته في شأن غير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بل ومن العالم ببعض المسائل، فكيف يحتمل صدورها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هذه المخالفة في أدب المكالمة شهادة على الخلل في الحديث</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تلك الجمل منه تكون لبيان تسليمه في مقابل حكم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حين بلوغه إليناالعراق كنّا ننسبه إلى الشيطان وكنّا نتبرّأ منه، لكنّا الآن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الحقّ ومن الله تعالى؛ لكونه حكماً منك عليك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ذلك منافٍ ومباين ومضادّ جدّاً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يا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أخذتني بالقياس، والسنّة إذا قيست محق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ذلك الكلام منه لو كان من جهة التسليم لحكمه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يبق لأمره بالمهلة، ولكونه مؤاخذاً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بالقياس محلّ أصلاً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مدّعاه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يا أبان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تعاقل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مناسب، بل غير صحيح، مع مثل أبان الذي اعتبره جمع من العامّة مع توثيقه بكونه مغالياً في التشيّع، ومع ما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أتاه نعيه،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أوجع قلبي موت أبان</w:t>
      </w:r>
      <w:r>
        <w:rPr>
          <w:rFonts w:eastAsia="IRNazanin" w:cs="IRNazanin"/>
          <w:color w:val="111111"/>
          <w:sz w:val="28"/>
          <w:szCs w:val="28"/>
          <w:rtl w:val="true"/>
          <w:lang w:bidi="fa-IR"/>
        </w:rPr>
        <w:t>».</w:t>
      </w:r>
      <w:r>
        <w:rPr>
          <w:rStyle w:val="FootnoteAnchor"/>
          <w:rtl w:val="true"/>
        </w:rPr>
        <w:footnoteReference w:id="1844"/>
      </w:r>
    </w:p>
    <w:p>
      <w:pPr>
        <w:pStyle w:val="BookText"/>
        <w:rPr/>
      </w:pPr>
      <w:r>
        <w:rPr>
          <w:rFonts w:ascii="IRNazanin" w:hAnsi="IRNazanin" w:eastAsia="IRNazanin"/>
          <w:color w:val="111111"/>
          <w:sz w:val="28"/>
          <w:sz w:val="28"/>
          <w:szCs w:val="28"/>
          <w:rtl w:val="true"/>
          <w:lang w:bidi="fa-IR"/>
        </w:rPr>
        <w:t xml:space="preserve">ومع غير ذلك ممّا ورد في حقّه كثيراً ممّا يدلّ على كونه عظيم المنزلة في أصحابنا، وكونه شيعيّاً خالصاً مسلّماً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التسليم؛ وذلك لأنّ الاستدلال كذلك إنّما يكون مناسباً مع من لا يراهم أئمّة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علّم الله الناس معالم دينهم، فلابدّ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كون أحكامهم إلهيّة من النسبة والنقل عن الرسول الذي هو موضع قبول كلّ المسلمين من الفرق المختلفة، وإلّا فمثل أبان ممّن يقبل حكمهم وقولهم كقبول حكم الرسول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فلا احتياج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إثبات ما يحكمون به إلى النقل عنه، بل يكون النقل كذلك معه غير صحيح، لما فيه من الإشعار بعدم تشيّعه، وهو كما ترى</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من نسبته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بأخذه الإمام بالقياس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أخذتني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بالقياس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المستفاد من ذلك جهله ببطلان القياس، وإلّا فمع علمه ببطلان القياس لم يكن يأخذ الإمام ولم يكن يستدلّ عليه به محاجّة؛ لأنّ الاستدلال والمحاجّة وأخذ الخصم بما يكون باطلاً عنده وعند الخصم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عن طريق المناظرة والمحاجّة، ويكون كلام المحاجّ كذلك غير محتاج إلى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جهله ببطلانه كما ترى، فإنّه ممّن يحبّ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جلوسه في مسجد المدينة وإفتاءه الناس، ففي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إجلس في مسجد المدينة وأفت الناس، فإنّي اُحبّ أن يرى في شيعتي مثلك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5"/>
      </w:r>
      <w:r>
        <w:rPr>
          <w:rFonts w:ascii="Amiri" w:hAnsi="Amiri" w:eastAsia="Amiri" w:cs="Amiri"/>
          <w:color w:val="111111"/>
          <w:sz w:val="28"/>
          <w:sz w:val="28"/>
          <w:szCs w:val="28"/>
          <w:rtl w:val="true"/>
          <w:lang w:bidi="ar-SA"/>
        </w:rPr>
        <w:t xml:space="preserve">فكيف يعقل جهله ببطلان القياس الذي يعرف الشيعة به مع ما له من ذلك المقام والفضيلة، ومع كونه من أصحاب السجّاد والباقر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بأربعين في قطع الأربع الذي كان مورداً لنظر أبان واستشكل في خلافه، ليس بقياس، بل استفاده من الدليل بتنقيح المناط والفهم العرفي، حيث إنّ الخسارة كلّما كثرت والقطع والجرح على الإنسان كلّما زاد، فلابدّ من الزيادة في الجبران بالمثل أو القيمة في غير الجرح والقطع، وبالدية والأرش فيهما، ومن المعلوم بناء الفقه على فهم العرف وإلغائه الخصوصيّة وتنقيحه المناط ولا ارتباط لها بالقياس أصلاً، والمورد من أظهر موارد تلك السيرة</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والقياس الباطل عبارة عن إسراء حكم من موضوع إلى موضوع؛ استناداً إلى الاستحسانات والاعتبارات العقليّة غير المستندة إلى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القياس الباطل عبارة عن إسراء الحكم استناداً إلى الاحتمالات الناشئة عن غير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السلامة من</w:t>
      </w:r>
    </w:p>
    <w:p>
      <w:pPr>
        <w:pStyle w:val="BookText"/>
        <w:rPr/>
      </w:pPr>
      <w:r>
        <w:rPr>
          <w:rFonts w:ascii="Amiri" w:hAnsi="Amiri" w:eastAsia="Amiri" w:cs="Amiri"/>
          <w:color w:val="111111"/>
          <w:sz w:val="28"/>
          <w:sz w:val="28"/>
          <w:szCs w:val="28"/>
          <w:rtl w:val="true"/>
          <w:lang w:bidi="ar-SA"/>
        </w:rPr>
        <w:t xml:space="preserve">الكتاب والسنّة وكلمات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وأنّى ذلك مع ما استشكل لأبان ممّا كان مستنداً إلى الفهم العرفي من الدليل المسمّى مثله بالفحوى وتنقيح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المناسب مع سيرة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الكتاب والسنّة، إقناع السائل بالجواب عنه بما يجعل الثقيل والصعب التعبّدي عنده خفيفاً وسهلاً له، لا الجواب بتعبّد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الكتاب من آيات الصوم والصلاة والحجّ والزكاة وغيرها ممّا فيه الجهات المقرّبة الموجبة لإقناع المسلمين، بل الناس جميعاً، مع أنّها من العبادات الخالصة التوقيفيّة، فكيف بمثل الباب من أبواب الضمانات والقواعد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إحراز بناء العقلاء على العمل بمثل هذه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لها من المحاذير الخمسة في متنها الموجبة للظنّ، بل الاطمئنان والعلم العادي بوجود الخلل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محالاً عاديّاً، فلا أقلّ من كونه دون خرط القتاد، فالاعتماد عليها، لاسيّما في إثبات مثل ما فيه من الحكم التعبّدي المخالف للقواعد العقلائيّة والشرعيّة بل للعقل، مشكلٌ بل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ولنختم البحث عنها بما ذكره المقدّس الأردبيلي في المجمع بالنسبة إلى أصل المسألة، فإنّه حسن ختام، حيث قال</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الحكم مخالفٌ للقواعد كما عرفته، وفي دليله أيضاًبعض المناقشات مع المخالفة في الجملة، وهو مشكلٌ</w:t>
      </w:r>
      <w:r>
        <w:rPr>
          <w:rFonts w:eastAsia="Amiri" w:cs="Amiri" w:ascii="Amiri" w:hAnsi="Amiri"/>
          <w:color w:val="111111"/>
          <w:sz w:val="28"/>
          <w:szCs w:val="28"/>
          <w:rtl w:val="true"/>
          <w:lang w:bidi="ar-SA"/>
        </w:rPr>
        <w:t>.</w:t>
      </w:r>
      <w:r>
        <w:rPr>
          <w:rStyle w:val="FootnoteAnchor"/>
          <w:rtl w:val="true"/>
        </w:rPr>
        <w:footnoteReference w:id="1846"/>
      </w:r>
      <w:bookmarkStart w:id="429" w:name="pg9428_72914"/>
    </w:p>
    <w:p>
      <w:pPr>
        <w:pStyle w:val="BookText"/>
        <w:rPr/>
      </w:pPr>
      <w:bookmarkEnd w:id="429"/>
      <w:r>
        <w:rPr>
          <w:rFonts w:ascii="Amiri" w:hAnsi="Amiri" w:eastAsia="Amiri" w:cs="Amiri"/>
          <w:color w:val="111111"/>
          <w:sz w:val="28"/>
          <w:sz w:val="28"/>
          <w:szCs w:val="28"/>
          <w:rtl w:val="true"/>
          <w:lang w:bidi="ar-SA"/>
        </w:rPr>
        <w:t xml:space="preserve">الشلل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 المقتصّ منه أخفض، والتساوي في الأصالة والزيادة، وكذا في المحلّ على ما يأتي الكلام فيه، فلا تقطع اليد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بالشلّاء ولو بذلها الجاني، وتقطع الشلّاء بالصحيحة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حكم أهل الخبرة بالسراية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خيف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 إلى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430" w:name="__RefHeading___Toc5797689_2870459653"/>
      <w:bookmarkStart w:id="431" w:name="_Toc145"/>
      <w:bookmarkEnd w:id="430"/>
      <w:r>
        <w:rPr>
          <w:rtl w:val="true"/>
        </w:rPr>
        <w:t>التساوي في السلامة من الشلل</w:t>
      </w:r>
      <w:bookmarkEnd w:id="4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الحال في اعتبار الشرائط المعتبرة في قصاص النفس في قصاص الأطراف في ذيل المسألة السابقة، وما في المسألة من شرطيّة التساوي في السلامة من الشلل ونحوه على ما بيّنه المتن، والتساوي في الأصالة والزيادة، وكذا التساوي في المحلّ من الشرائط الثلاثة زائدة على ما مرّ، فنذكرها على ترتيب المتن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وهو عدم قطع الصحيح بالشلّاء دون عكسه، ففي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أجده فيه، كما اعترف به بعضهم، بل عن ظاهر المبسوط</w:t>
      </w:r>
      <w:r>
        <w:rPr>
          <w:rFonts w:eastAsia="Amiri" w:cs="Amiri" w:ascii="Amiri" w:hAnsi="Amiri"/>
          <w:color w:val="111111"/>
          <w:sz w:val="28"/>
          <w:szCs w:val="28"/>
          <w:rtl w:val="true"/>
          <w:lang w:bidi="ar-SA"/>
        </w:rPr>
        <w:t>.</w:t>
      </w:r>
      <w:r>
        <w:rPr>
          <w:rStyle w:val="FootnoteAnchor"/>
          <w:rtl w:val="true"/>
        </w:rPr>
        <w:footnoteReference w:id="1847"/>
      </w:r>
      <w:r>
        <w:rPr>
          <w:rFonts w:ascii="Amiri" w:hAnsi="Amiri" w:eastAsia="Amiri" w:cs="Amiri"/>
          <w:color w:val="111111"/>
          <w:sz w:val="28"/>
          <w:sz w:val="28"/>
          <w:szCs w:val="28"/>
          <w:rtl w:val="true"/>
          <w:lang w:bidi="ar-SA"/>
        </w:rPr>
        <w:t>أو صريحه وصريح الخلاف</w:t>
      </w:r>
      <w:r>
        <w:rPr>
          <w:rStyle w:val="FootnoteAnchor"/>
          <w:rtl w:val="true"/>
        </w:rPr>
        <w:footnoteReference w:id="1848"/>
      </w:r>
      <w:r>
        <w:rPr>
          <w:rFonts w:ascii="IRNazanin" w:hAnsi="IRNazanin" w:eastAsia="IRNazanin"/>
          <w:color w:val="111111"/>
          <w:sz w:val="28"/>
          <w:sz w:val="28"/>
          <w:szCs w:val="28"/>
          <w:rtl w:val="true"/>
          <w:lang w:bidi="fa-IR"/>
        </w:rPr>
        <w:t xml:space="preserve">الإجماع عليه، وهو الحجّة بعد إطلاق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قطع يد رجل شلّاء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عليه ثلث الدية</w:t>
      </w:r>
      <w:r>
        <w:rPr>
          <w:rFonts w:eastAsia="IRNazanin" w:cs="IRNazanin"/>
          <w:color w:val="111111"/>
          <w:sz w:val="28"/>
          <w:szCs w:val="28"/>
          <w:rtl w:val="true"/>
          <w:lang w:bidi="fa-IR"/>
        </w:rPr>
        <w:t>».</w:t>
      </w:r>
      <w:r>
        <w:rPr>
          <w:rStyle w:val="FootnoteAnchor"/>
          <w:rtl w:val="true"/>
        </w:rPr>
        <w:footnoteReference w:id="1849"/>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فَاعْتَدُوا عَلَيْهِ بِمِثْلِ مَا اعْتَدى عَلَيْكُمْ</w:t>
      </w:r>
      <w:r>
        <w:rPr>
          <w:rStyle w:val="FootnoteAnchor"/>
          <w:rtl w:val="true"/>
        </w:rPr>
        <w:footnoteReference w:id="18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عَاقَبْتُم فَعَاقِبُوا بِمِثْلِ ما عُوقِبْتُمْ بِهِ</w:t>
      </w:r>
      <w:r>
        <w:rPr>
          <w:rStyle w:val="FootnoteAnchor"/>
          <w:rtl w:val="true"/>
        </w:rPr>
        <w:footnoteReference w:id="1851"/>
      </w:r>
      <w:r>
        <w:rPr>
          <w:rFonts w:ascii="Amiri" w:hAnsi="Amiri" w:eastAsia="Amiri" w:cs="Amiri"/>
          <w:color w:val="111111"/>
          <w:sz w:val="28"/>
          <w:sz w:val="28"/>
          <w:szCs w:val="28"/>
          <w:rtl w:val="true"/>
          <w:lang w:bidi="ar-SA"/>
        </w:rPr>
        <w:t>وإن كان فيه أنّ الظاهر المماثلة في أصل الاعتداء والعقاب على وجهٍ يصدق كونه مقاصّة، فلا ينافي ما دلّ على القصاص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وَالجُرُوحَ قِصَاصٌ</w:t>
      </w:r>
      <w:r>
        <w:rPr>
          <w:rStyle w:val="FootnoteAnchor"/>
          <w:rtl w:val="true"/>
        </w:rPr>
        <w:footnoteReference w:id="1852"/>
      </w:r>
      <w:r>
        <w:rPr>
          <w:rFonts w:ascii="Amiri" w:hAnsi="Amiri" w:eastAsia="Amiri" w:cs="Amiri"/>
          <w:color w:val="111111"/>
          <w:sz w:val="28"/>
          <w:sz w:val="28"/>
          <w:szCs w:val="28"/>
          <w:rtl w:val="true"/>
          <w:lang w:bidi="ar-SA"/>
        </w:rPr>
        <w:t>وغيره، إلّا أنّ الأمر سهل بعد عدم انحصار الدليل فيه؛ إذ الحكم مفروغ منه عندهم، وقد حكي الإجماع صريحاً وظاهراً عليه</w:t>
      </w:r>
      <w:r>
        <w:rPr>
          <w:rFonts w:eastAsia="Amiri" w:cs="Amiri" w:ascii="Amiri" w:hAnsi="Amiri"/>
          <w:color w:val="111111"/>
          <w:sz w:val="28"/>
          <w:szCs w:val="28"/>
          <w:rtl w:val="true"/>
          <w:lang w:bidi="ar-SA"/>
        </w:rPr>
        <w:t>.</w:t>
      </w:r>
      <w:r>
        <w:rPr>
          <w:rStyle w:val="FootnoteAnchor"/>
          <w:rtl w:val="true"/>
        </w:rPr>
        <w:footnoteReference w:id="1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المجمع</w:t>
      </w:r>
      <w:r>
        <w:rPr>
          <w:rStyle w:val="FootnoteAnchor"/>
          <w:rtl w:val="true"/>
        </w:rPr>
        <w:footnoteReference w:id="1854"/>
      </w:r>
      <w:r>
        <w:rPr>
          <w:rFonts w:ascii="Amiri" w:hAnsi="Amiri" w:eastAsia="Amiri" w:cs="Amiri"/>
          <w:color w:val="111111"/>
          <w:sz w:val="28"/>
          <w:sz w:val="28"/>
          <w:szCs w:val="28"/>
          <w:rtl w:val="true"/>
          <w:lang w:bidi="ar-SA"/>
        </w:rPr>
        <w:t>للمقدّس الأردبيلي الاستدلال لذلك بالاعتبار والخبر، فجميع الوجوه المستدلّ بها ترجع إلى أربعة كلّها مورد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فمضافاً إلى كونه في الخلاف</w:t>
      </w:r>
      <w:r>
        <w:rPr>
          <w:rStyle w:val="FootnoteAnchor"/>
          <w:rtl w:val="true"/>
        </w:rPr>
        <w:footnoteReference w:id="1855"/>
      </w:r>
      <w:r>
        <w:rPr>
          <w:rFonts w:ascii="Amiri" w:hAnsi="Amiri" w:eastAsia="Amiri" w:cs="Amiri"/>
          <w:color w:val="111111"/>
          <w:sz w:val="28"/>
          <w:sz w:val="28"/>
          <w:szCs w:val="28"/>
          <w:rtl w:val="true"/>
          <w:lang w:bidi="ar-SA"/>
        </w:rPr>
        <w:t xml:space="preserve">المعدّ لردّ مذاهب العامّة ولو على سبيل المجادلة، فمن المحتمل فيه كون استدلاله بالإجماع ردّاً عليهم مجادلة من دون اعتقاده بحجّيّته، ومضافاً إلى أنّ للشهيد الثاني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تشتمل على مسائل يبلغ عددها على ما في الحدائق</w:t>
      </w:r>
      <w:r>
        <w:rPr>
          <w:rStyle w:val="FootnoteAnchor"/>
          <w:rtl w:val="true"/>
        </w:rPr>
        <w:footnoteReference w:id="1856"/>
      </w:r>
      <w:r>
        <w:rPr>
          <w:rFonts w:ascii="Amiri" w:hAnsi="Amiri" w:eastAsia="Amiri" w:cs="Amiri"/>
          <w:color w:val="111111"/>
          <w:sz w:val="28"/>
          <w:sz w:val="28"/>
          <w:szCs w:val="28"/>
          <w:rtl w:val="true"/>
          <w:lang w:bidi="ar-SA"/>
        </w:rPr>
        <w:t>إلى نيف وسبعين مسألة ادّعى الشيخ عليها الإجماع في الخلاف، مع أنّه بنفسه خالف فيها في غيره من كتبه</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لا اعتماد على مثل هذه الإجماعات التي تكون في المسائلالاجتهاديّة المستدلّ فيها بالكتاب والسنّة، كما لا يخفى، كيف ومن المحتمل فيها تقريباً لاسيّما في مثل ما في الخلاف في المسألة من الاستدلال بآية المماثلة في الاعتداء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الاستدلال بالإجماع،</w:t>
      </w:r>
      <w:r>
        <w:rPr>
          <w:rStyle w:val="FootnoteAnchor"/>
          <w:rtl w:val="true"/>
        </w:rPr>
        <w:footnoteReference w:id="1857"/>
      </w:r>
      <w:r>
        <w:rPr>
          <w:rFonts w:ascii="Amiri" w:hAnsi="Amiri" w:eastAsia="Amiri" w:cs="Amiri"/>
          <w:color w:val="111111"/>
          <w:sz w:val="28"/>
          <w:sz w:val="28"/>
          <w:szCs w:val="28"/>
          <w:rtl w:val="true"/>
          <w:lang w:bidi="ar-SA"/>
        </w:rPr>
        <w:t>كون الإجماع مستنداً إلى الدليل لا إلى الوصول من المعصوم أو الكشف عن وجود دليل معتبر واصل إلينا ومحض احتمال الاستثناء كاف في عدم حجّيّة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فالقدر المتيقّن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شأن النزول، وإشعار التعبير بالجمع، بل من جهة المورد في آية الاعتداء لسبقها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الحَرَامُ بِالشَّهْرِ الحَرَامِ وَالحُرُماتُ قِصَاصٌ</w:t>
      </w:r>
      <w:r>
        <w:rPr>
          <w:rStyle w:val="FootnoteAnchor"/>
          <w:rtl w:val="true"/>
        </w:rPr>
        <w:footnoteReference w:id="1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الحرب والمقاتلة، ومن الواضح أنّ المماثلة فيه إنّما تكون في أصل الحرب، فالشهر الحرام بالشهر الحرام والمقاتلة بالسيف بالمقاتلة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بالزائد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فمن المعلوم أنّ المماثلة من جميع الجهات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والمماثلة في الخصوصيّات في موضع البحث في المقام، كالضرب على الرجل في الضرب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المماثلة في الصحّة والشلّاء، فغير معقول في مثل الحرب،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فالاستدلال بهما للمقام وللمماثلة المعتبرة في المسألة كما ترى</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خبر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المستدلّ بإطلاقه في الجواهر، وبظهوره في مجمع الفائدة والبرهان،</w:t>
      </w:r>
      <w:r>
        <w:rPr>
          <w:rStyle w:val="FootnoteAnchor"/>
          <w:rtl w:val="true"/>
        </w:rPr>
        <w:footnoteReference w:id="1859"/>
      </w:r>
      <w:r>
        <w:rPr>
          <w:rFonts w:ascii="Amiri" w:hAnsi="Amiri" w:eastAsia="Amiri" w:cs="Amiri"/>
          <w:color w:val="111111"/>
          <w:sz w:val="28"/>
          <w:sz w:val="28"/>
          <w:szCs w:val="28"/>
          <w:rtl w:val="true"/>
          <w:lang w:bidi="ar-SA"/>
        </w:rPr>
        <w:t>مضافاً إلى ضعف سنده بحمّاد بن زياد أو ابن زيد؛ لكونه مهملاً أو مجهولاً</w:t>
      </w:r>
      <w:r>
        <w:rPr>
          <w:rFonts w:eastAsia="Amiri" w:cs="Amiri" w:ascii="Amiri" w:hAnsi="Amiri"/>
          <w:color w:val="111111"/>
          <w:sz w:val="28"/>
          <w:szCs w:val="28"/>
          <w:rtl w:val="true"/>
          <w:lang w:bidi="ar-SA"/>
        </w:rPr>
        <w:t>.</w:t>
      </w:r>
      <w:r>
        <w:rPr>
          <w:rStyle w:val="FootnoteAnchor"/>
          <w:rtl w:val="true"/>
        </w:rPr>
        <w:footnoteReference w:id="18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كون السؤال فيه عن حكم القاطع ووظيفته فيما بينه وبين الله عزّ وجلّ، لا عن جزاء القطع وحقّ المقطوع منه، فلا دلالة فيه عليهما، كما لا يخفى، ولا يصحّ الاستدلال به لهما، بل لابدّ من الرجوع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منافاة بين كون حكم القاطع ووظيفته الإلهيّة أداء الثلث، وبين كون الجزاء للقطع، وما للمقطوع منه في المحكمة وبعد الطلب والإثبات القصاص بلا ردّ أو معه؛ وذلك لأنّ إحدى الوظيفتين إلهيّة سريّة والمكلّف بها القاطع، والأُخرى جهريّة قضائية يأخذ بها المقطوع منه، فهما مختلفان في كلتا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استبعاد في ذلك بعد وقوع مثله في قتل العمد، كالحكم بالدية بدواً في قتل العمد في الأخبار المستفيضة المنقولة في الوسائل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القاتل إذا لم يقدر على دفع الدية أو لم يقبل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1"/>
      </w:r>
      <w:r>
        <w:rPr>
          <w:rFonts w:ascii="Amiri" w:hAnsi="Amiri" w:eastAsia="Amiri" w:cs="Amiri"/>
          <w:color w:val="111111"/>
          <w:sz w:val="28"/>
          <w:sz w:val="28"/>
          <w:szCs w:val="28"/>
          <w:rtl w:val="true"/>
          <w:lang w:bidi="ar-SA"/>
        </w:rPr>
        <w:t>مع أنّ حكم العمد القصاص، فإنّه ليس ذلك إلّا لكون السؤال والجواب في تلك الأخبار عن وظيفة القاتل بما هي هي، مع قطع النظر عن حقّ القصاص الثابت لوليّ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الاعتبار المستدلّ به في المجمع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قطع الصحيح بالشلّاء فهو الاعتبار</w:t>
      </w:r>
      <w:r>
        <w:rPr>
          <w:rFonts w:eastAsia="Amiri" w:cs="Amiri" w:ascii="Amiri" w:hAnsi="Amiri"/>
          <w:color w:val="111111"/>
          <w:sz w:val="28"/>
          <w:szCs w:val="28"/>
          <w:rtl w:val="true"/>
          <w:lang w:bidi="ar-SA"/>
        </w:rPr>
        <w:t>.</w:t>
      </w:r>
      <w:r>
        <w:rPr>
          <w:rStyle w:val="FootnoteAnchor"/>
          <w:rtl w:val="true"/>
        </w:rPr>
        <w:footnoteReference w:id="1862"/>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كون مقتضى الاعتبار تخيير المجنيّ عليه بين أخذهالدية أو القصاص مع ردّ الأرش، وما به التفاوت بين اليد الصحيحة والشلّاء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اعتبار بالاعتبار، لكنّه لا يخفى عليك أنّ ذلك التخيير هو الموافق للتحقيق الحقيق بالتصديق أيضاً، فإنّ الظاهر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وَالْجُرُوحَ قِصَاصٌ</w:t>
      </w:r>
      <w:r>
        <w:rPr>
          <w:rFonts w:ascii="IRNazanin" w:hAnsi="IRNazanin" w:eastAsia="IRNazanin"/>
          <w:color w:val="111111"/>
          <w:sz w:val="28"/>
          <w:sz w:val="28"/>
          <w:szCs w:val="28"/>
          <w:rtl w:val="true"/>
          <w:lang w:bidi="fa-IR"/>
        </w:rPr>
        <w:t>،</w:t>
      </w:r>
      <w:r>
        <w:rPr>
          <w:rStyle w:val="FootnoteAnchor"/>
          <w:rtl w:val="true"/>
        </w:rPr>
        <w:footnoteReference w:id="1863"/>
      </w:r>
      <w:r>
        <w:rPr>
          <w:rFonts w:ascii="IRNazanin" w:hAnsi="IRNazanin" w:eastAsia="IRNazanin"/>
          <w:color w:val="111111"/>
          <w:sz w:val="28"/>
          <w:sz w:val="28"/>
          <w:szCs w:val="28"/>
          <w:rtl w:val="true"/>
          <w:lang w:bidi="fa-IR"/>
        </w:rPr>
        <w:t xml:space="preserve">بل صراحته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الأصل والضابطة في الجراحات المقابلة بالمثل ومتابعة المجنيّ عليه الجاني في الجناية والجراحة؛ قضاءً لمعنى القصاص عرفاً ولغةً بل وشرعاً، كما يظهر من الرجوع إلى مسائل المقاصّة الماليّة في الشرع، ولا اختصاص له بالقطع والجناية المشابهة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يتحقّق القصاص عرفاً فيما لو قطع صاحب اليد الصحيحة اليد الشلّاء بقطعها مع ردّ التفاوت بينهما، وإلّا فمن الواضح عند العرف عدم كون قطع اليد الصحيحة باليد الشلّاء بلا ردٍّ قصاصاً ومقابلة بالمثل؛ لما بينهما من التفاوت في العمل والخسارة،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مثل الآية وإن كانت مقتضية للقصاص مع الردّ، إلّا أنّ التخيير بينه وبين أخذ المجنيّ عليه الدية، إنّما يثبت بالأولويّة، كما مرّ بيانها في قصاص النفس، فالمجنيّ عليه إن كان له قطع يد الجاني مع الردّ فله عدم القطع وأخذ الدية بالأولويّة القطعيّة؛ لكونه أولى من القطع عرفاً بلا شكّ وارتياب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التحقيق كونه جمعاً بين الحقّين، وذلك بخلاف نفي القود رأساً، والحكم بالحكومة كما عليه العامّة، أو الثلث كما عليه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ما في الجواهر ممّا دونك عبارته</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شرائط القصاص في الطرف تساويهما في السلامة لا مطلقاً؛ لأنّ اليد الصحيحة تقطع بالبرصاء، بل المراد سلامة خاصّة، وهي التي تؤثّر التفاوت فيهاأو يتخيّل تأثيره كالصحّة والشلل</w:t>
      </w:r>
      <w:r>
        <w:rPr>
          <w:rFonts w:eastAsia="Amiri" w:cs="Amiri" w:ascii="Amiri" w:hAnsi="Amiri"/>
          <w:color w:val="111111"/>
          <w:sz w:val="28"/>
          <w:szCs w:val="28"/>
          <w:rtl w:val="true"/>
          <w:lang w:bidi="ar-SA"/>
        </w:rPr>
        <w:t>».</w:t>
      </w:r>
      <w:r>
        <w:rPr>
          <w:rStyle w:val="FootnoteAnchor"/>
          <w:rtl w:val="true"/>
        </w:rPr>
        <w:footnoteReference w:id="18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عدم القصاص بين الصحيحة والشلّاء بعد الاتّفاق عليه نصّاً وفتوىً، أمّا ما لا يصدق عليه اسم الشلل ممّا هو مؤثّر فيها أيضاً فلا دليل على عدم القصاص به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وَالْجُرُوحَ قِصاصٌ</w:t>
      </w:r>
      <w:r>
        <w:rPr>
          <w:rStyle w:val="FootnoteAnchor"/>
          <w:rtl w:val="true"/>
        </w:rPr>
        <w:footnoteReference w:id="1865"/>
      </w:r>
      <w:r>
        <w:rPr>
          <w:rFonts w:ascii="Amiri" w:hAnsi="Amiri" w:eastAsia="Amiri" w:cs="Amiri"/>
          <w:color w:val="111111"/>
          <w:sz w:val="28"/>
          <w:sz w:val="28"/>
          <w:szCs w:val="28"/>
          <w:rtl w:val="true"/>
          <w:lang w:bidi="ar-SA"/>
        </w:rPr>
        <w:t xml:space="preserve">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باليد</w:t>
      </w:r>
      <w:r>
        <w:rPr>
          <w:rFonts w:eastAsia="Amiri" w:cs="Amiri" w:ascii="Amiri" w:hAnsi="Amiri"/>
          <w:color w:val="111111"/>
          <w:sz w:val="28"/>
          <w:szCs w:val="28"/>
          <w:rtl w:val="true"/>
          <w:lang w:bidi="ar-SA"/>
        </w:rPr>
        <w:t>).</w:t>
      </w:r>
      <w:r>
        <w:rPr>
          <w:rStyle w:val="FootnoteAnchor"/>
          <w:rtl w:val="true"/>
        </w:rPr>
        <w:footnoteReference w:id="1866"/>
      </w:r>
      <w:r>
        <w:rPr>
          <w:rFonts w:ascii="Amiri" w:hAnsi="Amiri" w:eastAsia="Amiri" w:cs="Amiri"/>
          <w:color w:val="111111"/>
          <w:sz w:val="28"/>
          <w:sz w:val="28"/>
          <w:szCs w:val="28"/>
          <w:rtl w:val="true"/>
          <w:lang w:bidi="ar-SA"/>
        </w:rPr>
        <w:t>نعم، يجبر ضرر المقتصّ منه بدفع التفاوت من المقتصّ؛ بناءً على ما أشرنا إليه من خبر الحسن بن الجريش</w:t>
      </w:r>
      <w:r>
        <w:rPr>
          <w:rStyle w:val="FootnoteAnchor"/>
          <w:rtl w:val="true"/>
        </w:rPr>
        <w:footnoteReference w:id="1867"/>
      </w:r>
      <w:r>
        <w:rPr>
          <w:rFonts w:ascii="Amiri" w:hAnsi="Amiri" w:eastAsia="Amiri" w:cs="Amiri"/>
          <w:color w:val="111111"/>
          <w:sz w:val="28"/>
          <w:sz w:val="28"/>
          <w:szCs w:val="28"/>
          <w:rtl w:val="true"/>
          <w:lang w:bidi="ar-SA"/>
        </w:rPr>
        <w:t>المشتمل على قضيّة ابن عبّاس، لكن لم أجد من أقعد القاعدة المزبورة على وجهٍ يعمل عليها في غير محلّ النصّ</w:t>
      </w:r>
      <w:r>
        <w:rPr>
          <w:rFonts w:eastAsia="Amiri" w:cs="Amiri" w:ascii="Amiri" w:hAnsi="Amiri"/>
          <w:color w:val="111111"/>
          <w:sz w:val="28"/>
          <w:szCs w:val="28"/>
          <w:rtl w:val="true"/>
          <w:lang w:bidi="ar-SA"/>
        </w:rPr>
        <w:t>.</w:t>
      </w:r>
      <w:r>
        <w:rPr>
          <w:rStyle w:val="FootnoteAnchor"/>
          <w:rtl w:val="true"/>
        </w:rPr>
        <w:footnoteReference w:id="1868"/>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أجاد في بيان الآية وحقيقة القصاص ممّا يكون راجعاً إلى ما قلناه، وفي أنّ عدم القصاص بين الصحيحة والشلّاء إنّما هو للاتّفاق عليه نصاً وفتوىً، الظاهر في أنّ عدم القصاص في مثلهما مع الردّ من جهة التخصيص والدليل الخاصّ، وإلّا فمقتضى القاعدة جواز المقاصّة بينهما مع الجبران من المقتصّ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في كلامه واغتنم ما بيّنه وبيّنّاه من الآيةوحقيقة القصاص، وأسأل له من الله الرحمة والرضوان، ولنا التوفيق لفقه آيات الكتاب وأخبار ذوي الألباب الذين هم منابع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والوحي والإلهام، سلام الله عليهم إلى يوم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عدم قطع الصحيحة بالشلّاء، ويظهر منه حكم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 الشلّاء بالصحيحة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أيضاً تخيير الصحيح المجنيّ عليه بين قطع يد الجاني الشلّاء وأخذ الأرش منه وبين أخذ ديتها فقط؛ وذلك لعين ما ذكرناه في الأصل من دلالة الآية والأولويّة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الجواهر من الاستدلال لعدم ضمّ الأرش بالأصل وغيره بعد تساويهما في الجرم ونحوه،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اختلافهما في الصفة التي لا تقابل بالمال كالرجولية والأُنوثة، والحريّة والعبوديّة، والإسلام والكفر، فإنّه إذا قتل الناقص منهم بالكامل لم يجبر بدفع أرش، خصوصاً بعد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الجاني لا يجني أكثر من نفسه</w:t>
      </w:r>
      <w:r>
        <w:rPr>
          <w:rFonts w:eastAsia="Amiri" w:cs="Amiri" w:ascii="Amiri" w:hAnsi="Amiri"/>
          <w:color w:val="111111"/>
          <w:sz w:val="28"/>
          <w:szCs w:val="28"/>
          <w:rtl w:val="true"/>
          <w:lang w:bidi="ar-SA"/>
        </w:rPr>
        <w:t>»</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0"/>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صفة الصحيحة في مقابل الشلّاء تقابل بالمال عرفاً، وكيف لا تقابل بالمال مع ما مرّ</w:t>
      </w:r>
      <w:r>
        <w:rPr>
          <w:rStyle w:val="FootnoteAnchor"/>
          <w:rtl w:val="true"/>
        </w:rPr>
        <w:footnoteReference w:id="1871"/>
      </w:r>
      <w:r>
        <w:rPr>
          <w:rFonts w:ascii="Amiri" w:hAnsi="Amiri" w:eastAsia="Amiri" w:cs="Amiri"/>
          <w:color w:val="111111"/>
          <w:sz w:val="28"/>
          <w:sz w:val="28"/>
          <w:szCs w:val="28"/>
          <w:rtl w:val="true"/>
          <w:lang w:bidi="ar-SA"/>
        </w:rPr>
        <w:t xml:space="preserve">من الاستدلال برواية سليمان بن خالد على عدم قطع الصحيحة بالشلّاء وأنّ على القاطع الثلث، وتلك الصفة مغايرة مع مثل الإسلام والكفر؛ لأنّ القصاص في النفس بالقود وبإذهاب نفس القاتلفي مقابل نفس المقتول، فلا دخالة للصفات في الجناية ولا في القصاص عليها؟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بالشلل هو يبس اليد بحيث تخرج عن الطاعة ولم تعمل عملها ولو بقي فيها حسّ وحركة غير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والتشخيص موكول إلى العرف كسائر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يداً بعض أصابعها شلّاء ففي قصاص اليد الصحيحة تردّد، ولا أثر للتفاوت بالبطش ونحوه، فيقطع اليد القويّة بالضعيفة، واليد السالمة باليد البرصاء والمجروحة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التساوي في المحلّ مع وجوده، فتقطع اليمين باليمين واليسار باليسار، ولو لم يكن له يمين وقطع اليمين قطعت يساره، ولو لم يكن له يد أصلاً قطعت رجله على رواية معمول بها،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تقدّم الرجل اليمنى في قطع اليد اليمنى والرجل اليسرى في اليد اليسرى أو هما سواء؟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مرّ من الإشكال في التعليل الواقع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يردّ علمه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للمجنيّ عليه التخيير بين قطع يد الشلّاء مع أخذ الأرش من الجاني وبين أخذه الدية منه مع حكم أهل الخبرة بالسراية بل خيف منها، فإنّه يتعيّن الدية، ووجهه ظاهر غير محتاج إلى البيان</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لا خصوصيّة للشلل بما هو هو على ما بيّنّاه من القاعدة فيه، فجميع أحكام الشلل جار فيما هو مثله ممّا يكون مقابلاً بالمال والضمان عرفاً؛ قضاءً لأدلّة القصاص وغيرها، كما مرّ، وعلى هذا فيجري ما في قطع الصحيحة بالشلّاء وعكسه من الأحكام فيما كان بعض الأصابع شلّاء؛ لكون الأحكام على القاعدة، وكون الإصبع مقابلاً بالمالوجوداً وعدماً، وهذا بخلاف البطش ونحوه فحكمه المقابلة بالمثل من دون الردّ، كما في المتن؛ لعدم مقابلة مثله بالمال</w:t>
      </w:r>
      <w:r>
        <w:rPr>
          <w:rFonts w:eastAsia="Amiri" w:cs="Amiri" w:ascii="Amiri" w:hAnsi="Amiri"/>
          <w:color w:val="111111"/>
          <w:sz w:val="28"/>
          <w:szCs w:val="28"/>
          <w:rtl w:val="true"/>
          <w:lang w:bidi="ar-SA"/>
        </w:rPr>
        <w:t xml:space="preserve">. </w:t>
      </w:r>
      <w:bookmarkStart w:id="432" w:name="pg9428_72922"/>
    </w:p>
    <w:p>
      <w:pPr>
        <w:pStyle w:val="BookText"/>
        <w:rPr/>
      </w:pPr>
      <w:bookmarkEnd w:id="432"/>
      <w:r>
        <w:rPr>
          <w:rFonts w:ascii="Amiri" w:hAnsi="Amiri" w:eastAsia="Amiri" w:cs="Amiri"/>
          <w:color w:val="111111"/>
          <w:sz w:val="28"/>
          <w:sz w:val="28"/>
          <w:szCs w:val="28"/>
          <w:rtl w:val="true"/>
          <w:lang w:bidi="ar-SA"/>
        </w:rPr>
        <w:t>ولو قطع اليسرى ولم يكن له اليسرى فالظاهر قطع اليمنى على إشكال، ومع عدمهما قطع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الرجل من لا رجل له فهل يقطع يده بدل الرجل؟ فيه وجه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والتعدّي إلى مطلق الأعضاء كالعين والأُذن والحاجب وغيرها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لا يخلو من وجه، سيّما اليسرى من كلّ باليمنى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433" w:name="__RefHeading___Toc5797691_2870459653"/>
      <w:bookmarkStart w:id="434" w:name="_Toc146"/>
      <w:bookmarkEnd w:id="433"/>
      <w:r>
        <w:rPr>
          <w:rtl w:val="true"/>
        </w:rPr>
        <w:t>اعتبار التساوي في المحلّ</w:t>
      </w:r>
      <w:bookmarkEnd w:id="4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التساوي في المحلّ 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 اليمين باليمين، واليسار باليسار، والإبهام بمثلها،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 بين المسلمين، بل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2"/>
      </w:r>
      <w:r>
        <w:rPr>
          <w:rFonts w:ascii="Amiri" w:hAnsi="Amiri" w:eastAsia="Amiri" w:cs="Amiri"/>
          <w:color w:val="111111"/>
          <w:sz w:val="28"/>
          <w:sz w:val="28"/>
          <w:szCs w:val="28"/>
          <w:rtl w:val="true"/>
          <w:lang w:bidi="ar-SA"/>
        </w:rPr>
        <w:t>وهو الموافق مع أدلّة القصاص،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عدم اليمين أو عدم اليد أصلاً، ممّا نسبه المتن إلى رواية معمول بها مع نفيه البأس به، فلنكتف في شرحه بنقل ما في الجواهر لكفايته وجيادته، حيث قال</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الأكثر بل المشهور، بل عن الخلاف</w:t>
      </w:r>
      <w:r>
        <w:rPr>
          <w:rStyle w:val="FootnoteAnchor"/>
          <w:rtl w:val="true"/>
        </w:rPr>
        <w:footnoteReference w:id="1873"/>
      </w:r>
      <w:r>
        <w:rPr>
          <w:rFonts w:ascii="Amiri" w:hAnsi="Amiri" w:eastAsia="Amiri" w:cs="Amiri"/>
          <w:color w:val="111111"/>
          <w:sz w:val="28"/>
          <w:sz w:val="28"/>
          <w:szCs w:val="28"/>
          <w:rtl w:val="true"/>
          <w:lang w:bidi="ar-SA"/>
        </w:rPr>
        <w:t>والغنية</w:t>
      </w:r>
      <w:r>
        <w:rPr>
          <w:rFonts w:eastAsia="Amiri" w:cs="Amiri" w:ascii="Amiri" w:hAnsi="Amiri"/>
          <w:color w:val="111111"/>
          <w:sz w:val="28"/>
          <w:szCs w:val="28"/>
          <w:rtl w:val="true"/>
          <w:lang w:bidi="ar-SA"/>
        </w:rPr>
        <w:t>:</w:t>
      </w:r>
      <w:r>
        <w:rPr>
          <w:rStyle w:val="FootnoteAnchor"/>
          <w:rtl w:val="true"/>
        </w:rPr>
        <w:footnoteReference w:id="1874"/>
      </w:r>
      <w:r>
        <w:rPr>
          <w:rFonts w:ascii="Amiri" w:hAnsi="Amiri" w:eastAsia="Amiri" w:cs="Amiri"/>
          <w:color w:val="111111"/>
          <w:sz w:val="28"/>
          <w:sz w:val="28"/>
          <w:szCs w:val="28"/>
          <w:rtl w:val="true"/>
          <w:lang w:bidi="ar-SA"/>
        </w:rPr>
        <w:t>إجماع الفرقة عليه، مع زيادة أخبارهم عليه، في الثاني أنّه إن لم تكن يمين قطعت يساره، ولو لم يكن له يمين ولا يسار قطعت رجله؛استناداً إلى الرواية التي هي صحيحة حبيب السجستاني المرويّة في الكتب الثلاثة،</w:t>
      </w:r>
      <w:r>
        <w:rPr>
          <w:rStyle w:val="FootnoteAnchor"/>
          <w:rtl w:val="true"/>
        </w:rPr>
        <w:footnoteReference w:id="1875"/>
      </w:r>
      <w:r>
        <w:rPr>
          <w:rFonts w:ascii="IRNazanin" w:hAnsi="IRNazanin" w:eastAsia="IRNazanin"/>
          <w:color w:val="111111"/>
          <w:sz w:val="28"/>
          <w:sz w:val="28"/>
          <w:szCs w:val="28"/>
          <w:rtl w:val="true"/>
          <w:lang w:bidi="fa-IR"/>
        </w:rPr>
        <w:t xml:space="preserve">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و‌المحاسن على ما قيل،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قطع يدين لرجلين اليمينين؟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يمينه للذي قطع يمينه أوّلاً، وتقطع يساره للذي قطعت يمينه أخيراً، لأنّه إنّما قطع يد الرجل الآخر ويمينه قصاص للرجل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يقطع اليد اليمنى والرجل اليسرى،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كان يفعل ذلك فيما يجب من حقوق الله تعالى، فأمّا ما يجب من حقوق المسلمين فإنّه تؤخذ لهم حقوقهم في القصاص، اليد باليد إذا كانت للقاطع يدان، والرجل باليد إذا لم تكن للقاطع 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توجب عليه الدية وتترك رجله؟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نوجب عليه الدية إذا قطع يد رجل وليس للقاطع يدان ولا رجلان، ثمّ نوجب عليه الدية، لأنّه ليست له جارحة يقتصّ منها</w:t>
      </w:r>
      <w:r>
        <w:rPr>
          <w:rFonts w:eastAsia="IRNazanin" w:cs="IRNazanin"/>
          <w:color w:val="111111"/>
          <w:sz w:val="28"/>
          <w:szCs w:val="28"/>
          <w:rtl w:val="true"/>
          <w:lang w:bidi="fa-IR"/>
        </w:rPr>
        <w:t>».</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وهي معلومة الصحّة إلى حبيب، وأمّا هو، ففي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 على توثيقه،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فإطلاق جماعة من الأصحاب صحّة الرواية مدخول أو محمول على الصحّة الإضافيّة، كما تقدّم في نظائره، وهذا هو السرّ في نسبة المصنّف الحكم إلى الرواية من غير ترجيح</w:t>
      </w:r>
      <w:r>
        <w:rPr>
          <w:rFonts w:eastAsia="Amiri" w:cs="Amiri" w:ascii="Amiri" w:hAnsi="Amiri"/>
          <w:color w:val="111111"/>
          <w:sz w:val="28"/>
          <w:szCs w:val="28"/>
          <w:rtl w:val="true"/>
          <w:lang w:bidi="ar-SA"/>
        </w:rPr>
        <w:t>».</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بكفاية شهادة وصفها بالصحّة في المختلف</w:t>
      </w:r>
      <w:r>
        <w:rPr>
          <w:rStyle w:val="FootnoteAnchor"/>
          <w:rtl w:val="true"/>
        </w:rPr>
        <w:footnoteReference w:id="1878"/>
      </w:r>
      <w:r>
        <w:rPr>
          <w:rFonts w:ascii="Amiri" w:hAnsi="Amiri" w:eastAsia="Amiri" w:cs="Amiri"/>
          <w:color w:val="111111"/>
          <w:sz w:val="28"/>
          <w:sz w:val="28"/>
          <w:szCs w:val="28"/>
          <w:rtl w:val="true"/>
          <w:lang w:bidi="ar-SA"/>
        </w:rPr>
        <w:t>والإيضاح</w:t>
      </w:r>
      <w:r>
        <w:rPr>
          <w:rStyle w:val="FootnoteAnchor"/>
          <w:rtl w:val="true"/>
        </w:rPr>
        <w:footnoteReference w:id="18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و‌المهذّب البارع</w:t>
      </w:r>
      <w:r>
        <w:rPr>
          <w:rStyle w:val="FootnoteAnchor"/>
          <w:rtl w:val="true"/>
        </w:rPr>
        <w:footnoteReference w:id="1880"/>
      </w:r>
      <w:r>
        <w:rPr>
          <w:rFonts w:ascii="Amiri" w:hAnsi="Amiri" w:eastAsia="Amiri" w:cs="Amiri"/>
          <w:color w:val="111111"/>
          <w:sz w:val="28"/>
          <w:sz w:val="28"/>
          <w:szCs w:val="28"/>
          <w:rtl w:val="true"/>
          <w:lang w:bidi="ar-SA"/>
        </w:rPr>
        <w:t>والتنقيح،</w:t>
      </w:r>
      <w:r>
        <w:rPr>
          <w:rStyle w:val="FootnoteAnchor"/>
          <w:rtl w:val="true"/>
        </w:rPr>
        <w:footnoteReference w:id="1881"/>
      </w:r>
      <w:r>
        <w:rPr>
          <w:rFonts w:ascii="Amiri" w:hAnsi="Amiri" w:eastAsia="Amiri" w:cs="Amiri"/>
          <w:color w:val="111111"/>
          <w:sz w:val="28"/>
          <w:sz w:val="28"/>
          <w:szCs w:val="28"/>
          <w:rtl w:val="true"/>
          <w:lang w:bidi="ar-SA"/>
        </w:rPr>
        <w:t>بل في الروضة</w:t>
      </w:r>
      <w:r>
        <w:rPr>
          <w:rStyle w:val="FootnoteAnchor"/>
          <w:rtl w:val="true"/>
        </w:rPr>
        <w:footnoteReference w:id="1882"/>
      </w:r>
      <w:r>
        <w:rPr>
          <w:rFonts w:ascii="IRNazanin" w:hAnsi="IRNazanin" w:eastAsia="IRNazanin"/>
          <w:color w:val="111111"/>
          <w:sz w:val="28"/>
          <w:sz w:val="28"/>
          <w:szCs w:val="28"/>
          <w:rtl w:val="true"/>
          <w:lang w:bidi="fa-IR"/>
        </w:rPr>
        <w:t>نسبة وصفها بذلك إلى الأصحاب، على أنّ المذكور في ترجمته أنّه كان شارياً، ورجع إلى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وانقطع إليهما، بل عن صاحب البلغة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 بكونه ممدوحاً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عن الفاضل المتبحّر وحيد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في الحديث والرجال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الآغا محمّد باقر عن جدّه أنّه حكم بأنّه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مضافاً إلى انجباره بما عرفت، بل لم نعثر على رادٍّ له غير الحلّي</w:t>
      </w:r>
      <w:r>
        <w:rPr>
          <w:rStyle w:val="FootnoteAnchor"/>
          <w:rtl w:val="true"/>
        </w:rPr>
        <w:footnoteReference w:id="1883"/>
      </w:r>
      <w:r>
        <w:rPr>
          <w:rFonts w:ascii="Amiri" w:hAnsi="Amiri" w:eastAsia="Amiri" w:cs="Amiri"/>
          <w:color w:val="111111"/>
          <w:sz w:val="28"/>
          <w:sz w:val="28"/>
          <w:szCs w:val="28"/>
          <w:rtl w:val="true"/>
          <w:lang w:bidi="ar-SA"/>
        </w:rPr>
        <w:t>وثاني الشهيدين</w:t>
      </w:r>
      <w:r>
        <w:rPr>
          <w:rStyle w:val="FootnoteAnchor"/>
          <w:rtl w:val="true"/>
        </w:rPr>
        <w:footnoteReference w:id="1884"/>
      </w:r>
      <w:r>
        <w:rPr>
          <w:rFonts w:ascii="Amiri" w:hAnsi="Amiri" w:eastAsia="Amiri" w:cs="Amiri"/>
          <w:color w:val="111111"/>
          <w:sz w:val="28"/>
          <w:sz w:val="28"/>
          <w:szCs w:val="28"/>
          <w:rtl w:val="true"/>
          <w:lang w:bidi="ar-SA"/>
        </w:rPr>
        <w:t>في بعض المواضع من بعض كتبه على أصليهما الفاسدين، والفخر</w:t>
      </w:r>
      <w:r>
        <w:rPr>
          <w:rStyle w:val="FootnoteAnchor"/>
          <w:rtl w:val="true"/>
        </w:rPr>
        <w:footnoteReference w:id="1885"/>
      </w:r>
      <w:r>
        <w:rPr>
          <w:rFonts w:ascii="Amiri" w:hAnsi="Amiri" w:eastAsia="Amiri" w:cs="Amiri"/>
          <w:color w:val="111111"/>
          <w:sz w:val="28"/>
          <w:sz w:val="28"/>
          <w:szCs w:val="28"/>
          <w:rtl w:val="true"/>
          <w:lang w:bidi="ar-SA"/>
        </w:rPr>
        <w:t>في خصوص قطع الرجل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وإلى تأييده بما قيل من أنّه استيفاء لمساوي الحقّ مع تعذّر اليمين كالقيمة في المتلفات، والدية مع تعذّر القصاص، والمساواة الحقيقية لو اعتبرت لما جاز التخطّي من اليد اليمنى إلى اليد اليسرى، كما لا يجوز لو كانت الجناية واحدة</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قد يناقش بأنّه لو كفت المساواة ديةً لجاز قلع العين إذا فقدت اليدان والرجلان، وقياس الرجل على اليد التي يمكن دعوىحصول المقاصّة فيها باعتبار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حكي عليه الإجماع في المسالك </w:t>
      </w:r>
      <w:r>
        <w:rPr>
          <w:rStyle w:val="FootnoteAnchor"/>
          <w:rtl w:val="true"/>
        </w:rPr>
        <w:footnoteReference w:id="18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ومحكيّ المهذّب البارع</w:t>
      </w:r>
      <w:r>
        <w:rPr>
          <w:rStyle w:val="FootnoteAnchor"/>
          <w:rtl w:val="true"/>
        </w:rPr>
        <w:footnoteReference w:id="1887"/>
      </w:r>
      <w:r>
        <w:rPr>
          <w:rFonts w:ascii="Amiri" w:hAnsi="Amiri" w:eastAsia="Amiri" w:cs="Amiri"/>
          <w:color w:val="111111"/>
          <w:sz w:val="28"/>
          <w:sz w:val="28"/>
          <w:szCs w:val="28"/>
          <w:rtl w:val="true"/>
          <w:lang w:bidi="ar-SA"/>
        </w:rPr>
        <w:t>و‌المقتصر، ونفى فيه الخلاف في التنقيح</w:t>
      </w:r>
      <w:r>
        <w:rPr>
          <w:rStyle w:val="FootnoteAnchor"/>
          <w:rtl w:val="true"/>
        </w:rPr>
        <w:footnoteReference w:id="1888"/>
      </w:r>
      <w:r>
        <w:rPr>
          <w:rFonts w:ascii="Amiri" w:hAnsi="Amiri" w:eastAsia="Amiri" w:cs="Amiri"/>
          <w:color w:val="111111"/>
          <w:sz w:val="28"/>
          <w:sz w:val="28"/>
          <w:szCs w:val="28"/>
          <w:rtl w:val="true"/>
          <w:lang w:bidi="ar-SA"/>
        </w:rPr>
        <w:t>والرياض</w:t>
      </w:r>
      <w:r>
        <w:rPr>
          <w:rStyle w:val="FootnoteAnchor"/>
          <w:rtl w:val="true"/>
        </w:rPr>
        <w:footnoteReference w:id="1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لكنّ العمدة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في الخبر المزبور ترتيب في الرجلين، وإنّما هو موجود في معقد إجماع الخلاف و‌الغنية ، ولعلّه كافٍ في إثبات ذلك بعد عدم العلم بخطأه</w:t>
      </w:r>
      <w:r>
        <w:rPr>
          <w:rFonts w:eastAsia="Amiri" w:cs="Amiri" w:ascii="Amiri" w:hAnsi="Amiri"/>
          <w:color w:val="111111"/>
          <w:sz w:val="28"/>
          <w:szCs w:val="28"/>
          <w:rtl w:val="true"/>
          <w:lang w:bidi="ar-SA"/>
        </w:rPr>
        <w:t>.</w:t>
      </w:r>
      <w:r>
        <w:rPr>
          <w:rStyle w:val="FootnoteAnchor"/>
          <w:rtl w:val="true"/>
        </w:rPr>
        <w:footnoteReference w:id="1890"/>
      </w:r>
    </w:p>
    <w:p>
      <w:pPr>
        <w:pStyle w:val="BookText"/>
        <w:rPr/>
      </w:pPr>
      <w:r>
        <w:rPr>
          <w:rFonts w:ascii="Amiri" w:hAnsi="Amiri" w:eastAsia="Amiri" w:cs="Amiri"/>
          <w:color w:val="111111"/>
          <w:sz w:val="28"/>
          <w:sz w:val="28"/>
          <w:szCs w:val="28"/>
          <w:rtl w:val="true"/>
          <w:lang w:bidi="ar-SA"/>
        </w:rPr>
        <w:t>هذا كلّه فيما كان مورداً للتعرّض في الرواية، وأمّا غيرهما من المسائل الأربعة المتفرّعة على المسألة المذكورة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لزوم الموافقة للرجل مع اليد بتقديم الرجل اليمنى في قطع اليد اليمنى، والرجل اليسرى في قطع اليد اليسرى أو عدمه، وأنّهما سواء ولا تقديم للموافق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جواز قطع اليمنى في مقابل اليسرى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عدمهما لا إشكال في وصول الدور إلى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جواز قطع اليد بدل الرجل، كعكسه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التعدّي إلى مطلق الأعضاء، كالعين والأُذن والحاجب وغيرها، بل ومن التعدّي إلى مثل الحاجب أو إلى الأُذن مع فقدان مثل العين من الأعضاء الموجودة في الوجه</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كلّها وجهان من الجواز والتعدّي؛ قضاء لصدق القصاص في بعضها،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ولعموم العلّة في رواية حبيب في كلّها، ومن عدم الجواز وعدم التعدّي؛ اقتصاراً في مخالف الأصل والقاعدة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في غير التعدّي الأخير الذي ذكرناه في ذيل الرابع، الجواز والتعدّي؛ لعموم العلّة وصدق القصاص في البعض، ومع الدليل لم يبق وجه للاقتصار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يخفى عليك الاختلاف في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خصوص اليدين والرجلين دون غيرهما؛ لقاعدة الاقتصار على المتيقّن فيما خالف العمومات، كما صرّح به غير واحد، خلافاً للحلّي،</w:t>
      </w:r>
      <w:r>
        <w:rPr>
          <w:rStyle w:val="FootnoteAnchor"/>
          <w:rtl w:val="true"/>
        </w:rPr>
        <w:footnoteReference w:id="1891"/>
      </w:r>
      <w:r>
        <w:rPr>
          <w:rFonts w:ascii="Amiri" w:hAnsi="Amiri" w:eastAsia="Amiri" w:cs="Amiri"/>
          <w:color w:val="111111"/>
          <w:sz w:val="28"/>
          <w:sz w:val="28"/>
          <w:szCs w:val="28"/>
          <w:rtl w:val="true"/>
          <w:lang w:bidi="ar-SA"/>
        </w:rPr>
        <w:t>فعمّم الحكم،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القول في أصابع اليدين والرجلين والأسنان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نظر إلى العلّة في الرواية التي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العمل بها في ذلك، حتّى في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تقلع اليمنى باليسرى مع عدمها، وبالعكس وإن كان لولا ذلك لأمكن القول به؛ للخبر المزبور المؤ يّد بإطلاق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بِالْعَيْنِ</w:t>
      </w:r>
      <w:r>
        <w:rPr>
          <w:rStyle w:val="FootnoteAnchor"/>
          <w:rtl w:val="true"/>
        </w:rPr>
        <w:footnoteReference w:id="1892"/>
      </w:r>
      <w:r>
        <w:rPr>
          <w:rFonts w:ascii="Amiri" w:hAnsi="Amiri" w:eastAsia="Amiri" w:cs="Amiri"/>
          <w:color w:val="111111"/>
          <w:sz w:val="28"/>
          <w:sz w:val="28"/>
          <w:szCs w:val="28"/>
          <w:rtl w:val="true"/>
          <w:lang w:bidi="ar-SA"/>
        </w:rPr>
        <w:t>مثلاً، بعد تخصيص اعتبار الترتيب بصورة الإمكان، فتأمّل</w:t>
      </w:r>
      <w:r>
        <w:rPr>
          <w:rFonts w:eastAsia="Amiri" w:cs="Amiri" w:ascii="Amiri" w:hAnsi="Amiri"/>
          <w:color w:val="111111"/>
          <w:sz w:val="28"/>
          <w:szCs w:val="28"/>
          <w:rtl w:val="true"/>
          <w:lang w:bidi="ar-SA"/>
        </w:rPr>
        <w:t>.</w:t>
      </w:r>
      <w:r>
        <w:rPr>
          <w:rStyle w:val="FootnoteAnchor"/>
          <w:rtl w:val="true"/>
        </w:rPr>
        <w:footnoteReference w:id="1893"/>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محض كون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العمل بهاغير مضرّ بالقول به؛ للخبر، فلعلّهم لم يلتفتوا إلى عموم العلّة المؤ يّدة بإطلاق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أيدي جماعة على التعاقب قطعت يداه ورجلاه بالأوّل فالأوّل، وعليه للباقين الدية، ولو قطع فاقد اليدين والرجلين يد شخص أو رجله</w:t>
      </w:r>
    </w:p>
    <w:p>
      <w:pPr>
        <w:pStyle w:val="BookText"/>
        <w:rPr/>
      </w:pPr>
      <w:r>
        <w:rPr>
          <w:rFonts w:ascii="Amiri" w:hAnsi="Amiri" w:eastAsia="Amiri" w:cs="Amiri"/>
          <w:color w:val="111111"/>
          <w:sz w:val="28"/>
          <w:sz w:val="28"/>
          <w:szCs w:val="28"/>
          <w:rtl w:val="true"/>
          <w:lang w:bidi="ar-SA"/>
        </w:rPr>
        <w:t>فعليه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الشجاج التساوي بالمساحة طولاً وعرضاً، قالوا ولا يعتبر عمقاً ونزولاً، بل يعتبر حصول اسم الشجّة، وفيه تأ‌مّل وإشكال والوجه التساوي مع الإمكان، ولو زاد من غير عمد فعليه الأرش، ولو لم يمكن إلّا بالنقص لا يبعد ثبوت الأرش في الزائد على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الحارصة والدامية والمتلاحمة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السمحاق والموضحة فالظاهر عدم اعتبار التساوي في العمق، فيقتصّ المهزول من السمين إلى تحقّق السمحاق والموضحة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القصاص فيما فيه تغرير بنفس أو طرف، وكذا فيما لا يمكن الاستيفاء بلا زيادة ونقيصة كالجائفة والمأمومة، ويثبت في كلّ جرح لا تغرير في أخذه بالنفس وبالطرف، وكانت السلامة معه غالبة، فيثبت في الحارصة والمتلاحمة والسمحاق والموضحة، ولا يثبت في الهاشمة ولا المنقّلة، ولا لكسر شيء من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صحيحة إثبات القود في السنّ والذراع إذا كسرا عمداً، والعامل بها 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بالأوّل فالأوّل مستفاد من رواية حبيب، مضافاً إلى قاعدة ترتّب المسبّبات على ترتيب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الدية للباقين أو في قطع فاقد اليدين والرجلين، فللضمان به شرعاً وعقلاً مع عدم القصاص، كما لا يخفى</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المسألتين من الأحكام وجوهها واضحة، ومن أراد زيادة الاطّلاع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فليراجع الجواهر وغيره من الكتب القويمة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أنّ عدم ثبوت القصاص في الهاشمة وبعدها ليس إلّا من جهة التغرير، وما في النصّ من قول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قصاص في عظم</w:t>
      </w:r>
      <w:r>
        <w:rPr>
          <w:rFonts w:eastAsia="IRNazanin" w:cs="IRNazanin"/>
          <w:color w:val="111111"/>
          <w:sz w:val="28"/>
          <w:szCs w:val="28"/>
          <w:rtl w:val="true"/>
          <w:lang w:bidi="fa-IR"/>
        </w:rPr>
        <w:t>».</w:t>
      </w:r>
      <w:r>
        <w:rPr>
          <w:rStyle w:val="FootnoteAnchor"/>
          <w:rtl w:val="true"/>
        </w:rPr>
        <w:footnoteReference w:id="1894"/>
      </w:r>
      <w:r>
        <w:rPr>
          <w:rFonts w:ascii="Amiri" w:hAnsi="Amiri" w:eastAsia="Amiri" w:cs="Amiri"/>
          <w:color w:val="111111"/>
          <w:sz w:val="28"/>
          <w:sz w:val="28"/>
          <w:szCs w:val="28"/>
          <w:rtl w:val="true"/>
          <w:lang w:bidi="ar-SA"/>
        </w:rPr>
        <w:t>وفي الفتاوى من الإجماع على الحكومة في الجميع،</w:t>
      </w:r>
      <w:r>
        <w:rPr>
          <w:rStyle w:val="FootnoteAnchor"/>
          <w:rtl w:val="true"/>
        </w:rPr>
        <w:footnoteReference w:id="1895"/>
      </w:r>
      <w:r>
        <w:rPr>
          <w:rFonts w:ascii="Amiri" w:hAnsi="Amiri" w:eastAsia="Amiri" w:cs="Amiri"/>
          <w:color w:val="111111"/>
          <w:sz w:val="28"/>
          <w:sz w:val="28"/>
          <w:szCs w:val="28"/>
          <w:rtl w:val="true"/>
          <w:lang w:bidi="ar-SA"/>
        </w:rPr>
        <w:t>إنّما يكون بذلك أيضاً، كما يفهمه العرف، فلا خصوصيّة لتلك الموارد، فيثبت القصاص فيها مع عدم التغرير؛ قضاءً لعموم أدلّته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في المتن من الرواية الصحيحة هي ما عن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السنّ والذراع يكسران عمداً لهما أرش أو قود؟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أضعفوا الدية؟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أرضوه بما شاء فهو له</w:t>
      </w:r>
      <w:r>
        <w:rPr>
          <w:rFonts w:eastAsia="IRNazanin" w:cs="IRNazanin"/>
          <w:color w:val="111111"/>
          <w:sz w:val="28"/>
          <w:szCs w:val="28"/>
          <w:rtl w:val="true"/>
          <w:lang w:bidi="fa-IR"/>
        </w:rPr>
        <w:t>».</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والظاهر أنّها محمولة على عدم التغرير، فالعمل بها على ذلك لا إشكال فيه وإن كان العامل بها قليل وإطلاقها مقيّد بعدم التغرير</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العمل بإطلاقها مشكلٌ بل ممنوعٌ، وإن كان العامل بها كثيراً؛ لما في القصاص مع التغرير خطر بالنفس أو زيادة في العقوبة، وهما محرّمانوغير قابلين للتقيّد، كما هو واضح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الاقتصاص قبل اندمال الجناية؟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لعدم الأمن من السراية الموجبة لدخول الطرف في النفس، والأشبه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في شيء من الجراحات حتّى 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دلالتها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الصبر، سيّما فيما لا يؤمن من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قطع عدّة من أعضائه خطأً، هل يجوز أخذ دياتها ولو كانت أضعاف دية النفس، أو يقتصر على مقدار دية النفس حتّى يتّضح الحال، فإن اندملت أخذ الباقي، وإلّا فيكون له ما أخذ لدخول الطرف في النفس؟ الأقوى جواز الأخذ ووجوب 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سرت الجراحات يجب إرجاع الزائد على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في المتن و الجواهر</w:t>
      </w:r>
      <w:r>
        <w:rPr>
          <w:rStyle w:val="FootnoteAnchor"/>
          <w:rtl w:val="true"/>
        </w:rPr>
        <w:footnoteReference w:id="1897"/>
      </w:r>
      <w:r>
        <w:rPr>
          <w:rFonts w:ascii="Amiri" w:hAnsi="Amiri" w:eastAsia="Amiri" w:cs="Amiri"/>
          <w:color w:val="111111"/>
          <w:sz w:val="28"/>
          <w:sz w:val="28"/>
          <w:szCs w:val="28"/>
          <w:rtl w:val="true"/>
          <w:lang w:bidi="ar-SA"/>
        </w:rPr>
        <w:t>من التعبير عن الرواية بالصحيحة، مع كون الناقل أبي بصير المشترك بين الثقة وغيره، ففيه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صحيحة إلى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بعدم الجواز الشيخ في المبسوط؛ معلّلاً بما في المتن من عدم الأمن، فقد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ذلك، فالقصاص يجوز من الموضحة قبل الاندمال عند قوم،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بعد الاندمال، وهو الأحوط عندنا؛ لأنّها ربّما صارت نفساً</w:t>
      </w:r>
      <w:r>
        <w:rPr>
          <w:rFonts w:eastAsia="Amiri" w:cs="Amiri" w:ascii="Amiri" w:hAnsi="Amiri"/>
          <w:color w:val="111111"/>
          <w:sz w:val="28"/>
          <w:szCs w:val="28"/>
          <w:rtl w:val="true"/>
          <w:lang w:bidi="ar-SA"/>
        </w:rPr>
        <w:t>.</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اختار الجواز في الخلاف</w:t>
      </w:r>
      <w:r>
        <w:rPr>
          <w:rStyle w:val="FootnoteAnchor"/>
          <w:rtl w:val="true"/>
        </w:rPr>
        <w:footnoteReference w:id="1899"/>
      </w:r>
      <w:r>
        <w:rPr>
          <w:rFonts w:ascii="Amiri" w:hAnsi="Amiri" w:eastAsia="Amiri" w:cs="Amiri"/>
          <w:color w:val="111111"/>
          <w:sz w:val="28"/>
          <w:sz w:val="28"/>
          <w:szCs w:val="28"/>
          <w:rtl w:val="true"/>
          <w:lang w:bidi="ar-SA"/>
        </w:rPr>
        <w:t>مع استحباب الصبر، وهو أشبه بأُصول المذهب وقواعده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وَالجُرُوحَ قِصَاصٌ</w:t>
      </w:r>
      <w:r>
        <w:rPr>
          <w:rFonts w:ascii="IRNazanin" w:hAnsi="IRNazanin" w:eastAsia="IRNazanin"/>
          <w:color w:val="111111"/>
          <w:sz w:val="28"/>
          <w:sz w:val="28"/>
          <w:szCs w:val="28"/>
          <w:rtl w:val="true"/>
          <w:lang w:bidi="fa-IR"/>
        </w:rPr>
        <w:t>،</w:t>
      </w:r>
      <w:r>
        <w:rPr>
          <w:rStyle w:val="FootnoteAnchor"/>
          <w:rtl w:val="true"/>
        </w:rPr>
        <w:footnoteReference w:id="19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الاقتصاص حلق الشعر عن المحلّ إن كان يمنع عن سهولة الاستيفاء أو الاستيفاء بحدّه، وربط الجاني على خشبة أو نحوها بحيث لا يتمكّن من الاضطراب، ثمّ يقاس بخيط ونحوه ويعلّم طرفاه في محلّ الاقتصاص،</w:t>
      </w:r>
    </w:p>
    <w:p>
      <w:pPr>
        <w:pStyle w:val="BookText"/>
        <w:rPr/>
      </w:pP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فَمَنِ اعْتَدَى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1901"/>
      </w:r>
      <w:r>
        <w:rPr>
          <w:rFonts w:ascii="Amiri" w:hAnsi="Amiri" w:eastAsia="Amiri" w:cs="Amiri"/>
          <w:color w:val="111111"/>
          <w:sz w:val="28"/>
          <w:sz w:val="28"/>
          <w:szCs w:val="28"/>
          <w:rtl w:val="true"/>
          <w:lang w:bidi="ar-SA"/>
        </w:rPr>
        <w:t>وَإنْ عاقَبْتُمْ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1902"/>
      </w:r>
      <w:r>
        <w:rPr>
          <w:rFonts w:ascii="Amiri" w:hAnsi="Amiri" w:eastAsia="Amiri" w:cs="Amiri"/>
          <w:color w:val="111111"/>
          <w:sz w:val="28"/>
          <w:sz w:val="28"/>
          <w:szCs w:val="28"/>
          <w:rtl w:val="true"/>
          <w:lang w:bidi="ar-SA"/>
        </w:rPr>
        <w:t>خصوصاً بعد ما قيل من دلالة الفاء على ذلك بلا مهلة وإن كان فيه نظر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من وجوب الصبر، وأصالة عدم حصول السراية، بل وأشهر، بل لم نجد فيه مخالفاً عدا ما في المبسوط</w:t>
      </w:r>
      <w:r>
        <w:rPr>
          <w:rStyle w:val="FootnoteAnchor"/>
          <w:rtl w:val="true"/>
        </w:rPr>
        <w:footnoteReference w:id="1903"/>
      </w:r>
      <w:r>
        <w:rPr>
          <w:rFonts w:ascii="Amiri" w:hAnsi="Amiri" w:eastAsia="Amiri" w:cs="Amiri"/>
          <w:color w:val="111111"/>
          <w:sz w:val="28"/>
          <w:sz w:val="28"/>
          <w:szCs w:val="28"/>
          <w:rtl w:val="true"/>
          <w:lang w:bidi="ar-SA"/>
        </w:rPr>
        <w:t>مع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فيه أحوط، وهو بعينه الاستحباب الذي أشار إليه في الخلاف، فتخرج المسألة حينئذٍ عن الخلاف، والموثّق محمول على إرادة عدم القضاء في الجرح الذي لا يعلم حال إفساده حتّى يبرأ، لا الجرح الذي تحقّق فيه موجب القصاص وشكّ في حصول 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ما في الأوّل المبني على أنّ السراية كاشفة عن عدم حقّ له إلّا قصاص النفس، وهو ممنوع، ضرورة تحقّق الموجب حتّى لو علم السراية كان له القصاص فعلاً لحصول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يفعل فاتّفق حصولها دخل قصاص الطرف فيه، ومن هنا لا يجب عليه ردّ دية العضو بعد حصولها لو فرض قطعه قبلها</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ممّا ذكرناه وجه أقوائيّة جواز الأخذ ووجوب الإعطاء فيمالو قطع عدّة من أعضائه خطأً، فلا نعيده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يشقّ من إحدى العلامتين إلى الأُخرى، ولو كان جرح الجاني ذا عرض يقاس العرض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شقّ على الجاني الاستيفاء دفعة يجوز الاستيفاء بدفعات، وهل يجوز ذلك حتّى مع عدم رضا المجنيّ عليه؟ 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اضطرب الجاني فزاد المقتصّ في جرحه لذلك فلا شيء عليه، ولو زاد بلا اضطراب أو بلا استناد إلى ذلك، فإن كان عن عمد يقتصّ منه، وإلّا فعليه الدية أو الأرش، ولو ادّعى الجاني العمد وأنكره المباشر فالقول قوله، ولو ادّعى المباشر الخطأ وأنكر الجاني،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المباشر، وفيه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القصاص في الطرف عن شدّة الحرّ والبرد وجوباً إذا خيف من السراية، وإرفاقاً بالجاني في غير ذلك، ولو لم يرض في هذا الفرض المجنيّ عليه ففي جواز التأخير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 إلّا بحديدة حادّة غير مسمومة ولا كالّة مناسبة لاقتصاص مثله، ولا يجوز تعذيبه أكثر ممّا عذّبه، فلو قلع عينه بآلة كانت سهلة في القلع، لا يجوز قلعها بآلة كانت أكثر تعذيباً، وجاز القلع باليد إذا قلع الجاني بيده أو كان القلع بها 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للمجنيّ عليه مراعاة السهولة، وجاز له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تجاوز واقتصّ بما هو موجب للتعذيب، وكان أصعب ممّا فعل به، فللوالي تعزيره، ولا شيء عليه، ولو جاوز بما يوجب القصاص اقتصّ منه، أو بما يوجب الأرش أو الدية أُخذ منه</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الجرح يستوعب عضو الجاني مع كونه أقلّفي المجنيّ عليه؛ لكبر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رأس الجاني شبراً ورأس المجنيّ عليه شبرين، وجنى عليه بشبر، يقتصّ الشبر وإن استوعبه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زاد على العضو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جنى عليه في الفرض بشبرين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يتجاوز عن عضو بعضو آخر، فلا يقتصّ من </w:t>
      </w:r>
    </w:p>
    <w:p>
      <w:pPr>
        <w:pStyle w:val="BookText"/>
        <w:rPr/>
      </w:pPr>
      <w:r>
        <w:rPr>
          <w:rFonts w:ascii="Amiri" w:hAnsi="Amiri" w:eastAsia="Amiri" w:cs="Amiri"/>
          <w:color w:val="111111"/>
          <w:sz w:val="28"/>
          <w:sz w:val="28"/>
          <w:szCs w:val="28"/>
          <w:rtl w:val="true"/>
          <w:lang w:bidi="ar-SA"/>
        </w:rPr>
        <w:t>الرقبة أو الوجه، بل يقتصّ بقدر شبر في الفرض، ويؤخذ للباقي بنسبة المساحة إن كان للعضو مقدّر، وإلّا فالحكومة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تتميم الناقص بموضع آخر من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انعكس وكان عضو المجنيّ عليه صغيراً، فجنى عليه بمقدار شبر وهو مستوعب لرأسه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يستوعب في القصاص رأس الجاني، بل يقتصّ بمقدار شبر وإن كان الشبر نصف مساحة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أوضح جميع رأسه؛ بأن سلخ الجلد واللحم من جملة الرأس، فللمجنيّ عليه ذلك مع مساواة رأسهما في المساحة، وله الخيار في الابتداء بأيّ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رأس المجنيّ عليه أصغر، لكن له الغرامة في المقدار الزائد بالتقسيط على مساحة الموضحة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أكبر يقتصّ من الجاني بمقدار مساحة جنايته، ولا يسلخ جميع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شجّه فأوضح في بعضها فله دية موضحة، ولو أراد القصاص استوفى في الموضحة والباقي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الاقتصاص في الأعضاء غير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عضو ينقسم إلى يمين وشمال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كالعينين والأُذنين والأُنثيين والمنخرين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 إحداهما بالأُخرى، فلو فَقَأ عينه اليُمنى لا يقتصّ عينه اليُسرى، وكذا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يكون فيه الأعلى والأسفل يراعى في القصاص المحلّ، فلا يقتصّ الأسفل بالأعلى كالجفنين والشفتين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الأُذن قصاص؛ يقتصّ اليمنى باليمنى واليسرىباليسرى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وتستوي أُذن الصغير والكبير، والمثقوبة والصحيحة إذا كان الثقب على المتعارف، والصغيرة والكبيرة، والصمّاء والسامعة، والسمينة والهزيلة</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تؤخذ الصحيحة بالمخرومة وكذا الصحيحة بالمثقوبة على غير المتعارف بحيث تعدّ عيباً، أو يقتصّ إلى حدّ الخرم والثقب والحكومة فيما بقي، أو يقتصّ مع </w:t>
      </w:r>
    </w:p>
    <w:p>
      <w:pPr>
        <w:pStyle w:val="BookText"/>
        <w:rPr/>
      </w:pPr>
      <w:r>
        <w:rPr>
          <w:rFonts w:ascii="Amiri" w:hAnsi="Amiri" w:eastAsia="Amiri" w:cs="Amiri"/>
          <w:color w:val="111111"/>
          <w:sz w:val="28"/>
          <w:sz w:val="28"/>
          <w:szCs w:val="28"/>
          <w:rtl w:val="true"/>
          <w:lang w:bidi="ar-SA"/>
        </w:rPr>
        <w:t>ردّ دية الخرم؟ وجوه، لا يبعد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بعضها جاز 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أُذنه فألصقها المجنيّ عليه والتصقت، فالظاهر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 القصاص، ولو اقتصّ من الجاني فألصق الجاني أُذنه والتصقت، ففي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ثانية لبقاء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الحاكم بالإبانة لحمله الميتة والنجس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صارت بالإلصاق حيّة كسائر الأعضاء لم تكن ميتة، ويصحّ الصلاة معها، وليس للحاكم ولا لغيره إبانتها، بل لو أبانه شخص فعليه القصاص لو كان عن عمد وعلم، وإلّا فالدية، ولو قطع بعض الأُذن ولم يبنها فإن أمكنت المماثلة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المسائل الثمانية الآتية من المباحث الموضوعيّة وكيفيّة الإجراء أو الحكمية، وجوهها ساذجة تظهر بالتأ‌مّل فيها وبما ذكره في المتن، فلنصرف الكلام منها لقلّة الفائدة العلميّة فيها، بل ولقلّة الابتلاء بها، ونرجو من الله التوفيق في سائر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لوجود المقتضي الذي لا دليل على عدم اقتضائه بالإلصاق الطارئ، خصوصاً مع عدم الإقرار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اقتصّ من الجاني فألصق الجاني أُذنه والتصقت، فللمجنيّ عليه أن يطالب بقطعها وإبانتها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إجماع الفرقة وأخبارهم، حيث قال</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قطع أُذن غيره قطعت أُذنه، فإن أخذ الجاني أُذنه فألصقها فالتصقت، كان للمجنيّ عليه أن يطالب بقطعها وإبانتها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w:t>
      </w:r>
      <w:r>
        <w:rPr>
          <w:rFonts w:eastAsia="Amiri" w:cs="Amiri" w:ascii="Amiri" w:hAnsi="Amiri"/>
          <w:color w:val="111111"/>
          <w:sz w:val="28"/>
          <w:szCs w:val="28"/>
          <w:rtl w:val="true"/>
          <w:lang w:bidi="ar-SA"/>
        </w:rPr>
        <w:t>.</w:t>
      </w:r>
      <w:r>
        <w:rPr>
          <w:rStyle w:val="FootnoteAnchor"/>
          <w:rtl w:val="true"/>
        </w:rPr>
        <w:footnoteReference w:id="1904"/>
      </w:r>
    </w:p>
    <w:p>
      <w:pPr>
        <w:pStyle w:val="BookText"/>
        <w:rPr/>
      </w:pPr>
      <w:r>
        <w:rPr>
          <w:rFonts w:ascii="IRNazanin" w:hAnsi="IRNazanin" w:eastAsia="IRNazanin"/>
          <w:color w:val="111111"/>
          <w:sz w:val="28"/>
          <w:sz w:val="28"/>
          <w:szCs w:val="28"/>
          <w:rtl w:val="true"/>
          <w:lang w:bidi="fa-IR"/>
        </w:rPr>
        <w:t>القصاص ثبت، وإلّا فلا، وله القصاص ولو مع إلصاقها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أُذنه فأزال سمعه فهما جنايتان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أُذناً مستحشفة شلّاء ففي القصاص إشكال، بل لا يبعد ثبوت ثلث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والحجّة على ذلك عموم العلّة في رواية إسحاق بن عمّار، عن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رجلاً قطع من بعض أُذن رجل شيئاً، فرفع ذلك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فأقاده، فأخذ الآخر ما قطع من أُذنه فردّه على أُذنه بدمه فالتحمت وبرئت، فعاد الآخر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فاستقاده فأمر بها فقطعت ثانية وأمر بها فدفنت،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يكون القصاص من أجل الشين</w:t>
      </w:r>
      <w:r>
        <w:rPr>
          <w:rFonts w:eastAsia="IRNazanin" w:cs="IRNazanin"/>
          <w:color w:val="111111"/>
          <w:sz w:val="28"/>
          <w:szCs w:val="28"/>
          <w:rtl w:val="true"/>
          <w:lang w:bidi="fa-IR"/>
        </w:rPr>
        <w:t>».</w:t>
      </w:r>
      <w:r>
        <w:rPr>
          <w:rStyle w:val="FootnoteAnchor"/>
          <w:rtl w:val="true"/>
        </w:rPr>
        <w:footnoteReference w:id="1905"/>
      </w:r>
      <w:r>
        <w:rPr>
          <w:rFonts w:ascii="Amiri" w:hAnsi="Amiri" w:eastAsia="Amiri" w:cs="Amiri"/>
          <w:color w:val="111111"/>
          <w:sz w:val="28"/>
          <w:sz w:val="28"/>
          <w:szCs w:val="28"/>
          <w:rtl w:val="true"/>
          <w:lang w:bidi="ar-SA"/>
        </w:rPr>
        <w:t>بل وظهور الحكم، فإنّ من الواضح بنظر العرف إلغاء الخصوصيّة لبعض الأُذن، فلا فرق بين الكلّ والبعض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المتن من ضعف الرواية، فمضافاً إلى انجباره بعمل الأصحاب، كما يشهد عليه إجماع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أنّه ليس في السند ما يوجب الضعف إلّا غياث بن كلوب الذي ادّعى الشيخ في العدّة</w:t>
      </w:r>
      <w:r>
        <w:rPr>
          <w:rStyle w:val="FootnoteAnchor"/>
          <w:rtl w:val="true"/>
        </w:rPr>
        <w:footnoteReference w:id="1906"/>
      </w:r>
      <w:r>
        <w:rPr>
          <w:rFonts w:ascii="Amiri" w:hAnsi="Amiri" w:eastAsia="Amiri" w:cs="Amiri"/>
          <w:color w:val="111111"/>
          <w:sz w:val="28"/>
          <w:sz w:val="28"/>
          <w:szCs w:val="28"/>
          <w:rtl w:val="true"/>
          <w:lang w:bidi="ar-SA"/>
        </w:rPr>
        <w:t>عمل الطائفة بأخباره، وهو كافٍ في اعتبار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 ممّن كان في السند، فالذين قبله عدول، والذين بعده مشتركون بين الثقة والموثّق، فإنّ إسحاق بن عمّار الصيرفي ثقةوالساباطي 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الأُذن وإزالة السمع هما جنايتان؛ لأنّ منفعة السمع في الدماغ لا في الأُذن ليتبعها</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والإشكال في القصاص لقطع الأُذن المستحشفة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لم يبق فيها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في العين، وتقتصّ مع مساواة المحلّ، فلا تقلع اليمنى باليسرى ولا بالعكس، ولو كان الجاني أعور اقتصّ منه وإن عمي، فإنّ الحقّ أعماه، ولا يردّ شيء إليه ولو كان ديتها دية النفس إذا كان العور خلقة أو بآفة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كونه أعور خلقة أو بجناية أو آفة أو قصاص، ولو قطع أعور العين الصحيحة من أعور يقتصّ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 وصارت شلّاء؛ أي يابسة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من أنّ اليد الصحيحة لا تؤخذ بالشلّاء، ومن أنّ الشلل ليس نقصاً يعتدّ به لأجل بقاء الجمال والمنفعة المقصودة في الأُذن، لأنّها تجمع الصوت وتوصله إلى الدماغ، وتدفع الهوام والغبار والدخان والبخار الغليظ من الدخول في ثقب الأُذن، بخلاف اليد الشلّاء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أوجه بل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الإشكال غير مختصّ بالمعروف من عدم قطع اليد الصحيحة بالشلّاء، بل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التخيير بين القصاص مع ردّ الأرش أو الدية أيضاً، حيث إنّه على كون الاستحشاف واليبوسة في الأُذن نقصاً، فللمجنيّ عليه التخيير بين الدية أو القصاص مع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عدم كونه عيباً ونقصاً يعتدّ به فليس للمجنيّ عليه إلّا القصاص أو الدية،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أنّ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كونه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المتعيّن كما ذكرناه، فليس للمجنيّ عليه إلّا القصاص أو التخيير</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المسألة من الأحكام من أصل القصاص في العين،وشرطيّة المساواة، واقتصاص الجاني الأعور وإن عمي بالقصاص، وعدم ردّ شيء إليه ولو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ديتها دية النفس إذا كان العور خلقة أو بآفة من الله تعالى، من دون فرق بين كونه أعور خلقة أو بجناية أو آفة أو قصاص، ومن قصاص أعور العين إذا قلع العين الصحيحة من أعور، كلّها ممّا لا إشكال ولا خلاف فيها، وتكون موافقة مع القواعد والعمومات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بِالْعَيْنِ</w:t>
      </w:r>
      <w:r>
        <w:rPr>
          <w:rFonts w:ascii="IRNazanin" w:hAnsi="IRNazanin" w:eastAsia="IRNazanin"/>
          <w:color w:val="111111"/>
          <w:sz w:val="28"/>
          <w:sz w:val="28"/>
          <w:szCs w:val="28"/>
          <w:rtl w:val="true"/>
          <w:lang w:bidi="fa-IR"/>
        </w:rPr>
        <w:t>،</w:t>
      </w:r>
      <w:r>
        <w:rPr>
          <w:rStyle w:val="FootnoteAnchor"/>
          <w:rtl w:val="true"/>
        </w:rPr>
        <w:footnoteReference w:id="1907"/>
      </w:r>
      <w:r>
        <w:rPr>
          <w:rFonts w:ascii="Amiri" w:hAnsi="Amiri" w:eastAsia="Amiri" w:cs="Amiri"/>
          <w:color w:val="111111"/>
          <w:sz w:val="28"/>
          <w:sz w:val="28"/>
          <w:szCs w:val="28"/>
          <w:rtl w:val="true"/>
          <w:lang w:bidi="ar-SA"/>
        </w:rPr>
        <w:t xml:space="preserve">ومقتضى إطلاقه عدم الفرق بين الجاني الأعور وغيره، مع ما في صحيح محمّد بن قيس ومرسلة أبان من الدلالة على الاقتصاص من الجاني الأعور على ما في المتن من التعليل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أعماه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أعور فقأ عين صحيح،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تفقأ 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يبقى أعمى،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أعماه</w:t>
      </w:r>
      <w:r>
        <w:rPr>
          <w:rFonts w:eastAsia="IRNazanin" w:cs="IRNazanin"/>
          <w:color w:val="111111"/>
          <w:sz w:val="28"/>
          <w:szCs w:val="28"/>
          <w:rtl w:val="true"/>
          <w:lang w:bidi="fa-IR"/>
        </w:rPr>
        <w:t>».</w:t>
      </w:r>
      <w:r>
        <w:rPr>
          <w:rStyle w:val="FootnoteAnchor"/>
          <w:rtl w:val="true"/>
        </w:rPr>
        <w:footnoteReference w:id="1908"/>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أعور فقأ عين صحيح متعمّداً؟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تفقأ 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أعمى،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أعماه</w:t>
      </w:r>
      <w:r>
        <w:rPr>
          <w:rFonts w:eastAsia="IRNazanin" w:cs="IRNazanin"/>
          <w:color w:val="111111"/>
          <w:sz w:val="28"/>
          <w:szCs w:val="28"/>
          <w:rtl w:val="true"/>
          <w:lang w:bidi="fa-IR"/>
        </w:rPr>
        <w:t>».</w:t>
      </w:r>
      <w:r>
        <w:rPr>
          <w:rStyle w:val="FootnoteAnchor"/>
          <w:rtl w:val="true"/>
        </w:rPr>
        <w:footnoteReference w:id="1909"/>
      </w:r>
      <w:r>
        <w:rPr>
          <w:rFonts w:ascii="Amiri" w:hAnsi="Amiri" w:eastAsia="Amiri" w:cs="Amiri"/>
          <w:color w:val="111111"/>
          <w:sz w:val="28"/>
          <w:sz w:val="28"/>
          <w:szCs w:val="28"/>
          <w:rtl w:val="true"/>
          <w:lang w:bidi="ar-SA"/>
        </w:rPr>
        <w:t>وضعف المرسل بالإرسال غير مضرّ؛ لكفاية صحيح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اتّفاق الأصحاب ظاهراً جابرلضعفه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الفرقة وأخبارهم</w:t>
      </w:r>
      <w:r>
        <w:rPr>
          <w:rFonts w:eastAsia="Amiri" w:cs="Amiri" w:ascii="Amiri" w:hAnsi="Amiri"/>
          <w:color w:val="111111"/>
          <w:sz w:val="28"/>
          <w:szCs w:val="28"/>
          <w:rtl w:val="true"/>
          <w:lang w:bidi="ar-SA"/>
        </w:rPr>
        <w:t>».</w:t>
      </w:r>
      <w:r>
        <w:rPr>
          <w:rStyle w:val="FootnoteAnchor"/>
          <w:rtl w:val="true"/>
        </w:rPr>
        <w:footnoteReference w:id="1910"/>
      </w:r>
      <w:bookmarkStart w:id="435" w:name="pg9428_72937"/>
    </w:p>
    <w:p>
      <w:pPr>
        <w:pStyle w:val="BookText"/>
        <w:rPr/>
      </w:pPr>
      <w:bookmarkEnd w:id="4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ذو عينين عين أعور اقتصّ له بعين واحدة، فهل له مع ذلك الردّ بنصف الدية؟ قيل لا، والأقوى ثبوته، والظاهر تخيير المجنيّ عليه بين أخذ الدية كاملة وبين الاقتصاص وأخذ نصفها، كما أنّ الظاهر أنّ الحكم ثابت فيما تكون لعين الأعور دية كاملة، كما كان خلقة أو بآفة من الله؛ لا في غيره مثل ما إذا قلع عينه قصاصاً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436" w:name="__RefHeading___Toc5797693_2870459653"/>
      <w:bookmarkStart w:id="437" w:name="_Toc147"/>
      <w:bookmarkEnd w:id="436"/>
      <w:r>
        <w:rPr>
          <w:rtl w:val="true"/>
        </w:rPr>
        <w:t>قصاص عين الأعور</w:t>
      </w:r>
      <w:bookmarkEnd w:id="4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أحكام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الأعور بعين واحدة من الجاني ذي العينين مع ردّ الجاني نصف الدية إلى المجنيّ عليه الأعور أو بدونه على قولين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خيرة المقنعة</w:t>
      </w:r>
      <w:r>
        <w:rPr>
          <w:rStyle w:val="FootnoteAnchor"/>
          <w:rtl w:val="true"/>
        </w:rPr>
        <w:footnoteReference w:id="1911"/>
      </w:r>
      <w:r>
        <w:rPr>
          <w:rFonts w:ascii="IRNazanin" w:hAnsi="IRNazanin" w:eastAsia="IRNazanin"/>
          <w:color w:val="111111"/>
          <w:sz w:val="28"/>
          <w:sz w:val="28"/>
          <w:szCs w:val="28"/>
          <w:rtl w:val="true"/>
          <w:lang w:bidi="fa-IR"/>
        </w:rPr>
        <w:t>والسرائر</w:t>
      </w:r>
      <w:r>
        <w:rPr>
          <w:rStyle w:val="FootnoteAnchor"/>
          <w:rtl w:val="true"/>
        </w:rPr>
        <w:footnoteReference w:id="1912"/>
      </w:r>
      <w:r>
        <w:rPr>
          <w:rFonts w:ascii="IRNazanin" w:hAnsi="IRNazanin" w:eastAsia="IRNazanin"/>
          <w:color w:val="111111"/>
          <w:sz w:val="28"/>
          <w:sz w:val="28"/>
          <w:szCs w:val="28"/>
          <w:rtl w:val="true"/>
          <w:lang w:bidi="fa-IR"/>
        </w:rPr>
        <w:t>و الشرائع</w:t>
      </w:r>
      <w:r>
        <w:rPr>
          <w:rStyle w:val="FootnoteAnchor"/>
          <w:rtl w:val="true"/>
        </w:rPr>
        <w:footnoteReference w:id="1913"/>
      </w:r>
      <w:r>
        <w:rPr>
          <w:rFonts w:ascii="Amiri" w:hAnsi="Amiri" w:eastAsia="Amiri" w:cs="Amiri"/>
          <w:color w:val="111111"/>
          <w:sz w:val="28"/>
          <w:sz w:val="28"/>
          <w:szCs w:val="28"/>
          <w:rtl w:val="true"/>
          <w:lang w:bidi="ar-SA"/>
        </w:rPr>
        <w:t>والتحرير،</w:t>
      </w:r>
      <w:r>
        <w:rPr>
          <w:rStyle w:val="FootnoteAnchor"/>
          <w:rtl w:val="true"/>
        </w:rPr>
        <w:footnoteReference w:id="1914"/>
      </w:r>
      <w:r>
        <w:rPr>
          <w:rFonts w:ascii="Amiri" w:hAnsi="Amiri" w:eastAsia="Amiri" w:cs="Amiri"/>
          <w:color w:val="111111"/>
          <w:sz w:val="28"/>
          <w:sz w:val="28"/>
          <w:szCs w:val="28"/>
          <w:rtl w:val="true"/>
          <w:lang w:bidi="ar-SA"/>
        </w:rPr>
        <w:t>والأوّل خيرة النهاية</w:t>
      </w:r>
      <w:r>
        <w:rPr>
          <w:rStyle w:val="FootnoteAnchor"/>
          <w:rtl w:val="true"/>
        </w:rPr>
        <w:footnoteReference w:id="1915"/>
      </w:r>
      <w:r>
        <w:rPr>
          <w:rFonts w:ascii="IRNazanin" w:hAnsi="IRNazanin" w:eastAsia="IRNazanin"/>
          <w:color w:val="111111"/>
          <w:sz w:val="28"/>
          <w:sz w:val="28"/>
          <w:szCs w:val="28"/>
          <w:rtl w:val="true"/>
          <w:lang w:bidi="fa-IR"/>
        </w:rPr>
        <w:t>و‌المبسوط</w:t>
      </w:r>
      <w:r>
        <w:rPr>
          <w:rStyle w:val="FootnoteAnchor"/>
          <w:rtl w:val="true"/>
        </w:rPr>
        <w:footnoteReference w:id="1916"/>
      </w:r>
      <w:r>
        <w:rPr>
          <w:rFonts w:ascii="IRNazanin" w:hAnsi="IRNazanin" w:eastAsia="IRNazanin"/>
          <w:color w:val="111111"/>
          <w:sz w:val="28"/>
          <w:sz w:val="28"/>
          <w:szCs w:val="28"/>
          <w:rtl w:val="true"/>
          <w:lang w:bidi="fa-IR"/>
        </w:rPr>
        <w:t>و‌الجامع</w:t>
      </w:r>
      <w:r>
        <w:rPr>
          <w:rStyle w:val="FootnoteAnchor"/>
          <w:rtl w:val="true"/>
        </w:rPr>
        <w:footnoteReference w:id="1917"/>
      </w:r>
      <w:r>
        <w:rPr>
          <w:rFonts w:ascii="Amiri" w:hAnsi="Amiri" w:eastAsia="Amiri" w:cs="Amiri"/>
          <w:color w:val="111111"/>
          <w:sz w:val="28"/>
          <w:sz w:val="28"/>
          <w:szCs w:val="28"/>
          <w:rtl w:val="true"/>
          <w:lang w:bidi="ar-SA"/>
        </w:rPr>
        <w:t>والوسيلة،</w:t>
      </w:r>
      <w:r>
        <w:rPr>
          <w:rStyle w:val="FootnoteAnchor"/>
          <w:rtl w:val="true"/>
        </w:rPr>
        <w:footnoteReference w:id="1918"/>
      </w:r>
      <w:r>
        <w:rPr>
          <w:rFonts w:ascii="Amiri" w:hAnsi="Amiri" w:eastAsia="Amiri" w:cs="Amiri"/>
          <w:color w:val="111111"/>
          <w:sz w:val="28"/>
          <w:sz w:val="28"/>
          <w:szCs w:val="28"/>
          <w:rtl w:val="true"/>
          <w:lang w:bidi="ar-SA"/>
        </w:rPr>
        <w:t>ونفى البأس عنه في المختلف</w:t>
      </w:r>
      <w:r>
        <w:rPr>
          <w:rFonts w:eastAsia="Amiri" w:cs="Amiri" w:ascii="Amiri" w:hAnsi="Amiri"/>
          <w:color w:val="111111"/>
          <w:sz w:val="28"/>
          <w:szCs w:val="28"/>
          <w:rtl w:val="true"/>
          <w:lang w:bidi="ar-SA"/>
        </w:rPr>
        <w:t>.</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حجّة الأوّل الدراية والرواية</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الدراية؛ لأنّه أذهب جميع بصره واستوفى منه نصف البصر، فيبقي عليه دية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النصف، وهو نصف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الرواية؛ فصحيح محمّد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أعور اُصيبت عينه الصحيحة ففقئت، أن تُفقأ إحدى عيني صاحبه ويعقل له نصف الدية، وإن شاء أخذ دية كاملة ويُعفا عن عين صاحبه</w:t>
      </w:r>
      <w:r>
        <w:rPr>
          <w:rFonts w:eastAsia="IRNazanin" w:cs="IRNazanin"/>
          <w:color w:val="111111"/>
          <w:sz w:val="28"/>
          <w:szCs w:val="28"/>
          <w:rtl w:val="true"/>
          <w:lang w:bidi="fa-IR"/>
        </w:rPr>
        <w:t>».</w:t>
      </w:r>
      <w:r>
        <w:rPr>
          <w:rStyle w:val="FootnoteAnchor"/>
          <w:rtl w:val="true"/>
        </w:rPr>
        <w:footnoteReference w:id="1920"/>
      </w:r>
    </w:p>
    <w:p>
      <w:pPr>
        <w:pStyle w:val="BookText"/>
        <w:rPr/>
      </w:pPr>
      <w:r>
        <w:rPr>
          <w:rFonts w:ascii="IRNazanin" w:hAnsi="IRNazanin" w:eastAsia="IRNazanin"/>
          <w:color w:val="111111"/>
          <w:sz w:val="28"/>
          <w:sz w:val="28"/>
          <w:szCs w:val="28"/>
          <w:rtl w:val="true"/>
          <w:lang w:bidi="fa-IR"/>
        </w:rPr>
        <w:t xml:space="preserve">وخبر عبدالله بن الحكم،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صحيح فقأ عين رجل أعور؟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الدية كاملة، فإن شاء الذي فقئت عينه أن يقتصّ من صاحبه ويأخذ منه خمسة آلاف درهم، فعل، لأنّ له الدية كاملة وقد أخذ نصفها بالقصاص</w:t>
      </w:r>
      <w:r>
        <w:rPr>
          <w:rFonts w:eastAsia="IRNazanin" w:cs="IRNazanin"/>
          <w:color w:val="111111"/>
          <w:sz w:val="28"/>
          <w:szCs w:val="28"/>
          <w:rtl w:val="true"/>
          <w:lang w:bidi="fa-IR"/>
        </w:rPr>
        <w:t>».</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والعمدة منهما الرواية وإلّا فالدراية، مضافاً إلى أنّها اعتبار لا اعتبار به، القصاص موضوعه العين لا المنافع،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وبالإشكال الأخير على الدراية يظهر عدم تماميّة ما في الجواهر من الاستدلال بها مستنداً إلى الرواية بقوله</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معلوميّة وجوب الدية تامّة بعين الأعور خلقةً أو بآفة من الله، بل نفى عنه الخلاف غير واحد، بل عن الخلاف</w:t>
      </w:r>
      <w:r>
        <w:rPr>
          <w:rStyle w:val="FootnoteAnchor"/>
          <w:rtl w:val="true"/>
        </w:rPr>
        <w:footnoteReference w:id="1922"/>
      </w:r>
      <w:r>
        <w:rPr>
          <w:rFonts w:ascii="Amiri" w:hAnsi="Amiri" w:eastAsia="Amiri" w:cs="Amiri"/>
          <w:color w:val="111111"/>
          <w:sz w:val="28"/>
          <w:sz w:val="28"/>
          <w:szCs w:val="28"/>
          <w:rtl w:val="true"/>
          <w:lang w:bidi="ar-SA"/>
        </w:rPr>
        <w:t>والغنية</w:t>
      </w:r>
      <w:r>
        <w:rPr>
          <w:rStyle w:val="FootnoteAnchor"/>
          <w:rtl w:val="true"/>
        </w:rPr>
        <w:footnoteReference w:id="1923"/>
      </w:r>
      <w:r>
        <w:rPr>
          <w:rFonts w:ascii="IRNazanin" w:hAnsi="IRNazanin" w:eastAsia="IRNazanin"/>
          <w:color w:val="111111"/>
          <w:sz w:val="28"/>
          <w:sz w:val="28"/>
          <w:szCs w:val="28"/>
          <w:rtl w:val="true"/>
          <w:lang w:bidi="fa-IR"/>
        </w:rPr>
        <w:t>و‌المختلف</w:t>
      </w:r>
      <w:r>
        <w:rPr>
          <w:rStyle w:val="FootnoteAnchor"/>
          <w:rtl w:val="true"/>
        </w:rPr>
        <w:footnoteReference w:id="19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و‌غاية المراد</w:t>
      </w:r>
      <w:r>
        <w:rPr>
          <w:rStyle w:val="FootnoteAnchor"/>
          <w:rtl w:val="true"/>
        </w:rPr>
        <w:footnoteReference w:id="1925"/>
      </w:r>
      <w:r>
        <w:rPr>
          <w:rFonts w:ascii="Amiri" w:hAnsi="Amiri" w:eastAsia="Amiri" w:cs="Amiri"/>
          <w:color w:val="111111"/>
          <w:sz w:val="28"/>
          <w:sz w:val="28"/>
          <w:szCs w:val="28"/>
          <w:rtl w:val="true"/>
          <w:lang w:bidi="ar-SA"/>
        </w:rPr>
        <w:t>و‌التنقيح</w:t>
      </w:r>
      <w:r>
        <w:rPr>
          <w:rStyle w:val="FootnoteAnchor"/>
          <w:rtl w:val="true"/>
        </w:rPr>
        <w:footnoteReference w:id="1926"/>
      </w:r>
      <w:r>
        <w:rPr>
          <w:rFonts w:ascii="IRNazanin" w:hAnsi="IRNazanin" w:eastAsia="IRNazanin"/>
          <w:color w:val="111111"/>
          <w:sz w:val="28"/>
          <w:sz w:val="28"/>
          <w:szCs w:val="28"/>
          <w:rtl w:val="true"/>
          <w:lang w:bidi="fa-IR"/>
        </w:rPr>
        <w:t>والمهذّب البارع</w:t>
      </w:r>
      <w:r>
        <w:rPr>
          <w:rStyle w:val="FootnoteAnchor"/>
          <w:rtl w:val="true"/>
        </w:rPr>
        <w:footnoteReference w:id="1927"/>
      </w:r>
      <w:r>
        <w:rPr>
          <w:rFonts w:ascii="Amiri" w:hAnsi="Amiri" w:eastAsia="Amiri" w:cs="Amiri"/>
          <w:color w:val="111111"/>
          <w:sz w:val="28"/>
          <w:sz w:val="28"/>
          <w:szCs w:val="28"/>
          <w:rtl w:val="true"/>
          <w:lang w:bidi="ar-SA"/>
        </w:rPr>
        <w:t>والرياض</w:t>
      </w:r>
      <w:r>
        <w:rPr>
          <w:rFonts w:eastAsia="Amiri" w:cs="Amiri" w:ascii="Amiri" w:hAnsi="Amiri"/>
          <w:color w:val="111111"/>
          <w:sz w:val="28"/>
          <w:szCs w:val="28"/>
          <w:rtl w:val="true"/>
          <w:lang w:bidi="ar-SA"/>
        </w:rPr>
        <w:t>:</w:t>
      </w:r>
      <w:r>
        <w:rPr>
          <w:rStyle w:val="FootnoteAnchor"/>
          <w:rtl w:val="true"/>
        </w:rPr>
        <w:footnoteReference w:id="1928"/>
      </w:r>
      <w:r>
        <w:rPr>
          <w:rFonts w:ascii="Amiri" w:hAnsi="Amiri" w:eastAsia="Amiri" w:cs="Amiri"/>
          <w:color w:val="111111"/>
          <w:sz w:val="28"/>
          <w:sz w:val="28"/>
          <w:szCs w:val="28"/>
          <w:rtl w:val="true"/>
          <w:lang w:bidi="ar-SA"/>
        </w:rPr>
        <w:t>الإجماع عليه، وهوالحجّة بعد ما في حسنة العجلّي</w:t>
      </w:r>
      <w:r>
        <w:rPr>
          <w:rStyle w:val="FootnoteAnchor"/>
          <w:rtl w:val="true"/>
        </w:rPr>
        <w:footnoteReference w:id="1929"/>
      </w:r>
      <w:r>
        <w:rPr>
          <w:rFonts w:ascii="Amiri" w:hAnsi="Amiri" w:eastAsia="Amiri" w:cs="Amiri"/>
          <w:color w:val="111111"/>
          <w:sz w:val="28"/>
          <w:sz w:val="28"/>
          <w:szCs w:val="28"/>
          <w:rtl w:val="true"/>
          <w:lang w:bidi="ar-SA"/>
        </w:rPr>
        <w:t>وخبر أبي بصير</w:t>
      </w:r>
      <w:r>
        <w:rPr>
          <w:rStyle w:val="FootnoteAnchor"/>
          <w:rtl w:val="true"/>
        </w:rPr>
        <w:footnoteReference w:id="1930"/>
      </w:r>
      <w:r>
        <w:rPr>
          <w:rFonts w:ascii="Amiri" w:hAnsi="Amiri" w:eastAsia="Amiri" w:cs="Amiri"/>
          <w:color w:val="111111"/>
          <w:sz w:val="28"/>
          <w:sz w:val="28"/>
          <w:szCs w:val="28"/>
          <w:rtl w:val="true"/>
          <w:lang w:bidi="ar-SA"/>
        </w:rPr>
        <w:t>في عين الأعور الدية</w:t>
      </w:r>
      <w:r>
        <w:rPr>
          <w:rFonts w:eastAsia="Amiri" w:cs="Amiri" w:ascii="Amiri" w:hAnsi="Amiri"/>
          <w:color w:val="111111"/>
          <w:sz w:val="28"/>
          <w:szCs w:val="28"/>
          <w:rtl w:val="true"/>
          <w:lang w:bidi="ar-SA"/>
        </w:rPr>
        <w:t>.</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فلا نعيده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 بِالْعَيْنِ</w:t>
      </w:r>
      <w:r>
        <w:rPr>
          <w:rFonts w:ascii="IRNazanin" w:hAnsi="IRNazanin" w:eastAsia="IRNazanin"/>
          <w:color w:val="111111"/>
          <w:sz w:val="28"/>
          <w:sz w:val="28"/>
          <w:szCs w:val="28"/>
          <w:rtl w:val="true"/>
          <w:lang w:bidi="fa-IR"/>
        </w:rPr>
        <w:t>،</w:t>
      </w:r>
      <w:r>
        <w:rPr>
          <w:rStyle w:val="FootnoteAnchor"/>
          <w:rtl w:val="true"/>
        </w:rPr>
        <w:footnoteReference w:id="1932"/>
      </w:r>
      <w:r>
        <w:rPr>
          <w:rFonts w:ascii="IRNazanin" w:hAnsi="IRNazanin" w:eastAsia="IRNazanin"/>
          <w:color w:val="111111"/>
          <w:sz w:val="28"/>
          <w:sz w:val="28"/>
          <w:szCs w:val="28"/>
          <w:rtl w:val="true"/>
          <w:lang w:bidi="fa-IR"/>
        </w:rPr>
        <w:t>والأصل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بعدم عموميّة العين فإنّه مفرد معرّف، ولو سلّم خصّ بالدليل وقد ذكر مع أنّه حكاية من التوراة ولا يلزم حكمها في شرعنا، والأصل إنّما يكون حجّة مع عدم الدليل، وقد وجد</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واُجيب بأنّ الآية مقرّرة في شرعنا؛ لصحيحة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النَّفْسَ بِالنَّفْسِ وَالْعَيْنَ بِالْعَيْنِوَالأَنْفَ بِالأَنْفِ</w:t>
      </w:r>
      <w:r>
        <w:rPr>
          <w:rFonts w:ascii="IRNazanin" w:hAnsi="IRNazanin" w:eastAsia="IRNazanin"/>
          <w:color w:val="111111"/>
          <w:sz w:val="28"/>
          <w:sz w:val="28"/>
          <w:szCs w:val="28"/>
          <w:rtl w:val="true"/>
          <w:lang w:bidi="fa-IR"/>
        </w:rPr>
        <w:t>،</w:t>
      </w:r>
      <w:r>
        <w:rPr>
          <w:rStyle w:val="FootnoteAnchor"/>
          <w:rtl w:val="true"/>
        </w:rPr>
        <w:footnoteReference w:id="19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محكمة</w:t>
      </w:r>
      <w:r>
        <w:rPr>
          <w:rFonts w:eastAsia="Amiri" w:cs="Amiri" w:ascii="Amiri" w:hAnsi="Amiri"/>
          <w:color w:val="111111"/>
          <w:sz w:val="28"/>
          <w:szCs w:val="28"/>
          <w:rtl w:val="true"/>
          <w:lang w:bidi="ar-SA"/>
        </w:rPr>
        <w:t>».</w:t>
      </w:r>
      <w:r>
        <w:rPr>
          <w:rStyle w:val="FootnoteAnchor"/>
          <w:rtl w:val="true"/>
        </w:rPr>
        <w:footnoteReference w:id="1934"/>
      </w:r>
    </w:p>
    <w:p>
      <w:pPr>
        <w:pStyle w:val="BookText"/>
        <w:rPr/>
      </w:pPr>
      <w:r>
        <w:rPr>
          <w:rFonts w:ascii="IRNazanin" w:hAnsi="IRNazanin" w:eastAsia="IRNazanin"/>
          <w:color w:val="111111"/>
          <w:sz w:val="28"/>
          <w:sz w:val="28"/>
          <w:szCs w:val="28"/>
          <w:rtl w:val="true"/>
          <w:lang w:bidi="fa-IR"/>
        </w:rPr>
        <w:t>ولقوله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لَمْ يَحْكُمْ بِمَآ أَنْزَلَ اللهُ فَأُولَئكَ هُمُ الظّالِمُونَ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5"/>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مَن للعموم،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الشيء في غير موضعه، وهو حرام وتركه واجب، ولا يتمّ إلّا بالحكم بالعين في العين بلا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العمدة في ردّ الاستدلال بالآية هو التخصيص، وأمّا غيره فقد عرفت الجواب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 في الجواب عنها عدم الدلالة على حكم المسألة، إلّا حيث إنّ ما فيها من المقابلة إنّما يكون من جهة القصاص لا التعبّد، ومن المعلوم أنّ قلع إحدى العينين من الجاني ليست مقابلة بالمثل ومتابعة لجنايته على المجنيّ عليه عرفاً؛ لأنّ الجاني أذهب العين الصحيحة من الأعور مع علمه بأنّه أعور وأنّ كلّ بصره بتلك الواحدة، فقصاصه بإذهاب كلّ بصره أوّلاً وبالذات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لما يكون فيه نحو إفراط فلابدّ من الردّ يتمّ بالقصاص والمقابلة من دون شبهة الإفراط، وإلّا فعلى القول بالدلالة فتخصيصها بما ورد من الخبرين مشكل بل ممنوع؛ لأنّ الظاهر منهما بيان الحكم على القاعدة لا على خلافها على نحو التخصيص، كما يظهر من لسانهما</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فالأمر في ذلك سهل بعد وجود الرواية الصحيحة، وكونها المستند في الحكم تخصيصاً أو بياناً للقاعدة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علي</w:t>
      </w:r>
      <w:r>
        <w:rPr>
          <w:rStyle w:val="FootnoteAnchor"/>
          <w:rtl w:val="true"/>
        </w:rPr>
        <w:footnoteReference w:id="1936"/>
      </w:r>
      <w:r>
        <w:rPr>
          <w:rFonts w:ascii="Amiri" w:hAnsi="Amiri" w:eastAsia="Amiri" w:cs="Amiri"/>
          <w:color w:val="111111"/>
          <w:sz w:val="28"/>
          <w:sz w:val="28"/>
          <w:szCs w:val="28"/>
          <w:rtl w:val="true"/>
          <w:lang w:bidi="ar-SA"/>
        </w:rPr>
        <w:t xml:space="preserve">تخيير المجنيّ عليه بين قلع عيني صاحبه ودفع خمسمائة دينار، وقلع إحداهما وأخذ ذلك،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شذوذه، وعدم وضوح مستنده، ومخالفته لظاهر النصّ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فإنّ العينين إمّا أن تساويا عينه فلا ردّ، وإلّا فلا 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ما في المسالك من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الأوّل لا يخلو من قوّة، والرواية تصلح شاهداً مؤيّداً بوجوب الدية لهذه الجناية كاملة على تقدير الخطأ</w:t>
      </w:r>
      <w:r>
        <w:rPr>
          <w:rFonts w:eastAsia="Amiri" w:cs="Amiri" w:ascii="Amiri" w:hAnsi="Amiri"/>
          <w:color w:val="111111"/>
          <w:sz w:val="28"/>
          <w:szCs w:val="28"/>
          <w:rtl w:val="true"/>
          <w:lang w:bidi="ar-SA"/>
        </w:rPr>
        <w:t>.</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ضرورة صراحتها في القصاص، فمع فرض كونها صالحة دليلاً فهي حجّة فيه، وإلّا فلا فيهما معاً</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المجنيّ عليه بين أخذ الدية كاملة وبين الاقتصاص وأخذ نصفها، كما صرّح به غير واحد،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بين المتقدّمين حتّى كاد أن يكون إجماعاً منهم، بل عن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38"/>
      </w:r>
      <w:r>
        <w:rPr>
          <w:rFonts w:ascii="Amiri" w:hAnsi="Amiri" w:eastAsia="Amiri" w:cs="Amiri"/>
          <w:color w:val="111111"/>
          <w:sz w:val="28"/>
          <w:sz w:val="28"/>
          <w:szCs w:val="28"/>
          <w:rtl w:val="true"/>
          <w:lang w:bidi="ar-SA"/>
        </w:rPr>
        <w:t>وهو الحجّة بعد ظهور الخبرين</w:t>
      </w:r>
      <w:r>
        <w:rPr>
          <w:rStyle w:val="FootnoteAnchor"/>
          <w:rtl w:val="true"/>
        </w:rPr>
        <w:footnoteReference w:id="1939"/>
      </w:r>
      <w:r>
        <w:rPr>
          <w:rFonts w:ascii="Amiri" w:hAnsi="Amiri" w:eastAsia="Amiri" w:cs="Amiri"/>
          <w:color w:val="111111"/>
          <w:sz w:val="28"/>
          <w:sz w:val="28"/>
          <w:szCs w:val="28"/>
          <w:rtl w:val="true"/>
          <w:lang w:bidi="ar-SA"/>
        </w:rPr>
        <w:t>في ذلك الذي لا داعي إلى حمله على التراضي، إلّا ما سمعته في قصاص النفس من كون الواجب القود، وأنّه لا تجب الدية إلّا صلحاً الذي يمكن تخصيصه بما عرفت، بل قد يقال بذلك في مطلق قصاص الطرف، لتضمّن كثير من نصوصه التخيير المزبورالذي لا داعي إلى حمله على صورة التراضي، فلاحظ وتأ‌مّل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فليس له قلع العينين بعينه قطعاً نصاً</w:t>
      </w:r>
      <w:r>
        <w:rPr>
          <w:rStyle w:val="FootnoteAnchor"/>
          <w:rtl w:val="true"/>
        </w:rPr>
        <w:footnoteReference w:id="1940"/>
      </w:r>
      <w:r>
        <w:rPr>
          <w:rFonts w:ascii="IRNazanin" w:hAnsi="IRNazanin" w:eastAsia="IRNazanin"/>
          <w:color w:val="111111"/>
          <w:sz w:val="28"/>
          <w:sz w:val="28"/>
          <w:szCs w:val="28"/>
          <w:rtl w:val="true"/>
          <w:lang w:bidi="fa-IR"/>
        </w:rPr>
        <w:t xml:space="preserve">وفتوىً، إلّا ما سمعته من الإسكافي، كما أنّه لا يقتضي ما ذكرناه هنا الردّ عليه عند الاقتصاص منه؛ ضرورة وضوح الفرق بينهما بما أشار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أعماه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1"/>
      </w:r>
      <w:r>
        <w:rPr>
          <w:rFonts w:ascii="Amiri" w:hAnsi="Amiri" w:eastAsia="Amiri" w:cs="Amiri"/>
          <w:color w:val="111111"/>
          <w:sz w:val="28"/>
          <w:sz w:val="28"/>
          <w:szCs w:val="28"/>
          <w:rtl w:val="true"/>
          <w:lang w:bidi="ar-SA"/>
        </w:rPr>
        <w:t>ولعلّه لكونه عادياً هناك لم يستحقّ شيئاً، بخلافه هنا، فإنّه معتدى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الحكم بما تكون لعين الأعور دية كاملة كما كان خلقة أو بآفة من الله تعالى، دون ما إذا قلع عينه قصاصاً ممّا ليس له إلّا نصف الديه بلا خلاف أجده فيه، على ما في الجواهر،</w:t>
      </w:r>
      <w:r>
        <w:rPr>
          <w:rStyle w:val="FootnoteAnchor"/>
          <w:rtl w:val="true"/>
        </w:rPr>
        <w:footnoteReference w:id="1942"/>
      </w:r>
      <w:r>
        <w:rPr>
          <w:rFonts w:ascii="IRNazanin" w:hAnsi="IRNazanin" w:eastAsia="IRNazanin"/>
          <w:color w:val="111111"/>
          <w:sz w:val="28"/>
          <w:sz w:val="28"/>
          <w:szCs w:val="28"/>
          <w:rtl w:val="true"/>
          <w:lang w:bidi="fa-IR"/>
        </w:rPr>
        <w:t>بل عن الخلاف</w:t>
      </w:r>
      <w:r>
        <w:rPr>
          <w:rStyle w:val="FootnoteAnchor"/>
          <w:rtl w:val="true"/>
        </w:rPr>
        <w:footnoteReference w:id="1943"/>
      </w:r>
      <w:r>
        <w:rPr>
          <w:rFonts w:ascii="Amiri" w:hAnsi="Amiri" w:eastAsia="Amiri" w:cs="Amiri"/>
          <w:color w:val="111111"/>
          <w:sz w:val="28"/>
          <w:sz w:val="28"/>
          <w:szCs w:val="28"/>
          <w:rtl w:val="true"/>
          <w:lang w:bidi="ar-SA"/>
        </w:rPr>
        <w:t>والغنية</w:t>
      </w:r>
      <w:r>
        <w:rPr>
          <w:rFonts w:eastAsia="Amiri" w:cs="Amiri" w:ascii="Amiri" w:hAnsi="Amiri"/>
          <w:color w:val="111111"/>
          <w:sz w:val="28"/>
          <w:szCs w:val="28"/>
          <w:rtl w:val="true"/>
          <w:lang w:bidi="ar-SA"/>
        </w:rPr>
        <w:t>:</w:t>
      </w:r>
      <w:r>
        <w:rPr>
          <w:rStyle w:val="FootnoteAnchor"/>
          <w:rtl w:val="true"/>
        </w:rPr>
        <w:footnoteReference w:id="1944"/>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إطلاق النصوص أنّ في العين نصف الدية المعتضد بالاعتبار، وبوضوح الفرق بين الخلقي وما ألحق به المشابه للأنف ونحوه ممّا هو عضو واحد، وبين المستوفى عوضها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وجه للاقتصاص إلّا بالعين الواحدة المقابلة لعين الأعور كذلك فإنّ في كليهما نصف الدية، ولا وجه لكونهما مشمولاً لصحيح ابن قيس</w:t>
      </w:r>
      <w:r>
        <w:rPr>
          <w:rStyle w:val="FootnoteAnchor"/>
          <w:rtl w:val="true"/>
        </w:rPr>
        <w:footnoteReference w:id="1945"/>
      </w:r>
      <w:r>
        <w:rPr>
          <w:rFonts w:ascii="IRNazanin" w:hAnsi="IRNazanin" w:eastAsia="IRNazanin"/>
          <w:color w:val="111111"/>
          <w:sz w:val="28"/>
          <w:sz w:val="28"/>
          <w:szCs w:val="28"/>
          <w:rtl w:val="true"/>
          <w:lang w:bidi="fa-IR"/>
        </w:rPr>
        <w:t>وخبر عبدالله،</w:t>
      </w:r>
      <w:r>
        <w:rPr>
          <w:rStyle w:val="FootnoteAnchor"/>
          <w:rtl w:val="true"/>
        </w:rPr>
        <w:footnoteReference w:id="1946"/>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bookmarkStart w:id="438" w:name="pg9428_72943"/>
    </w:p>
    <w:p>
      <w:pPr>
        <w:pStyle w:val="BookText"/>
        <w:rPr/>
      </w:pPr>
      <w:bookmarkEnd w:id="4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عيناً عمياء قائمة فلا يقتصّ منه، وعليه ثلث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439" w:name="__RefHeading___Toc5797695_2870459653"/>
      <w:bookmarkStart w:id="440" w:name="_Toc148"/>
      <w:bookmarkEnd w:id="439"/>
      <w:r>
        <w:rPr>
          <w:rtl w:val="true"/>
        </w:rPr>
        <w:t>عدم القصاص في العين العمياء القائمة</w:t>
      </w:r>
      <w:bookmarkEnd w:id="4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القصاص في قلع العين العمياء القائمة إجماعي؛ لنقصها، وأمّا أنّ عليه ثلث الدية أو ربعها ففيه روايتان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بريد بن معاوية،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لسان الأخرس وعين الأعمى وذكر الخصيّ وأُنثييه ثلث الدية</w:t>
      </w:r>
      <w:r>
        <w:rPr>
          <w:rFonts w:eastAsia="IRNazanin" w:cs="IRNazanin"/>
          <w:color w:val="111111"/>
          <w:sz w:val="28"/>
          <w:szCs w:val="28"/>
          <w:rtl w:val="true"/>
          <w:lang w:bidi="fa-IR"/>
        </w:rPr>
        <w:t>».</w:t>
      </w:r>
      <w:r>
        <w:rPr>
          <w:rStyle w:val="FootnoteAnchor"/>
          <w:rtl w:val="true"/>
        </w:rPr>
        <w:footnoteReference w:id="1947"/>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ومثلها صحيحة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بعض آل زرارة عن رجل قطع لسان رجل أخرس،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ولدته أُمّه وهو أخرس فعليه ثلث الدية، وإن كان لسانه ذهب به وجع أو آفة بعدما كان يتكلّم فإنّ على الذي قطع لسانه ثلث دية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القضاء في العينين والجوارح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وهكذا وجدناه 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48"/>
      </w:r>
      <w:r>
        <w:rPr>
          <w:rFonts w:ascii="Amiri" w:hAnsi="Amiri" w:eastAsia="Amiri" w:cs="Amiri"/>
          <w:color w:val="111111"/>
          <w:sz w:val="28"/>
          <w:sz w:val="28"/>
          <w:szCs w:val="28"/>
          <w:rtl w:val="true"/>
          <w:lang w:bidi="ar-SA"/>
        </w:rPr>
        <w:t>وإلى هذا ذهب الأكثر،</w:t>
      </w:r>
      <w:r>
        <w:rPr>
          <w:rStyle w:val="FootnoteAnchor"/>
          <w:rtl w:val="true"/>
        </w:rPr>
        <w:footnoteReference w:id="1949"/>
      </w:r>
      <w:r>
        <w:rPr>
          <w:rFonts w:ascii="Amiri" w:hAnsi="Amiri" w:eastAsia="Amiri" w:cs="Amiri"/>
          <w:color w:val="111111"/>
          <w:sz w:val="28"/>
          <w:sz w:val="28"/>
          <w:szCs w:val="28"/>
          <w:rtl w:val="true"/>
          <w:lang w:bidi="ar-SA"/>
        </w:rPr>
        <w:t>ومنهم الشيخ وأتباعه،</w:t>
      </w:r>
      <w:r>
        <w:rPr>
          <w:rStyle w:val="FootnoteAnchor"/>
          <w:rtl w:val="true"/>
        </w:rPr>
        <w:footnoteReference w:id="19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أذهب الضوء دون الحدقة اقتصّ منه بالمماثل بما أمكن إذهاب الضوء مع بقاء الحدقة، فيرجع إلى حذّاق الأطبّاء ليفعلوا به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على أجفانه قطن مبلول، ثمّ تُحمى المرآة وتقابل بالشمس، ثمّ يفتح عيناه ويكلّف بالنظر إليها حتّى يذهب النظر وتبقى الحدقة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w:t>
      </w:r>
    </w:p>
    <w:p>
      <w:pPr>
        <w:pStyle w:val="BookText"/>
        <w:rPr/>
      </w:pPr>
      <w:r>
        <w:rPr>
          <w:rFonts w:ascii="Amiri" w:hAnsi="Amiri" w:eastAsia="Amiri" w:cs="Amiri"/>
          <w:color w:val="111111"/>
          <w:sz w:val="28"/>
          <w:sz w:val="28"/>
          <w:szCs w:val="28"/>
          <w:rtl w:val="true"/>
          <w:lang w:bidi="ar-SA"/>
        </w:rPr>
        <w:t>والمحقّق في الشرائع ،</w:t>
      </w:r>
      <w:r>
        <w:rPr>
          <w:rStyle w:val="FootnoteAnchor"/>
          <w:rtl w:val="true"/>
        </w:rPr>
        <w:footnoteReference w:id="1951"/>
      </w:r>
      <w:r>
        <w:rPr>
          <w:rFonts w:ascii="Amiri" w:hAnsi="Amiri" w:eastAsia="Amiri" w:cs="Amiri"/>
          <w:color w:val="111111"/>
          <w:sz w:val="28"/>
          <w:sz w:val="28"/>
          <w:szCs w:val="28"/>
          <w:rtl w:val="true"/>
          <w:lang w:bidi="ar-SA"/>
        </w:rPr>
        <w:t>والعلّامة في إرشاد الأذهان</w:t>
      </w:r>
      <w:r>
        <w:rPr>
          <w:rStyle w:val="FootnoteAnchor"/>
          <w:rtl w:val="true"/>
        </w:rPr>
        <w:footnoteReference w:id="1952"/>
      </w:r>
      <w:r>
        <w:rPr>
          <w:rFonts w:ascii="IRNazanin" w:hAnsi="IRNazanin" w:eastAsia="IRNazanin"/>
          <w:color w:val="111111"/>
          <w:sz w:val="28"/>
          <w:sz w:val="28"/>
          <w:szCs w:val="28"/>
          <w:rtl w:val="true"/>
          <w:lang w:bidi="fa-IR"/>
        </w:rPr>
        <w:t>والمختلف</w:t>
      </w:r>
      <w:r>
        <w:rPr>
          <w:rFonts w:eastAsia="IRNazanin" w:cs="IRNazanin"/>
          <w:color w:val="111111"/>
          <w:sz w:val="28"/>
          <w:szCs w:val="28"/>
          <w:rtl w:val="true"/>
          <w:lang w:bidi="fa-IR"/>
        </w:rPr>
        <w:t>.</w:t>
      </w:r>
      <w:r>
        <w:rPr>
          <w:rStyle w:val="FootnoteAnchor"/>
          <w:rtl w:val="true"/>
        </w:rPr>
        <w:footnoteReference w:id="1953"/>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عبدالله بن سليمان،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فقأ عين رجل ذاهبة، وهي قائمة،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ربع دية العين</w:t>
      </w:r>
      <w:r>
        <w:rPr>
          <w:rFonts w:eastAsia="IRNazanin" w:cs="IRNazanin"/>
          <w:color w:val="111111"/>
          <w:sz w:val="28"/>
          <w:szCs w:val="28"/>
          <w:rtl w:val="true"/>
          <w:lang w:bidi="fa-IR"/>
        </w:rPr>
        <w:t>».</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وبمضمونها عمل المفيد</w:t>
      </w:r>
      <w:r>
        <w:rPr>
          <w:rStyle w:val="FootnoteAnchor"/>
          <w:rtl w:val="true"/>
        </w:rPr>
        <w:footnoteReference w:id="1955"/>
      </w:r>
      <w:r>
        <w:rPr>
          <w:rFonts w:ascii="Amiri" w:hAnsi="Amiri" w:eastAsia="Amiri" w:cs="Amiri"/>
          <w:color w:val="111111"/>
          <w:sz w:val="28"/>
          <w:sz w:val="28"/>
          <w:szCs w:val="28"/>
          <w:rtl w:val="true"/>
          <w:lang w:bidi="ar-SA"/>
        </w:rPr>
        <w:t>وسلّار،</w:t>
      </w:r>
      <w:r>
        <w:rPr>
          <w:rStyle w:val="FootnoteAnchor"/>
          <w:rtl w:val="true"/>
        </w:rPr>
        <w:footnoteReference w:id="1956"/>
      </w:r>
      <w:r>
        <w:rPr>
          <w:rFonts w:ascii="Amiri" w:hAnsi="Amiri" w:eastAsia="Amiri" w:cs="Amiri"/>
          <w:color w:val="111111"/>
          <w:sz w:val="28"/>
          <w:sz w:val="28"/>
          <w:szCs w:val="28"/>
          <w:rtl w:val="true"/>
          <w:lang w:bidi="ar-SA"/>
        </w:rPr>
        <w:t>وهي ضعيفة السند بأبي جميلة المفضّل بن صالح، وعبدالله بن سليمان مجهول الحال، فالعمل بالصحيح متعيّن</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هذا روي أيضاً بهذا الإسناد عن عبدالله بن أبي جعفر،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العين العوراء تكون قائمة فتخسف،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فيها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الدية في العينالصحيحة</w:t>
      </w:r>
      <w:r>
        <w:rPr>
          <w:rFonts w:eastAsia="IRNazanin" w:cs="IRNazanin"/>
          <w:color w:val="111111"/>
          <w:sz w:val="28"/>
          <w:szCs w:val="28"/>
          <w:rtl w:val="true"/>
          <w:lang w:bidi="fa-IR"/>
        </w:rPr>
        <w:t>».</w:t>
      </w:r>
      <w:r>
        <w:rPr>
          <w:rStyle w:val="FootnoteAnchor"/>
          <w:rtl w:val="true"/>
        </w:rPr>
        <w:footnoteReference w:id="1957"/>
      </w:r>
      <w:bookmarkStart w:id="441" w:name="pg9428_72945"/>
    </w:p>
    <w:p>
      <w:pPr>
        <w:pStyle w:val="BookText"/>
        <w:rPr/>
      </w:pPr>
      <w:bookmarkEnd w:id="441"/>
      <w:r>
        <w:rPr>
          <w:rFonts w:ascii="Amiri" w:hAnsi="Amiri" w:eastAsia="Amiri" w:cs="Amiri"/>
          <w:color w:val="111111"/>
          <w:sz w:val="28"/>
          <w:sz w:val="28"/>
          <w:szCs w:val="28"/>
          <w:rtl w:val="true"/>
          <w:lang w:bidi="ar-SA"/>
        </w:rPr>
        <w:t>إذهاب الضوء إلّا بإيقاع جناية أُخرى كالتسميل ونحوه سقط القصاص وعليه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مشاركة مع السابقة في الضعف وزيادة</w:t>
      </w:r>
      <w:r>
        <w:rPr>
          <w:rFonts w:eastAsia="Amiri" w:cs="Amiri" w:ascii="Amiri" w:hAnsi="Amiri"/>
          <w:color w:val="111111"/>
          <w:sz w:val="28"/>
          <w:szCs w:val="28"/>
          <w:rtl w:val="true"/>
          <w:lang w:bidi="ar-SA"/>
        </w:rPr>
        <w:t>.</w:t>
      </w:r>
    </w:p>
    <w:p>
      <w:pPr>
        <w:pStyle w:val="Heading2"/>
        <w:numPr>
          <w:ilvl w:val="1"/>
          <w:numId w:val="1"/>
        </w:numPr>
        <w:rPr/>
      </w:pPr>
      <w:bookmarkStart w:id="442" w:name="__RefHeading___Toc5797697_2870459653"/>
      <w:bookmarkStart w:id="443" w:name="_Toc149"/>
      <w:bookmarkEnd w:id="442"/>
      <w:r>
        <w:rPr>
          <w:rtl w:val="true"/>
        </w:rPr>
        <w:t>كيفيّة القصاص في إذهاب ضوء العين</w:t>
      </w:r>
      <w:bookmarkEnd w:id="4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الضوء بالجناية وبقيت العين، فالواجب في القصاص المماثلة، كغيره؛ بأن يذهب من عين الجاني الضوء مع بقاء الحدقة كيف اتّفق، فيرجع إلى حذّاق الأطبّاء ليفعلوا به ما ذكر،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يوافق الأصل ويقتضيه عموم الأدلّة</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 بتخصيصه بما قيل في طريقه بأن يطرح على أجفانه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المستند في ذلك إلى رواية رفاعة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عثمان أتاه رجل من قيس بمولى له قد لطم عينه فأنزل الماء فيها وهي قائمة ليس يبصر بها شيئاً،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أعطيك الدية، فأبى،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بهما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احكم بين هذين، فأعطاه الدية فأبى،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يزالوا يعطونه حتّى أعطوه ديتين،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أريد إلّا القصاص،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بمرآة فحماها، ثمّ دعا بكرسف</w:t>
      </w:r>
      <w:r>
        <w:rPr>
          <w:rStyle w:val="FootnoteAnchor"/>
          <w:rtl w:val="true"/>
        </w:rPr>
        <w:footnoteReference w:id="1958"/>
      </w:r>
      <w:r>
        <w:rPr>
          <w:rFonts w:ascii="Amiri" w:hAnsi="Amiri" w:eastAsia="Amiri" w:cs="Amiri"/>
          <w:color w:val="111111"/>
          <w:sz w:val="28"/>
          <w:sz w:val="28"/>
          <w:szCs w:val="28"/>
          <w:rtl w:val="true"/>
          <w:lang w:bidi="ar-SA"/>
        </w:rPr>
        <w:t>فبله، ثمّ جعله على أشفار عينيه وعلى حواليها، ثمّ استقبل بعينه عين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بالمرآة،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فنظر فذاب الشحم وبقيت عينه قائمة وذهب البصر</w:t>
      </w:r>
      <w:r>
        <w:rPr>
          <w:rFonts w:eastAsia="Amiri" w:cs="Amiri" w:ascii="Amiri" w:hAnsi="Amiri"/>
          <w:color w:val="111111"/>
          <w:sz w:val="28"/>
          <w:szCs w:val="28"/>
          <w:rtl w:val="true"/>
          <w:lang w:bidi="ar-SA"/>
        </w:rPr>
        <w:t>»</w:t>
      </w:r>
      <w:r>
        <w:rPr>
          <w:rStyle w:val="FootnoteAnchor"/>
          <w:rtl w:val="true"/>
        </w:rPr>
        <w:footnoteReference w:id="1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استظهر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العين الصحيحة بالعمشاء والحولاء والخفشاء والجهراء والعشياء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وغيره، بل لعلّ نسبة الشرائع</w:t>
      </w:r>
      <w:r>
        <w:rPr>
          <w:rStyle w:val="FootnoteAnchor"/>
          <w:rtl w:val="true"/>
        </w:rPr>
        <w:footnoteReference w:id="1960"/>
      </w:r>
      <w:r>
        <w:rPr>
          <w:rFonts w:ascii="Amiri" w:hAnsi="Amiri" w:eastAsia="Amiri" w:cs="Amiri"/>
          <w:color w:val="111111"/>
          <w:sz w:val="28"/>
          <w:sz w:val="28"/>
          <w:szCs w:val="28"/>
          <w:rtl w:val="true"/>
          <w:lang w:bidi="ar-SA"/>
        </w:rPr>
        <w:t>والشهيد</w:t>
      </w:r>
      <w:r>
        <w:rPr>
          <w:rStyle w:val="FootnoteAnchor"/>
          <w:rtl w:val="true"/>
        </w:rPr>
        <w:footnoteReference w:id="1961"/>
      </w:r>
      <w:r>
        <w:rPr>
          <w:rFonts w:ascii="Amiri" w:hAnsi="Amiri" w:eastAsia="Amiri" w:cs="Amiri"/>
          <w:color w:val="111111"/>
          <w:sz w:val="28"/>
          <w:sz w:val="28"/>
          <w:szCs w:val="28"/>
          <w:rtl w:val="true"/>
          <w:lang w:bidi="ar-SA"/>
        </w:rPr>
        <w:t>له إلى القيل مشعرٌ بذلك،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الخلاف</w:t>
      </w:r>
      <w:r>
        <w:rPr>
          <w:rStyle w:val="FootnoteAnchor"/>
          <w:rtl w:val="true"/>
        </w:rPr>
        <w:footnoteReference w:id="1962"/>
      </w:r>
      <w:r>
        <w:rPr>
          <w:rFonts w:ascii="Amiri" w:hAnsi="Amiri" w:eastAsia="Amiri" w:cs="Amiri"/>
          <w:color w:val="111111"/>
          <w:sz w:val="28"/>
          <w:sz w:val="28"/>
          <w:szCs w:val="28"/>
          <w:rtl w:val="true"/>
          <w:lang w:bidi="ar-SA"/>
        </w:rPr>
        <w:t>على إجماع الفرقة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والقول باستيفائه على هذا الوجه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3"/>
      </w:r>
      <w:r>
        <w:rPr>
          <w:rFonts w:ascii="Amiri" w:hAnsi="Amiri" w:eastAsia="Amiri" w:cs="Amiri"/>
          <w:color w:val="111111"/>
          <w:sz w:val="28"/>
          <w:sz w:val="28"/>
          <w:szCs w:val="28"/>
          <w:rtl w:val="true"/>
          <w:lang w:bidi="ar-SA"/>
        </w:rPr>
        <w:t>وإن كان هو واضح الضعف؛ وذلك لعدم الدلالة في الخبر على التعيين على وجهٍ يصلح مقيّداً لإطلاق الأدلّة، بعد أن كان قضيّة في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في المبسوط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يستوفی بما يمكن من حديدة حارّة، أو دواء يذرّ فيها من كافور وغيره</w:t>
      </w:r>
      <w:r>
        <w:rPr>
          <w:rFonts w:eastAsia="IRNazanin" w:cs="IRNazanin"/>
          <w:color w:val="111111"/>
          <w:sz w:val="28"/>
          <w:szCs w:val="28"/>
          <w:rtl w:val="true"/>
          <w:lang w:bidi="fa-IR"/>
        </w:rPr>
        <w:t>.</w:t>
      </w:r>
      <w:r>
        <w:rPr>
          <w:rStyle w:val="FootnoteAnchor"/>
          <w:rtl w:val="true"/>
        </w:rPr>
        <w:footnoteReference w:id="1964"/>
      </w:r>
      <w:r>
        <w:rPr>
          <w:rFonts w:ascii="Amiri" w:hAnsi="Amiri" w:eastAsia="Amiri" w:cs="Amiri"/>
          <w:color w:val="111111"/>
          <w:sz w:val="28"/>
          <w:sz w:val="28"/>
          <w:szCs w:val="28"/>
          <w:rtl w:val="true"/>
          <w:lang w:bidi="ar-SA"/>
        </w:rPr>
        <w:t>هذا، مع ما في سنده من الضعف بالإهمال في سليمان الدهان</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الاقتصاص إطلاق أدلّته عموماً، وإطلاق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وَالْعَيْنَ بِالْعَيْنِ</w:t>
      </w:r>
      <w:r>
        <w:rPr>
          <w:rStyle w:val="FootnoteAnchor"/>
          <w:rtl w:val="true"/>
        </w:rPr>
        <w:footnoteReference w:id="1965"/>
      </w:r>
      <w:r>
        <w:rPr>
          <w:rFonts w:ascii="Amiri" w:hAnsi="Amiri" w:eastAsia="Amiri" w:cs="Amiri"/>
          <w:color w:val="111111"/>
          <w:sz w:val="28"/>
          <w:sz w:val="28"/>
          <w:szCs w:val="28"/>
          <w:rtl w:val="true"/>
          <w:lang w:bidi="ar-SA"/>
        </w:rPr>
        <w:t>خصوصاً، وأنّ التفاوت بين الصحيحة وتلك الأقسام بالنفع لا بالعين وشخصها حتّى يكون مانعاً عن شمول الإطلاق، فإنّ الحول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اعوجاج، والعمش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 في الأجفان يقتضي سيلان الدمع غالباً، والخفش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حدّة في البصر، بحيث يرى من بعد، أو عدم البصر في الليل خاصّة، أو في يوم غيم، أو فساد الأجفان، أو صغر العين، والجهر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البصر نهاراً، ضدّ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القصاص لشعر الحاجب والرأس واللحية والأهداب ونحوها تأ‌مّل؛ وإن لا يخلو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جنى على المحلّ بجرح ونحوه يقتصّ منه مع الإمكان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في الأجفان مع التساوي في المحلّ، ولو خلت أجفان المجنيّ عليه عن الأهداب ففي القصاص وجهان، لا يبعد عدم ثبوته، فعليه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الأنف قصاص، ويقتصّ الأنف الشامّ بعادمه، والصحيح بالمجذوم ما لم يتناثر منه شيء، وإلّا فيقتصّ بمقدار غير المتناثر، والصغير والكبير والأفطس والأشمّ والأقنى سواء، والظاهر عدم اقتصاص الصحيح بالمستحشف</w:t>
      </w:r>
    </w:p>
    <w:p>
      <w:pPr>
        <w:pStyle w:val="BookText"/>
        <w:rPr/>
      </w:pPr>
      <w:r>
        <w:rPr>
          <w:rFonts w:ascii="Amiri" w:hAnsi="Amiri" w:eastAsia="Amiri" w:cs="Amiri"/>
          <w:color w:val="111111"/>
          <w:sz w:val="28"/>
          <w:sz w:val="28"/>
          <w:szCs w:val="28"/>
          <w:rtl w:val="true"/>
          <w:lang w:bidi="ar-SA"/>
        </w:rPr>
        <w:t>عدم البصر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الأدلّة مقتض للقصاص في شعر تلك الموارد كشعر غيرها، بل عن التحرير</w:t>
      </w:r>
      <w:r>
        <w:rPr>
          <w:rFonts w:eastAsia="Amiri" w:cs="Amiri" w:ascii="Amiri" w:hAnsi="Amiri"/>
          <w:color w:val="111111"/>
          <w:sz w:val="28"/>
          <w:szCs w:val="28"/>
          <w:rtl w:val="true"/>
          <w:lang w:bidi="ar-SA"/>
        </w:rPr>
        <w:t>:</w:t>
      </w:r>
      <w:r>
        <w:rPr>
          <w:rStyle w:val="FootnoteAnchor"/>
          <w:rtl w:val="true"/>
        </w:rPr>
        <w:footnoteReference w:id="1966"/>
      </w:r>
      <w:r>
        <w:rPr>
          <w:rFonts w:ascii="Amiri" w:hAnsi="Amiri" w:eastAsia="Amiri" w:cs="Amiri"/>
          <w:color w:val="111111"/>
          <w:sz w:val="28"/>
          <w:sz w:val="28"/>
          <w:szCs w:val="28"/>
          <w:rtl w:val="true"/>
          <w:lang w:bidi="ar-SA"/>
        </w:rPr>
        <w:t>القطع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التأ‌مّل ما عن القواعد من قوله في شعر الرأس واللحية والحاجبين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إشكال ينشأ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يفسد المنبت فالشعر يعود، وإن أفسده فالجناية على البشرة والشعر تابع</w:t>
      </w:r>
      <w:r>
        <w:rPr>
          <w:rFonts w:eastAsia="Amiri" w:cs="Amiri" w:ascii="Amiri" w:hAnsi="Amiri"/>
          <w:color w:val="111111"/>
          <w:sz w:val="28"/>
          <w:szCs w:val="28"/>
          <w:rtl w:val="true"/>
          <w:lang w:bidi="ar-SA"/>
        </w:rPr>
        <w:t>.</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أي إن كان إفساده بما يمكن الاقتصاص له اقتصّ، وهو قصاص للبشرة لا الشعر، وإلّا تعيّنت دية الشعر على التفصيل الآتي في محلّه وأرش البشرة إن جرحت</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عود الشعر غير مناف للقصاص، كما هو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هو كالشلل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ويقتصّ بقطع المارن وبقطع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لان من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المارن مع بعض القصبة، فهل يقتصّ المجموع، أو يقتصّ المارن وفي القصبة حكومة؟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القصاص ما لم يصل القصبة إلى العظم، فيقتصّ الغضروف مع المارن، ولا يقتصّ العظم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المنخر بالمنخر مع تساوي المحلّ، فتقتصّ اليمنى باليمنى واليسرى باليسرى، وكذا يقتصّ الحاجز بالحاجز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بعض الأنف قيس المقطوع إلى أصله واقتصّ من الجاني بحسابه، فلو قطع بعض المارن قيس إلى تمامه، فإن كان نصفاً يقطع من الجاني النصف أو ثلثاً فالثلث، ولا ينظر إلى عظم المارن وصغره، أو قيس إلى تمام الأنف، فيقطع بحسابه؛ لئلّا يستوعب أنف الجاني إن كان صغيراً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الشفة بالشفة مع تساوي المحلّ، فالشفة العليا بالعليا والسفلى بالسفلى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وتستوي الطويلة والقصيرة، والكبيرة والصغيرة، والصحيحة والمريضة ما لم يصل إلى الشلل، والغليظة والرقيقة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بعضها فحساب المساحة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حدّ الشفة في كتاب الديات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في اللسان وبعضه ببعضه بشرط التساوي في النطق، فلا يقطع الناطق بالأخرس، ويقطع الأخرس بالناطق وبالأخرس، والفصيح بغيره، والخفيف بالثقيل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لسان طفل يقتصّ به إلّا مع إثبات خرسه، ولو ظهر فيه علامات الخرس ففيه الدية</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ثدي المرأة وحلمته قصاص، فلو قطعت امرأة ثديأُخرى أو حلمة ثديها يقتصّ منها، وكذا في حلمة الرجل القصاص، فلو قطع حلمته يقتصّ منه مع تساوي المحلّ، فاليمنى باليمنى، واليسرى باليسرى، ولو قطع الرجل </w:t>
      </w:r>
    </w:p>
    <w:p>
      <w:pPr>
        <w:pStyle w:val="BookText"/>
        <w:rPr/>
      </w:pPr>
      <w:r>
        <w:rPr>
          <w:rFonts w:ascii="Amiri" w:hAnsi="Amiri" w:eastAsia="Amiri" w:cs="Amiri"/>
          <w:color w:val="111111"/>
          <w:sz w:val="28"/>
          <w:sz w:val="28"/>
          <w:szCs w:val="28"/>
          <w:rtl w:val="true"/>
          <w:lang w:bidi="ar-SA"/>
        </w:rPr>
        <w:t>حلمة ثدي المرأة فلها القصاص من غير 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 قصاص بشرط تساوي المحلّ، فلا يقلع ما في الفكّ الأعلى بما في الأسفل ولا العكس، ولا ما في اليمين باليسار وبالعكس، ولا يقلع الثنيّة بالرباعية أو الطاحن أو الناب أو الضاحك وبالعكس، ولا تقلع الأصليّة بالزائدة، ولا الزائدة بالأصليّة، ولا الزائدة بالزائدة مع اختلاف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المقلوعة سنّ مثّغر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أصليّ نبت بعد سقوط أسنان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القصاص، وهل في كسرها القصاص أو الدية والأرش؟ وجهان، الأقرب الأوّل، لكن لابدّ في الاقتصاص كسرها بما يحصل به المماثلة كالآلات الحديثة، ولا يضرب بما يكسرها لعدم حصولها نوعاً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عادت المقلوعة قبل القصاص فهل يسقط القصاص أم لا؟ الأشبه الثاني، والمشهور الأوّل، ولا محيص عن الاحتياط بعدم القصاص، فحينئذٍ لو كان العائدة ناقصة متغيّرة ففيها الحكومة، وإن عادت كما كانت، فلا شيء غير التعزير إلّا مع حصول نقص، ففيه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عادت بعد القصاص فعليه غرامتها للجاني بناءً على سقوط القصاص إلّا مع عود سنّ الجاني أيضاً، وتستعاد الدية لو أخذها صلحاً، ولو اقتصّ وعادت سنّ الجاني ليس للمجنيّ عليه إزالتها، ولو عادت سنّ المجنيّ عليه ليس للجاني إزالتها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قلع سنّ الصبيّ ينتظر به مدّة جرت العادة بالإنباتفيها، فإن عادت ففيها الأرش على قول معروف، ولا يبعد أن يكون في كلّ سنّ منه بعير، وإن لم تعد ففيها القصاص</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القصاص في قطع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ويتساوى في ذلك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 xml:space="preserve">رضيعاً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والكبير بلغ كبره ما بلغ، والفحل والذي سلّت خصيتاه إذا لم يؤدّ إلى شلل فيه، والأغلف والمختون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يقطع الصحيح بذكر العنّين ومن في ذكره شلل، ويقطع ذكر العنّين بالصحيح والمشلول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يثبت في قطع الحشفة، فتقطع الحشفة بالحشفة، وفي بعضها أو الزائد عليها استوفي بالقياس إلى الأصل، إن نصفاً فنصفاً وإن ثلثاً فثلثاً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الخصيتين قصاص، وكذا في إحداهما مع التساوي في المحلّ، فتقتصّ اليمنى باليمنى، واليسرى باليسرى، ولو خشي ذهاب منفعة الأُخرى تُؤخذ الدية، ولا يجوز القصاص إلّا أن يكون في عمل الجاني ذهاب المنفعة فيُقتصّ، فلو لم تذهب بالقصاص منفعة الأُخرى مع ذهابها بفعل الجاني، فإن أمكن إذهابها مع قيام العين يجوز القصاص، وإلّا فعليه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الذكر والخصيتين اقتصّ منه؛ سواء قطعهما على التعاقب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الشفرين القصاص، والمراد بهما اللحم المحيط بالفرج إحاطة الشفتين بالفم، وكذا في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وتتساوى فيه البكر والثيّب، والصغيرة والكبيرة، والصحيحة والرتقاء والقرناء والعفلاء والمختونة وغيرها، والمفضاة والسليمة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يقتصّ الصحيحة بالشلّاء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والقصاص في الشفرين إنّما هو فيما جنت عليها المرأة، ولو كان الجاني عليها رجلاً فلا قصاص عليه، وعليه الدية، وفي رواية غير معتمد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يؤدّ إليها الدية قطع لها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قطعت المرأة ذكر الرجل أو خصيته لا قصاص عليها، وعليها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ما في المسألة السابعة والعشرين إلى الحادي والأربعين من القواعد والعمومات والأُصول واضحة مغنية عن البيان، فإنّها قد مضت مكرّرة في المسائل السابقة</w:t>
      </w:r>
      <w:r>
        <w:rPr>
          <w:rFonts w:eastAsia="Amiri" w:cs="Amiri" w:ascii="Amiri" w:hAnsi="Amiri"/>
          <w:color w:val="111111"/>
          <w:sz w:val="28"/>
          <w:szCs w:val="28"/>
          <w:rtl w:val="true"/>
          <w:lang w:bidi="ar-SA"/>
        </w:rPr>
        <w:t xml:space="preserve">. </w:t>
      </w:r>
      <w:bookmarkStart w:id="444" w:name="pg9428_72951"/>
    </w:p>
    <w:p>
      <w:pPr>
        <w:pStyle w:val="BookText"/>
        <w:rPr/>
      </w:pPr>
      <w:bookmarkEnd w:id="4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أزالت بكر بكارة أُخرى فالظاهر القصاص، وقيل بالدية، وهو وجيهٌ مع عدم إمكان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تثبت الدية في كلّ مورد تعذّر المماثلة والمساواة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من كان يده ناقصة بإصبع أو أزيد يداً كاملة صحيحة فللمجنيّ عليه القصاص، فهل له بعد القطع أخذ دية ما نقص عن يد الجاني؟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يكون قطع إصبعه بجناية وأخذ ديتها أو استحقّها، وأمّا إذا كانت مفقودة خلقة أو بآفة لم يستحقّ المقتصّ شيئاً، والأشبه أنّ له الدية مطلقاً، ولو قطع الصحيح الناقص عكس ما تقدّم، فهل تقطع يد الجاني بعد أداء دية ما نقص من المجنيّ عليه، أو لا يقتصّ وعليه الدية أو يقتصّ ما وجد وفي الباقي الحكومة؟ وجوه، والمسألة مشكلة مرّ نظيرها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القصاص عموم الأدلّة، ووجه الدية مع عدم إمكان المساواة، عدم إمكان القصاص فتصل النوبة إلى الدية، فإنّها الأصل في كلّ مورد تعذّر المماثلة والمساواة؛ قضاءً لقاعدة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الظاهر كون المراد من الدية الأعمّ منها ومن الأرش، فإنّ الظاهر عدم ثبوت الدية في جميع الموارد، وقاعدة الضمان مشتركة بينهما ومقتضية لهما، كما لا يخفى</w:t>
      </w:r>
      <w:r>
        <w:rPr>
          <w:rFonts w:eastAsia="Amiri" w:cs="Amiri" w:ascii="Amiri" w:hAnsi="Amiri"/>
          <w:color w:val="111111"/>
          <w:sz w:val="28"/>
          <w:szCs w:val="28"/>
          <w:rtl w:val="true"/>
          <w:lang w:bidi="ar-SA"/>
        </w:rPr>
        <w:t>.</w:t>
      </w:r>
    </w:p>
    <w:p>
      <w:pPr>
        <w:pStyle w:val="Heading2"/>
        <w:numPr>
          <w:ilvl w:val="1"/>
          <w:numId w:val="1"/>
        </w:numPr>
        <w:rPr/>
      </w:pPr>
      <w:bookmarkStart w:id="445" w:name="__RefHeading___Toc5797699_2870459653"/>
      <w:bookmarkStart w:id="446" w:name="_Toc150"/>
      <w:bookmarkEnd w:id="445"/>
      <w:r>
        <w:rPr>
          <w:rtl w:val="true"/>
        </w:rPr>
        <w:t>حكم تفاوت العضو في الجاني والمجنيّ عليه</w:t>
      </w:r>
      <w:bookmarkEnd w:id="446"/>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العضوين بالعدد قد يكون بالنقصان في طرف الجاني، وقديكون بالنقصان في طرف المجنيّ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في طرف الجاني، كما لو كانت يده ناقصة بإصبع وقد قطع يداً كاملة، فإن أخذ المجنيّ عليه دية اليد أخذها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اختار القصاص فلا إشكال في جواز قطعه لليد الناقصة؛ لأنّها حقّه فما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يأخذ دية الإصبع الناقصة؟</w:t>
      </w:r>
    </w:p>
    <w:p>
      <w:pPr>
        <w:pStyle w:val="BookText"/>
        <w:rPr/>
      </w:pPr>
      <w:r>
        <w:rPr>
          <w:rFonts w:ascii="Amiri" w:hAnsi="Amiri" w:eastAsia="Amiri" w:cs="Amiri"/>
          <w:color w:val="111111"/>
          <w:sz w:val="28"/>
          <w:sz w:val="28"/>
          <w:szCs w:val="28"/>
          <w:rtl w:val="true"/>
          <w:lang w:bidi="ar-SA"/>
        </w:rPr>
        <w:t>قولان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موضع من المبسوط</w:t>
      </w:r>
      <w:r>
        <w:rPr>
          <w:rStyle w:val="FootnoteAnchor"/>
          <w:rtl w:val="true"/>
        </w:rPr>
        <w:footnoteReference w:id="1968"/>
      </w:r>
      <w:r>
        <w:rPr>
          <w:rFonts w:ascii="Amiri" w:hAnsi="Amiri" w:eastAsia="Amiri" w:cs="Amiri"/>
          <w:color w:val="111111"/>
          <w:sz w:val="28"/>
          <w:sz w:val="28"/>
          <w:szCs w:val="28"/>
          <w:rtl w:val="true"/>
          <w:lang w:bidi="ar-SA"/>
        </w:rPr>
        <w:t>في أوّل فصل الشجاج وفي الخلاف</w:t>
      </w:r>
      <w:r>
        <w:rPr>
          <w:rFonts w:eastAsia="Amiri" w:cs="Amiri" w:ascii="Amiri" w:hAnsi="Amiri"/>
          <w:color w:val="111111"/>
          <w:sz w:val="28"/>
          <w:szCs w:val="28"/>
          <w:rtl w:val="true"/>
          <w:lang w:bidi="ar-SA"/>
        </w:rPr>
        <w:t>:</w:t>
      </w:r>
      <w:r>
        <w:rPr>
          <w:rStyle w:val="FootnoteAnchor"/>
          <w:rtl w:val="true"/>
        </w:rPr>
        <w:footnoteReference w:id="1969"/>
      </w:r>
      <w:r>
        <w:rPr>
          <w:rFonts w:ascii="Amiri" w:hAnsi="Amiri" w:eastAsia="Amiri" w:cs="Amiri"/>
          <w:color w:val="111111"/>
          <w:sz w:val="28"/>
          <w:sz w:val="28"/>
          <w:szCs w:val="28"/>
          <w:rtl w:val="true"/>
          <w:lang w:bidi="ar-SA"/>
        </w:rPr>
        <w:t>لا تجزئ اليد الناقصة، بل يأخذ دية الإصبع؛ محتجّاً في الخلاف بالإجماع، وبقوله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 بِمِثْلِ مَا اعْتَدى عَلَيْكُمْ</w:t>
      </w:r>
      <w:r>
        <w:rPr>
          <w:rFonts w:ascii="IRNazanin" w:hAnsi="IRNazanin" w:eastAsia="IRNazanin"/>
          <w:color w:val="111111"/>
          <w:sz w:val="28"/>
          <w:sz w:val="28"/>
          <w:szCs w:val="28"/>
          <w:rtl w:val="true"/>
          <w:lang w:bidi="fa-IR"/>
        </w:rPr>
        <w:t>،</w:t>
      </w:r>
      <w:r>
        <w:rPr>
          <w:rStyle w:val="FootnoteAnchor"/>
          <w:rtl w:val="true"/>
        </w:rPr>
        <w:footnoteReference w:id="1970"/>
      </w:r>
      <w:r>
        <w:rPr>
          <w:rFonts w:ascii="Amiri" w:hAnsi="Amiri" w:eastAsia="Amiri" w:cs="Amiri"/>
          <w:color w:val="111111"/>
          <w:sz w:val="28"/>
          <w:sz w:val="28"/>
          <w:szCs w:val="28"/>
          <w:rtl w:val="true"/>
          <w:lang w:bidi="ar-SA"/>
        </w:rPr>
        <w:t>والمثل إمّا من طريق الصورة الجليّة، وهو هنا متعذّر، أو من طريق القيمة فيجب، وإلّا لم تتحقّق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من المبسوط</w:t>
      </w:r>
      <w:r>
        <w:rPr>
          <w:rStyle w:val="FootnoteAnchor"/>
          <w:rtl w:val="true"/>
        </w:rPr>
        <w:footnoteReference w:id="1971"/>
      </w:r>
      <w:r>
        <w:rPr>
          <w:rFonts w:ascii="Amiri" w:hAnsi="Amiri" w:eastAsia="Amiri" w:cs="Amiri"/>
          <w:color w:val="111111"/>
          <w:sz w:val="28"/>
          <w:sz w:val="28"/>
          <w:szCs w:val="28"/>
          <w:rtl w:val="true"/>
          <w:lang w:bidi="ar-SA"/>
        </w:rPr>
        <w:t>في الفصل المذكور بعد ذلك بنحو أربع صفحات اختار الإجزاء إن كان ذلك خلقة أو بآفة من الله تعالى، أمّا لو أخذ ديتها أو استحقّها لم يجز، نظراً إلى أنّه لما لم يكن سبباً في النقصان ولم يأخذ عوض الناقص لم يكن مضموناً، ولأنّه كالقاتل ويده أو يد مقتوله ذاهبة، فإنّه قد قيل فيهما هذا التفصيل</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الأوّل؛ للقاعدة المشهورة من أنّ كلّ عضو يقاد تؤخذ الدية مع فقده، حتّى لو قطع مقطوع اليدين يدين أُخذت ديتهما، وليس ذلككالنفس، وعدم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أخذه الدية عند فقدها إنّما يكون من جهة القصاص في النفس و‌أَنَّ النَّفْسَ بِالنَّفْسِ</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2"/>
      </w:r>
    </w:p>
    <w:p>
      <w:pPr>
        <w:pStyle w:val="BookText"/>
        <w:rPr/>
      </w:pPr>
      <w:r>
        <w:rPr>
          <w:rFonts w:ascii="IRNazanin" w:hAnsi="IRNazanin" w:eastAsia="IRNazanin"/>
          <w:color w:val="111111"/>
          <w:sz w:val="28"/>
          <w:sz w:val="28"/>
          <w:szCs w:val="28"/>
          <w:rtl w:val="true"/>
          <w:lang w:bidi="fa-IR"/>
        </w:rPr>
        <w:t xml:space="preserve">ووجود اليد وبقيّة الأعضاء وعدمه لادخالة له في صدق القصاص فيها، كما هو الظاهر الواضح غير المحتاج إلى البيان، وذلك بخلاف المقام، فإنّ الجاني هنا قد قطع منه إصبعاً لم يستوف قصاصها فيكون له ديتها؛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إصبع عشر من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73"/>
      </w:r>
      <w:r>
        <w:rPr>
          <w:rFonts w:ascii="Amiri" w:hAnsi="Amiri" w:eastAsia="Amiri" w:cs="Amiri"/>
          <w:color w:val="111111"/>
          <w:sz w:val="28"/>
          <w:sz w:val="28"/>
          <w:szCs w:val="28"/>
          <w:rtl w:val="true"/>
          <w:lang w:bidi="ar-SA"/>
        </w:rPr>
        <w:t>وتلك الإصبع لو كانت لكان له استيفاؤها، فإذا لم يوجد استوفى بدلها، كما لو قطع إصبعين وليست له إلّا واحدة، ويلزم على التفصيل لو قطع يداً ولا يد له خلقة أن لا يكون عليه شيء،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يد المجنيّ عليه كما لو قطع الصحيح الناقص، عكس ما تقدّم، ففيه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للمجنيّ عليه قطع يد الجاني بعد أداء ما يقصّ منه؛ قضاءً للقصاص الثابت في الجروح مطلقاً، وَالْجُرُوحَ قِصَاصٌ</w:t>
      </w:r>
      <w:r>
        <w:rPr>
          <w:rFonts w:ascii="IRNazanin" w:hAnsi="IRNazanin" w:eastAsia="IRNazanin"/>
          <w:color w:val="111111"/>
          <w:sz w:val="28"/>
          <w:sz w:val="28"/>
          <w:szCs w:val="28"/>
          <w:rtl w:val="true"/>
          <w:lang w:bidi="fa-IR"/>
        </w:rPr>
        <w:t>،</w:t>
      </w:r>
      <w:r>
        <w:rPr>
          <w:rStyle w:val="FootnoteAnchor"/>
          <w:rtl w:val="true"/>
        </w:rPr>
        <w:footnoteReference w:id="1974"/>
      </w:r>
      <w:r>
        <w:rPr>
          <w:rFonts w:ascii="Amiri" w:hAnsi="Amiri" w:eastAsia="Amiri" w:cs="Amiri"/>
          <w:color w:val="111111"/>
          <w:sz w:val="28"/>
          <w:sz w:val="28"/>
          <w:szCs w:val="28"/>
          <w:rtl w:val="true"/>
          <w:lang w:bidi="ar-SA"/>
        </w:rPr>
        <w:t>فإنّه المقابلة بالمثل المستحقّة في أمثال الموارد بالجمع بين القطع وردّ ما به التفاوت، كما أنّ على المجنيّ عليه القطع مع أخذه التفاوت؛ قضاءً لتحقّق القصاص،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 في ذلك، كما لا يخفى</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عدم القصاص وأنّ على الجاني الدية؛ لكونه موجباً للزيادة، ومن قطع </w:t>
      </w:r>
      <w:bookmarkStart w:id="447" w:name="pg9428_72954"/>
    </w:p>
    <w:p>
      <w:pPr>
        <w:pStyle w:val="BookText"/>
        <w:rPr/>
      </w:pPr>
      <w:bookmarkEnd w:id="447"/>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إصبع رجل فسرت إلى كفّه؛ بحيث قطعت ثمّ اندملت، ثبت القصاص فيهما، فتقطع كفّه من المفصل، ولو قطع يده من مفصل الكوع ثبت القصاص، ولو قطع معها بعض الذراع اقتصّ من مفصل الكوع، وفي الزائد يحتمل الحكومة ويحتمل الحساب بالمسافة، ولو قطعها من المرفق فالقصاص وفي الزيادة ما مرّ، وحكم الرجل حكم اليد، ففي القطع من المفصل قصاص، وفي الزيادة 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الأصابع التي قطعها لكونه قصاصاً في الأصابع بلا زيادة ويؤخذ منه حكومة الكفّ، وجوه، أقواها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الثاني من لزوم الزيادة،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لها الجاني بنفسه، وهو المقصّر في القصاص كذلك، وبذلك يظهر ما في الثالث، والظاهر كون نظر المتن إلى المسألة الثمانية عشر من مسائل الباب، ونفى البعد فيها عن القصاص مع الدية، فكان عليه اختيار ذلك في هذه المسألة</w:t>
      </w:r>
      <w:r>
        <w:rPr>
          <w:rFonts w:eastAsia="Amiri" w:cs="Amiri" w:ascii="Amiri" w:hAnsi="Amiri"/>
          <w:color w:val="111111"/>
          <w:sz w:val="28"/>
          <w:szCs w:val="28"/>
          <w:rtl w:val="true"/>
          <w:lang w:bidi="ar-SA"/>
        </w:rPr>
        <w:t>.</w:t>
      </w:r>
    </w:p>
    <w:p>
      <w:pPr>
        <w:pStyle w:val="Heading2"/>
        <w:numPr>
          <w:ilvl w:val="1"/>
          <w:numId w:val="1"/>
        </w:numPr>
        <w:rPr/>
      </w:pPr>
      <w:bookmarkStart w:id="448" w:name="__RefHeading___Toc5797701_2870459653"/>
      <w:bookmarkStart w:id="449" w:name="_Toc151"/>
      <w:bookmarkEnd w:id="448"/>
      <w:r>
        <w:rPr>
          <w:rtl w:val="true"/>
        </w:rPr>
        <w:t>سراية قطع الإصبع إلى الكفّ</w:t>
      </w:r>
      <w:bookmarkEnd w:id="449"/>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القصاص فيهما في فرض سراية قطع الإصبع إلى كفّه، بحيث قطعت واندملت، ممّا لاخلاف فيه معتدّ به؛ لعموم الأدلّة بعد كون السراية من فعله، بل عن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يقتضية مذهبنا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5"/>
      </w:r>
      <w:r>
        <w:rPr>
          <w:rFonts w:ascii="Amiri" w:hAnsi="Amiri" w:eastAsia="Amiri" w:cs="Amiri"/>
          <w:color w:val="111111"/>
          <w:sz w:val="28"/>
          <w:sz w:val="28"/>
          <w:szCs w:val="28"/>
          <w:rtl w:val="true"/>
          <w:lang w:bidi="ar-SA"/>
        </w:rPr>
        <w:t>لكن عنه في موضع آخر، أنّه أثبت في السراية الدية دون القصاص، وهو واضح الفساد، وأوضح منه فساداً ما عن أبي حنيفة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قصاص عليهأصلاً</w:t>
      </w:r>
      <w:r>
        <w:rPr>
          <w:rFonts w:eastAsia="Amiri" w:cs="Amiri" w:ascii="Amiri" w:hAnsi="Amiri"/>
          <w:color w:val="111111"/>
          <w:sz w:val="28"/>
          <w:szCs w:val="28"/>
          <w:rtl w:val="true"/>
          <w:lang w:bidi="ar-SA"/>
        </w:rPr>
        <w:t>».</w:t>
      </w:r>
      <w:r>
        <w:rPr>
          <w:rStyle w:val="FootnoteAnchor"/>
          <w:rtl w:val="true"/>
        </w:rPr>
        <w:footnoteReference w:id="1976"/>
      </w:r>
      <w:r>
        <w:rPr>
          <w:rFonts w:ascii="IRNazanin" w:hAnsi="IRNazanin" w:eastAsia="IRNazanin"/>
          <w:color w:val="111111"/>
          <w:sz w:val="28"/>
          <w:sz w:val="28"/>
          <w:szCs w:val="28"/>
          <w:rtl w:val="true"/>
          <w:lang w:bidi="fa-IR"/>
        </w:rPr>
        <w:t xml:space="preserve">وأمّا قطع اليد من مفصل الکوع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القصاص التساوي في الأصالة والزيادة، فلا تقطع أصليّة بزائدة ولو مع اتّحاد المحلّ، ولا زائدة بأصليّة مع اختلاف المحلّ، وتقطع الأصليّة بالأصليّة مع اتّحاد المحلّ، والزائدة بالزائدة كذلك، وكذا الزائدة بالأصليّة مع اتّحاد المحلّ وفقدان الأصليّة، ولا تقطع اليد الزائدة اليمنى بالزائدة اليسرى وبالعكس، ولا الزائدة اليمنى بالأصليّة اليسرى، وكذا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كفّه فإن كان للجاني والمجنيّ عليه إصبع زائدة في محلّ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كالإبهام الزائدة في يمينهما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اليمين من الكفّ، اقتصّ منه، ولو كانت الزائدة في الجاني خاصّة، فإن كانت خارجة عن الكفّ يقتصّ منه وتبقى الزائدة، وإن كانت في سمت الأصابع منفصلة، فهل يقطع الكفّ ويؤتى دية الزائدة، أو يقتصّ الأصابع الخمس دون الزائدة ودون الكفّ، وفي الكفّ الحكومة؟ وجهان، أقربهما الثاني، ولو كانت الزائدة في المجنيّ عليه خاصّة فله القصاص في</w:t>
      </w:r>
    </w:p>
    <w:p>
      <w:pPr>
        <w:pStyle w:val="BookText"/>
        <w:rPr/>
      </w:pPr>
      <w:r>
        <w:rPr>
          <w:rFonts w:ascii="Amiri" w:hAnsi="Amiri" w:eastAsia="Amiri" w:cs="Amiri"/>
          <w:color w:val="111111"/>
          <w:sz w:val="28"/>
          <w:sz w:val="28"/>
          <w:szCs w:val="28"/>
          <w:rtl w:val="true"/>
          <w:lang w:bidi="ar-SA"/>
        </w:rPr>
        <w:t>أو من المرفق قصاصاً، فوجهه عموم أدلّة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الحكومة أو الحساب بالمسافة في الزائد عن الكوع أو المرفق وعدم القصاص فيهما، فالظاهر أنّه لعدم إمكان المماثلة في القصاص؛ لما فيهما من العروق والأعصاب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جريان جميع ما ذكرناه في اليد في الرجل، ضرورة كون القدم كالكفّ، والساق كالذراع، والفخذ كالعضد، والدرك كعظم الكتف</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شرطيّة التساوي في الأصالة والزيادة في القصاص عدمصدقه مع الاختلاف فيهما، فقطع اليد الزائدة بالأصليّة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قصاصاً ومتابعة للجاني في قطعه، ولا مقابلة معه بالمثل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الصور فكلّها بيان لموارد صدق القصاص وعدمه،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الكفّ، وله دية الإصبع الزائدة، وهي ثلث دية الأصليّة، ولو صالح بالدية مطلقاً كان له دية الكفّ ودية الزائدة، ولو كان للمجنيّ عليه أربع أصابع أصليّة وخامسة غير أصليّة لم تقطع يد الجاني السالمة، وللمجنيّ عليه القصاص في أربع ودية الخامسة وأرش الكفّ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المذكورة في هذا الفرع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الكفّ مع تساوي الجاني والمجنيّ عليه في الإصبع الزائدة وفي محلّها، كالإبهام الزائدة في يمينهما مع كون قطع اليمين من الكفّ، فلا إشكال ولا كلام في القصاص؛ لتحقّق شرائطه وعدم المانع فيه من التغرير أو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الزيادة في الجاني فقط مع فرض خروجها عن الكفّ، والقصاص في هذه الصورة وبقاء الزائدة في محلّها واضحة أيضاً، يعني ما مرّ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الثاني لكن مع الفرق بكون الزائدة في سمت الأصابع منفصلة، 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الكفّ قصاصاً مع ردّ الدية الزائدة على الجاني، جمعاً بين الحقّين وقضاءً لصدق القصاص والمماثلة عرفاً، كما مرّ نظيره في بعض الفروع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قطع الأصابع الخمس الأصلية دون الزائدة ودون الكفّ؛ لما في قطع الكفّ من التعزير بالزائدة، وفيه الحكومة، قضاءً لقاعدة الرجوع إلى القيمة والأرش والدية مع تعذّر القطع، وأقرب الوجهين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الزائدة في المجنيّ عليه خاصّة، فمن المعلوم أنّ له القصاص في الكفّ مع أخذه دية الإصبع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صالح المجنيّ عليه على الزائدة بالدية، فله دية الكفّ ودية الزائدة</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للمجنيّ عليه أربع أصابع أصليّة وخامسة غير أصليّة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من واحد الأنملة العليا ومن آخر الوسطى، فإن طالب صاحب العليا يقتصّ منه، وللآخر اقتصاص الوسطى، وإن طالب صاحب الوسطى بالقصاص سابقاً على صاحب العليا، أُخّر حقّه إلى اتّضاح حال الآخر، فإن اقتصّ صاحب العليا اقتصّ لصاحب الوسطى، وإن عفا أو أخذ الدية، فهل لصاحب الوسطى القصاص بعد ردّ دية العليا، أو ليس له القصاص بل لابدّ من الدية؟ وجهان، أوجههما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بادر صاحب الوسطى وقطع قبل استيفاء العليا فقد أساء، وعليه دية الزائدة على حقّه، وعلى الجاني دية اُنملة صاحب العليا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 شمالاً للقصاص، فقطعها المجنيّ عليه من غير علم بأنّها الشمال، فهل يسقط القود، أو يكون القصاص في اليمنى باقياً؟ الأقوى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خيف من السراية يؤخّر القصاص حتّى يندمل اليسار، ولا دية لو بذل الجاني عالماً بالحكم والموضوع عامداً، بل لا يبعد عدمها مع البذل</w:t>
      </w:r>
    </w:p>
    <w:p>
      <w:pPr>
        <w:pStyle w:val="BookText"/>
        <w:rPr/>
      </w:pPr>
      <w:r>
        <w:rPr>
          <w:rFonts w:ascii="Amiri" w:hAnsi="Amiri" w:eastAsia="Amiri" w:cs="Amiri"/>
          <w:color w:val="111111"/>
          <w:sz w:val="28"/>
          <w:sz w:val="28"/>
          <w:szCs w:val="28"/>
          <w:rtl w:val="true"/>
          <w:lang w:bidi="ar-SA"/>
        </w:rPr>
        <w:t>لم تقطع يد الجاني السالمة؛ لعدم المساواة في الأصالة والزيادة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للمجنيّ عليه القصاص في أربع ودية الخامسة وأرش الكفّ، ووجهه ظاهر</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المسألة من الفروع مطابق مع القواعد وما فيها، فيما لو عفا صاحب العليا أو أخذ الدية من الوجهين، من أنّه هل لصاحب الوسطى القصاص بعد ردّ دية العليا؛ قضاءً للقصاص والجمع بين الحقّين، أو ليس له القصاص بل له أخذ الدية؛ لكون القصاص تغريراً على الجاني بالنسبة إلى الأنملة العليا وزيادة على جنايته؟ فأقربهما الثاني؛ لكون الجاني سبباًلتغريره، وهو المنشأ والمقصّر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يؤدّي إليه دية الأنملة الأعلى؛ لئلّا يقع الظلم عليه، ولئلّا تتحقّق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جاهلاً بالموضوع أو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قطعها المجنيّ عليه مع العلم بكونها اليسار ضمنها مع جهل الجاني، بل عليه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علمه وبذله فلا شبهة في الإثم، لكن في القود والدية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إصبع رجل من يده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اليد اليمنى من آخر اقتصّ للأوّل، فيقطع إصبعه ثمّ يقطع يده للآخر، ورجع الثاني بدية إصبع على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اليد اليمنى من شخص، ثمّ قطع إصبعاً من اليد اليمنى لآخر، اقتصّ للأوّل، فيقطع يده، وعليه دية إصبع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إصبع رجل فعفا عن القطع قبل الاندمال، فإن اندملت فلا قصاص في عمده، ولا دية في خطئه وشبه 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عن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في مورد العمد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عن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عن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القصاص ولم يثبت الدية، وليس له مطالبتها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عن القطع أو عن الجناية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سرت إلى الكفّ خاصّة سقط القصاص في الإصبع، وهل له القصاص في الكفّ مع ردّ دية الإصبع المعفوّ عنها، أو لابدّ من الرجوع إلى دية الكفّ؟ الأشبه الثاني، مع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عن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سرت إلى النفس، فللوليّ القصاص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عليه ردّ دية الإصبع المعفوّ عنها؟ فيه إشكال، بل منع؛ وإن كان أحوط</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فيهما من الأحكام ظاهرة غير محتاجة إلى البحث والنقض والإبرام في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bookmarkStart w:id="450" w:name="pg9428_72959"/>
    </w:p>
    <w:p>
      <w:pPr>
        <w:pStyle w:val="BookText"/>
        <w:rPr/>
      </w:pPr>
      <w:bookmarkEnd w:id="450"/>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عن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سرت إلى النفس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عنها وعن سرايتها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صحّته فيما كان ثابتاً، وأمّا فيما لم يثبت ففيه خلاف، والأوجه صحّته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451" w:name="__RefHeading___Toc5797703_2870459653"/>
      <w:bookmarkStart w:id="452" w:name="_Toc152"/>
      <w:bookmarkEnd w:id="451"/>
      <w:r>
        <w:rPr>
          <w:rtl w:val="true"/>
        </w:rPr>
        <w:t>في عفو المجنيّ عليه</w:t>
      </w:r>
      <w:bookmarkEnd w:id="4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الثامن ممحّض لبيان مصاديق متعلّق العفو وأحكامها، والغالب في كليهما غير محتاج إلى البيان، فإنّ المناط في متعلّق العفو الظهور العرفي، والمناط في أحكامها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في مورد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عفوت عن الدية،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المعروف المشهور بين الأصحاب من أنّ الحكم في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كان أو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وأمّا على المختار من تخيير الوليّ في العمد مطلقاً بين القصاص والدية للأولويّة، فالعفو عن الدية أثره سقوط القصاص والدية معاً، حيث إنّ العفو عنها عفو عن القصاص أيضاً، فإنّه لا خير في العفو عمّا دون القصاص إلّا مع العفو عنه أيضاً، بل لعلّ العفو عنه دونه لغو عرفاً، ويكون أشبه شيء بالمزاح</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آخره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فيما لم يثبت ففيه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Style w:val="FootnoteAnchor"/>
          <w:rtl w:val="true"/>
        </w:rPr>
        <w:footnoteReference w:id="1977"/>
      </w:r>
      <w:r>
        <w:rPr>
          <w:rFonts w:ascii="Amiri" w:hAnsi="Amiri" w:eastAsia="Amiri" w:cs="Amiri"/>
          <w:color w:val="111111"/>
          <w:sz w:val="28"/>
          <w:sz w:val="28"/>
          <w:szCs w:val="28"/>
          <w:rtl w:val="true"/>
          <w:lang w:bidi="ar-SA"/>
        </w:rPr>
        <w:t>وكأنّه مال إليه، وقال به الشهيدان في غاية المراد،</w:t>
      </w:r>
      <w:r>
        <w:rPr>
          <w:rStyle w:val="FootnoteAnchor"/>
          <w:rtl w:val="true"/>
        </w:rPr>
        <w:footnoteReference w:id="1978"/>
      </w:r>
      <w:r>
        <w:rPr>
          <w:rFonts w:ascii="Amiri" w:hAnsi="Amiri" w:eastAsia="Amiri" w:cs="Amiri"/>
          <w:color w:val="111111"/>
          <w:sz w:val="28"/>
          <w:sz w:val="28"/>
          <w:szCs w:val="28"/>
          <w:rtl w:val="true"/>
          <w:lang w:bidi="ar-SA"/>
        </w:rPr>
        <w:t>والأردبيلي في مجمع الفائدة والبرهان؛</w:t>
      </w:r>
      <w:r>
        <w:rPr>
          <w:rStyle w:val="FootnoteAnchor"/>
          <w:rtl w:val="true"/>
        </w:rPr>
        <w:footnoteReference w:id="1979"/>
      </w:r>
      <w:r>
        <w:rPr>
          <w:rFonts w:ascii="IRNazanin" w:hAnsi="IRNazanin" w:eastAsia="IRNazanin"/>
          <w:color w:val="111111"/>
          <w:sz w:val="28"/>
          <w:sz w:val="28"/>
          <w:szCs w:val="28"/>
          <w:rtl w:val="true"/>
          <w:lang w:bidi="fa-IR"/>
        </w:rPr>
        <w:t>لعموم قولهتعالى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تَصَدَّقَ</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بِهِ فَهُوَ كَفَّارَةٌ 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الإبراء عن الجناية قبلها شرعاً للتطبيب والبيطار، فبينها وبين السراية أُولى، ولأنّ الأصل صحّة العفو المناسبة لما ورد من الترغيب فيه شرعاً ترغيباً يكون به عبادة،</w:t>
      </w:r>
      <w:r>
        <w:rPr>
          <w:rStyle w:val="FootnoteAnchor"/>
          <w:rtl w:val="true"/>
        </w:rPr>
        <w:footnoteReference w:id="1981"/>
      </w:r>
      <w:r>
        <w:rPr>
          <w:rFonts w:ascii="Amiri" w:hAnsi="Amiri" w:eastAsia="Amiri" w:cs="Amiri"/>
          <w:color w:val="111111"/>
          <w:sz w:val="28"/>
          <w:sz w:val="28"/>
          <w:szCs w:val="28"/>
          <w:rtl w:val="true"/>
          <w:lang w:bidi="ar-SA"/>
        </w:rPr>
        <w:t>فيناسبه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الجناية على الطرف سبب لفوات النفس التي لا تباشر بالجناية، ووجود السبب كوجود المسبب، ولوجوب الوفاء بالوعد،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1982"/>
      </w:r>
      <w:r>
        <w:rPr>
          <w:rFonts w:ascii="Amiri" w:hAnsi="Amiri" w:eastAsia="Amiri" w:cs="Amiri"/>
          <w:color w:val="111111"/>
          <w:sz w:val="28"/>
          <w:sz w:val="28"/>
          <w:szCs w:val="28"/>
          <w:rtl w:val="true"/>
          <w:lang w:bidi="ar-SA"/>
        </w:rPr>
        <w:t>وعن أبي علي</w:t>
      </w:r>
      <w:r>
        <w:rPr>
          <w:rStyle w:val="FootnoteAnchor"/>
          <w:rtl w:val="true"/>
        </w:rPr>
        <w:footnoteReference w:id="1983"/>
      </w:r>
      <w:r>
        <w:rPr>
          <w:rFonts w:ascii="Amiri" w:hAnsi="Amiri" w:eastAsia="Amiri" w:cs="Amiri"/>
          <w:color w:val="111111"/>
          <w:sz w:val="28"/>
          <w:sz w:val="28"/>
          <w:szCs w:val="28"/>
          <w:rtl w:val="true"/>
          <w:lang w:bidi="ar-SA"/>
        </w:rPr>
        <w:t>والشيخ في المبسوط</w:t>
      </w:r>
      <w:r>
        <w:rPr>
          <w:rStyle w:val="FootnoteAnchor"/>
          <w:rtl w:val="true"/>
        </w:rPr>
        <w:footnoteReference w:id="1984"/>
      </w:r>
      <w:r>
        <w:rPr>
          <w:rFonts w:ascii="IRNazanin" w:hAnsi="IRNazanin" w:eastAsia="IRNazanin"/>
          <w:color w:val="111111"/>
          <w:sz w:val="28"/>
          <w:sz w:val="28"/>
          <w:szCs w:val="28"/>
          <w:rtl w:val="true"/>
          <w:lang w:bidi="fa-IR"/>
        </w:rPr>
        <w:t>والفاضل</w:t>
      </w:r>
      <w:r>
        <w:rPr>
          <w:rStyle w:val="FootnoteAnchor"/>
          <w:rtl w:val="true"/>
        </w:rPr>
        <w:footnoteReference w:id="1985"/>
      </w:r>
      <w:r>
        <w:rPr>
          <w:rFonts w:ascii="IRNazanin" w:hAnsi="IRNazanin" w:eastAsia="IRNazanin"/>
          <w:color w:val="111111"/>
          <w:sz w:val="28"/>
          <w:sz w:val="28"/>
          <w:szCs w:val="28"/>
          <w:rtl w:val="true"/>
          <w:lang w:bidi="fa-IR"/>
        </w:rPr>
        <w:t>وولده</w:t>
      </w:r>
      <w:r>
        <w:rPr>
          <w:rStyle w:val="FootnoteAnchor"/>
          <w:rtl w:val="true"/>
        </w:rPr>
        <w:footnoteReference w:id="1986"/>
      </w:r>
      <w:r>
        <w:rPr>
          <w:rFonts w:ascii="Amiri" w:hAnsi="Amiri" w:eastAsia="Amiri" w:cs="Amiri"/>
          <w:color w:val="111111"/>
          <w:sz w:val="28"/>
          <w:sz w:val="28"/>
          <w:szCs w:val="28"/>
          <w:rtl w:val="true"/>
          <w:lang w:bidi="ar-SA"/>
        </w:rPr>
        <w:t>وغيرهم الثاني؛ لأنّه إبراء ممّا لا يجب، وأنّه وصيّة للقاتل، وفي جوازها وعدمه الخلاف المعروف، وإسقاط لحقّ الغير، وهو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 في الخلاف</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 من المجنيّ عليه أن يعفو عنها وعمّا يحدث منها من الدية، فإذا فعل ذلك ثمّ سرى إلى النفس كان عفوه ماضياً من الثلث؛ لأنّه بمنزلة الوصيّة</w:t>
      </w:r>
      <w:r>
        <w:rPr>
          <w:rFonts w:eastAsia="Amiri" w:cs="Amiri" w:ascii="Amiri" w:hAnsi="Amiri"/>
          <w:color w:val="111111"/>
          <w:sz w:val="28"/>
          <w:szCs w:val="28"/>
          <w:rtl w:val="true"/>
          <w:lang w:bidi="ar-SA"/>
        </w:rPr>
        <w:t>.</w:t>
      </w:r>
      <w:r>
        <w:rPr>
          <w:rStyle w:val="FootnoteAnchor"/>
          <w:rtl w:val="true"/>
        </w:rPr>
        <w:footnoteReference w:id="1987"/>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عفا الوارث الواحد أو المتعدّد عن القصاص سقط بلا بدل، فلا يستحقّ واحد منهم الدية رضي الجاني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إلى شهر أو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يسقط القصاص، وكان له بعد ذلك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عن نصفك أو عن رجلك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كنّى عن العفو عن النفس صحّ وسقط القصاص، وإلّا ففي سقوطه إشكال بل منع،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عن جميع أعضائك إلّا رجلك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يجوز له قطع الرجل، ولا يصحّ الإسقاط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لا يخفى عليك ما فيه من منع كون العفو وصيّة أوّلاً، ولو سلّم فهي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المبسوط</w:t>
      </w:r>
      <w:r>
        <w:rPr>
          <w:rStyle w:val="FootnoteAnchor"/>
          <w:rtl w:val="true"/>
        </w:rPr>
        <w:footnoteReference w:id="1988"/>
      </w:r>
      <w:r>
        <w:rPr>
          <w:rFonts w:ascii="Amiri" w:hAnsi="Amiri" w:eastAsia="Amiri" w:cs="Amiri"/>
          <w:color w:val="111111"/>
          <w:sz w:val="28"/>
          <w:sz w:val="28"/>
          <w:szCs w:val="28"/>
          <w:rtl w:val="true"/>
          <w:lang w:bidi="ar-SA"/>
        </w:rPr>
        <w:t>لو صرّح بها، ضرورة صحتها فيما هو للميّت، والفرض أنّ القصاص للوارث لا له، بل والدية وإن تعلّقت بها وصاياه وديونه للدليل،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عوض نفسه قصاصاً أو دية له، ومن ينتقل إلى الوارث، وما يقال فيه أيضاً أنّه لاوجه للوصيّة به قبل استحقاقه إيّاه المتوقّف على إزهاق روحه، ووجود الجناية أعمّ من ثبوته حالها، ضرورة استناده إلى سرايتها التي هي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بصحّة الوصيّة بمثل ذلك؛ للعمومات الشاملة له ولما يملكه بعد موته، كالذي يصيده في شبكته التي نصبها حال جنايته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قد ظهر ممّا ذكرناه أنّ ما في المتن من الأصحّيّة في محلّه</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أنّ ما فيه من سقوط القصاص بلا بدل في صدر الفرع مبنيّ على المشهور في العمد من تعيّن القصاص للوليّ وإلّا فعلى المختار من التخيير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عفوت بشرط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 الجاني وجبت دية المقتول، لا دية القاتل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فالدية غير ساقطة مع العفو عن القصاص،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اعتبار رضى الجاني مبنيّ على تعيّن القصاص للوليّ، وإلّا فبناءً على تخييره بينه وبين الدية فلا اعتبار برضاه عليها، كما لا اعتبار به في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وجه كون الواجب دية المقتول دون القاتل على فرض الاختلاف واضح، فإنّ الدية المعفو عنها أو المختارة دية المقتول، بل لا ارتباط لها بدية القاتل، بل لعلّ بيان ذلك توضيح للواضح</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تحرير كتاب القصاص وتأليفه الذي هو كالشرح لكتاب القصاص من تحرير الوسيلة لسيّدنا الأُستاذ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كتباً وتهذيباً وتنظيماً لما ذكرته في جلسات البحث من مباحث القصاص على ترتيب التحرير، بحضور عدّة من الفضلاء والعلماء والمحصّلين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وفّقهم الله تعالى لتحصيل العلم والعمل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المدرسة الفيضيّة بقم، وكان الفراغ من ذلك في الساعة الثانية وعشرين دقيقة بعد النصف من ليلة الأحد، ليلة الثامن من شهر صفر الخير سنة ألف وأربعمائة وثلاث وعشرين بعد الهجرة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مهاجرها وآله الصلوات والسلام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وما بعده إلى نهاية الأ‌يّام، ونسأل الله المغفرة والرحمة للمؤمنين والمسلمين وذوي الحقوق لاسيّما الوالدين والحشر مع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9428_72964"/>
      <w:bookmarkStart w:id="454" w:name="pg9428_72964"/>
      <w:bookmarkEnd w:id="454"/>
    </w:p>
    <w:p>
      <w:pPr>
        <w:pStyle w:val="Heading2"/>
        <w:numPr>
          <w:ilvl w:val="1"/>
          <w:numId w:val="1"/>
        </w:numPr>
        <w:rPr/>
      </w:pPr>
      <w:bookmarkStart w:id="455" w:name="pg9428_72964"/>
      <w:bookmarkStart w:id="456" w:name="__RefHeading___Toc5797705_2870459653"/>
      <w:bookmarkStart w:id="457" w:name="_Toc153"/>
      <w:bookmarkEnd w:id="455"/>
      <w:bookmarkEnd w:id="456"/>
      <w:r>
        <w:rPr>
          <w:rtl w:val="true"/>
        </w:rPr>
        <w:t>مصادر التحقيق</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النساء ضمن مصنفات الشيخ المفيد، لأبي عبدالله محمّد بن محمّد بن النعمان البغدادي المعروف بالشيخ المفيد،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نجف،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لألفيّة الشيخ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لشيخ الطائفة أبي جعفر الطوسي</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الثالث ميرداماد الأسترابادي،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الأذهان إلى أحكام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منصور الحسن بن يوسف بن المطهر الأسدي،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فارس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لشيخ الطائفة أبي جعفر محمّد بن الحسن الطوسي</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 أربعة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الاشباه والنظاتر، لعبد الرحمن بن أبي بکر السیوطی، المتوفّی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بیروت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إصباح الشيعة بمصباح الشريعة، لقطب الدين البيهقي الكيدري، تحقيقالشيخ إبراهيم بهادري، الناشر مؤسّسة الإمام الصادق، قم،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إعانة الطالبین علی حلّ ألفاظ فتح المعین، لأبي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شطا الدمیاطی، المتوفّی بعد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بیروت،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 لأبي عبدالله محمد بن ادریس الشافعي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للطباعة والنشر،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عدد الأجزاء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الانتصار، للشريف المرتضى علم الهدى علي بن الحسين الموسوي البغدادي، 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إيضاح الفوائد في شرح إشكالات القواعد، للفقيه الأعظم والهمّام المعظم فخر المحققين الشيخ أبي طالب محمّد بن الحسن يوسف بن مطهّر الحلّي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الكرماني والاشتهاردي والبروجردي، المطبعة العلمية، قم،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 باقر المجلسي، 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 بيروت، مائة وعشر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بررسي إجمالي مباني اقتصاد إسلامي، متفكر شهيد الأُستاذ مطهري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 تنظيم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حكمت،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تبصرة المتعلّمين في أحكام الدين، للحسن بن يوسف بن المطهر العلّامة الحلّي، 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اليوسفي الغروي،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التبيان في تفسير القرآن، للشيخ أبي جعفر محمّد بن الحسن الطوسي، المتوفّی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الطبعة الأُولی،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الأجزاء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 الأحكام الشرعيّة على مذهب الإمامية، للحسن بن يوسف بن المطهر العلامة الحلّي،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البهادري،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w:t>
      </w:r>
    </w:p>
    <w:p>
      <w:pPr>
        <w:pStyle w:val="BookText"/>
        <w:rPr/>
      </w:pPr>
      <w:r>
        <w:rPr>
          <w:rFonts w:ascii="Amiri" w:hAnsi="Amiri" w:eastAsia="Amiri" w:cs="Amiri"/>
          <w:color w:val="111111"/>
          <w:sz w:val="28"/>
          <w:sz w:val="28"/>
          <w:szCs w:val="28"/>
          <w:rtl w:val="true"/>
          <w:lang w:bidi="ar-SA"/>
        </w:rPr>
        <w:t xml:space="preserve">الإمام الصادق، قم،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خمسة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الطاووسي، للشیخ حسن بن زین الدین صاحب المعالم، المتوفّی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الجواهري،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المرعشي النجفي، مطبعة سیّد الشهداء، قم،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علي بن إبراهيم القمي، لعلي بن إبراهيم بن هاشم القمي، المتوفّى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ق، دار الكتاب،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التعليقة على تحرير الوسيلة، آية الله العظمى يوسف الصانعي،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تنظيم ونشر آثار الإمام الخميني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مؤسّسة العروج، الطبعة الأُولى،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المرام في معرفة الأحكام، للعلّامة الحلّي الحسن بن يوسف بن مطهر، 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القبيسي،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قم،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التنقيح الرائع لمختصر الشرائع، لجمال الدين مقداد بن عبدالله السيوري الحلّي، المتوفّى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اللطيف الحسيني الكوه كمري،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قم،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 أربعة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 للعلّامة الجليل الشيخ عبد‌الله المامقاني</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جهان، ثلاثة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للشيخ الطائفة أبي جعفر محمّد بن الحسن الطوسي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الطبعة الأُولى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 عشر مجلّدات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أحاديث الشيعة، للمحقّق العلّامة الإمام آية الله العظمى الحاج آقا حسين الطباطبائي البروجردي، المتوفّى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الشيخ إسماعيل المعزي</w:t>
      </w:r>
    </w:p>
    <w:p>
      <w:pPr>
        <w:pStyle w:val="BookText"/>
        <w:rPr/>
      </w:pPr>
      <w:r>
        <w:rPr>
          <w:rFonts w:ascii="Amiri" w:hAnsi="Amiri" w:eastAsia="Amiri" w:cs="Amiri"/>
          <w:color w:val="111111"/>
          <w:sz w:val="28"/>
          <w:sz w:val="28"/>
          <w:szCs w:val="28"/>
          <w:rtl w:val="true"/>
          <w:lang w:bidi="ar-SA"/>
        </w:rPr>
        <w:t>الملايري،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الواصف، قم،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 واحد وثلاثون 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المدارك، للمرحوم آية الله العظمى الحاج سيّد أحمد الخوانساري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قم، الطبعة الثانية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ق، سبعة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للشرائع، للشيخ أبي زكريا يحيى بن أحمد بن يحيى بن الحسن بن سعيد الهذلي، المتوفّى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العلمية،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المقاصد في شرح القواعد، للمحقّق الثاني الشيخ علي بن الحسين الكركي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جهان،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الجوامع الفقهية، لجماعة من أركان وعدة من الأعيان،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محمّد بن رحيم الخوانساري،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المرعشى النجفي،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في شرح شرائع الإسلام، لشيخ الفقهاء وإمام المحقّقين الشيخمحمّد حسن النجفي، المتوفّى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القوجاني،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 ثلاثة وأربعون مجلّداً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الحادي الکبیر، لأبي الحسن علی بن محمّد بن حبیب الماوردي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الشیخ علی محمّد مؤمن والشیخ عادل أحمد عبدالموجود،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الطبعة الأُولی، عدد الأجزاء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في أحكام العترة الطاهرة، للعالم البارع الفقيه المحدث الشيخ يوسف البحراني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ق،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 خمسة وعشرون مجلّداً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الأقوال في معرفة الأقوال، للعلّامة الحلّي أبي منصور الحسن بن يوسف بن المطهر الأسدي، 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الشيخ جواد القيومي، الناشر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النشر الإسلامي، قم،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للشيخ الطائفة أبي جعفر محمّد بن الحسن الطوسي، 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الخراساني والسيّد جواد الشهرستاني والشيخ مهدي طه نجف،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 ستّة مجلّدات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الدروس الشرعية في فقه الإمامية، للشيخ شمس الدين محمّد بن مكي العاملي،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تحقيق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للقاضي أبي حنيفة النعمان بن محمّد بن منصور بن أحمد بن حَيُّون التميمي المغربي، المتوفّى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علي أصغر فيضي،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بمصر، مجلّدان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ذخيرة المعاد، للعلّامة المحقّق محمّد باقر السبزواري، المتوفّى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الذکری الألفیّة للشیخ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هزاره شیخ طوسی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الهیات ومعارف اسلامی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ابن داود، لعلي بن داود الحلّي، المتوفّى بعد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منشورات الرضي، قم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لشيخ الطائفة أبي جعفر محمّد بن الحسن الطوسي، 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النجاشي، للشيخ الجليل أبي العبّاس أحمد بن علي بن العبّاس النجاشي، المتوفّى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الداوري، 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زين الدين بن علي العاملي المشهور بالشهيد الثاني، التحقيق مركز الأبحاث والدراسات الإسلامية، مطبعة مكتب الإعلام الإسلامي،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الشريف المرتضى، للشريف المرتضى، نشر دار القران الكريم، مطبعة سيّد الشهداء،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العشرة، للإمام الخميني</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تنظيم ونشر آثار الإمام الخميني</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في شرح إرشاد الأذهان، لزين الدين بن علي العاملي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بالشهيد الثاني، المتوفّى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الإسلامية،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قم،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للشهيد الثاني زين الدين بن علي العاملي، المتوفّى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المتّقين في شرح من لا يحضره الفقيه، للعلّامة المولى محمّد تقي المجلسي</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المتوفّى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الموسوي الكرماني والشيخ علي پناه الاشتهاردي،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حسين كوشانپور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المسائل في بيان الأحكام بالدلائل، لآية الله المحقّق السيّد علي الطباطبائي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البيان، للمحقّق الأردبيلي، المتوفّى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الأُستادي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رباني نژاد، 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مؤمنين، الطبعة الثانية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السرائر، للشيخ الفقيه أبي جعفر محمّد بن منصور بن أحمد بن إدريس الحلّي، المتوفّى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الطبعة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 ثلاثة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سلسلة الينابيع الفقهية،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أصغر مرواريد،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الإسلامية، مائة وعشر 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لأحمد بن الحسين بن علي البيهقي، المتوفّى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 خمسة عشر مجلّدات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شرائع الإسلام، للمحقّق الحلّي أبو القاسم نجم الدين جعفر بن الحسن مع تعليقات عبدالحسين محمّد علي، المتوفّى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 التفسير، الطبعة الثالثة،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أربعة مجلّدات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لإسماعيل بن حماد الجوهري، المتوفّى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عبدالغفور عطار،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بيروت،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البخاري، للإمام أبي عبدالله محمّد بن إسماعيل بن إبراهيم بن المغيرة بن بردزية البخاري الجعفي، المتوفّى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الأوقاف، المجلس الأعلی للشؤن الإسلامیة، قاهره، الطبعة الثانیة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أحد عشرمجلّداً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لأبي الحسین مسلم بن الحجاج النیسابوري، المتوفّی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للطباعة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في أُصول الفقه، للشيخ الطائفة الإمام أبي جعفر محمّد بن الحسن الطوسي، 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 تحقيق محمّد رضا الأنصاري القمي،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ستارة، قم،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عوالي اللئالي العزيزية في الأحاديث الدينية، للشيخ محمّد بن علي بنإبراهيم الأحسائي المعروف بابن أبي جمهور، المتوفّى </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الطبعة الأُولى، مطبعة سيّد الشهداء،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 أربعة مجلّدات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المراد في شرح نكت الإرشاد، للشهيد الأول محمّد بن مكي العاملي، المتوفّى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الإسلامية قسم إحياء التراث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قم،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 أربعة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المرام في شرح شرائع الإسلام، للفقيه المحقّق الشيخ مفلح الصيمَري البحراني، المتوفّى حدود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الكوثراني العاملي،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 أربعة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للشيخ عبدالحسين الأميني، المتوفّى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دارالكتاب العربي، بيروت، إحدی عشر مجلّداً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غنية النزوع إلى علمي الأُصول والفروع، للفقيه البارع الأقدم السيّد حمزة بن علي بن زهرة الحلبي، المتوفّى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البهادري، مؤسّسة الإمام الصادق، قم،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مجلّدان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تراث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لأُستاذ الفقهاء والمجتهدين الشيخ مرتضى الأنصاري، المتوفّى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بمناسبة الذكرى المئوية الثانية لميلاد الشيخ الأنصاري،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لشيخ الطائفة الإمام جعفر محمّد بن الحسن الطوسي، 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الطبعةالأُولى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القاموس المحيط، للشيخ مجد الدين الفيروزآبادي الشافعي، المتوفّى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ق،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بيروت، أربع مجلّدات، الطبعة الأُولی،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الأحكام، لأبي منصور الحسن بن يوسف بن المطهر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 ثلاثة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لثقة الإسلام أبي جعفر محمّد بن يعقوب بن إسحاق الكليني الرازي، 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ونهض بمشروعه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الآخوندي،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طهران، ثمانية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في الفقه، للفقيه الأقدم أبي الصلاح الحلبي، المتوفّى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الأُستادي،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أصفهان،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الرموز في شرح المختصر النافع، لزين الدين أبي علي الحسن بن أبي طالب ابن أبي المجد اليوسفي المعروف بالفاضل والمحقّق الآبي، المتوفّى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حقائق غوامض التنزيل وعيون الأقاويل في وجوه التأويل، للمحمود بن عُمر الزمخشري،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ق، دار الكتاب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القناع عن وجوه حجّية الإجماع، للمحقّق الشيخ أسد الله التستري المعروف بالمحقق الكاظمي، المتوفّى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اللثام، لبهاء الدين محمّد بن الحسن بن محمّد الأصفهاني المعروف بالفاضل الهندي، المتوفّى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الفقه المشتهر بکفایة الأحكام، للعلّامة المحقّق المولى محمّد باقر بن محمّد مؤمن السبزواري، المتوفّى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العرفان في فقه القرآن، للشيخ الأجل جمال الدين المقداد بن عبد‌الله السيوري، المتوفّى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كنز العمال في سنن الأقوال والأفعال، للعلّامة علاء الدين علي المتقي بن حسام </w:t>
      </w:r>
    </w:p>
    <w:p>
      <w:pPr>
        <w:pStyle w:val="BookText"/>
        <w:rPr/>
      </w:pPr>
      <w:r>
        <w:rPr>
          <w:rFonts w:ascii="Amiri" w:hAnsi="Amiri" w:eastAsia="Amiri" w:cs="Amiri"/>
          <w:color w:val="111111"/>
          <w:sz w:val="28"/>
          <w:sz w:val="28"/>
          <w:szCs w:val="28"/>
          <w:rtl w:val="true"/>
          <w:lang w:bidi="ar-SA"/>
        </w:rPr>
        <w:t xml:space="preserve">الدين الهندي، المتوفّى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 ستّة عشر مجلّداً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للإمام العلّامة ابن منظور، المتوفّى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 ثمانية عشر 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اللمعة الدمشقية في فقه الإمامية، الشهيد الأوّل، شمس الدين محمّد بنمكّي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الإسلاميّة، الطبعة الأُولى، بيروت،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السرخسي، لشمس الدين السرخسي الحنفي محمّد بن أحمد بن أبي سهل، المتوفّى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في فقه الإمامية، لشيخ الطائفة أبي جعفر محمّد بن الحسن بن علي الطوسي، 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طهران،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ق، ثمانية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للشيخ أبي علي الفضل بن الحسن الطبرسي، المتوفّى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المتبحّر الشيخ أبو الحسن الشعراني،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طهران،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 عشر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والبرهان في شرح إرشاد الأذهان، للمولى أحمد المقدّس الأردبيلي، المتوفّى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آقا مجتبى العراقي والحاج الشيخ علي پناه الاشتهاردي والحاج آقا حسين اليزدي الأصفهاني،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قم، الطبعة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أربعة عشر مجلّداً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فتاوى ابن الجنيد، لآية الله الشيخ علي پناه الاشتهاردي، طبع ونشر مؤسّسة النشر الإسلامي،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لأبي جعفر أحمد بن محمّد بن خالد البرقي المتوفّى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اليت، المطبعة أمير، الطبعة الثانية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النافع، لأبي القاسم نجم الدين جعفر بن الحسن الحلّي، المتوفّى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المطبوعات الديني،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في الأحكام الشرعية، للعلّامة الحلّي الحسن بن يوسف بن مطهر، 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 تحقيق مركز الأبحاث والدراسات الإسلامية،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قم،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تسع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في شرح أخبار الرسول، للعلّامة شيخ الإسلام المولى محمّد باقر المجلسي، المتوفّى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 ستّة وعشرون 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المراسم في فقه الإمامي، للشيخ أبي يعلى حمزة بن عبد العزيز الديلمي، المتوفّى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حرمين،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 النوَّوي شرح المهذّب، للإمام أبي زكريا محيي الدين بن شرف النووي، 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تحقيق محمود مطرحي،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مسالك الأفهام إلى تنقيح شرائع الإسلام، لزين الدين بن عليّ العاملي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المتوفّى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ق،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قم،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خمسة عشر 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لخاتمة المحدّثين الحاج ميرزا حسين النوري الطبرسي، المتوفّى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لإحياء التراث، قم، الطبعة الأُولى،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ثمانية عشر مجلّداً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الشيعة، للعلّامة الفقيه أحمد بن محمّد مهدي النراقي، المتوفّى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لإحياء التراث، مشهد، ثمانية عشر مجلّداً</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لأبي عبد‌الله أحمد بن حنبل الشيباني، المتوفّى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بيروت، الطبعة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سبعة مجلّدات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في غريب الشرح الكبير، للعالم العلّامة أحمد بن محمّد بن علي المقري الفيّومي، المتوفّى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قم،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في شرح المختصر، لنجم الدين أبي القاسم جعفر بن الحسن المحقّق الحلّي، المتوفّى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قم،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لأبي الحسين أحمد بن فارس بن زكريا، المتوفّى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محمّد هارون،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قم،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 ستّة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للشيخ الإمام العلّامة موفق الدين أبي محمّد عبد‌الله بن أحمد بن محمّد بن قدامة، المتوفّى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 اثنى عشر 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المراسیل، لأبي داود، سلیمان بن الأشعث بن إسحاق بن بشیر الأزدي السجستاني، المتوفّی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الأزنا ؤوط،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الطبعة الأُولی،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الشرائع، للعارف المحدّث الفقيه المولى محمّد محسن الفيض الكاشاني، 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الإسلامية، قم، الطبعة الأُولى،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الكرامة في شرح قواعد العلّامة، للمحقّق المتتبّع السيّد محمّد جواد الحسيني العاملي، المتوفّى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إحدى عشر 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المفردات في غريب القرآن، للعلّامة الراغب الأصفهاني، المتوفّى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داودي،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الشامية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المقتصر، لأبي العبّاس أحمد بن محمّد بن فهد الحلّي، </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نشر مجمع البحوث الإسلامية، مطبعة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المقنع، للشيخ الصدوق محمّد بن علي بن بابويه، المتوفّى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لفخر الشيعة أبي عبدالله محمّد بن محمّد بن النعمان العكبري البغدادي الملقب بالشيخ المفيد، 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الطبعة الرابعة،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المكاسب المحرّمة، للإمام الخميني</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تنظيم ونشر آثار الإمام الخميني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ملاذ الأخيار في فهم تهذيب الأخبار، للعلم العلّامة الحجّة فخر الأُمة المولى الشيخ محمّد باقر المجلسي، المتوفّى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 ستّة عشر مجلّداً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ملحقات العروة الوثقى، للسيّد محمّد كاظم الطباطبائي اليزدي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قم،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الرجال الحديث، للسيّد القاسم الموسوي الخوئي،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الثقافةالإسلامية، الطبعة الخامسة،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المطلب في تحقيق المذهب، للعلّامة الحلّي أبي المنصور الحسن بن يوسف بن المطهر الأسدي، 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 الطبعة الحجرية، مجلّدان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 للويس معلوف،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الشرق، بيروت، الطبعة الأُولى،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لرئيس المحدّثين أبي جعفر الصدوق محمّد بن علي بن الحسين بن بابويه القمي، 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النجف،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أربعة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للقاضي عبدالعزيز بن البرّاج الطرابلسي، المتوفّى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المهذّب البارع، للعلّامة جمال الدين أحمد بن محمّد بن فهد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آقا مجتبى العراقي، 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 خمسة مجلّدات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 للعلّامة السيّد محمّد حسين الطباطبائي</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قم، عشرون مجلّداً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الناظر في الجمع بين الأشباه والنظائر، للشيخ نجيب الدين يحيى بن سعيد الحلّي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مع التعاليق لسماحة آية الله العظمى الشيخ يوسف الصانعي، إخراج وتحقيق مؤسّسة فقه الثقلين الثقافية، 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لشيخ الطائفة أبي جعفر محمّد بن الحسن بن علي الطوسي،المتوفّى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آغا بزرك الطهراني،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الطبعة الثانية،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ونكتها، لنجم الدين جعفر بن الحسن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ق،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 ثلاثة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النوادر، لأحمد بن محمّد عیسی الأشعري القمّي، المتوفّی فی القرن الثالث،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إمام مهدي عجل الله تعالی فرجه الشریف، الطبعة الأُولی،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إلى تحقيق مسائل الشرعية، للفقية المحدّث الشيخ محمّد بن الحسن الحرّ العاملي، المتوفّى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لإحياء التراث، قم، الطبعة الأُولى،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ثلاثون مجلّداً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الوسيلة إلى نيل الفضيلة، لأبي جعفر الطوسي المعروف بابن حمزة، المتوفّى بعد عام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النجفي،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الهداية في الأُصول والفروع، للشيخ الصدوق محمّد بن علي بن بابوية، المتوفّى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الطبعة الأُولى،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ق</w:t>
      </w:r>
      <w:bookmarkStart w:id="458" w:name="pg9428_72978"/>
    </w:p>
    <w:p>
      <w:pPr>
        <w:pStyle w:val="Heading2"/>
        <w:numPr>
          <w:ilvl w:val="1"/>
          <w:numId w:val="1"/>
        </w:numPr>
        <w:rPr/>
      </w:pPr>
      <w:bookmarkStart w:id="459" w:name="__RefHeading___Toc5797707_2870459653"/>
      <w:bookmarkStart w:id="460" w:name="_Toc154"/>
      <w:bookmarkEnd w:id="458"/>
      <w:bookmarkEnd w:id="459"/>
      <w:r>
        <w:rPr>
          <w:rtl w:val="true"/>
        </w:rPr>
        <w:t>فهرس المطالب</w:t>
      </w:r>
      <w:bookmarkEnd w:id="460"/>
    </w:p>
    <w:p>
      <w:pPr>
        <w:pStyle w:val="BookText"/>
        <w:rPr/>
      </w:pPr>
      <w:r>
        <w:rPr>
          <w:rFonts w:ascii="IRNazanin" w:hAnsi="IRNazanin" w:eastAsia="IRNazanin"/>
          <w:color w:val="111111"/>
          <w:sz w:val="28"/>
          <w:sz w:val="28"/>
          <w:szCs w:val="28"/>
          <w:rtl w:val="true"/>
          <w:lang w:bidi="fa-IR"/>
        </w:rPr>
        <w:t xml:space="preserve">دلیل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كتاب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قصاص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معنى القصاص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الاستدلال بالآيات على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توهّم عدم الإطلاق في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الاستدلال بالروايات على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القتل من أعظم الكبائر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القول في الموجب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العمد والخطأ في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أقسام القتل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المباشرة والتسبيب في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حقيقة السحر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السراية في الجناية العمديّة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التسبيب في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القتل بالطعام المسموم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القتل بالسمّ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الاختلاف في القتل بالجعل أو التقديم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الخطأ في تقديم السمّ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الدخول في البيت وأكل السمّ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السموم القاتلة من غير أكل وشرب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شكّ السبب في السمّية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تداوي المجروح بدواء سمّي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الإلقاء في المسبعة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الإكراه في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الاستدلال على كون القود على المكره المباشر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الإكراه بالقتل بالتوعيد بغير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الإكراه والاضطرار في سقط الجنين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إكراه غير المميّز على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إكراه غير البالغ المميّز على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الإذن والأمر على القتل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الإكراه على قتل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الشركة في الجناية بالجرح والسراية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تداخل دية وقصاص الطرف في النفس وعدمها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حكم الاشتراك في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فيما تتحقّق به الشركة في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حكم الردّ قبل الاستيفاء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القول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الشرائط المعتبرة في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قصاص الحرّ بالحرّة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إجمال القول في استدلال الأصحاب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النقاش في استدلال الأصحاب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كيفيّة مخالفة هذه الأخبار للكتاب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توهّم ودفع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ترجيح أخبار المواسعة على المضايقة بموافقة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مخالفة الأخبار المستدلّ بها مع الأخبار الأُخر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البحث حول دية أعضاء المرأة بما هي 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مسائل متفرّعة على المبنى المشهور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عدم شرطيّة التساوي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أدلّة القائلين بشرطيّة التساوي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محكوميّة المسلم المعتاد بقتل غير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حكم قتل المسلم مرتدّاً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قصاص الولد بقتل أبيه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عدم قصاص الأُمّ بقتل الولد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هل يثبت القصاص للولد بقتل زوج زوجته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شرطيّة العقل في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تثبت الدية على العاقلة في المجنون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شرطيّة البلوغ أو التمييز في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الاستدلال على عدم شرطيّة البلوغ وكفاية الإدراك والتمييز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قصاص القاتل بقتل الصبيّ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ثبوت القود على السكران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هل القود على النائم والمغمى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جناية الأعمى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حكم سابّ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القول فيما يثبت به القود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الإقرار بالقتل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شهادة النساء في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تعارض البيّنتين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تعارض البيّنة مع الإقرار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مقتضى القاعدة في تعارض البيّنة مع الإقرار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دلالة النصّ في تعارض البيّنة مع الإقرار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في معنى القسامة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القسامة إمضائيّة أم تأسيسيّة؟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الفرق بين حلف القسامة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معنى اللوث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اعتبار اللوث في القسامة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باللوث في القسامة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ما لو لم يحصل اللوث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تنبيهٌ وفرعٌ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كمّيّة القسامة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العدد في القسامة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في عدم القسامة للمدّعي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ما يعتبر في القسامة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فيما كان المدّعي أو المدّعى عليه أكثر من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في النكول عن اليمين في القسامة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القسامة في الأعضاء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قسامة 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حجّية القسامة في ثبوت القصاص والدية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جريان القسامة مع غيبة بعض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حبس المتّهم ومدّته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القول في كيفيّة الاستيفاء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فيما يوجبه القتل العمد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الاستدلال للقول المشهور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الاستدلال للقول المخالف للمشهور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عفو القود بشرط الدية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في وجوب بذل الدية على الجاني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إرث القصاص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إرث الزوج والزوجة في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إرث الإخوة والأخوات في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إرث النساء في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هل يتوقّف القصاص على إذن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 xml:space="preserve">الاستدلال على لزوم إذن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الاستدلال على عدم وجوب الإذن من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 xml:space="preserve">هل يعتبر إذن جميع أولياء الدم إذا كان أكثر من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القرعة في تزاحم الحقوق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عدم جواز استيفاء القصاص بالآلة الكالّة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استيفاء القصاص بالسيف والاستدلال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عدم الضمان في قصاص الطرف مع السراية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جواز الاستيفاء مع غيبة بعض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فيما إذا كان الوليّ صغيراً أو مجنوناً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اختيار بعض الأولياء الدية أو العفو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اشتراك الأب في قتل ولده مع الأجنبيّ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صرف الدية في ديون المقتول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استيفاء القصاص للمديون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تعدّد القتيل مع كون القاتل واحداً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التوكيل في استيفاء 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عدم جواز الاقتصاص من الحامل </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 xml:space="preserve">حكم ما لو قطع الجاني يد رجل ثمّ قتل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 xml:space="preserve">سقوط القصاص بهلاك قاتل العمد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تسقط الدية بهلاك قاتل العمد؟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ثبوت الدية مع موت القاتل الهارب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حكم ما لو برئ الجاني من ضربة وليّ الدم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حكم قصاص قتل الكامل الناقص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قطع كفّ الجاني مع كون كفّ المجنيّ عليه بغير أصابع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قصاص ما دون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 xml:space="preserve">قصاص الطرف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 xml:space="preserve">فيما يشترط في قصاص الطرف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قصاص الطرف للرجل من الرجل ومن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التساوي في السلامة من الشلل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اعتبار التساوي في المحلّ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قصاص عين الأعور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 xml:space="preserve">عدم القصاص في العين العمياء القائمة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 xml:space="preserve">كيفيّة القصاص في إذهاب ضوء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 xml:space="preserve">حكم تفاوت العضو في الجاني والمجنيّ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 xml:space="preserve">سراية قطع الإصبع إلى الكفّ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Amiri" w:hAnsi="Amiri" w:eastAsia="Amiri" w:cs="Amiri"/>
          <w:color w:val="111111"/>
          <w:sz w:val="28"/>
          <w:sz w:val="28"/>
          <w:szCs w:val="28"/>
          <w:rtl w:val="true"/>
          <w:lang w:bidi="ar-SA"/>
        </w:rPr>
        <w:t xml:space="preserve">في عفو المجنيّ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ascii="IRNazanin" w:hAnsi="IRNazanin" w:eastAsia="IRNazanin"/>
          <w:color w:val="111111"/>
          <w:sz w:val="28"/>
          <w:sz w:val="28"/>
          <w:szCs w:val="28"/>
          <w:rtl w:val="true"/>
          <w:lang w:bidi="fa-IR"/>
        </w:rPr>
        <w:t xml:space="preserve">مصادر التحقیقّ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المطالب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الجنايات، القتل من أعظم الکبائر، ویتعلّق به القصاص أو الدیة والکفّارة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 قطبان وخاتمة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القطب الثاني في الدیات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ما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حجّة الوداع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 أنً من قتل مؤمناً علی دينه فليست له توبته، ذيل الحديث الرابع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الجنايات باب القصاص،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باب القصاص،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الفصل العاشر، الحديث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القصاص،أبواب القصاص في النفس،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كتاب الديات، باب أنّ من قتل مؤمناً علی 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وتهذيب الأحكام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كتاب الديات، باب القضايا في الديات والقصاص،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الماتن في تحرير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في البحث عن شرائط المعتبرة في القصاص، وفي فروع لواحق هذا الباب، 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ومنها لو وجب على مسلم قصاص فقتله غير الوليّ كان عليه القود، ولو وجب قتله بالزنا أو اللواط فقتله غير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قود عليه ولا 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تردّد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وبالجملة، فالمدار على احترام النفس على وجهٍ يجب على المكلّف حفظها، ومرجع ذلك إلى الاستظهار من الأدلّة، وإلّا فمجرّد وجوب القتل حدّاً لا يقتضي ذلك، خصوصاً مع توبة المحدود وندمه وأسفه إذا كان بحيث لا يسقط عنه الحدّ، كما لو فرض توبته بعد إقامة البيّنة عليه وحكم الحاكم عليه، فإنَّ دعوى عدم احترام نفسه مع هذا الحال، بحيث يكون كبعض الحيوانات التي هي غير محترمة من جهة وجوب القتل عليه حدّاً لا يخفى عليك ما فيها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كتاب القصاص، أبواب القصاص في النفس،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كتاب القصاص، أبواب القصاص في النفس،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40:29</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 السابقة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كتاب القصاص، أبواب القصاص في النفس،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الدية في قتل العمد والخطأ،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158/635</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259/976</w:t>
      </w:r>
      <w:r>
        <w:rPr>
          <w:rFonts w:ascii="IRNazanin" w:hAnsi="IRNazanin" w:eastAsia="IRNazanin"/>
          <w:b w:val="false"/>
          <w:b w:val="false"/>
          <w:bCs w:val="false"/>
          <w:i w:val="false"/>
          <w:i w:val="false"/>
          <w:iCs w:val="false"/>
          <w:color w:val="333333"/>
          <w:sz w:val="20"/>
          <w:sz w:val="20"/>
          <w:szCs w:val="20"/>
          <w:rtl w:val="true"/>
        </w:rPr>
        <w:t xml:space="preserve">، باب مقدار الدية،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77/240</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الدية،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تقدّمت آنفاً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40:29</w:t>
      </w:r>
      <w:r>
        <w:rPr>
          <w:rFonts w:ascii="IRNazanin" w:hAnsi="IRNazanin" w:eastAsia="IRNazanin"/>
          <w:b w:val="false"/>
          <w:b w:val="false"/>
          <w:bCs w:val="false"/>
          <w:i w:val="false"/>
          <w:i w:val="false"/>
          <w:iCs w:val="false"/>
          <w:color w:val="333333"/>
          <w:sz w:val="20"/>
          <w:sz w:val="20"/>
          <w:szCs w:val="20"/>
          <w:rtl w:val="true"/>
        </w:rPr>
        <w:t>، كتاب القصاص، أبواب القصاص في النفس،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كتاب القصاص، أبواب القصاص في النفس،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في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عرفته في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بیانه في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بیانه في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كتاب القصاص، أبواب القصاص في النفس،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كتاب القصاص، أبواب القصاص في النفس،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حكی عنه السيّد الأعرج في كنز الفوائد </w:t>
      </w:r>
      <w:r>
        <w:rPr>
          <w:rFonts w:eastAsia="IRNazanin" w:cs="IRNazanin"/>
          <w:b w:val="false"/>
          <w:bCs w:val="false"/>
          <w:i w:val="false"/>
          <w:iCs w:val="false"/>
          <w:color w:val="333333"/>
          <w:sz w:val="20"/>
          <w:szCs w:val="20"/>
        </w:rPr>
        <w:t>669:3</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تأثير السحر والعين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نفس المصدر ولعلّ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الآكل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نسخة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احتمل القود؛ لأنّ السمّ من جنس ما يقتل غالباً فأشبه ما لو جرحه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أعلم أنّه يموت منه، وعدمه لجواز خفائه، وكان شبهةً في سقوط القود، فتجب الدية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مذاهب الأربعة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كتاب الحدود، مبحث الفعلين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 السابقة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بیانه في الصفحة السابقة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وإلقائِهِ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على كلمة القتل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كتاب القصاص، أبواب القصاص في النفس،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كتاب القصاص، أبواب القصاص في النفس،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كتاب الديات، باب الرجل يمسك الرجل فيقتله آخر،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86/279</w:t>
      </w:r>
      <w:r>
        <w:rPr>
          <w:rFonts w:ascii="IRNazanin" w:hAnsi="IRNazanin" w:eastAsia="IRNazanin"/>
          <w:b w:val="false"/>
          <w:b w:val="false"/>
          <w:bCs w:val="false"/>
          <w:i w:val="false"/>
          <w:i w:val="false"/>
          <w:iCs w:val="false"/>
          <w:color w:val="333333"/>
          <w:sz w:val="20"/>
          <w:sz w:val="20"/>
          <w:szCs w:val="20"/>
          <w:rtl w:val="true"/>
        </w:rPr>
        <w:t>، باب حكم الرجل يقتل الرجلين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221/868</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الجواهر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فقضى في الرؤية،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الرئية، وفي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219/863</w:t>
      </w:r>
      <w:r>
        <w:rPr>
          <w:rFonts w:ascii="IRNazanin" w:hAnsi="IRNazanin" w:eastAsia="IRNazanin"/>
          <w:b w:val="false"/>
          <w:b w:val="false"/>
          <w:bCs w:val="false"/>
          <w:i w:val="false"/>
          <w:i w:val="false"/>
          <w:iCs w:val="false"/>
          <w:color w:val="333333"/>
          <w:sz w:val="20"/>
          <w:sz w:val="20"/>
          <w:szCs w:val="20"/>
          <w:rtl w:val="true"/>
        </w:rPr>
        <w:t>، باب الاثنين إذا قتلا واحداً والثلاثة يشتركون في 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الربيئة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والربيئة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الطليعة، والذي يرصد الطريق للقاتل كي لا يطّلع عليه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ربأ</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الصواب على ما في النسخ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معمولة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یأتي عبارتها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كتاب الجنايات، باب ما يجب به القصاص من الجنايات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والنهي عن المنکر، أبواب الأمر والنهي وما يناسبهما،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والنهي عن المنکر، أبواب الأمر والنهي وما يناسبهما،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 التقيّة؛ وسائل الشيعة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ما يمسك عنه الصائم ووقت الإمساك،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الرسالات الفقهيّة والأصوليّة، للإمام الخميني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والنهي عن المنکر، أبواب الأمر والنهي وما يناسبهما،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والنهي عن المنکر، أبواب الأمر والنهي وما يناسبهما،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والنهي عن المنکر، أبواب الأمر والنهي وما يناسبهما،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 الرجل یأمر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باب الاثنین إذا قتلا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باب من أمر غیره یقتل 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 الرجل یأمر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219/846</w:t>
      </w:r>
      <w:r>
        <w:rPr>
          <w:rFonts w:ascii="IRNazanin" w:hAnsi="IRNazanin" w:eastAsia="IRNazanin"/>
          <w:b w:val="false"/>
          <w:b w:val="false"/>
          <w:bCs w:val="false"/>
          <w:i w:val="false"/>
          <w:i w:val="false"/>
          <w:iCs w:val="false"/>
          <w:color w:val="333333"/>
          <w:sz w:val="20"/>
          <w:sz w:val="20"/>
          <w:szCs w:val="20"/>
          <w:rtl w:val="true"/>
        </w:rPr>
        <w:t>، باب الاثنین إذا قتلا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283/1071</w:t>
      </w:r>
      <w:r>
        <w:rPr>
          <w:rFonts w:ascii="IRNazanin" w:hAnsi="IRNazanin" w:eastAsia="IRNazanin"/>
          <w:b w:val="false"/>
          <w:b w:val="false"/>
          <w:bCs w:val="false"/>
          <w:i w:val="false"/>
          <w:i w:val="false"/>
          <w:iCs w:val="false"/>
          <w:color w:val="333333"/>
          <w:sz w:val="20"/>
          <w:sz w:val="20"/>
          <w:szCs w:val="20"/>
          <w:rtl w:val="true"/>
        </w:rPr>
        <w:t>، باب من أمر غیره بقتل 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81/254</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الدیه، 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تراث الشيخ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يروون أنّ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منبر 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إن اختار القتل دون البراءة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ما ذلك عليه، وما له إلّا ما مضى عليه عمّار بن ياسر حيث أكرهه أهل مكّة وقلبه مطمئن بالإيمان فانزل الله عزّ وجلّ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اُكرِهَ وقَلْبُهُ مُطمئِنٌّ بِالاِْيمَانِ فقال له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عادوا فعدّ، فقد أنزل الله عذرك وأمرك أن تعود إنْ عادوا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التقیّة،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والنهي عن المنکر، أبواب الأمر والنهي وما يناسبهما،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يستكره على اليمين، فيحلف بالطلاق والعتاق وصدقة ما يملك، أ يلزمه ذلك؟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عن أُمّتي ما أُكرهوا عليه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کتاب العلل، الحدیث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كتاب الأيمان، باب جواز الحلف باليمين الكاذبه،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 الرجل یأمر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219/864</w:t>
      </w:r>
      <w:r>
        <w:rPr>
          <w:rFonts w:ascii="IRNazanin" w:hAnsi="IRNazanin" w:eastAsia="IRNazanin"/>
          <w:b w:val="false"/>
          <w:b w:val="false"/>
          <w:bCs w:val="false"/>
          <w:i w:val="false"/>
          <w:i w:val="false"/>
          <w:iCs w:val="false"/>
          <w:color w:val="333333"/>
          <w:sz w:val="20"/>
          <w:sz w:val="20"/>
          <w:szCs w:val="20"/>
          <w:rtl w:val="true"/>
        </w:rPr>
        <w:t>، باب الاثنین إذا قتلا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283/1071</w:t>
      </w:r>
      <w:r>
        <w:rPr>
          <w:rFonts w:ascii="IRNazanin" w:hAnsi="IRNazanin" w:eastAsia="IRNazanin"/>
          <w:b w:val="false"/>
          <w:b w:val="false"/>
          <w:bCs w:val="false"/>
          <w:i w:val="false"/>
          <w:i w:val="false"/>
          <w:iCs w:val="false"/>
          <w:color w:val="333333"/>
          <w:sz w:val="20"/>
          <w:sz w:val="20"/>
          <w:szCs w:val="20"/>
          <w:rtl w:val="true"/>
        </w:rPr>
        <w:t>، باب من أمر غیره بقتل 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81/254</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الدیة، 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في الصفحة السابقة آنفاً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172/335</w:t>
      </w:r>
      <w:r>
        <w:rPr>
          <w:rFonts w:ascii="IRNazanin" w:hAnsi="IRNazanin" w:eastAsia="IRNazanin"/>
          <w:b w:val="false"/>
          <w:b w:val="false"/>
          <w:bCs w:val="false"/>
          <w:i w:val="false"/>
          <w:i w:val="false"/>
          <w:iCs w:val="false"/>
          <w:color w:val="333333"/>
          <w:sz w:val="20"/>
          <w:sz w:val="20"/>
          <w:szCs w:val="20"/>
          <w:rtl w:val="true"/>
        </w:rPr>
        <w:t xml:space="preserve">، باب النوادر، 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والنهي عن المنکر، أبواب الأمر والنهى،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آنفاً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من شهد ثمّ رجع عن شهادته،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311/1162</w:t>
      </w:r>
      <w:r>
        <w:rPr>
          <w:rFonts w:ascii="IRNazanin" w:hAnsi="IRNazanin" w:eastAsia="IRNazanin"/>
          <w:b w:val="false"/>
          <w:b w:val="false"/>
          <w:bCs w:val="false"/>
          <w:i w:val="false"/>
          <w:i w:val="false"/>
          <w:iCs w:val="false"/>
          <w:color w:val="333333"/>
          <w:sz w:val="20"/>
          <w:sz w:val="20"/>
          <w:szCs w:val="20"/>
          <w:rtl w:val="true"/>
        </w:rPr>
        <w:t xml:space="preserve">، باب من الزیادات،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260/691</w:t>
      </w:r>
      <w:r>
        <w:rPr>
          <w:rFonts w:ascii="IRNazanin" w:hAnsi="IRNazanin" w:eastAsia="IRNazanin"/>
          <w:b w:val="false"/>
          <w:b w:val="false"/>
          <w:bCs w:val="false"/>
          <w:i w:val="false"/>
          <w:i w:val="false"/>
          <w:iCs w:val="false"/>
          <w:color w:val="333333"/>
          <w:sz w:val="20"/>
          <w:sz w:val="20"/>
          <w:szCs w:val="20"/>
          <w:rtl w:val="true"/>
        </w:rPr>
        <w:t xml:space="preserve">، باب البیّنات، الحدیث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312/1163</w:t>
      </w:r>
      <w:r>
        <w:rPr>
          <w:rFonts w:ascii="IRNazanin" w:hAnsi="IRNazanin" w:eastAsia="IRNazanin"/>
          <w:b w:val="false"/>
          <w:b w:val="false"/>
          <w:bCs w:val="false"/>
          <w:i w:val="false"/>
          <w:i w:val="false"/>
          <w:iCs w:val="false"/>
          <w:color w:val="333333"/>
          <w:sz w:val="20"/>
          <w:sz w:val="20"/>
          <w:szCs w:val="20"/>
          <w:rtl w:val="true"/>
        </w:rPr>
        <w:t xml:space="preserve">، باب من الزیادات،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311/1161</w:t>
      </w:r>
      <w:r>
        <w:rPr>
          <w:rFonts w:ascii="IRNazanin" w:hAnsi="IRNazanin" w:eastAsia="IRNazanin"/>
          <w:b w:val="false"/>
          <w:b w:val="false"/>
          <w:bCs w:val="false"/>
          <w:i w:val="false"/>
          <w:i w:val="false"/>
          <w:iCs w:val="false"/>
          <w:color w:val="333333"/>
          <w:sz w:val="20"/>
          <w:sz w:val="20"/>
          <w:szCs w:val="20"/>
          <w:rtl w:val="true"/>
        </w:rPr>
        <w:t xml:space="preserve">، باب من الزیادات،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كتاب القصاص، أبواب القصاص في النفس، الباب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باب الرجل یضرب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98/327</w:t>
      </w:r>
      <w:r>
        <w:rPr>
          <w:rFonts w:ascii="IRNazanin" w:hAnsi="IRNazanin" w:eastAsia="IRNazanin"/>
          <w:b w:val="false"/>
          <w:b w:val="false"/>
          <w:bCs w:val="false"/>
          <w:i w:val="false"/>
          <w:i w:val="false"/>
          <w:iCs w:val="false"/>
          <w:color w:val="333333"/>
          <w:sz w:val="20"/>
          <w:sz w:val="20"/>
          <w:szCs w:val="20"/>
          <w:rtl w:val="true"/>
        </w:rPr>
        <w:t>، باب ما یجب فيه الدیه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253/1003</w:t>
      </w:r>
      <w:r>
        <w:rPr>
          <w:rFonts w:ascii="IRNazanin" w:hAnsi="IRNazanin" w:eastAsia="IRNazanin"/>
          <w:b w:val="false"/>
          <w:b w:val="false"/>
          <w:bCs w:val="false"/>
          <w:i w:val="false"/>
          <w:i w:val="false"/>
          <w:iCs w:val="false"/>
          <w:color w:val="333333"/>
          <w:sz w:val="20"/>
          <w:sz w:val="20"/>
          <w:szCs w:val="20"/>
          <w:rtl w:val="true"/>
        </w:rPr>
        <w:t>، باب دیات الأعضاء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ديات المنافع،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باب الرجل یضرب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باب دیات الأعضاء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ديات المنافع،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آخر،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97/324</w:t>
      </w:r>
      <w:r>
        <w:rPr>
          <w:rFonts w:ascii="IRNazanin" w:hAnsi="IRNazanin" w:eastAsia="IRNazanin"/>
          <w:b w:val="false"/>
          <w:b w:val="false"/>
          <w:bCs w:val="false"/>
          <w:i w:val="false"/>
          <w:i w:val="false"/>
          <w:iCs w:val="false"/>
          <w:color w:val="333333"/>
          <w:sz w:val="20"/>
          <w:sz w:val="20"/>
          <w:szCs w:val="20"/>
          <w:rtl w:val="true"/>
        </w:rPr>
        <w:t xml:space="preserve">، باب ما یجب فيه الدیة،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252/1000</w:t>
      </w:r>
      <w:r>
        <w:rPr>
          <w:rFonts w:ascii="IRNazanin" w:hAnsi="IRNazanin" w:eastAsia="IRNazanin"/>
          <w:b w:val="false"/>
          <w:b w:val="false"/>
          <w:bCs w:val="false"/>
          <w:i w:val="false"/>
          <w:i w:val="false"/>
          <w:iCs w:val="false"/>
          <w:color w:val="333333"/>
          <w:sz w:val="20"/>
          <w:sz w:val="20"/>
          <w:szCs w:val="20"/>
          <w:rtl w:val="true"/>
        </w:rPr>
        <w:t>، باب دیات الأعضاء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كتاب القصاص، أبواب القصاص في النفس، الباب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253/1002</w:t>
      </w:r>
      <w:r>
        <w:rPr>
          <w:rFonts w:ascii="IRNazanin" w:hAnsi="IRNazanin" w:eastAsia="IRNazanin"/>
          <w:b w:val="false"/>
          <w:b w:val="false"/>
          <w:bCs w:val="false"/>
          <w:i w:val="false"/>
          <w:i w:val="false"/>
          <w:iCs w:val="false"/>
          <w:color w:val="333333"/>
          <w:sz w:val="20"/>
          <w:sz w:val="20"/>
          <w:szCs w:val="20"/>
          <w:rtl w:val="true"/>
        </w:rPr>
        <w:t>، باب دیات الأعضاء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كتاب القصاص، أبواب القصاص في النفس، الباب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باب الرجل یضرب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98/327</w:t>
      </w:r>
      <w:r>
        <w:rPr>
          <w:rFonts w:ascii="IRNazanin" w:hAnsi="IRNazanin" w:eastAsia="IRNazanin"/>
          <w:b w:val="false"/>
          <w:b w:val="false"/>
          <w:bCs w:val="false"/>
          <w:i w:val="false"/>
          <w:i w:val="false"/>
          <w:iCs w:val="false"/>
          <w:color w:val="333333"/>
          <w:sz w:val="20"/>
          <w:sz w:val="20"/>
          <w:szCs w:val="20"/>
          <w:rtl w:val="true"/>
        </w:rPr>
        <w:t>، باب ما یجب فيه الدیة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253/1003</w:t>
      </w:r>
      <w:r>
        <w:rPr>
          <w:rFonts w:ascii="IRNazanin" w:hAnsi="IRNazanin" w:eastAsia="IRNazanin"/>
          <w:b w:val="false"/>
          <w:b w:val="false"/>
          <w:bCs w:val="false"/>
          <w:i w:val="false"/>
          <w:i w:val="false"/>
          <w:iCs w:val="false"/>
          <w:color w:val="333333"/>
          <w:sz w:val="20"/>
          <w:sz w:val="20"/>
          <w:szCs w:val="20"/>
          <w:rtl w:val="true"/>
        </w:rPr>
        <w:t>، باب دیات الأعضاء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ديات المنافع،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باب الرجل یضرب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98/327</w:t>
      </w:r>
      <w:r>
        <w:rPr>
          <w:rFonts w:ascii="IRNazanin" w:hAnsi="IRNazanin" w:eastAsia="IRNazanin"/>
          <w:b w:val="false"/>
          <w:b w:val="false"/>
          <w:bCs w:val="false"/>
          <w:i w:val="false"/>
          <w:i w:val="false"/>
          <w:iCs w:val="false"/>
          <w:color w:val="333333"/>
          <w:sz w:val="20"/>
          <w:sz w:val="20"/>
          <w:szCs w:val="20"/>
          <w:rtl w:val="true"/>
        </w:rPr>
        <w:t>، باب ما یجب فيه الدیة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253/1003</w:t>
      </w:r>
      <w:r>
        <w:rPr>
          <w:rFonts w:ascii="IRNazanin" w:hAnsi="IRNazanin" w:eastAsia="IRNazanin"/>
          <w:b w:val="false"/>
          <w:b w:val="false"/>
          <w:bCs w:val="false"/>
          <w:i w:val="false"/>
          <w:i w:val="false"/>
          <w:iCs w:val="false"/>
          <w:color w:val="333333"/>
          <w:sz w:val="20"/>
          <w:sz w:val="20"/>
          <w:szCs w:val="20"/>
          <w:rtl w:val="true"/>
        </w:rPr>
        <w:t>، باب دیات الأعضاء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ديات المنافع،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 الجماعة یجتمعون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85/274</w:t>
      </w:r>
      <w:r>
        <w:rPr>
          <w:rFonts w:ascii="IRNazanin" w:hAnsi="IRNazanin" w:eastAsia="IRNazanin"/>
          <w:b w:val="false"/>
          <w:b w:val="false"/>
          <w:bCs w:val="false"/>
          <w:i w:val="false"/>
          <w:i w:val="false"/>
          <w:iCs w:val="false"/>
          <w:color w:val="333333"/>
          <w:sz w:val="20"/>
          <w:sz w:val="20"/>
          <w:szCs w:val="20"/>
          <w:rtl w:val="true"/>
        </w:rPr>
        <w:t>، باب حکم الرجل یقتل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217/854</w:t>
      </w:r>
      <w:r>
        <w:rPr>
          <w:rFonts w:ascii="IRNazanin" w:hAnsi="IRNazanin" w:eastAsia="IRNazanin"/>
          <w:b w:val="false"/>
          <w:b w:val="false"/>
          <w:bCs w:val="false"/>
          <w:i w:val="false"/>
          <w:i w:val="false"/>
          <w:iCs w:val="false"/>
          <w:color w:val="333333"/>
          <w:sz w:val="20"/>
          <w:sz w:val="20"/>
          <w:szCs w:val="20"/>
          <w:rtl w:val="true"/>
        </w:rPr>
        <w:t>، باب الاثنین إذا قتلا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281/1064</w:t>
      </w:r>
      <w:r>
        <w:rPr>
          <w:rFonts w:ascii="IRNazanin" w:hAnsi="IRNazanin" w:eastAsia="IRNazanin"/>
          <w:b w:val="false"/>
          <w:b w:val="false"/>
          <w:bCs w:val="false"/>
          <w:i w:val="false"/>
          <w:i w:val="false"/>
          <w:iCs w:val="false"/>
          <w:color w:val="333333"/>
          <w:sz w:val="20"/>
          <w:sz w:val="20"/>
          <w:szCs w:val="20"/>
          <w:rtl w:val="true"/>
        </w:rPr>
        <w:t>، باب جواز قتل الاثنین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 الجماعة یجتمعون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86/276</w:t>
      </w:r>
      <w:r>
        <w:rPr>
          <w:rFonts w:ascii="IRNazanin" w:hAnsi="IRNazanin" w:eastAsia="IRNazanin"/>
          <w:b w:val="false"/>
          <w:b w:val="false"/>
          <w:bCs w:val="false"/>
          <w:i w:val="false"/>
          <w:i w:val="false"/>
          <w:iCs w:val="false"/>
          <w:color w:val="333333"/>
          <w:sz w:val="20"/>
          <w:sz w:val="20"/>
          <w:szCs w:val="20"/>
          <w:rtl w:val="true"/>
        </w:rPr>
        <w:t>، باب حکم الرجل یقتل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218/857</w:t>
      </w:r>
      <w:r>
        <w:rPr>
          <w:rFonts w:ascii="IRNazanin" w:hAnsi="IRNazanin" w:eastAsia="IRNazanin"/>
          <w:b w:val="false"/>
          <w:b w:val="false"/>
          <w:bCs w:val="false"/>
          <w:i w:val="false"/>
          <w:i w:val="false"/>
          <w:iCs w:val="false"/>
          <w:color w:val="333333"/>
          <w:sz w:val="20"/>
          <w:sz w:val="20"/>
          <w:szCs w:val="20"/>
          <w:rtl w:val="true"/>
        </w:rPr>
        <w:t>، باب الاثنین إذا قتلا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281/1067</w:t>
      </w:r>
      <w:r>
        <w:rPr>
          <w:rFonts w:ascii="IRNazanin" w:hAnsi="IRNazanin" w:eastAsia="IRNazanin"/>
          <w:b w:val="false"/>
          <w:b w:val="false"/>
          <w:bCs w:val="false"/>
          <w:i w:val="false"/>
          <w:i w:val="false"/>
          <w:iCs w:val="false"/>
          <w:color w:val="333333"/>
          <w:sz w:val="20"/>
          <w:sz w:val="20"/>
          <w:szCs w:val="20"/>
          <w:rtl w:val="true"/>
        </w:rPr>
        <w:t>، باب جواز قتل الاثنین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بن سرحان،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رجلين قتلا رجلاً؟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شاء أولياء المقتول أن يؤدّوا دية ويقتلوهما جميعاً قتلوهما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82/261</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الدیة، الحدیث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41:29</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217/856</w:t>
      </w:r>
      <w:r>
        <w:rPr>
          <w:rFonts w:ascii="IRNazanin" w:hAnsi="IRNazanin" w:eastAsia="IRNazanin"/>
          <w:b w:val="false"/>
          <w:b w:val="false"/>
          <w:bCs w:val="false"/>
          <w:i w:val="false"/>
          <w:i w:val="false"/>
          <w:iCs w:val="false"/>
          <w:color w:val="333333"/>
          <w:sz w:val="20"/>
          <w:sz w:val="20"/>
          <w:szCs w:val="20"/>
          <w:rtl w:val="true"/>
        </w:rPr>
        <w:t>، باب الاثنین إذا قتلا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281/1066</w:t>
      </w:r>
      <w:r>
        <w:rPr>
          <w:rFonts w:ascii="IRNazanin" w:hAnsi="IRNazanin" w:eastAsia="IRNazanin"/>
          <w:b w:val="false"/>
          <w:b w:val="false"/>
          <w:bCs w:val="false"/>
          <w:i w:val="false"/>
          <w:i w:val="false"/>
          <w:iCs w:val="false"/>
          <w:color w:val="333333"/>
          <w:sz w:val="20"/>
          <w:sz w:val="20"/>
          <w:szCs w:val="20"/>
          <w:rtl w:val="true"/>
        </w:rPr>
        <w:t>، باب جواز قتل الاثنین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 الجمعة یجتمعون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مع تفاوت في بعض ألفاظ الروایة؛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244/966</w:t>
      </w:r>
      <w:r>
        <w:rPr>
          <w:rFonts w:ascii="IRNazanin" w:hAnsi="IRNazanin" w:eastAsia="IRNazanin"/>
          <w:b w:val="false"/>
          <w:b w:val="false"/>
          <w:bCs w:val="false"/>
          <w:i w:val="false"/>
          <w:i w:val="false"/>
          <w:iCs w:val="false"/>
          <w:color w:val="333333"/>
          <w:sz w:val="20"/>
          <w:sz w:val="20"/>
          <w:szCs w:val="20"/>
          <w:rtl w:val="true"/>
        </w:rPr>
        <w:t>، باب اشتراك الأحرار والعبید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مسائل علی بن جعفر ومستدرکاتها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الحدود، الحدیث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قسم المسائل، الحدیث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کتاب الحدود، الحدیث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كتاب القصاص، أبواب القصاص في النفس، الباب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باب الجماعة یجتمعون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218/858</w:t>
      </w:r>
      <w:r>
        <w:rPr>
          <w:rFonts w:ascii="IRNazanin" w:hAnsi="IRNazanin" w:eastAsia="IRNazanin"/>
          <w:b w:val="false"/>
          <w:b w:val="false"/>
          <w:bCs w:val="false"/>
          <w:i w:val="false"/>
          <w:i w:val="false"/>
          <w:iCs w:val="false"/>
          <w:color w:val="333333"/>
          <w:sz w:val="20"/>
          <w:sz w:val="20"/>
          <w:szCs w:val="20"/>
          <w:rtl w:val="true"/>
        </w:rPr>
        <w:t>، باب الاثنين إذا قتلا واحداً والثلاثة يشتركون في 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282/1068</w:t>
      </w:r>
      <w:r>
        <w:rPr>
          <w:rFonts w:ascii="IRNazanin" w:hAnsi="IRNazanin" w:eastAsia="IRNazanin"/>
          <w:b w:val="false"/>
          <w:b w:val="false"/>
          <w:bCs w:val="false"/>
          <w:i w:val="false"/>
          <w:i w:val="false"/>
          <w:iCs w:val="false"/>
          <w:color w:val="333333"/>
          <w:sz w:val="20"/>
          <w:sz w:val="20"/>
          <w:szCs w:val="20"/>
          <w:rtl w:val="true"/>
        </w:rPr>
        <w:t>، باب جواز قتل الاثنین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آنفاً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الصفحة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باب الجمعة یجتمعون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240/957</w:t>
      </w:r>
      <w:r>
        <w:rPr>
          <w:rFonts w:ascii="IRNazanin" w:hAnsi="IRNazanin" w:eastAsia="IRNazanin"/>
          <w:b w:val="false"/>
          <w:b w:val="false"/>
          <w:bCs w:val="false"/>
          <w:i w:val="false"/>
          <w:i w:val="false"/>
          <w:iCs w:val="false"/>
          <w:color w:val="333333"/>
          <w:sz w:val="20"/>
          <w:sz w:val="20"/>
          <w:szCs w:val="20"/>
          <w:rtl w:val="true"/>
        </w:rPr>
        <w:t xml:space="preserve">، باب الاشتراك في الجنایات،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116/403</w:t>
      </w:r>
      <w:r>
        <w:rPr>
          <w:rFonts w:ascii="IRNazanin" w:hAnsi="IRNazanin" w:eastAsia="IRNazanin"/>
          <w:b w:val="false"/>
          <w:b w:val="false"/>
          <w:bCs w:val="false"/>
          <w:i w:val="false"/>
          <w:i w:val="false"/>
          <w:iCs w:val="false"/>
          <w:color w:val="333333"/>
          <w:sz w:val="20"/>
          <w:sz w:val="20"/>
          <w:szCs w:val="20"/>
          <w:rtl w:val="true"/>
        </w:rPr>
        <w:t>، باب ما جاء في رجلین اجتمعا علی 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قصاص الطرف،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الروایة وتخریجها في الصفحة السابقة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183/716</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244/965</w:t>
      </w:r>
      <w:r>
        <w:rPr>
          <w:rFonts w:ascii="IRNazanin" w:hAnsi="IRNazanin" w:eastAsia="IRNazanin"/>
          <w:b w:val="false"/>
          <w:b w:val="false"/>
          <w:bCs w:val="false"/>
          <w:i w:val="false"/>
          <w:i w:val="false"/>
          <w:iCs w:val="false"/>
          <w:color w:val="333333"/>
          <w:sz w:val="20"/>
          <w:sz w:val="20"/>
          <w:szCs w:val="20"/>
          <w:rtl w:val="true"/>
        </w:rPr>
        <w:t>، باب اشتراك الأحرار والعبید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كتاب القصاص، أبواب القصاص في النفس، الباب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217/855</w:t>
      </w:r>
      <w:r>
        <w:rPr>
          <w:rFonts w:ascii="IRNazanin" w:hAnsi="IRNazanin" w:eastAsia="IRNazanin"/>
          <w:b w:val="false"/>
          <w:b w:val="false"/>
          <w:bCs w:val="false"/>
          <w:i w:val="false"/>
          <w:i w:val="false"/>
          <w:iCs w:val="false"/>
          <w:color w:val="333333"/>
          <w:sz w:val="20"/>
          <w:sz w:val="20"/>
          <w:szCs w:val="20"/>
          <w:rtl w:val="true"/>
        </w:rPr>
        <w:t>، باب الاثنین إذا قتلا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281/1065</w:t>
      </w:r>
      <w:r>
        <w:rPr>
          <w:rFonts w:ascii="IRNazanin" w:hAnsi="IRNazanin" w:eastAsia="IRNazanin"/>
          <w:b w:val="false"/>
          <w:b w:val="false"/>
          <w:bCs w:val="false"/>
          <w:i w:val="false"/>
          <w:i w:val="false"/>
          <w:iCs w:val="false"/>
          <w:color w:val="333333"/>
          <w:sz w:val="20"/>
          <w:sz w:val="20"/>
          <w:szCs w:val="20"/>
          <w:rtl w:val="true"/>
        </w:rPr>
        <w:t>، باب جواز قتل الاثنین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 الجماعة یجتمعون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الجماعة یجتمعون علی قتل واحد،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240/957</w:t>
      </w:r>
      <w:r>
        <w:rPr>
          <w:rFonts w:ascii="IRNazanin" w:hAnsi="IRNazanin" w:eastAsia="IRNazanin"/>
          <w:b w:val="false"/>
          <w:b w:val="false"/>
          <w:bCs w:val="false"/>
          <w:i w:val="false"/>
          <w:i w:val="false"/>
          <w:iCs w:val="false"/>
          <w:color w:val="333333"/>
          <w:sz w:val="20"/>
          <w:sz w:val="20"/>
          <w:szCs w:val="20"/>
          <w:rtl w:val="true"/>
        </w:rPr>
        <w:t xml:space="preserve">، باب الاشتراك في الجنایات،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116/403</w:t>
      </w:r>
      <w:r>
        <w:rPr>
          <w:rFonts w:ascii="IRNazanin" w:hAnsi="IRNazanin" w:eastAsia="IRNazanin"/>
          <w:b w:val="false"/>
          <w:b w:val="false"/>
          <w:bCs w:val="false"/>
          <w:i w:val="false"/>
          <w:i w:val="false"/>
          <w:iCs w:val="false"/>
          <w:color w:val="333333"/>
          <w:sz w:val="20"/>
          <w:sz w:val="20"/>
          <w:szCs w:val="20"/>
          <w:rtl w:val="true"/>
        </w:rPr>
        <w:t>، باب ما جاء في رجلین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قصاص الطرف،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باب الأخذ بالسنّة وشواهد الکتاب، الحدیث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کتاب مصابیح الظلم،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الاحتياط في الدين والأخذ بالسنة،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xml:space="preserve">، احتجاج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أجوبته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مسائل يحيی ابن أكثم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264/824</w:t>
      </w:r>
      <w:r>
        <w:rPr>
          <w:rFonts w:ascii="IRNazanin" w:hAnsi="IRNazanin" w:eastAsia="IRNazanin"/>
          <w:b w:val="false"/>
          <w:b w:val="false"/>
          <w:bCs w:val="false"/>
          <w:i w:val="false"/>
          <w:i w:val="false"/>
          <w:iCs w:val="false"/>
          <w:color w:val="333333"/>
          <w:sz w:val="20"/>
          <w:sz w:val="20"/>
          <w:szCs w:val="20"/>
          <w:rtl w:val="true"/>
        </w:rPr>
        <w:t xml:space="preserve">، باب النوادر وهو آخر أبواب الکتاب،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كتاب الحجّ، أبواب أحكام العشرة، الباب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وشواهد الکتاب،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حقيقة الحقّ،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المجلس الثامن والخمسون،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وشواهد الکتاب،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مع تفاوتٍ يسير في النقل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تراث الشيخ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تراث الشيخ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أبواب المقدّمات،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كتاب العلم،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في 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 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الأنفال؛ 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 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کتاب الصحبة، الباب الثاني، محظورات الصحبة، الحديث </w:t>
      </w:r>
      <w:r>
        <w:rPr>
          <w:rFonts w:eastAsia="IRNazanin" w:cs="IRNazanin"/>
          <w:b w:val="false"/>
          <w:bCs w:val="false"/>
          <w:i w:val="false"/>
          <w:iCs w:val="false"/>
          <w:color w:val="333333"/>
          <w:sz w:val="20"/>
          <w:szCs w:val="20"/>
        </w:rPr>
        <w:t>24817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24818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272/828</w:t>
      </w:r>
      <w:r>
        <w:rPr>
          <w:rFonts w:ascii="IRNazanin" w:hAnsi="IRNazanin" w:eastAsia="IRNazanin"/>
          <w:b w:val="false"/>
          <w:b w:val="false"/>
          <w:bCs w:val="false"/>
          <w:i w:val="false"/>
          <w:i w:val="false"/>
          <w:iCs w:val="false"/>
          <w:color w:val="333333"/>
          <w:sz w:val="20"/>
          <w:sz w:val="20"/>
          <w:szCs w:val="20"/>
          <w:rtl w:val="true"/>
        </w:rPr>
        <w:t xml:space="preserve">، باب النوادر، في ضمن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وفي الکنز تفاوت يسير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أنّ المؤمن کفوّ المؤمنة،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کتاب النكاح، أبواب مقدّمات النكاح وآدابه،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بعض وصايا لقمان الحكيم لابنه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وما یناسبه، الباب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مواعظ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وحكمه، 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حجّة الوداع</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183/717</w:t>
      </w:r>
      <w:r>
        <w:rPr>
          <w:rFonts w:ascii="IRNazanin" w:hAnsi="IRNazanin" w:eastAsia="IRNazanin"/>
          <w:b w:val="false"/>
          <w:b w:val="false"/>
          <w:bCs w:val="false"/>
          <w:i w:val="false"/>
          <w:i w:val="false"/>
          <w:iCs w:val="false"/>
          <w:color w:val="333333"/>
          <w:sz w:val="20"/>
          <w:sz w:val="20"/>
          <w:szCs w:val="20"/>
          <w:rtl w:val="true"/>
        </w:rPr>
        <w:t>، باب القود بين الرجال والنساء والمسلمين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267/1009</w:t>
      </w:r>
      <w:r>
        <w:rPr>
          <w:rFonts w:ascii="IRNazanin" w:hAnsi="IRNazanin" w:eastAsia="IRNazanin"/>
          <w:b w:val="false"/>
          <w:b w:val="false"/>
          <w:bCs w:val="false"/>
          <w:i w:val="false"/>
          <w:i w:val="false"/>
          <w:iCs w:val="false"/>
          <w:color w:val="333333"/>
          <w:sz w:val="20"/>
          <w:sz w:val="20"/>
          <w:szCs w:val="20"/>
          <w:rtl w:val="true"/>
        </w:rPr>
        <w:t>، باب حکم المرأة 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باب القود بين الرجال والنساء والمسلمين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717/14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ذیل الآیة؛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كتاب القصاص، أبواب القصاص في النفس، الباب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183/718</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أبواب قصاص الطرف، الباب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183/717</w:t>
      </w:r>
      <w:r>
        <w:rPr>
          <w:rFonts w:ascii="IRNazanin" w:hAnsi="IRNazanin" w:eastAsia="IRNazanin"/>
          <w:b w:val="false"/>
          <w:b w:val="false"/>
          <w:bCs w:val="false"/>
          <w:i w:val="false"/>
          <w:i w:val="false"/>
          <w:iCs w:val="false"/>
          <w:color w:val="333333"/>
          <w:sz w:val="20"/>
          <w:sz w:val="20"/>
          <w:szCs w:val="20"/>
          <w:rtl w:val="true"/>
        </w:rPr>
        <w:t>، باب القود بين الرجال والنساء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ذیل الآیه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سوره البقرة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ذیل الآیه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کتاب الجنایات، ذیل الآیه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انتساب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والمجرور متعلّق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وشواهد الکتاب، 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کتاب مصابیح الظلم،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الاحتیاط في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وشواهد الکتاب،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کتاب المصابیح الظلم،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الاحتیاط في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فَعَلُوا فَاحِشَةً قَالُوا وَجَدْنَا عَلَيْهَا آبَائَنَا وَاللهُ أَمَرَنَا بِهَا قُلْ إنَّ اللهَ لَا يَأْمُرُ بِالْفَحْشَاءِ أَتَقُولُونَ عَلَى اللهِ ما لَا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أمَرَ رَبِّي بِالْقِسْطِ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اجمالي مباني اقتصاد اسلامي، للشهيد المطهري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 xml:space="preserve">، باب النوادر،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النوادر، ذيل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الرجم والجلد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باب ما یجب به التعزیر والحدّ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 سلیمان بن خالد؛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حدود الزنا،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کتاب الحدود والتعزیرات، أبواب حدّ الزنا،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 سلیمان بن خالد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باب ما يجب به التعزير والحدّ والرجم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حدود الزنا،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1170/6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سنة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قمريّة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183/717</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267/1009</w:t>
      </w:r>
      <w:r>
        <w:rPr>
          <w:rFonts w:ascii="IRNazanin" w:hAnsi="IRNazanin" w:eastAsia="IRNazanin"/>
          <w:b w:val="false"/>
          <w:b w:val="false"/>
          <w:bCs w:val="false"/>
          <w:i w:val="false"/>
          <w:i w:val="false"/>
          <w:iCs w:val="false"/>
          <w:color w:val="333333"/>
          <w:sz w:val="20"/>
          <w:sz w:val="20"/>
          <w:szCs w:val="20"/>
          <w:rtl w:val="true"/>
        </w:rPr>
        <w:t xml:space="preserve">، باب حکم المرأة إذا قتلت رجلاً،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باب القود بين الرجال والنساء والمسلمين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717/14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183/715</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280/1097</w:t>
      </w:r>
      <w:r>
        <w:rPr>
          <w:rFonts w:ascii="IRNazanin" w:hAnsi="IRNazanin" w:eastAsia="IRNazanin"/>
          <w:b w:val="false"/>
          <w:b w:val="false"/>
          <w:bCs w:val="false"/>
          <w:i w:val="false"/>
          <w:i w:val="false"/>
          <w:iCs w:val="false"/>
          <w:color w:val="333333"/>
          <w:sz w:val="20"/>
          <w:sz w:val="20"/>
          <w:szCs w:val="20"/>
          <w:rtl w:val="true"/>
        </w:rPr>
        <w:t xml:space="preserve">، باب القصاص، الحدیث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266/1002</w:t>
      </w:r>
      <w:r>
        <w:rPr>
          <w:rFonts w:ascii="IRNazanin" w:hAnsi="IRNazanin" w:eastAsia="IRNazanin"/>
          <w:b w:val="false"/>
          <w:b w:val="false"/>
          <w:bCs w:val="false"/>
          <w:i w:val="false"/>
          <w:i w:val="false"/>
          <w:iCs w:val="false"/>
          <w:color w:val="333333"/>
          <w:sz w:val="20"/>
          <w:sz w:val="20"/>
          <w:szCs w:val="20"/>
          <w:rtl w:val="true"/>
        </w:rPr>
        <w:t xml:space="preserve">، باب حکم الرجل إذا قتل امرأة،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182/712</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267/1008</w:t>
      </w:r>
      <w:r>
        <w:rPr>
          <w:rFonts w:ascii="IRNazanin" w:hAnsi="IRNazanin" w:eastAsia="IRNazanin"/>
          <w:b w:val="false"/>
          <w:b w:val="false"/>
          <w:bCs w:val="false"/>
          <w:i w:val="false"/>
          <w:i w:val="false"/>
          <w:iCs w:val="false"/>
          <w:color w:val="333333"/>
          <w:sz w:val="20"/>
          <w:sz w:val="20"/>
          <w:szCs w:val="20"/>
          <w:rtl w:val="true"/>
        </w:rPr>
        <w:t xml:space="preserve">، باب حکم المرأة إذا قتلت رجلاً،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النفس،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161/644</w:t>
      </w:r>
      <w:r>
        <w:rPr>
          <w:rFonts w:ascii="IRNazanin" w:hAnsi="IRNazanin" w:eastAsia="IRNazanin"/>
          <w:b w:val="false"/>
          <w:b w:val="false"/>
          <w:bCs w:val="false"/>
          <w:i w:val="false"/>
          <w:i w:val="false"/>
          <w:iCs w:val="false"/>
          <w:color w:val="333333"/>
          <w:sz w:val="20"/>
          <w:sz w:val="20"/>
          <w:szCs w:val="20"/>
          <w:rtl w:val="true"/>
        </w:rPr>
        <w:t xml:space="preserve">، باب القضایا في الدیات والقصاص، الحدیث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النفس،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أحمد بن يحيى، عن إبراهيم، عن أبي جعفر، عن عليّ بن أبي حمزة، عن أبي بصير،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دية الرجل مائة من الإبل، فإن لم يكن فمن البقر بقيمة ذلك، فإن لم يكن فألف كبش، هذا في العمد، وفي الخطأ مثل العمد ألف شاة مخلطة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دیة الحرّة المسلمة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الشرح الکبیر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باب الرجل یقتل المرأه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180/705</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265/998</w:t>
      </w:r>
      <w:r>
        <w:rPr>
          <w:rFonts w:ascii="IRNazanin" w:hAnsi="IRNazanin" w:eastAsia="IRNazanin"/>
          <w:b w:val="false"/>
          <w:b w:val="false"/>
          <w:bCs w:val="false"/>
          <w:i w:val="false"/>
          <w:i w:val="false"/>
          <w:iCs w:val="false"/>
          <w:color w:val="333333"/>
          <w:sz w:val="20"/>
          <w:sz w:val="20"/>
          <w:szCs w:val="20"/>
          <w:rtl w:val="true"/>
        </w:rPr>
        <w:t xml:space="preserve">، باب حکم الرجل إذا قتل امرأة،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النفس،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دیة الجنین،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281/1099</w:t>
      </w:r>
      <w:r>
        <w:rPr>
          <w:rFonts w:ascii="IRNazanin" w:hAnsi="IRNazanin" w:eastAsia="IRNazanin"/>
          <w:b w:val="false"/>
          <w:b w:val="false"/>
          <w:bCs w:val="false"/>
          <w:i w:val="false"/>
          <w:i w:val="false"/>
          <w:iCs w:val="false"/>
          <w:color w:val="333333"/>
          <w:sz w:val="20"/>
          <w:sz w:val="20"/>
          <w:szCs w:val="20"/>
          <w:rtl w:val="true"/>
        </w:rPr>
        <w:t>، باب الحوامل والحمول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النفس،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باب الرجل یقتل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185/725</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النفس،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دیة الجنین،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الأعضاء،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282/1102</w:t>
      </w:r>
      <w:r>
        <w:rPr>
          <w:rFonts w:ascii="IRNazanin" w:hAnsi="IRNazanin" w:eastAsia="IRNazanin"/>
          <w:b w:val="false"/>
          <w:b w:val="false"/>
          <w:bCs w:val="false"/>
          <w:i w:val="false"/>
          <w:i w:val="false"/>
          <w:iCs w:val="false"/>
          <w:color w:val="333333"/>
          <w:sz w:val="20"/>
          <w:sz w:val="20"/>
          <w:szCs w:val="20"/>
          <w:rtl w:val="true"/>
        </w:rPr>
        <w:t>، باب الحوامل والحمول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الأعضاء،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5758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أبو‌جعفر محمّد بن عليّ بن بابويه، عن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ذیل حدیث سابع عشر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عن تحریر الطاووسي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354/1270</w:t>
      </w:r>
      <w:r>
        <w:rPr>
          <w:rFonts w:ascii="IRNazanin" w:hAnsi="IRNazanin" w:eastAsia="IRNazanin"/>
          <w:b w:val="false"/>
          <w:b w:val="false"/>
          <w:bCs w:val="false"/>
          <w:i w:val="false"/>
          <w:i w:val="false"/>
          <w:iCs w:val="false"/>
          <w:color w:val="333333"/>
          <w:sz w:val="20"/>
          <w:sz w:val="20"/>
          <w:szCs w:val="20"/>
          <w:rtl w:val="true"/>
        </w:rPr>
        <w:t>، باب میراث الخنثی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237/759</w:t>
      </w:r>
      <w:r>
        <w:rPr>
          <w:rFonts w:ascii="IRNazanin" w:hAnsi="IRNazanin" w:eastAsia="IRNazanin"/>
          <w:b w:val="false"/>
          <w:b w:val="false"/>
          <w:bCs w:val="false"/>
          <w:i w:val="false"/>
          <w:i w:val="false"/>
          <w:iCs w:val="false"/>
          <w:color w:val="333333"/>
          <w:sz w:val="20"/>
          <w:sz w:val="20"/>
          <w:szCs w:val="20"/>
          <w:rtl w:val="true"/>
        </w:rPr>
        <w:t xml:space="preserve">، باب میراث الخنثی،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النفس،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تراث الشيخ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 الألفية،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الأعضاء،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باب الرجل یقتل المراة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184/719</w:t>
      </w:r>
      <w:r>
        <w:rPr>
          <w:rFonts w:ascii="IRNazanin" w:hAnsi="IRNazanin" w:eastAsia="IRNazanin"/>
          <w:b w:val="false"/>
          <w:b w:val="false"/>
          <w:bCs w:val="false"/>
          <w:i w:val="false"/>
          <w:i w:val="false"/>
          <w:iCs w:val="false"/>
          <w:color w:val="333333"/>
          <w:sz w:val="20"/>
          <w:sz w:val="20"/>
          <w:szCs w:val="20"/>
          <w:rtl w:val="true"/>
        </w:rPr>
        <w:t>، باب القود بین الرجال والسناء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88/283</w:t>
      </w:r>
      <w:r>
        <w:rPr>
          <w:rFonts w:ascii="IRNazanin" w:hAnsi="IRNazanin" w:eastAsia="IRNazanin"/>
          <w:b w:val="false"/>
          <w:b w:val="false"/>
          <w:bCs w:val="false"/>
          <w:i w:val="false"/>
          <w:i w:val="false"/>
          <w:iCs w:val="false"/>
          <w:color w:val="333333"/>
          <w:sz w:val="20"/>
          <w:sz w:val="20"/>
          <w:szCs w:val="20"/>
          <w:rtl w:val="true"/>
        </w:rPr>
        <w:t xml:space="preserve">، باب الجراحات والقتل بین النساء والرجال،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الأعضاء،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وقد سهی الناسخ فأبدل النجاشي بالكشّي، والصحيح رجال النجاشي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وراجع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للمالك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ما جاء في عقل الأصابع، الرقم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السنن الكبری، للبیهقي</w:t>
      </w:r>
      <w:r>
        <w:rPr>
          <w:rFonts w:eastAsia="IRNazanin" w:cs="IRNazanin"/>
          <w:b w:val="false"/>
          <w:bCs w:val="false"/>
          <w:i w:val="false"/>
          <w:iCs w:val="false"/>
          <w:color w:val="333333"/>
          <w:sz w:val="20"/>
          <w:szCs w:val="20"/>
        </w:rPr>
        <w:t>168:12</w:t>
      </w:r>
      <w:r>
        <w:rPr>
          <w:rFonts w:ascii="IRNazanin" w:hAnsi="IRNazanin" w:eastAsia="IRNazanin"/>
          <w:b w:val="false"/>
          <w:b w:val="false"/>
          <w:bCs w:val="false"/>
          <w:i w:val="false"/>
          <w:i w:val="false"/>
          <w:iCs w:val="false"/>
          <w:color w:val="333333"/>
          <w:sz w:val="20"/>
          <w:sz w:val="20"/>
          <w:szCs w:val="20"/>
          <w:rtl w:val="true"/>
        </w:rPr>
        <w:t xml:space="preserve">، كتاب الديات، باب ما جاء في جراح المرأة، الرقم </w:t>
      </w:r>
      <w:r>
        <w:rPr>
          <w:rFonts w:eastAsia="IRNazanin" w:cs="IRNazanin"/>
          <w:b w:val="false"/>
          <w:bCs w:val="false"/>
          <w:i w:val="false"/>
          <w:iCs w:val="false"/>
          <w:color w:val="333333"/>
          <w:sz w:val="20"/>
          <w:szCs w:val="20"/>
        </w:rPr>
        <w:t>16766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مع اختلاف يسير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ربيعة بن أبي عبد الرحمن،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سعيد بن المسيّب، كم في إصبع المرأة؟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من الإبل،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في إصبعين؟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من الإبل،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في ثلاث؟ فقال ثلاثون من الإبل،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في أربع؟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من الإبل،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عظم جرحها واشتدّت مصيبتها نقص عقلها، فقال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عراقي أنت؟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عالم متثبّت أو جاهل متعلّم، فقال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السنّة يا بن أخي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التفويض إلی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وإلی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أمرالدين،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کتاب الطلاق، أبواب مقدّماته وشرائطه،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التفاوت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184/722</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الأعضاء،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185/724</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 الرجل یقتل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مع تفاوت في بعض الألفاظ؛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الطرف،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185/726</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باب الرجل یقتل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کتاب الجراح، دیة العبد والأمة</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185/723</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کتاب الدیات، أبواب ديات الشجاج والجراح،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باب الرجل یقتل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184/719</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88/283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الأعضاء،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184/722</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الأعضاء،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184/720</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باب الرجل یقتل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89/284</w:t>
      </w:r>
      <w:r>
        <w:rPr>
          <w:rFonts w:ascii="IRNazanin" w:hAnsi="IRNazanin" w:eastAsia="IRNazanin"/>
          <w:b w:val="false"/>
          <w:b w:val="false"/>
          <w:bCs w:val="false"/>
          <w:i w:val="false"/>
          <w:i w:val="false"/>
          <w:iCs w:val="false"/>
          <w:color w:val="333333"/>
          <w:sz w:val="20"/>
          <w:sz w:val="20"/>
          <w:szCs w:val="20"/>
          <w:rtl w:val="true"/>
        </w:rPr>
        <w:t xml:space="preserve">، باب الجراحات والقتل بین النساء والرجال،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185/726</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باب الرجل یقتل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شرح مشيخة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185/724</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 الرجل یقتل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185/726</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الرجل یقتل المرأة،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باب الرجل یقتل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184/724</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الشجاج والجراح،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تصحیفٌ، والصحیح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90/292</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188/740</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270/1022</w:t>
      </w:r>
      <w:r>
        <w:rPr>
          <w:rFonts w:ascii="IRNazanin" w:hAnsi="IRNazanin" w:eastAsia="IRNazanin"/>
          <w:b w:val="false"/>
          <w:b w:val="false"/>
          <w:bCs w:val="false"/>
          <w:i w:val="false"/>
          <w:i w:val="false"/>
          <w:iCs w:val="false"/>
          <w:color w:val="333333"/>
          <w:sz w:val="20"/>
          <w:sz w:val="20"/>
          <w:szCs w:val="20"/>
          <w:rtl w:val="true"/>
        </w:rPr>
        <w:t xml:space="preserve">، باب أنّه لا یقاد مسلم بکافر،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92/299</w:t>
      </w:r>
      <w:r>
        <w:rPr>
          <w:rFonts w:ascii="IRNazanin" w:hAnsi="IRNazanin" w:eastAsia="IRNazanin"/>
          <w:b w:val="false"/>
          <w:b w:val="false"/>
          <w:bCs w:val="false"/>
          <w:i w:val="false"/>
          <w:i w:val="false"/>
          <w:iCs w:val="false"/>
          <w:color w:val="333333"/>
          <w:sz w:val="20"/>
          <w:sz w:val="20"/>
          <w:szCs w:val="20"/>
          <w:rtl w:val="true"/>
        </w:rPr>
        <w:t>، باب المسلم يقتل الذمّي أو العبد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حكی عنه العلّامة في 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183/718</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لعدم الكذب مع الاختلاف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باب ميراث أهل الملل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للمالك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ما جاء في دية أهل الذمّة، الرقم</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90/292</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188/740</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270/1022</w:t>
      </w:r>
      <w:r>
        <w:rPr>
          <w:rFonts w:ascii="IRNazanin" w:hAnsi="IRNazanin" w:eastAsia="IRNazanin"/>
          <w:b w:val="false"/>
          <w:b w:val="false"/>
          <w:bCs w:val="false"/>
          <w:i w:val="false"/>
          <w:i w:val="false"/>
          <w:iCs w:val="false"/>
          <w:color w:val="333333"/>
          <w:sz w:val="20"/>
          <w:sz w:val="20"/>
          <w:szCs w:val="20"/>
          <w:rtl w:val="true"/>
        </w:rPr>
        <w:t xml:space="preserve">، باب أنّه لا یقاد مسلم بکافر،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189/744</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271/1026</w:t>
      </w:r>
      <w:r>
        <w:rPr>
          <w:rFonts w:ascii="IRNazanin" w:hAnsi="IRNazanin" w:eastAsia="IRNazanin"/>
          <w:b w:val="false"/>
          <w:b w:val="false"/>
          <w:bCs w:val="false"/>
          <w:i w:val="false"/>
          <w:i w:val="false"/>
          <w:iCs w:val="false"/>
          <w:color w:val="333333"/>
          <w:sz w:val="20"/>
          <w:sz w:val="20"/>
          <w:szCs w:val="20"/>
          <w:rtl w:val="true"/>
        </w:rPr>
        <w:t xml:space="preserve">، باب أنّه لا یقاد مسلم بکافر،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92/301</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189/744</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271/1026</w:t>
      </w:r>
      <w:r>
        <w:rPr>
          <w:rFonts w:ascii="IRNazanin" w:hAnsi="IRNazanin" w:eastAsia="IRNazanin"/>
          <w:b w:val="false"/>
          <w:b w:val="false"/>
          <w:bCs w:val="false"/>
          <w:i w:val="false"/>
          <w:i w:val="false"/>
          <w:iCs w:val="false"/>
          <w:color w:val="333333"/>
          <w:sz w:val="20"/>
          <w:sz w:val="20"/>
          <w:szCs w:val="20"/>
          <w:rtl w:val="true"/>
        </w:rPr>
        <w:t xml:space="preserve">، باب أنّه لا یقاد مسلم بکافر،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92/301</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 باب أنّه لا یقاد مسلم بکافر،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ذیل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189/741</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271/1023</w:t>
      </w:r>
      <w:r>
        <w:rPr>
          <w:rFonts w:ascii="IRNazanin" w:hAnsi="IRNazanin" w:eastAsia="IRNazanin"/>
          <w:b w:val="false"/>
          <w:b w:val="false"/>
          <w:bCs w:val="false"/>
          <w:i w:val="false"/>
          <w:i w:val="false"/>
          <w:iCs w:val="false"/>
          <w:color w:val="333333"/>
          <w:sz w:val="20"/>
          <w:sz w:val="20"/>
          <w:szCs w:val="20"/>
          <w:rtl w:val="true"/>
        </w:rPr>
        <w:t xml:space="preserve">، باب أنّه لا یقاد مسلم بکافر،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189/743</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271/1025</w:t>
      </w:r>
      <w:r>
        <w:rPr>
          <w:rFonts w:ascii="IRNazanin" w:hAnsi="IRNazanin" w:eastAsia="IRNazanin"/>
          <w:b w:val="false"/>
          <w:b w:val="false"/>
          <w:bCs w:val="false"/>
          <w:i w:val="false"/>
          <w:i w:val="false"/>
          <w:iCs w:val="false"/>
          <w:color w:val="333333"/>
          <w:sz w:val="20"/>
          <w:sz w:val="20"/>
          <w:szCs w:val="20"/>
          <w:rtl w:val="true"/>
        </w:rPr>
        <w:t xml:space="preserve">، باب أنّه لا یقاد مسلم بکافر،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92/300</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باب المسلم یقتل الذمّط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189/742</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271/1024</w:t>
      </w:r>
      <w:r>
        <w:rPr>
          <w:rFonts w:ascii="IRNazanin" w:hAnsi="IRNazanin" w:eastAsia="IRNazanin"/>
          <w:b w:val="false"/>
          <w:b w:val="false"/>
          <w:bCs w:val="false"/>
          <w:i w:val="false"/>
          <w:i w:val="false"/>
          <w:iCs w:val="false"/>
          <w:color w:val="333333"/>
          <w:sz w:val="20"/>
          <w:sz w:val="20"/>
          <w:szCs w:val="20"/>
          <w:rtl w:val="true"/>
        </w:rPr>
        <w:t xml:space="preserve">، باب أنّه لا یقاد مسلم بکفّار،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الكبير</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كتاب القتل، باب تحريم القتل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90/292</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188/740</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270/1022</w:t>
      </w:r>
      <w:r>
        <w:rPr>
          <w:rFonts w:ascii="IRNazanin" w:hAnsi="IRNazanin" w:eastAsia="IRNazanin"/>
          <w:b w:val="false"/>
          <w:b w:val="false"/>
          <w:bCs w:val="false"/>
          <w:i w:val="false"/>
          <w:i w:val="false"/>
          <w:iCs w:val="false"/>
          <w:color w:val="333333"/>
          <w:sz w:val="20"/>
          <w:sz w:val="20"/>
          <w:szCs w:val="20"/>
          <w:rtl w:val="true"/>
        </w:rPr>
        <w:t xml:space="preserve">، باب أنّه لا یقاد مسلم بکافر،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ذیل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حكی عنه العلّامة في 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باب المسلم يقتل الذمّي أو العبد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وسقطت عند النقل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آمن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188/738</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270/1020</w:t>
      </w:r>
      <w:r>
        <w:rPr>
          <w:rFonts w:ascii="IRNazanin" w:hAnsi="IRNazanin" w:eastAsia="IRNazanin"/>
          <w:b w:val="false"/>
          <w:b w:val="false"/>
          <w:bCs w:val="false"/>
          <w:i w:val="false"/>
          <w:i w:val="false"/>
          <w:iCs w:val="false"/>
          <w:color w:val="333333"/>
          <w:sz w:val="20"/>
          <w:sz w:val="20"/>
          <w:szCs w:val="20"/>
          <w:rtl w:val="true"/>
        </w:rPr>
        <w:t xml:space="preserve">، باب مقدار دیة أهل الذمّة،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النفس،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حكی عن ابن الجنيد العلّامة في 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وقال أبو الصلاح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قوله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ذلك كلّه لا يقابل ما عرفت من النصّ والفتوى على قتله به قصاصاً لاحدّاً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السادس والعشرون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،كتاب الديات، باب القصاص</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190/749</w:t>
      </w:r>
      <w:r>
        <w:rPr>
          <w:rFonts w:ascii="IRNazanin" w:hAnsi="IRNazanin" w:eastAsia="IRNazanin"/>
          <w:b w:val="false"/>
          <w:b w:val="false"/>
          <w:bCs w:val="false"/>
          <w:i w:val="false"/>
          <w:i w:val="false"/>
          <w:iCs w:val="false"/>
          <w:color w:val="333333"/>
          <w:sz w:val="20"/>
          <w:sz w:val="20"/>
          <w:szCs w:val="20"/>
          <w:rtl w:val="true"/>
        </w:rPr>
        <w:t xml:space="preserve">، باب القود بین الرجال والنساء، الحدیث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91/295</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190/750</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190/750</w:t>
      </w:r>
      <w:r>
        <w:rPr>
          <w:rFonts w:ascii="IRNazanin" w:hAnsi="IRNazanin" w:eastAsia="IRNazanin"/>
          <w:b w:val="false"/>
          <w:b w:val="false"/>
          <w:bCs w:val="false"/>
          <w:i w:val="false"/>
          <w:i w:val="false"/>
          <w:iCs w:val="false"/>
          <w:color w:val="333333"/>
          <w:sz w:val="20"/>
          <w:sz w:val="20"/>
          <w:szCs w:val="20"/>
          <w:rtl w:val="true"/>
        </w:rPr>
        <w:t>، باب القود بين الرجال والنساء والمسلمين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91/295</w:t>
      </w:r>
      <w:r>
        <w:rPr>
          <w:rFonts w:ascii="IRNazanin" w:hAnsi="IRNazanin" w:eastAsia="IRNazanin"/>
          <w:b w:val="false"/>
          <w:b w:val="false"/>
          <w:bCs w:val="false"/>
          <w:i w:val="false"/>
          <w:i w:val="false"/>
          <w:iCs w:val="false"/>
          <w:color w:val="333333"/>
          <w:sz w:val="20"/>
          <w:sz w:val="20"/>
          <w:szCs w:val="20"/>
          <w:rtl w:val="true"/>
        </w:rPr>
        <w:t>، باب المسلم يقتل الذمّي أو العبد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 المسلم يقتل الذمّي أو يجرحه والذمّي يقتل المسلم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الصفحة الآتية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في أیدینا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يدفع إلى أولياء المقتول، فإن شاؤوا قتلوا وإن شاؤوا عفوا وإن شاؤوا استرقّوا، وإن كان معه مالٌ دفع إلى أولياء المقتول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 المسلم يقتل الذمّي أو يجرحه والذمّي يقتل 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190/750</w:t>
      </w:r>
      <w:r>
        <w:rPr>
          <w:rFonts w:ascii="IRNazanin" w:hAnsi="IRNazanin" w:eastAsia="IRNazanin"/>
          <w:b w:val="false"/>
          <w:b w:val="false"/>
          <w:bCs w:val="false"/>
          <w:i w:val="false"/>
          <w:i w:val="false"/>
          <w:iCs w:val="false"/>
          <w:color w:val="333333"/>
          <w:sz w:val="20"/>
          <w:sz w:val="20"/>
          <w:szCs w:val="20"/>
          <w:rtl w:val="true"/>
        </w:rPr>
        <w:t>، باب القود بين الرجال والنساء والمسلمين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فقد نقل المصنّف عن الشیخ هنا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حکم باسترقاقهم، وكذا نقله شيخنا عميد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في النهاية، ولم أجده في شيء من کتب الشیخ، وهما أعرف بما قالا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ولکنّ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ورد في 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 أنّ النصراني إذا قتل مسلماً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91/295</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190/750</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90/292</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188/740</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270/1022</w:t>
      </w:r>
      <w:r>
        <w:rPr>
          <w:rFonts w:ascii="IRNazanin" w:hAnsi="IRNazanin" w:eastAsia="IRNazanin"/>
          <w:b w:val="false"/>
          <w:b w:val="false"/>
          <w:bCs w:val="false"/>
          <w:i w:val="false"/>
          <w:i w:val="false"/>
          <w:iCs w:val="false"/>
          <w:color w:val="333333"/>
          <w:sz w:val="20"/>
          <w:sz w:val="20"/>
          <w:szCs w:val="20"/>
          <w:rtl w:val="true"/>
        </w:rPr>
        <w:t xml:space="preserve">، باب أنّه لا یقاد مسلم بکافر،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189/744</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271/1026</w:t>
      </w:r>
      <w:r>
        <w:rPr>
          <w:rFonts w:ascii="IRNazanin" w:hAnsi="IRNazanin" w:eastAsia="IRNazanin"/>
          <w:b w:val="false"/>
          <w:b w:val="false"/>
          <w:bCs w:val="false"/>
          <w:i w:val="false"/>
          <w:i w:val="false"/>
          <w:iCs w:val="false"/>
          <w:color w:val="333333"/>
          <w:sz w:val="20"/>
          <w:sz w:val="20"/>
          <w:szCs w:val="20"/>
          <w:rtl w:val="true"/>
        </w:rPr>
        <w:t xml:space="preserve">، باب أنّه لا یقاد مسلم بکافر،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92/301</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90/292</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188/740</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270/1022</w:t>
      </w:r>
      <w:r>
        <w:rPr>
          <w:rFonts w:ascii="IRNazanin" w:hAnsi="IRNazanin" w:eastAsia="IRNazanin"/>
          <w:b w:val="false"/>
          <w:b w:val="false"/>
          <w:bCs w:val="false"/>
          <w:i w:val="false"/>
          <w:i w:val="false"/>
          <w:iCs w:val="false"/>
          <w:color w:val="333333"/>
          <w:sz w:val="20"/>
          <w:sz w:val="20"/>
          <w:szCs w:val="20"/>
          <w:rtl w:val="true"/>
        </w:rPr>
        <w:t xml:space="preserve">، باب أنّه لا یقاد مسلم بکافر،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189/744</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271/1026</w:t>
      </w:r>
      <w:r>
        <w:rPr>
          <w:rFonts w:ascii="IRNazanin" w:hAnsi="IRNazanin" w:eastAsia="IRNazanin"/>
          <w:b w:val="false"/>
          <w:b w:val="false"/>
          <w:bCs w:val="false"/>
          <w:i w:val="false"/>
          <w:i w:val="false"/>
          <w:iCs w:val="false"/>
          <w:color w:val="333333"/>
          <w:sz w:val="20"/>
          <w:sz w:val="20"/>
          <w:szCs w:val="20"/>
          <w:rtl w:val="true"/>
        </w:rPr>
        <w:t xml:space="preserve">، باب أنّه لا یقاد مسلم بکافر،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92/301</w:t>
      </w:r>
      <w:r>
        <w:rPr>
          <w:rFonts w:ascii="IRNazanin" w:hAnsi="IRNazanin" w:eastAsia="IRNazanin"/>
          <w:b w:val="false"/>
          <w:b w:val="false"/>
          <w:bCs w:val="false"/>
          <w:i w:val="false"/>
          <w:i w:val="false"/>
          <w:iCs w:val="false"/>
          <w:color w:val="333333"/>
          <w:sz w:val="20"/>
          <w:sz w:val="20"/>
          <w:szCs w:val="20"/>
          <w:rtl w:val="true"/>
        </w:rPr>
        <w:t>، باب المسلم یقتل الذمّي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کتاب الجراح، فصل في امتناع قتل المسلم الکافر؛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فصول في القصاص</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التحدید، 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حدود الزنا،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باب ما یجب به التعزیر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کتاب مصابیح الظلم، باب التحدید، الحدیث </w:t>
      </w:r>
      <w:r>
        <w:rPr>
          <w:rFonts w:eastAsia="IRNazanin" w:cs="IRNazanin"/>
          <w:b w:val="false"/>
          <w:bCs w:val="false"/>
          <w:i w:val="false"/>
          <w:iCs w:val="false"/>
          <w:color w:val="333333"/>
          <w:sz w:val="20"/>
          <w:szCs w:val="20"/>
        </w:rPr>
        <w:t>986/388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988/390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کتاب الحدود والتعزیرات، أبواب مقدّمات الحدود،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التحدید،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الحدود والتعزیرات، أبواب مقدّمات الحدود،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314/1168</w:t>
      </w:r>
      <w:r>
        <w:rPr>
          <w:rFonts w:ascii="IRNazanin" w:hAnsi="IRNazanin" w:eastAsia="IRNazanin"/>
          <w:b w:val="false"/>
          <w:b w:val="false"/>
          <w:bCs w:val="false"/>
          <w:i w:val="false"/>
          <w:i w:val="false"/>
          <w:iCs w:val="false"/>
          <w:color w:val="333333"/>
          <w:sz w:val="20"/>
          <w:sz w:val="20"/>
          <w:szCs w:val="20"/>
          <w:rtl w:val="true"/>
        </w:rPr>
        <w:t xml:space="preserve">، باب من الزيادات،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127/447</w:t>
      </w:r>
      <w:r>
        <w:rPr>
          <w:rFonts w:ascii="IRNazanin" w:hAnsi="IRNazanin" w:eastAsia="IRNazanin"/>
          <w:b w:val="false"/>
          <w:b w:val="false"/>
          <w:bCs w:val="false"/>
          <w:i w:val="false"/>
          <w:i w:val="false"/>
          <w:iCs w:val="false"/>
          <w:color w:val="333333"/>
          <w:sz w:val="20"/>
          <w:sz w:val="20"/>
          <w:szCs w:val="20"/>
          <w:rtl w:val="true"/>
        </w:rPr>
        <w:t xml:space="preserve">، باب نوادر الدیات،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الباب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علّق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هذه المسألة من التحریر الوسیلة في تعلیقة طویلة وصرّح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عدم قصاص الوالد بالولد مختصّ بما إذا کان لغیر الأغراض الشخصية العنادية المتعارفة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التعلیقة علی 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باب الرجل یقتل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236/941</w:t>
      </w:r>
      <w:r>
        <w:rPr>
          <w:rFonts w:ascii="IRNazanin" w:hAnsi="IRNazanin" w:eastAsia="IRNazanin"/>
          <w:b w:val="false"/>
          <w:b w:val="false"/>
          <w:bCs w:val="false"/>
          <w:i w:val="false"/>
          <w:i w:val="false"/>
          <w:iCs w:val="false"/>
          <w:color w:val="333333"/>
          <w:sz w:val="20"/>
          <w:sz w:val="20"/>
          <w:szCs w:val="20"/>
          <w:rtl w:val="true"/>
        </w:rPr>
        <w:t>، باب قتل السیّد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القصاص، أبواب القصاص في النفس،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میراث القاتل،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379/1359</w:t>
      </w:r>
      <w:r>
        <w:rPr>
          <w:rFonts w:ascii="IRNazanin" w:hAnsi="IRNazanin" w:eastAsia="IRNazanin"/>
          <w:b w:val="false"/>
          <w:b w:val="false"/>
          <w:bCs w:val="false"/>
          <w:i w:val="false"/>
          <w:i w:val="false"/>
          <w:iCs w:val="false"/>
          <w:color w:val="333333"/>
          <w:sz w:val="20"/>
          <w:sz w:val="20"/>
          <w:szCs w:val="20"/>
          <w:rtl w:val="true"/>
        </w:rPr>
        <w:t xml:space="preserve">، باب میراث القاتل، الحدیث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193/727</w:t>
      </w:r>
      <w:r>
        <w:rPr>
          <w:rFonts w:ascii="IRNazanin" w:hAnsi="IRNazanin" w:eastAsia="IRNazanin"/>
          <w:b w:val="false"/>
          <w:b w:val="false"/>
          <w:bCs w:val="false"/>
          <w:i w:val="false"/>
          <w:i w:val="false"/>
          <w:iCs w:val="false"/>
          <w:color w:val="333333"/>
          <w:sz w:val="20"/>
          <w:sz w:val="20"/>
          <w:szCs w:val="20"/>
          <w:rtl w:val="true"/>
        </w:rPr>
        <w:t>، باب أنّ القاتل 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237/946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308/1148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66/194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باب الرجل یقتل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237/943</w:t>
      </w:r>
      <w:r>
        <w:rPr>
          <w:rFonts w:ascii="IRNazanin" w:hAnsi="IRNazanin" w:eastAsia="IRNazanin"/>
          <w:b w:val="false"/>
          <w:b w:val="false"/>
          <w:bCs w:val="false"/>
          <w:i w:val="false"/>
          <w:i w:val="false"/>
          <w:iCs w:val="false"/>
          <w:color w:val="333333"/>
          <w:sz w:val="20"/>
          <w:sz w:val="20"/>
          <w:szCs w:val="20"/>
          <w:rtl w:val="true"/>
        </w:rPr>
        <w:t>، باب قتل السیّد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238/948</w:t>
      </w:r>
      <w:r>
        <w:rPr>
          <w:rFonts w:ascii="IRNazanin" w:hAnsi="IRNazanin" w:eastAsia="IRNazanin"/>
          <w:b w:val="false"/>
          <w:b w:val="false"/>
          <w:bCs w:val="false"/>
          <w:i w:val="false"/>
          <w:i w:val="false"/>
          <w:iCs w:val="false"/>
          <w:color w:val="333333"/>
          <w:sz w:val="20"/>
          <w:sz w:val="20"/>
          <w:szCs w:val="20"/>
          <w:rtl w:val="true"/>
        </w:rPr>
        <w:t>، باب قتل السیّد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باب الرجل یقتل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237/942</w:t>
      </w:r>
      <w:r>
        <w:rPr>
          <w:rFonts w:ascii="IRNazanin" w:hAnsi="IRNazanin" w:eastAsia="IRNazanin"/>
          <w:b w:val="false"/>
          <w:b w:val="false"/>
          <w:bCs w:val="false"/>
          <w:i w:val="false"/>
          <w:i w:val="false"/>
          <w:iCs w:val="false"/>
          <w:color w:val="333333"/>
          <w:sz w:val="20"/>
          <w:sz w:val="20"/>
          <w:szCs w:val="20"/>
          <w:rtl w:val="true"/>
        </w:rPr>
        <w:t>، باب قتل السیّد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89/288</w:t>
      </w:r>
      <w:r>
        <w:rPr>
          <w:rFonts w:ascii="IRNazanin" w:hAnsi="IRNazanin" w:eastAsia="IRNazanin"/>
          <w:b w:val="false"/>
          <w:b w:val="false"/>
          <w:bCs w:val="false"/>
          <w:i w:val="false"/>
          <w:i w:val="false"/>
          <w:iCs w:val="false"/>
          <w:color w:val="333333"/>
          <w:sz w:val="20"/>
          <w:sz w:val="20"/>
          <w:szCs w:val="20"/>
          <w:rtl w:val="true"/>
        </w:rPr>
        <w:t>، باب الرجل یقتل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الروایة وتخریجها آنفاً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236/939</w:t>
      </w:r>
      <w:r>
        <w:rPr>
          <w:rFonts w:ascii="IRNazanin" w:hAnsi="IRNazanin" w:eastAsia="IRNazanin"/>
          <w:b w:val="false"/>
          <w:b w:val="false"/>
          <w:bCs w:val="false"/>
          <w:i w:val="false"/>
          <w:i w:val="false"/>
          <w:iCs w:val="false"/>
          <w:color w:val="333333"/>
          <w:sz w:val="20"/>
          <w:sz w:val="20"/>
          <w:szCs w:val="20"/>
          <w:rtl w:val="true"/>
        </w:rPr>
        <w:t>، باب قتل السیّد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90/290</w:t>
      </w:r>
      <w:r>
        <w:rPr>
          <w:rFonts w:ascii="IRNazanin" w:hAnsi="IRNazanin" w:eastAsia="IRNazanin"/>
          <w:b w:val="false"/>
          <w:b w:val="false"/>
          <w:bCs w:val="false"/>
          <w:i w:val="false"/>
          <w:i w:val="false"/>
          <w:iCs w:val="false"/>
          <w:color w:val="333333"/>
          <w:sz w:val="20"/>
          <w:sz w:val="20"/>
          <w:szCs w:val="20"/>
          <w:rtl w:val="true"/>
        </w:rPr>
        <w:t>، باب الرجل یقتل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باب الرجل یقتل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تهدیب الأحکام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237/944</w:t>
      </w:r>
      <w:r>
        <w:rPr>
          <w:rFonts w:ascii="IRNazanin" w:hAnsi="IRNazanin" w:eastAsia="IRNazanin"/>
          <w:b w:val="false"/>
          <w:b w:val="false"/>
          <w:bCs w:val="false"/>
          <w:i w:val="false"/>
          <w:i w:val="false"/>
          <w:iCs w:val="false"/>
          <w:color w:val="333333"/>
          <w:sz w:val="20"/>
          <w:sz w:val="20"/>
          <w:szCs w:val="20"/>
          <w:rtl w:val="true"/>
        </w:rPr>
        <w:t>، باب قتل السیّد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81/255</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الدیة،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90/291</w:t>
      </w:r>
      <w:r>
        <w:rPr>
          <w:rFonts w:ascii="IRNazanin" w:hAnsi="IRNazanin" w:eastAsia="IRNazanin"/>
          <w:b w:val="false"/>
          <w:b w:val="false"/>
          <w:bCs w:val="false"/>
          <w:i w:val="false"/>
          <w:i w:val="false"/>
          <w:iCs w:val="false"/>
          <w:color w:val="333333"/>
          <w:sz w:val="20"/>
          <w:sz w:val="20"/>
          <w:szCs w:val="20"/>
          <w:rtl w:val="true"/>
        </w:rPr>
        <w:t>، باب الرجل یقتل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فتاوى ابن الجنيد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أحكام الأولاد، الباب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التعریف للعلّامة الکراجکي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ولیس بموجود عندنا، والحدیث منقول أیضاً في کتب أهل السنّة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المراسیل لأبي داود السجستاني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المسلك الثالث، الحديث</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أحكام الأولاد، الباب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منقول في الصحاح والمسانید من أهل السنّة،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کتاب الأدب، الباب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من أحقّ الناس بحسن الصحبة، الحدیث </w:t>
      </w:r>
      <w:r>
        <w:rPr>
          <w:rFonts w:eastAsia="IRNazanin" w:cs="IRNazanin"/>
          <w:b w:val="false"/>
          <w:bCs w:val="false"/>
          <w:i w:val="false"/>
          <w:iCs w:val="false"/>
          <w:color w:val="333333"/>
          <w:sz w:val="20"/>
          <w:szCs w:val="20"/>
        </w:rPr>
        <w:t>5277</w:t>
      </w:r>
      <w:r>
        <w:rPr>
          <w:rFonts w:ascii="IRNazanin" w:hAnsi="IRNazanin" w:eastAsia="IRNazanin"/>
          <w:b w:val="false"/>
          <w:b w:val="false"/>
          <w:bCs w:val="false"/>
          <w:i w:val="false"/>
          <w:i w:val="false"/>
          <w:iCs w:val="false"/>
          <w:color w:val="333333"/>
          <w:sz w:val="20"/>
          <w:sz w:val="20"/>
          <w:szCs w:val="20"/>
          <w:rtl w:val="true"/>
        </w:rPr>
        <w:t xml:space="preserve">؛ وصحیح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کتاب البرّ والصلة والآداب،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برّ الوالدین وأنّهما أحقّ به، الحدیث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باب الرجل یقتل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أحادیث متفرّقة، ما یروي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233/919</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107/358</w:t>
      </w:r>
      <w:r>
        <w:rPr>
          <w:rFonts w:ascii="IRNazanin" w:hAnsi="IRNazanin" w:eastAsia="IRNazanin"/>
          <w:b w:val="false"/>
          <w:b w:val="false"/>
          <w:bCs w:val="false"/>
          <w:i w:val="false"/>
          <w:i w:val="false"/>
          <w:iCs w:val="false"/>
          <w:color w:val="333333"/>
          <w:sz w:val="20"/>
          <w:sz w:val="20"/>
          <w:szCs w:val="20"/>
          <w:rtl w:val="true"/>
        </w:rPr>
        <w:t xml:space="preserve">، باب العاقلة،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العاقلة،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85/272</w:t>
      </w:r>
      <w:r>
        <w:rPr>
          <w:rFonts w:ascii="IRNazanin" w:hAnsi="IRNazanin" w:eastAsia="IRNazanin"/>
          <w:b w:val="false"/>
          <w:b w:val="false"/>
          <w:bCs w:val="false"/>
          <w:i w:val="false"/>
          <w:i w:val="false"/>
          <w:iCs w:val="false"/>
          <w:color w:val="333333"/>
          <w:sz w:val="20"/>
          <w:sz w:val="20"/>
          <w:szCs w:val="20"/>
          <w:rtl w:val="true"/>
        </w:rPr>
        <w:t xml:space="preserve">، باب من عمد خطأ،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232/916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العاقلة،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 الرجل یقتل فلم تصحّ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78/242</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الدیة،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232/915</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وفي کلّها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لم یترك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لم یکن له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الوسائل؛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أحادیث متفرّقة، ما یروي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کتاب الدیات، فصل ذكر الجنایات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کتاب الدیات، فصل ذکر الجنایات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ذیل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233/919</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107/358</w:t>
      </w:r>
      <w:r>
        <w:rPr>
          <w:rFonts w:ascii="IRNazanin" w:hAnsi="IRNazanin" w:eastAsia="IRNazanin"/>
          <w:b w:val="false"/>
          <w:b w:val="false"/>
          <w:bCs w:val="false"/>
          <w:i w:val="false"/>
          <w:i w:val="false"/>
          <w:iCs w:val="false"/>
          <w:color w:val="333333"/>
          <w:sz w:val="20"/>
          <w:sz w:val="20"/>
          <w:szCs w:val="20"/>
          <w:rtl w:val="true"/>
        </w:rPr>
        <w:t xml:space="preserve">، باب العاقلة،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العاقلة،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85/272</w:t>
      </w:r>
      <w:r>
        <w:rPr>
          <w:rFonts w:ascii="IRNazanin" w:hAnsi="IRNazanin" w:eastAsia="IRNazanin"/>
          <w:b w:val="false"/>
          <w:b w:val="false"/>
          <w:bCs w:val="false"/>
          <w:i w:val="false"/>
          <w:i w:val="false"/>
          <w:iCs w:val="false"/>
          <w:color w:val="333333"/>
          <w:sz w:val="20"/>
          <w:sz w:val="20"/>
          <w:szCs w:val="20"/>
          <w:rtl w:val="true"/>
        </w:rPr>
        <w:t xml:space="preserve">، باب من عمده خطأ،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232/916</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العاقلة،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في الصفحة السابقة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للإشكال والكلام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وشواهد الکتاب،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کتاب مصابیح الظلم،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النوادر،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موجبات الضمان،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222/872</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222/873</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223/874</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119/412</w:t>
      </w:r>
      <w:r>
        <w:rPr>
          <w:rFonts w:ascii="IRNazanin" w:hAnsi="IRNazanin" w:eastAsia="IRNazanin"/>
          <w:b w:val="false"/>
          <w:b w:val="false"/>
          <w:bCs w:val="false"/>
          <w:i w:val="false"/>
          <w:i w:val="false"/>
          <w:iCs w:val="false"/>
          <w:color w:val="333333"/>
          <w:sz w:val="20"/>
          <w:sz w:val="20"/>
          <w:szCs w:val="20"/>
          <w:rtl w:val="true"/>
        </w:rPr>
        <w:t>، باب ضمان الظئر إذا انقلبت علی الصبيّ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ناحية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العلل،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 الرجل یقتل فلم تصحّ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78/242</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الدیة،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232/915</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 الرجل یقتل فلم تصحّ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78/242</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الدیة،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232/915</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العاقلة،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107/360</w:t>
      </w:r>
      <w:r>
        <w:rPr>
          <w:rFonts w:ascii="IRNazanin" w:hAnsi="IRNazanin" w:eastAsia="IRNazanin"/>
          <w:b w:val="false"/>
          <w:b w:val="false"/>
          <w:bCs w:val="false"/>
          <w:i w:val="false"/>
          <w:i w:val="false"/>
          <w:iCs w:val="false"/>
          <w:color w:val="333333"/>
          <w:sz w:val="20"/>
          <w:sz w:val="20"/>
          <w:szCs w:val="20"/>
          <w:rtl w:val="true"/>
        </w:rPr>
        <w:t xml:space="preserve">، باب العاقلة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170/670</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261/983</w:t>
      </w:r>
      <w:r>
        <w:rPr>
          <w:rFonts w:ascii="IRNazanin" w:hAnsi="IRNazanin" w:eastAsia="IRNazanin"/>
          <w:b w:val="false"/>
          <w:b w:val="false"/>
          <w:bCs w:val="false"/>
          <w:i w:val="false"/>
          <w:i w:val="false"/>
          <w:iCs w:val="false"/>
          <w:color w:val="333333"/>
          <w:sz w:val="20"/>
          <w:sz w:val="20"/>
          <w:szCs w:val="20"/>
          <w:rtl w:val="true"/>
        </w:rPr>
        <w:t>، باب أنّه لا یحب علی العاقلة 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العاقلة،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باب أنّه لا یجب علی العاقلة 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العاقلة،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175/684</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262/987</w:t>
      </w:r>
      <w:r>
        <w:rPr>
          <w:rFonts w:ascii="IRNazanin" w:hAnsi="IRNazanin" w:eastAsia="IRNazanin"/>
          <w:b w:val="false"/>
          <w:b w:val="false"/>
          <w:bCs w:val="false"/>
          <w:i w:val="false"/>
          <w:i w:val="false"/>
          <w:iCs w:val="false"/>
          <w:color w:val="333333"/>
          <w:sz w:val="20"/>
          <w:sz w:val="20"/>
          <w:szCs w:val="20"/>
          <w:rtl w:val="true"/>
        </w:rPr>
        <w:t>، باب أنّه لا یجب علی العاقلة 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107/359</w:t>
      </w:r>
      <w:r>
        <w:rPr>
          <w:rFonts w:ascii="IRNazanin" w:hAnsi="IRNazanin" w:eastAsia="IRNazanin"/>
          <w:b w:val="false"/>
          <w:b w:val="false"/>
          <w:bCs w:val="false"/>
          <w:i w:val="false"/>
          <w:i w:val="false"/>
          <w:iCs w:val="false"/>
          <w:color w:val="333333"/>
          <w:sz w:val="20"/>
          <w:sz w:val="20"/>
          <w:szCs w:val="20"/>
          <w:rtl w:val="true"/>
        </w:rPr>
        <w:t xml:space="preserve">، باب العاقلة،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العاقلة،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باب المکاتب یقتل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199/788</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العاقلة،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 من خطأه عمد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242/963</w:t>
      </w:r>
      <w:r>
        <w:rPr>
          <w:rFonts w:ascii="IRNazanin" w:hAnsi="IRNazanin" w:eastAsia="IRNazanin"/>
          <w:b w:val="false"/>
          <w:b w:val="false"/>
          <w:bCs w:val="false"/>
          <w:i w:val="false"/>
          <w:i w:val="false"/>
          <w:iCs w:val="false"/>
          <w:color w:val="333333"/>
          <w:sz w:val="20"/>
          <w:sz w:val="20"/>
          <w:szCs w:val="20"/>
          <w:rtl w:val="true"/>
        </w:rPr>
        <w:t>، باب اشتراك الأحرار والعبید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286/1084</w:t>
      </w:r>
      <w:r>
        <w:rPr>
          <w:rFonts w:ascii="IRNazanin" w:hAnsi="IRNazanin" w:eastAsia="IRNazanin"/>
          <w:b w:val="false"/>
          <w:b w:val="false"/>
          <w:bCs w:val="false"/>
          <w:i w:val="false"/>
          <w:i w:val="false"/>
          <w:iCs w:val="false"/>
          <w:color w:val="333333"/>
          <w:sz w:val="20"/>
          <w:sz w:val="20"/>
          <w:szCs w:val="20"/>
          <w:rtl w:val="true"/>
        </w:rPr>
        <w:t xml:space="preserve">، باب المرأة والعبد یقتلان رجلاً،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سالم؛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83/267</w:t>
      </w:r>
      <w:r>
        <w:rPr>
          <w:rFonts w:ascii="IRNazanin" w:hAnsi="IRNazanin" w:eastAsia="IRNazanin"/>
          <w:b w:val="false"/>
          <w:b w:val="false"/>
          <w:bCs w:val="false"/>
          <w:i w:val="false"/>
          <w:i w:val="false"/>
          <w:iCs w:val="false"/>
          <w:color w:val="333333"/>
          <w:sz w:val="20"/>
          <w:sz w:val="20"/>
          <w:szCs w:val="20"/>
          <w:rtl w:val="true"/>
        </w:rPr>
        <w:t xml:space="preserve">، باب من خطأه عمد،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أحادیث متفرّقة، فيما یروي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وأيضاً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رفع القلم عن ثلاثة، الحدیث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233/920</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العاقلة،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233/921</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العاقلة،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یحمل علی العاقله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أحادیث متفرّقة، فیما یروي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کتاب الحدود والتعزیرات، أبواب حدّ السرقة،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أحادیث متفرّقة، فیما یروي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العاقلة،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باب نادر، الحديث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84/270</w:t>
      </w:r>
      <w:r>
        <w:rPr>
          <w:rFonts w:ascii="IRNazanin" w:hAnsi="IRNazanin" w:eastAsia="IRNazanin"/>
          <w:b w:val="false"/>
          <w:b w:val="false"/>
          <w:bCs w:val="false"/>
          <w:i w:val="false"/>
          <w:i w:val="false"/>
          <w:iCs w:val="false"/>
          <w:color w:val="333333"/>
          <w:sz w:val="20"/>
          <w:sz w:val="20"/>
          <w:szCs w:val="20"/>
          <w:rtl w:val="true"/>
        </w:rPr>
        <w:t xml:space="preserve">، باب من خطأه عمد،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233/922</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الحديث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287/1085</w:t>
      </w:r>
      <w:r>
        <w:rPr>
          <w:rFonts w:ascii="IRNazanin" w:hAnsi="IRNazanin" w:eastAsia="IRNazanin"/>
          <w:b w:val="false"/>
          <w:b w:val="false"/>
          <w:bCs w:val="false"/>
          <w:i w:val="false"/>
          <w:i w:val="false"/>
          <w:iCs w:val="false"/>
          <w:color w:val="333333"/>
          <w:sz w:val="20"/>
          <w:sz w:val="20"/>
          <w:szCs w:val="20"/>
          <w:rtl w:val="true"/>
        </w:rPr>
        <w:t xml:space="preserve">، باب المرأة والعبد یقتلان رجلاً،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 من خطأه 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242/963</w:t>
      </w:r>
      <w:r>
        <w:rPr>
          <w:rFonts w:ascii="IRNazanin" w:hAnsi="IRNazanin" w:eastAsia="IRNazanin"/>
          <w:b w:val="false"/>
          <w:b w:val="false"/>
          <w:bCs w:val="false"/>
          <w:i w:val="false"/>
          <w:i w:val="false"/>
          <w:iCs w:val="false"/>
          <w:color w:val="333333"/>
          <w:sz w:val="20"/>
          <w:sz w:val="20"/>
          <w:szCs w:val="20"/>
          <w:rtl w:val="true"/>
        </w:rPr>
        <w:t xml:space="preserve">، باب اشتراك الأحرار والعبید،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286/1084</w:t>
      </w:r>
      <w:r>
        <w:rPr>
          <w:rFonts w:ascii="IRNazanin" w:hAnsi="IRNazanin" w:eastAsia="IRNazanin"/>
          <w:b w:val="false"/>
          <w:b w:val="false"/>
          <w:bCs w:val="false"/>
          <w:i w:val="false"/>
          <w:i w:val="false"/>
          <w:iCs w:val="false"/>
          <w:color w:val="333333"/>
          <w:sz w:val="20"/>
          <w:sz w:val="20"/>
          <w:szCs w:val="20"/>
          <w:rtl w:val="true"/>
        </w:rPr>
        <w:t xml:space="preserve">، باب المرأة والعبد یقتلان رجلاً،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83/267</w:t>
      </w:r>
      <w:r>
        <w:rPr>
          <w:rFonts w:ascii="IRNazanin" w:hAnsi="IRNazanin" w:eastAsia="IRNazanin"/>
          <w:b w:val="false"/>
          <w:b w:val="false"/>
          <w:bCs w:val="false"/>
          <w:i w:val="false"/>
          <w:i w:val="false"/>
          <w:iCs w:val="false"/>
          <w:color w:val="333333"/>
          <w:sz w:val="20"/>
          <w:sz w:val="20"/>
          <w:szCs w:val="20"/>
          <w:rtl w:val="true"/>
        </w:rPr>
        <w:t xml:space="preserve">، باب من خطأه عمد،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تفاوت في بعض الکلمات؛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243/963</w:t>
      </w:r>
      <w:r>
        <w:rPr>
          <w:rFonts w:ascii="IRNazanin" w:hAnsi="IRNazanin" w:eastAsia="IRNazanin"/>
          <w:b w:val="false"/>
          <w:b w:val="false"/>
          <w:bCs w:val="false"/>
          <w:i w:val="false"/>
          <w:i w:val="false"/>
          <w:iCs w:val="false"/>
          <w:color w:val="333333"/>
          <w:sz w:val="20"/>
          <w:sz w:val="20"/>
          <w:szCs w:val="20"/>
          <w:rtl w:val="true"/>
        </w:rPr>
        <w:t>، باب اشتراك الأحرار والعبيد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287/1084</w:t>
      </w:r>
      <w:r>
        <w:rPr>
          <w:rFonts w:ascii="IRNazanin" w:hAnsi="IRNazanin" w:eastAsia="IRNazanin"/>
          <w:b w:val="false"/>
          <w:b w:val="false"/>
          <w:bCs w:val="false"/>
          <w:i w:val="false"/>
          <w:i w:val="false"/>
          <w:iCs w:val="false"/>
          <w:color w:val="333333"/>
          <w:sz w:val="20"/>
          <w:sz w:val="20"/>
          <w:szCs w:val="20"/>
          <w:rtl w:val="true"/>
        </w:rPr>
        <w:t xml:space="preserve">، باب المرأة والعبد يقتلان رجلاً،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183/736</w:t>
      </w:r>
      <w:r>
        <w:rPr>
          <w:rFonts w:ascii="IRNazanin" w:hAnsi="IRNazanin" w:eastAsia="IRNazanin"/>
          <w:b w:val="false"/>
          <w:b w:val="false"/>
          <w:bCs w:val="false"/>
          <w:i w:val="false"/>
          <w:i w:val="false"/>
          <w:iCs w:val="false"/>
          <w:color w:val="333333"/>
          <w:sz w:val="20"/>
          <w:sz w:val="20"/>
          <w:szCs w:val="20"/>
          <w:rtl w:val="true"/>
        </w:rPr>
        <w:t xml:space="preserve">، باب وصیّة الصبيّ والمحجور علیه،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287/1084</w:t>
      </w:r>
      <w:r>
        <w:rPr>
          <w:rFonts w:ascii="IRNazanin" w:hAnsi="IRNazanin" w:eastAsia="IRNazanin"/>
          <w:b w:val="false"/>
          <w:b w:val="false"/>
          <w:bCs w:val="false"/>
          <w:i w:val="false"/>
          <w:i w:val="false"/>
          <w:iCs w:val="false"/>
          <w:color w:val="333333"/>
          <w:sz w:val="20"/>
          <w:sz w:val="20"/>
          <w:szCs w:val="20"/>
          <w:rtl w:val="true"/>
        </w:rPr>
        <w:t>، باب المرأة والعبد يقتلان رجلاً، ذيل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نادر،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233/922</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84/270</w:t>
      </w:r>
      <w:r>
        <w:rPr>
          <w:rFonts w:ascii="IRNazanin" w:hAnsi="IRNazanin" w:eastAsia="IRNazanin"/>
          <w:b w:val="false"/>
          <w:b w:val="false"/>
          <w:bCs w:val="false"/>
          <w:i w:val="false"/>
          <w:i w:val="false"/>
          <w:iCs w:val="false"/>
          <w:color w:val="333333"/>
          <w:sz w:val="20"/>
          <w:sz w:val="20"/>
          <w:szCs w:val="20"/>
          <w:rtl w:val="true"/>
        </w:rPr>
        <w:t xml:space="preserve">، باب من خطأه عمد،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العاقلة،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فصل ذكر حدّ الزاني والزانية، الحديث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والتعزیرات، أبواب مقدّمات الحدود،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 من خطأه 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242/963</w:t>
      </w:r>
      <w:r>
        <w:rPr>
          <w:rFonts w:ascii="IRNazanin" w:hAnsi="IRNazanin" w:eastAsia="IRNazanin"/>
          <w:b w:val="false"/>
          <w:b w:val="false"/>
          <w:bCs w:val="false"/>
          <w:i w:val="false"/>
          <w:i w:val="false"/>
          <w:iCs w:val="false"/>
          <w:color w:val="333333"/>
          <w:sz w:val="20"/>
          <w:sz w:val="20"/>
          <w:szCs w:val="20"/>
          <w:rtl w:val="true"/>
        </w:rPr>
        <w:t>، باب من خطأه 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286/1084</w:t>
      </w:r>
      <w:r>
        <w:rPr>
          <w:rFonts w:ascii="IRNazanin" w:hAnsi="IRNazanin" w:eastAsia="IRNazanin"/>
          <w:b w:val="false"/>
          <w:b w:val="false"/>
          <w:bCs w:val="false"/>
          <w:i w:val="false"/>
          <w:i w:val="false"/>
          <w:iCs w:val="false"/>
          <w:color w:val="333333"/>
          <w:sz w:val="20"/>
          <w:sz w:val="20"/>
          <w:szCs w:val="20"/>
          <w:rtl w:val="true"/>
        </w:rPr>
        <w:t xml:space="preserve">، باب المرأة والعبد یقتلان رجلاً،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83/267</w:t>
      </w:r>
      <w:r>
        <w:rPr>
          <w:rFonts w:ascii="IRNazanin" w:hAnsi="IRNazanin" w:eastAsia="IRNazanin"/>
          <w:b w:val="false"/>
          <w:b w:val="false"/>
          <w:bCs w:val="false"/>
          <w:i w:val="false"/>
          <w:i w:val="false"/>
          <w:iCs w:val="false"/>
          <w:color w:val="333333"/>
          <w:sz w:val="20"/>
          <w:sz w:val="20"/>
          <w:szCs w:val="20"/>
          <w:rtl w:val="true"/>
        </w:rPr>
        <w:t xml:space="preserve">، باب من خطأه عمد،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 الرجل یقتل فلم یصحّ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78/242</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الدیة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232/915</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78/242</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الدية،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الرجل يقتل فلم تصحّ الشهادة عليه حتّی خولط،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232/915</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162/648</w:t>
      </w:r>
      <w:r>
        <w:rPr>
          <w:rFonts w:ascii="IRNazanin" w:hAnsi="IRNazanin" w:eastAsia="IRNazanin"/>
          <w:b w:val="false"/>
          <w:b w:val="false"/>
          <w:bCs w:val="false"/>
          <w:i w:val="false"/>
          <w:i w:val="false"/>
          <w:iCs w:val="false"/>
          <w:color w:val="333333"/>
          <w:sz w:val="20"/>
          <w:sz w:val="20"/>
          <w:szCs w:val="20"/>
          <w:rtl w:val="true"/>
        </w:rPr>
        <w:t xml:space="preserve">، باب القضایا في الدیات والقصاص، الحدیث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83/265</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الدیة، الحدیث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 ابن بکیر؛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باب الرجل الصحیح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231/913</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75/234</w:t>
      </w:r>
      <w:r>
        <w:rPr>
          <w:rFonts w:ascii="IRNazanin" w:hAnsi="IRNazanin" w:eastAsia="IRNazanin"/>
          <w:b w:val="false"/>
          <w:b w:val="false"/>
          <w:bCs w:val="false"/>
          <w:i w:val="false"/>
          <w:i w:val="false"/>
          <w:iCs w:val="false"/>
          <w:color w:val="333333"/>
          <w:sz w:val="20"/>
          <w:sz w:val="20"/>
          <w:szCs w:val="20"/>
          <w:rtl w:val="true"/>
        </w:rPr>
        <w:t xml:space="preserve">، باب من لا دیة له في جراح أو قتل،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 السابقة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83/265</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الدية،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162/648</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162/648</w:t>
      </w:r>
      <w:r>
        <w:rPr>
          <w:rFonts w:ascii="IRNazanin" w:hAnsi="IRNazanin" w:eastAsia="IRNazanin"/>
          <w:b w:val="false"/>
          <w:b w:val="false"/>
          <w:bCs w:val="false"/>
          <w:i w:val="false"/>
          <w:i w:val="false"/>
          <w:iCs w:val="false"/>
          <w:color w:val="333333"/>
          <w:sz w:val="20"/>
          <w:sz w:val="20"/>
          <w:szCs w:val="20"/>
          <w:rtl w:val="true"/>
        </w:rPr>
        <w:t xml:space="preserve">، باب القضایا في الدیات والقصاص، الحدیث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83/265</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الدیة، الحدیث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المخطوط، وهو الصواب، وفي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هو خطأ</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الروایة وتخریجها في الصفحة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عاقلته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الموجود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الرجل الصحيح العقل يقتل المجنون،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75/234</w:t>
      </w:r>
      <w:r>
        <w:rPr>
          <w:rFonts w:ascii="IRNazanin" w:hAnsi="IRNazanin" w:eastAsia="IRNazanin"/>
          <w:b w:val="false"/>
          <w:b w:val="false"/>
          <w:bCs w:val="false"/>
          <w:i w:val="false"/>
          <w:i w:val="false"/>
          <w:iCs w:val="false"/>
          <w:color w:val="333333"/>
          <w:sz w:val="20"/>
          <w:sz w:val="20"/>
          <w:szCs w:val="20"/>
          <w:rtl w:val="true"/>
        </w:rPr>
        <w:t xml:space="preserve">، باب من لا دية له في جراح أو قتل،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231/913</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الحديث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باب الرجل الصحیح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231/913</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75/234</w:t>
      </w:r>
      <w:r>
        <w:rPr>
          <w:rFonts w:ascii="IRNazanin" w:hAnsi="IRNazanin" w:eastAsia="IRNazanin"/>
          <w:b w:val="false"/>
          <w:b w:val="false"/>
          <w:bCs w:val="false"/>
          <w:i w:val="false"/>
          <w:i w:val="false"/>
          <w:iCs w:val="false"/>
          <w:color w:val="333333"/>
          <w:sz w:val="20"/>
          <w:sz w:val="20"/>
          <w:szCs w:val="20"/>
          <w:rtl w:val="true"/>
        </w:rPr>
        <w:t xml:space="preserve">، باب من لا دیة له في جراح أو قتل،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باب الرجل الصحیح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231/914</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باب للرجل الصحیح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231/913</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75/234</w:t>
      </w:r>
      <w:r>
        <w:rPr>
          <w:rFonts w:ascii="IRNazanin" w:hAnsi="IRNazanin" w:eastAsia="IRNazanin"/>
          <w:b w:val="false"/>
          <w:b w:val="false"/>
          <w:bCs w:val="false"/>
          <w:i w:val="false"/>
          <w:i w:val="false"/>
          <w:iCs w:val="false"/>
          <w:color w:val="333333"/>
          <w:sz w:val="20"/>
          <w:sz w:val="20"/>
          <w:szCs w:val="20"/>
          <w:rtl w:val="true"/>
        </w:rPr>
        <w:t xml:space="preserve">، باب من لا دیة له في جراح أو قتل،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باب للرجل الصحیح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231/913</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75/234</w:t>
      </w:r>
      <w:r>
        <w:rPr>
          <w:rFonts w:ascii="IRNazanin" w:hAnsi="IRNazanin" w:eastAsia="IRNazanin"/>
          <w:b w:val="false"/>
          <w:b w:val="false"/>
          <w:bCs w:val="false"/>
          <w:i w:val="false"/>
          <w:i w:val="false"/>
          <w:iCs w:val="false"/>
          <w:color w:val="333333"/>
          <w:sz w:val="20"/>
          <w:sz w:val="20"/>
          <w:szCs w:val="20"/>
          <w:rtl w:val="true"/>
        </w:rPr>
        <w:t xml:space="preserve">، باب من لا دیة له في جراح أو قتل،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باب الرجل الصحیح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231/914</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 بطنه بالسکین بعجاً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تباعجوا بالسکّاکین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بعج</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240/955</w:t>
      </w:r>
      <w:r>
        <w:rPr>
          <w:rFonts w:ascii="IRNazanin" w:hAnsi="IRNazanin" w:eastAsia="IRNazanin"/>
          <w:b w:val="false"/>
          <w:b w:val="false"/>
          <w:bCs w:val="false"/>
          <w:i w:val="false"/>
          <w:i w:val="false"/>
          <w:iCs w:val="false"/>
          <w:color w:val="333333"/>
          <w:sz w:val="20"/>
          <w:sz w:val="20"/>
          <w:szCs w:val="20"/>
          <w:rtl w:val="true"/>
        </w:rPr>
        <w:t xml:space="preserve">، باب الاشتراك في الجنایات،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87/280</w:t>
      </w:r>
      <w:r>
        <w:rPr>
          <w:rFonts w:ascii="IRNazanin" w:hAnsi="IRNazanin" w:eastAsia="IRNazanin"/>
          <w:b w:val="false"/>
          <w:b w:val="false"/>
          <w:bCs w:val="false"/>
          <w:i w:val="false"/>
          <w:i w:val="false"/>
          <w:iCs w:val="false"/>
          <w:color w:val="333333"/>
          <w:sz w:val="20"/>
          <w:sz w:val="20"/>
          <w:szCs w:val="20"/>
          <w:rtl w:val="true"/>
        </w:rPr>
        <w:t>، باب حکم الرجل یقتل الرجلین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موجبات الضمان،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الجماعة یجتمعون علی قتل واحد،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240/956</w:t>
      </w:r>
      <w:r>
        <w:rPr>
          <w:rFonts w:ascii="IRNazanin" w:hAnsi="IRNazanin" w:eastAsia="IRNazanin"/>
          <w:b w:val="false"/>
          <w:b w:val="false"/>
          <w:bCs w:val="false"/>
          <w:i w:val="false"/>
          <w:i w:val="false"/>
          <w:iCs w:val="false"/>
          <w:color w:val="333333"/>
          <w:sz w:val="20"/>
          <w:sz w:val="20"/>
          <w:szCs w:val="20"/>
          <w:rtl w:val="true"/>
        </w:rPr>
        <w:t xml:space="preserve">، باب الاشتراك في الجنایات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موجبات الضمان،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باب صلاة المغمی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237/1042</w:t>
      </w:r>
      <w:r>
        <w:rPr>
          <w:rFonts w:ascii="IRNazanin" w:hAnsi="IRNazanin" w:eastAsia="IRNazanin"/>
          <w:b w:val="false"/>
          <w:b w:val="false"/>
          <w:bCs w:val="false"/>
          <w:i w:val="false"/>
          <w:i w:val="false"/>
          <w:iCs w:val="false"/>
          <w:color w:val="333333"/>
          <w:sz w:val="20"/>
          <w:sz w:val="20"/>
          <w:szCs w:val="20"/>
          <w:rtl w:val="true"/>
        </w:rPr>
        <w:t>، باب صلاة المریض والمغمی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قضاء الصلاة،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وأيضاً الصفحه</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الصفّار، عن أحمد بن محمّد، عن ابن سنان، عن عبدالله بن مسكان، عن موسى بن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يُغمى عليه يوماً أو يومين أو الثلاثة أو الأربعة أو أكثر من ذلك، كم يقضي من صلاته؟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لا أُخبرك بما يجمع لك هذه الأشياء؟ كلّما غلب الله عليه من أمر فالله أعذر لعبده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غيره أنّ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من الأبواب التي يفتح كلّ باب منها ألف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علّم رسول الله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 ألف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232/918</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107/361</w:t>
      </w:r>
      <w:r>
        <w:rPr>
          <w:rFonts w:ascii="IRNazanin" w:hAnsi="IRNazanin" w:eastAsia="IRNazanin"/>
          <w:b w:val="false"/>
          <w:b w:val="false"/>
          <w:bCs w:val="false"/>
          <w:i w:val="false"/>
          <w:i w:val="false"/>
          <w:iCs w:val="false"/>
          <w:color w:val="333333"/>
          <w:sz w:val="20"/>
          <w:sz w:val="20"/>
          <w:szCs w:val="20"/>
          <w:rtl w:val="true"/>
        </w:rPr>
        <w:t xml:space="preserve">، باب العاقلة،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العاقلة،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فتاوى ابن الجنيد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107/361</w:t>
      </w:r>
      <w:r>
        <w:rPr>
          <w:rFonts w:ascii="IRNazanin" w:hAnsi="IRNazanin" w:eastAsia="IRNazanin"/>
          <w:b w:val="false"/>
          <w:b w:val="false"/>
          <w:bCs w:val="false"/>
          <w:i w:val="false"/>
          <w:i w:val="false"/>
          <w:iCs w:val="false"/>
          <w:color w:val="333333"/>
          <w:sz w:val="20"/>
          <w:sz w:val="20"/>
          <w:szCs w:val="20"/>
          <w:rtl w:val="true"/>
        </w:rPr>
        <w:t xml:space="preserve">، باب العاقلة،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مقدّمة الكتاب</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باب من خطأه 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232/917</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85/271</w:t>
      </w:r>
      <w:r>
        <w:rPr>
          <w:rFonts w:ascii="IRNazanin" w:hAnsi="IRNazanin" w:eastAsia="IRNazanin"/>
          <w:b w:val="false"/>
          <w:b w:val="false"/>
          <w:bCs w:val="false"/>
          <w:i w:val="false"/>
          <w:i w:val="false"/>
          <w:iCs w:val="false"/>
          <w:color w:val="333333"/>
          <w:sz w:val="20"/>
          <w:sz w:val="20"/>
          <w:szCs w:val="20"/>
          <w:rtl w:val="true"/>
        </w:rPr>
        <w:t xml:space="preserve">، باب من عمده خطأ،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85/271</w:t>
      </w:r>
      <w:r>
        <w:rPr>
          <w:rFonts w:ascii="IRNazanin" w:hAnsi="IRNazanin" w:eastAsia="IRNazanin"/>
          <w:b w:val="false"/>
          <w:b w:val="false"/>
          <w:bCs w:val="false"/>
          <w:i w:val="false"/>
          <w:i w:val="false"/>
          <w:iCs w:val="false"/>
          <w:color w:val="333333"/>
          <w:sz w:val="20"/>
          <w:sz w:val="20"/>
          <w:szCs w:val="20"/>
          <w:rtl w:val="true"/>
        </w:rPr>
        <w:t xml:space="preserve">، باب من عمده خطأ،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232/918</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107/361</w:t>
      </w:r>
      <w:r>
        <w:rPr>
          <w:rFonts w:ascii="IRNazanin" w:hAnsi="IRNazanin" w:eastAsia="IRNazanin"/>
          <w:b w:val="false"/>
          <w:b w:val="false"/>
          <w:bCs w:val="false"/>
          <w:i w:val="false"/>
          <w:i w:val="false"/>
          <w:iCs w:val="false"/>
          <w:color w:val="333333"/>
          <w:sz w:val="20"/>
          <w:sz w:val="20"/>
          <w:szCs w:val="20"/>
          <w:rtl w:val="true"/>
        </w:rPr>
        <w:t xml:space="preserve">، باب العاقلة،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العاقلة،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ديتهُ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من خطاؤه عمد ومن عمده خطأ،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232/917</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85/271</w:t>
      </w:r>
      <w:r>
        <w:rPr>
          <w:rFonts w:ascii="IRNazanin" w:hAnsi="IRNazanin" w:eastAsia="IRNazanin"/>
          <w:b w:val="false"/>
          <w:b w:val="false"/>
          <w:bCs w:val="false"/>
          <w:i w:val="false"/>
          <w:i w:val="false"/>
          <w:iCs w:val="false"/>
          <w:color w:val="333333"/>
          <w:sz w:val="20"/>
          <w:sz w:val="20"/>
          <w:szCs w:val="20"/>
          <w:rtl w:val="true"/>
        </w:rPr>
        <w:t xml:space="preserve">، باب من عمده خطأ،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232/918</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107/361</w:t>
      </w:r>
      <w:r>
        <w:rPr>
          <w:rFonts w:ascii="IRNazanin" w:hAnsi="IRNazanin" w:eastAsia="IRNazanin"/>
          <w:b w:val="false"/>
          <w:b w:val="false"/>
          <w:bCs w:val="false"/>
          <w:i w:val="false"/>
          <w:i w:val="false"/>
          <w:iCs w:val="false"/>
          <w:color w:val="333333"/>
          <w:sz w:val="20"/>
          <w:sz w:val="20"/>
          <w:szCs w:val="20"/>
          <w:rtl w:val="true"/>
        </w:rPr>
        <w:t xml:space="preserve">، في العاقلة،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العاقله،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107/361</w:t>
      </w:r>
      <w:r>
        <w:rPr>
          <w:rFonts w:ascii="IRNazanin" w:hAnsi="IRNazanin" w:eastAsia="IRNazanin"/>
          <w:b w:val="false"/>
          <w:b w:val="false"/>
          <w:bCs w:val="false"/>
          <w:i w:val="false"/>
          <w:i w:val="false"/>
          <w:iCs w:val="false"/>
          <w:color w:val="333333"/>
          <w:sz w:val="20"/>
          <w:sz w:val="20"/>
          <w:szCs w:val="20"/>
          <w:rtl w:val="true"/>
        </w:rPr>
        <w:t xml:space="preserve">، باب العاقلة،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348</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النوادر، 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213/844</w:t>
      </w:r>
      <w:r>
        <w:rPr>
          <w:rFonts w:ascii="IRNazanin" w:hAnsi="IRNazanin" w:eastAsia="IRNazanin"/>
          <w:b w:val="false"/>
          <w:b w:val="false"/>
          <w:bCs w:val="false"/>
          <w:i w:val="false"/>
          <w:i w:val="false"/>
          <w:iCs w:val="false"/>
          <w:color w:val="333333"/>
          <w:sz w:val="20"/>
          <w:sz w:val="20"/>
          <w:szCs w:val="20"/>
          <w:rtl w:val="true"/>
        </w:rPr>
        <w:t>، باب القضاء في قتیل الزحام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کتاب الديات، أبواب موجبات الضمان،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حدّ المرتّد، الحدیث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141/560</w:t>
      </w:r>
      <w:r>
        <w:rPr>
          <w:rFonts w:ascii="IRNazanin" w:hAnsi="IRNazanin" w:eastAsia="IRNazanin"/>
          <w:b w:val="false"/>
          <w:b w:val="false"/>
          <w:bCs w:val="false"/>
          <w:i w:val="false"/>
          <w:i w:val="false"/>
          <w:iCs w:val="false"/>
          <w:color w:val="333333"/>
          <w:sz w:val="20"/>
          <w:sz w:val="20"/>
          <w:szCs w:val="20"/>
          <w:rtl w:val="true"/>
        </w:rPr>
        <w:t>، باب حدّ المرتدّ والمرتدّة، الحدیث</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کتاب الحدود والتعزیرات، أبواب حدّ المرتدّ، الباب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النوادر، الحدیث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84/331</w:t>
      </w:r>
      <w:r>
        <w:rPr>
          <w:rFonts w:ascii="IRNazanin" w:hAnsi="IRNazanin" w:eastAsia="IRNazanin"/>
          <w:b w:val="false"/>
          <w:b w:val="false"/>
          <w:bCs w:val="false"/>
          <w:i w:val="false"/>
          <w:i w:val="false"/>
          <w:iCs w:val="false"/>
          <w:color w:val="333333"/>
          <w:sz w:val="20"/>
          <w:sz w:val="20"/>
          <w:szCs w:val="20"/>
          <w:rtl w:val="true"/>
        </w:rPr>
        <w:t>، باب الحدّ في الفریة والسبّ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کتاب الحدود والتعزیرات، أبواب حدّ القذف، الباب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النوادر، الحدیث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 الحدّ في الفریة والسبّ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کتاب الحدود والتعزیرات، أبواب حدّ القذف، الباب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من لا دیة له،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 زید الشحّام؛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باب القضاء في قتیل الزحام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عن زید الشحّام؛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279/1056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زید الشحّام؛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الفصل التاسع، الحدیث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الدیون،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الإقرار،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بیع الحیوان،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کتاب الإقرار،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هذه الروایة بهذه الألفاظ، ولکنّ القضیّة صحیحة ومنقولة في کتب الحدیث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نادر،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173/679</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315/874</w:t>
      </w:r>
      <w:r>
        <w:rPr>
          <w:rFonts w:ascii="IRNazanin" w:hAnsi="IRNazanin" w:eastAsia="IRNazanin"/>
          <w:b w:val="false"/>
          <w:b w:val="false"/>
          <w:bCs w:val="false"/>
          <w:i w:val="false"/>
          <w:i w:val="false"/>
          <w:iCs w:val="false"/>
          <w:color w:val="333333"/>
          <w:sz w:val="20"/>
          <w:sz w:val="20"/>
          <w:szCs w:val="20"/>
          <w:rtl w:val="true"/>
        </w:rPr>
        <w:t>، باب من الزیادات في القضایا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باب الحیل في الأحکام،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عبارة الماتن متّخذة من الروايتين المذكورتين في هذه المصادر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مستفاد من الرواية التي جاء في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نادر،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172/678</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العاقلة،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فيها وتخریجها في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باب الرجل یقتل فلم تصحّ الشهادة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78/242</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الدیة،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232/915</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نادر،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172/677</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78/244</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الدیة،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نادر،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اذهبوا به فاقتلوه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اذهبوا به فأقیدوه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173/679</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315/874</w:t>
      </w:r>
      <w:r>
        <w:rPr>
          <w:rFonts w:ascii="IRNazanin" w:hAnsi="IRNazanin" w:eastAsia="IRNazanin"/>
          <w:b w:val="false"/>
          <w:b w:val="false"/>
          <w:bCs w:val="false"/>
          <w:i w:val="false"/>
          <w:i w:val="false"/>
          <w:iCs w:val="false"/>
          <w:color w:val="333333"/>
          <w:sz w:val="20"/>
          <w:sz w:val="20"/>
          <w:szCs w:val="20"/>
          <w:rtl w:val="true"/>
        </w:rPr>
        <w:t>، باب من الزیادات في القضایا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مع تفاوت في بعض الألفاظ؛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باب الحیل في الأحکام،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آنفاً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ما یجوز من شهادة النساء، وما لا یجوز،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266/711</w:t>
      </w:r>
      <w:r>
        <w:rPr>
          <w:rFonts w:ascii="IRNazanin" w:hAnsi="IRNazanin" w:eastAsia="IRNazanin"/>
          <w:b w:val="false"/>
          <w:b w:val="false"/>
          <w:bCs w:val="false"/>
          <w:i w:val="false"/>
          <w:i w:val="false"/>
          <w:iCs w:val="false"/>
          <w:color w:val="333333"/>
          <w:sz w:val="20"/>
          <w:sz w:val="20"/>
          <w:szCs w:val="20"/>
          <w:rtl w:val="true"/>
        </w:rPr>
        <w:t xml:space="preserve">، باب البیّنات، الحدیث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باب ما یجوز شهادة النساء وما لا یجوز، 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یُطلّ دم امرءٍ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یبطل دم امرءٍ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کتاب الشهادات،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زيد الشحّام،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شهادة النساء؟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تجوز شهادة النساء في الرجم إلّا مع ثلاثة رجال وامرأتين، فإن كان رجلان وأربع نسوة فلا تجوز في الرجم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أفتجوز شهادة النساء مع الرجال في الدم،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266/712</w:t>
      </w:r>
      <w:r>
        <w:rPr>
          <w:rFonts w:ascii="IRNazanin" w:hAnsi="IRNazanin" w:eastAsia="IRNazanin"/>
          <w:b w:val="false"/>
          <w:b w:val="false"/>
          <w:bCs w:val="false"/>
          <w:i w:val="false"/>
          <w:i w:val="false"/>
          <w:iCs w:val="false"/>
          <w:color w:val="333333"/>
          <w:sz w:val="20"/>
          <w:sz w:val="20"/>
          <w:szCs w:val="20"/>
          <w:rtl w:val="true"/>
        </w:rPr>
        <w:t xml:space="preserve">، باب البیّنات، الحدیث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باب ما یجوز شهادة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الصباح الكناني، 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شهادة النساء تجوز في النكاح، ولا تجوز في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شهد ثلاثة رجال وامرأتان جاز في الرجم، وإذا كان رجلان وأربع نسوة لم يجز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تجوز شهادة النساء في الدم 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267/713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w:t>
      </w:r>
      <w:r>
        <w:rPr>
          <w:rFonts w:ascii="IRNazanin" w:hAnsi="IRNazanin" w:eastAsia="IRNazanin"/>
          <w:b w:val="false"/>
          <w:b w:val="false"/>
          <w:bCs w:val="false"/>
          <w:i w:val="false"/>
          <w:i w:val="false"/>
          <w:iCs w:val="false"/>
          <w:color w:val="333333"/>
          <w:sz w:val="20"/>
          <w:sz w:val="20"/>
          <w:szCs w:val="20"/>
          <w:rtl w:val="true"/>
        </w:rPr>
        <w:t>، باب ما یجوز شهادة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اختلاف الحدیث،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الاتّفاق علی عدلین في الحکومة،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الروایة وتخریجها في الصفحة السابقة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كتاب القضاء، الفصل الثالث عشر،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238/585</w:t>
      </w:r>
      <w:r>
        <w:rPr>
          <w:rFonts w:ascii="IRNazanin" w:hAnsi="IRNazanin" w:eastAsia="IRNazanin"/>
          <w:b w:val="false"/>
          <w:b w:val="false"/>
          <w:bCs w:val="false"/>
          <w:i w:val="false"/>
          <w:i w:val="false"/>
          <w:iCs w:val="false"/>
          <w:color w:val="333333"/>
          <w:sz w:val="20"/>
          <w:sz w:val="20"/>
          <w:szCs w:val="20"/>
          <w:rtl w:val="true"/>
        </w:rPr>
        <w:t>، باب البیّنین یتقابلان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كيفيّة الحكم وأحكام الدعوى،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المحكيّ عنه في 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ولكن لم أجده في إصباح الشيعة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المحكيّ عنه في 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 من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 السابقة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فتاوى ابن الجنيد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 من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نادر،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172/678</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کتاب القصاص، أبواب دعوى القتل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نادر،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172/678</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مع تفاوت في بعض ألفاظ الروایة؛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فتاوى ابن الجنيد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 السابقة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من شهد عليه بالقتل، ثمّ أقرَّ آخر بالقتل، فللأولياء أن يقتلوا من شاؤوا منهما بغير خلاف</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وأصله من القسامة، وهي الأيمان تقسّم على الأولياء في الدم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القسامة بالفتح، الأیمان تُقسَم علی أولیاء القتیل إذا ادّعوا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اجتمعت جماعة من أولیاء القتیل، فادّعوا علی رجل أنّه قتل صاحبهم ومعهم دلیل دون البیّنة فحلفوا خمسین یمیناً أنّ المدّعی علیه، قتل صاحبهم فهؤلاء الذین یقسمون علی دعواهم یسمّون قسامة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اصطلاح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للأيمان المقرّرة عندهم لمدّعي الدم وأقاربه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73/223</w:t>
      </w:r>
      <w:r>
        <w:rPr>
          <w:rFonts w:ascii="IRNazanin" w:hAnsi="IRNazanin" w:eastAsia="IRNazanin"/>
          <w:b w:val="false"/>
          <w:b w:val="false"/>
          <w:bCs w:val="false"/>
          <w:i w:val="false"/>
          <w:i w:val="false"/>
          <w:iCs w:val="false"/>
          <w:color w:val="333333"/>
          <w:sz w:val="20"/>
          <w:sz w:val="20"/>
          <w:szCs w:val="20"/>
          <w:rtl w:val="true"/>
        </w:rPr>
        <w:t xml:space="preserve">، باب القسامّه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167/663</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زرارة، 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جعلت القسامة احتياطاً للناس لكيما إذا أراد الفاسق أن يقتل رجلاً، أو يغتال رجلاً حيث لا يراه أحد خاف ذلك فامتنع من القتل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74/225</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الحلبي، 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القسامة كيف كانت؟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حقٌ، وهي مكتوبة عندنا، ولولا ذلك لقتل الناس بعضهم بعضاً، ثُمَّ لم يكن شيء، وإنَّما القسامة نجاة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بريد بن معاوية،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القسامة؟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الحقوق كلّها البيّنة على المدَّعي واليمين على المدَّعى عليه، إلّا في الدم خاصّة، فإنّ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هو بخيبر إذ فقدت الأنصار رجلاً منهم فوجدوه قتيلاً، فقالت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فلاناً اليهودي قتل صاحبنا،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أقيموا رجلين عدلين من غيركم أقيده برمّته، فإنْ لم تجدوا شاهدين، فأقيموا قسامة خمسين رجلاً أقيده برمّته،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عندنا شاهدان من غيرنا وإنّا لنكره أن نقسم على ما لم نره، فوداه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حقن دماء المسلمين بالقسامة، لكي إذا رأى الفاجر الفاسق فرصة من عدِّوه حجزه مخافة القسامة أن يقتل به فكفّ عن قتله، وإلّا حلف المدّعى عليه قسامة خمسين رجلاً ما قتلنا ولا علمنا قاتلاً، وإلّا اغرموا الدية إذا وجدوا قتيلاً بين أظهرهم إذا لم يقسم المدّعون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166/661</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المقدّس الأردبيلي في 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 القسامه، مسألة سواء کان المقتول مسلماً أو کافراً</w:t>
      </w:r>
      <w:r>
        <w:rPr>
          <w:rFonts w:eastAsia="IRNazanin" w:cs="IRNazanin"/>
          <w:b w:val="false"/>
          <w:bCs w:val="false"/>
          <w:i w:val="false"/>
          <w:iCs w:val="false"/>
          <w:color w:val="333333"/>
          <w:sz w:val="20"/>
          <w:szCs w:val="20"/>
          <w:rtl w:val="true"/>
        </w:rPr>
        <w:t>...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166/661</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206/812</w:t>
      </w:r>
      <w:r>
        <w:rPr>
          <w:rFonts w:ascii="IRNazanin" w:hAnsi="IRNazanin" w:eastAsia="IRNazanin"/>
          <w:b w:val="false"/>
          <w:b w:val="false"/>
          <w:bCs w:val="false"/>
          <w:i w:val="false"/>
          <w:i w:val="false"/>
          <w:iCs w:val="false"/>
          <w:color w:val="333333"/>
          <w:sz w:val="20"/>
          <w:sz w:val="20"/>
          <w:szCs w:val="20"/>
          <w:rtl w:val="true"/>
        </w:rPr>
        <w:t>، باب القضاء في قتیل الزحام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278/1054</w:t>
      </w:r>
      <w:r>
        <w:rPr>
          <w:rFonts w:ascii="IRNazanin" w:hAnsi="IRNazanin" w:eastAsia="IRNazanin"/>
          <w:b w:val="false"/>
          <w:b w:val="false"/>
          <w:bCs w:val="false"/>
          <w:i w:val="false"/>
          <w:i w:val="false"/>
          <w:iCs w:val="false"/>
          <w:color w:val="333333"/>
          <w:sz w:val="20"/>
          <w:sz w:val="20"/>
          <w:szCs w:val="20"/>
          <w:rtl w:val="true"/>
        </w:rPr>
        <w:t xml:space="preserve">، باب المقتول یوجد في قبیلة أو قریة،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315/1176</w:t>
      </w:r>
      <w:r>
        <w:rPr>
          <w:rFonts w:ascii="IRNazanin" w:hAnsi="IRNazanin" w:eastAsia="IRNazanin"/>
          <w:b w:val="false"/>
          <w:b w:val="false"/>
          <w:bCs w:val="false"/>
          <w:i w:val="false"/>
          <w:i w:val="false"/>
          <w:iCs w:val="false"/>
          <w:color w:val="333333"/>
          <w:sz w:val="20"/>
          <w:sz w:val="20"/>
          <w:szCs w:val="20"/>
          <w:rtl w:val="true"/>
        </w:rPr>
        <w:t xml:space="preserve">، باب من الزیادات، 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73/222</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بالكوفي هو أبوحنيفة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المسالة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206/812</w:t>
      </w:r>
      <w:r>
        <w:rPr>
          <w:rFonts w:ascii="IRNazanin" w:hAnsi="IRNazanin" w:eastAsia="IRNazanin"/>
          <w:b w:val="false"/>
          <w:b w:val="false"/>
          <w:bCs w:val="false"/>
          <w:i w:val="false"/>
          <w:i w:val="false"/>
          <w:iCs w:val="false"/>
          <w:color w:val="333333"/>
          <w:sz w:val="20"/>
          <w:sz w:val="20"/>
          <w:szCs w:val="20"/>
          <w:rtl w:val="true"/>
        </w:rPr>
        <w:t>، باب القضاء في قتیل الزحام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278/1054</w:t>
      </w:r>
      <w:r>
        <w:rPr>
          <w:rFonts w:ascii="IRNazanin" w:hAnsi="IRNazanin" w:eastAsia="IRNazanin"/>
          <w:b w:val="false"/>
          <w:b w:val="false"/>
          <w:bCs w:val="false"/>
          <w:i w:val="false"/>
          <w:i w:val="false"/>
          <w:iCs w:val="false"/>
          <w:color w:val="333333"/>
          <w:sz w:val="20"/>
          <w:sz w:val="20"/>
          <w:szCs w:val="20"/>
          <w:rtl w:val="true"/>
        </w:rPr>
        <w:t xml:space="preserve">، باب المقتول یوجد في قبیلة أو قریة،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315/1176</w:t>
      </w:r>
      <w:r>
        <w:rPr>
          <w:rFonts w:ascii="IRNazanin" w:hAnsi="IRNazanin" w:eastAsia="IRNazanin"/>
          <w:b w:val="false"/>
          <w:b w:val="false"/>
          <w:bCs w:val="false"/>
          <w:i w:val="false"/>
          <w:i w:val="false"/>
          <w:iCs w:val="false"/>
          <w:color w:val="333333"/>
          <w:sz w:val="20"/>
          <w:sz w:val="20"/>
          <w:szCs w:val="20"/>
          <w:rtl w:val="true"/>
        </w:rPr>
        <w:t xml:space="preserve">، باب من الزیادات، 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73/222</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القسامه،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72/219</w:t>
      </w:r>
      <w:r>
        <w:rPr>
          <w:rFonts w:ascii="IRNazanin" w:hAnsi="IRNazanin" w:eastAsia="IRNazanin"/>
          <w:b w:val="false"/>
          <w:b w:val="false"/>
          <w:bCs w:val="false"/>
          <w:i w:val="false"/>
          <w:i w:val="false"/>
          <w:iCs w:val="false"/>
          <w:color w:val="333333"/>
          <w:sz w:val="20"/>
          <w:sz w:val="20"/>
          <w:szCs w:val="20"/>
          <w:rtl w:val="true"/>
        </w:rPr>
        <w:t xml:space="preserve">، باب القسامه،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315/1176</w:t>
      </w:r>
      <w:r>
        <w:rPr>
          <w:rFonts w:ascii="IRNazanin" w:hAnsi="IRNazanin" w:eastAsia="IRNazanin"/>
          <w:b w:val="false"/>
          <w:b w:val="false"/>
          <w:bCs w:val="false"/>
          <w:i w:val="false"/>
          <w:i w:val="false"/>
          <w:iCs w:val="false"/>
          <w:color w:val="333333"/>
          <w:sz w:val="20"/>
          <w:sz w:val="20"/>
          <w:szCs w:val="20"/>
          <w:rtl w:val="true"/>
        </w:rPr>
        <w:t xml:space="preserve">، باب من الزیادات، 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73/222</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أنّ القضاء بالبیّنات والأیمان،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229/552</w:t>
      </w:r>
      <w:r>
        <w:rPr>
          <w:rFonts w:ascii="IRNazanin" w:hAnsi="IRNazanin" w:eastAsia="IRNazanin"/>
          <w:b w:val="false"/>
          <w:b w:val="false"/>
          <w:bCs w:val="false"/>
          <w:i w:val="false"/>
          <w:i w:val="false"/>
          <w:iCs w:val="false"/>
          <w:color w:val="333333"/>
          <w:sz w:val="20"/>
          <w:sz w:val="20"/>
          <w:szCs w:val="20"/>
          <w:rtl w:val="true"/>
        </w:rPr>
        <w:t xml:space="preserve">، باب کیفیّة الحکم والقضاء،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وما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باب معنی المحاقله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بألفاظ غیر هذه الألفاظ؛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كيفيّة الحكم وأحکام الدعوی،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74/225</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168/665</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168/665</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72/219</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في الصلاة،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المقتول لا یدری من قتله،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202/798</w:t>
      </w:r>
      <w:r>
        <w:rPr>
          <w:rFonts w:ascii="IRNazanin" w:hAnsi="IRNazanin" w:eastAsia="IRNazanin"/>
          <w:b w:val="false"/>
          <w:b w:val="false"/>
          <w:bCs w:val="false"/>
          <w:i w:val="false"/>
          <w:i w:val="false"/>
          <w:iCs w:val="false"/>
          <w:color w:val="333333"/>
          <w:sz w:val="20"/>
          <w:sz w:val="20"/>
          <w:szCs w:val="20"/>
          <w:rtl w:val="true"/>
        </w:rPr>
        <w:t>، باب القضاء في قتل الزحام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المقتول لا يدری من قتله،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201/796</w:t>
      </w:r>
      <w:r>
        <w:rPr>
          <w:rFonts w:ascii="IRNazanin" w:hAnsi="IRNazanin" w:eastAsia="IRNazanin"/>
          <w:b w:val="false"/>
          <w:b w:val="false"/>
          <w:bCs w:val="false"/>
          <w:i w:val="false"/>
          <w:i w:val="false"/>
          <w:iCs w:val="false"/>
          <w:color w:val="333333"/>
          <w:sz w:val="20"/>
          <w:sz w:val="20"/>
          <w:szCs w:val="20"/>
          <w:rtl w:val="true"/>
        </w:rPr>
        <w:t>، باب القضاء في قتیل الزحام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202/797</w:t>
      </w:r>
      <w:r>
        <w:rPr>
          <w:rFonts w:ascii="IRNazanin" w:hAnsi="IRNazanin" w:eastAsia="IRNazanin"/>
          <w:b w:val="false"/>
          <w:b w:val="false"/>
          <w:bCs w:val="false"/>
          <w:i w:val="false"/>
          <w:i w:val="false"/>
          <w:iCs w:val="false"/>
          <w:color w:val="333333"/>
          <w:sz w:val="20"/>
          <w:sz w:val="20"/>
          <w:szCs w:val="20"/>
          <w:rtl w:val="true"/>
        </w:rPr>
        <w:t>، باب القضاء في قتيل الزحام ومن لا يعرف قاتله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122/427</w:t>
      </w:r>
      <w:r>
        <w:rPr>
          <w:rFonts w:ascii="IRNazanin" w:hAnsi="IRNazanin" w:eastAsia="IRNazanin"/>
          <w:b w:val="false"/>
          <w:b w:val="false"/>
          <w:bCs w:val="false"/>
          <w:i w:val="false"/>
          <w:i w:val="false"/>
          <w:iCs w:val="false"/>
          <w:color w:val="333333"/>
          <w:sz w:val="20"/>
          <w:sz w:val="20"/>
          <w:szCs w:val="20"/>
          <w:rtl w:val="true"/>
        </w:rPr>
        <w:t>، باب من مات في زحام الأعیاد أو 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122/427</w:t>
      </w:r>
      <w:r>
        <w:rPr>
          <w:rFonts w:ascii="IRNazanin" w:hAnsi="IRNazanin" w:eastAsia="IRNazanin"/>
          <w:b w:val="false"/>
          <w:b w:val="false"/>
          <w:bCs w:val="false"/>
          <w:i w:val="false"/>
          <w:i w:val="false"/>
          <w:iCs w:val="false"/>
          <w:color w:val="333333"/>
          <w:sz w:val="20"/>
          <w:sz w:val="20"/>
          <w:szCs w:val="20"/>
          <w:rtl w:val="true"/>
        </w:rPr>
        <w:t>، باب من مات في زحام الأعياد أوعرفة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المقتول لا یدری من قتله،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202/799</w:t>
      </w:r>
      <w:r>
        <w:rPr>
          <w:rFonts w:ascii="IRNazanin" w:hAnsi="IRNazanin" w:eastAsia="IRNazanin"/>
          <w:b w:val="false"/>
          <w:b w:val="false"/>
          <w:bCs w:val="false"/>
          <w:i w:val="false"/>
          <w:i w:val="false"/>
          <w:iCs w:val="false"/>
          <w:color w:val="333333"/>
          <w:sz w:val="20"/>
          <w:sz w:val="20"/>
          <w:szCs w:val="20"/>
          <w:rtl w:val="true"/>
        </w:rPr>
        <w:t>، باب القضاء في قتیل الزحام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باب مواریث القتلی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376/1344</w:t>
      </w:r>
      <w:r>
        <w:rPr>
          <w:rFonts w:ascii="IRNazanin" w:hAnsi="IRNazanin" w:eastAsia="IRNazanin"/>
          <w:b w:val="false"/>
          <w:b w:val="false"/>
          <w:bCs w:val="false"/>
          <w:i w:val="false"/>
          <w:i w:val="false"/>
          <w:iCs w:val="false"/>
          <w:color w:val="333333"/>
          <w:sz w:val="20"/>
          <w:sz w:val="20"/>
          <w:szCs w:val="20"/>
          <w:rtl w:val="true"/>
        </w:rPr>
        <w:t>، باب میراث المرتدّ ومن یستحقّ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226/719</w:t>
      </w:r>
      <w:r>
        <w:rPr>
          <w:rFonts w:ascii="IRNazanin" w:hAnsi="IRNazanin" w:eastAsia="IRNazanin"/>
          <w:b w:val="false"/>
          <w:b w:val="false"/>
          <w:bCs w:val="false"/>
          <w:i w:val="false"/>
          <w:i w:val="false"/>
          <w:iCs w:val="false"/>
          <w:color w:val="333333"/>
          <w:sz w:val="20"/>
          <w:sz w:val="20"/>
          <w:szCs w:val="20"/>
          <w:rtl w:val="true"/>
        </w:rPr>
        <w:t>، باب میراث الجنین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کتاب الإرث، أبواب موانع الإرث،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المقتول لا یدری من قتله،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203/802</w:t>
      </w:r>
      <w:r>
        <w:rPr>
          <w:rFonts w:ascii="IRNazanin" w:hAnsi="IRNazanin" w:eastAsia="IRNazanin"/>
          <w:b w:val="false"/>
          <w:b w:val="false"/>
          <w:bCs w:val="false"/>
          <w:i w:val="false"/>
          <w:i w:val="false"/>
          <w:iCs w:val="false"/>
          <w:color w:val="333333"/>
          <w:sz w:val="20"/>
          <w:sz w:val="20"/>
          <w:szCs w:val="20"/>
          <w:rtl w:val="true"/>
        </w:rPr>
        <w:t>، باب القضاء في قتیل الزحام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المقتول لا يدری من قتله، 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المقتول لا یدری من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204/804</w:t>
      </w:r>
      <w:r>
        <w:rPr>
          <w:rFonts w:ascii="IRNazanin" w:hAnsi="IRNazanin" w:eastAsia="IRNazanin"/>
          <w:b w:val="false"/>
          <w:b w:val="false"/>
          <w:bCs w:val="false"/>
          <w:i w:val="false"/>
          <w:i w:val="false"/>
          <w:iCs w:val="false"/>
          <w:color w:val="333333"/>
          <w:sz w:val="20"/>
          <w:sz w:val="20"/>
          <w:szCs w:val="20"/>
          <w:rtl w:val="true"/>
        </w:rPr>
        <w:t>، باب القضاء في قتیل الزحام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المقتول لا یدری من قتله،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202/799</w:t>
      </w:r>
      <w:r>
        <w:rPr>
          <w:rFonts w:ascii="IRNazanin" w:hAnsi="IRNazanin" w:eastAsia="IRNazanin"/>
          <w:b w:val="false"/>
          <w:b w:val="false"/>
          <w:bCs w:val="false"/>
          <w:i w:val="false"/>
          <w:i w:val="false"/>
          <w:iCs w:val="false"/>
          <w:color w:val="333333"/>
          <w:sz w:val="20"/>
          <w:sz w:val="20"/>
          <w:szCs w:val="20"/>
          <w:rtl w:val="true"/>
        </w:rPr>
        <w:t xml:space="preserve">، باب القضاء في قتیل الزحام،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فصل، ذكر القسامة، الحديث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كتاب القسامة، الحدیث </w:t>
      </w:r>
      <w:r>
        <w:rPr>
          <w:rFonts w:eastAsia="IRNazanin" w:cs="IRNazanin"/>
          <w:b w:val="false"/>
          <w:bCs w:val="false"/>
          <w:i w:val="false"/>
          <w:iCs w:val="false"/>
          <w:color w:val="333333"/>
          <w:sz w:val="20"/>
          <w:szCs w:val="20"/>
        </w:rPr>
        <w:t>16898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206/812</w:t>
      </w:r>
      <w:r>
        <w:rPr>
          <w:rFonts w:ascii="IRNazanin" w:hAnsi="IRNazanin" w:eastAsia="IRNazanin"/>
          <w:b w:val="false"/>
          <w:b w:val="false"/>
          <w:bCs w:val="false"/>
          <w:i w:val="false"/>
          <w:i w:val="false"/>
          <w:iCs w:val="false"/>
          <w:color w:val="333333"/>
          <w:sz w:val="20"/>
          <w:sz w:val="20"/>
          <w:szCs w:val="20"/>
          <w:rtl w:val="true"/>
        </w:rPr>
        <w:t>، باب القضاء في قتیل الزحام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278/1054</w:t>
      </w:r>
      <w:r>
        <w:rPr>
          <w:rFonts w:ascii="IRNazanin" w:hAnsi="IRNazanin" w:eastAsia="IRNazanin"/>
          <w:b w:val="false"/>
          <w:b w:val="false"/>
          <w:bCs w:val="false"/>
          <w:i w:val="false"/>
          <w:i w:val="false"/>
          <w:iCs w:val="false"/>
          <w:color w:val="333333"/>
          <w:sz w:val="20"/>
          <w:sz w:val="20"/>
          <w:szCs w:val="20"/>
          <w:rtl w:val="true"/>
        </w:rPr>
        <w:t xml:space="preserve">، باب المقتول یوجد في قبیلة أو قریة،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بين أئمّة السلف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فتاوى ابن الجنيد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168/667</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169/668</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54/194</w:t>
      </w:r>
      <w:r>
        <w:rPr>
          <w:rFonts w:ascii="IRNazanin" w:hAnsi="IRNazanin" w:eastAsia="IRNazanin"/>
          <w:b w:val="false"/>
          <w:b w:val="false"/>
          <w:bCs w:val="false"/>
          <w:i w:val="false"/>
          <w:i w:val="false"/>
          <w:iCs w:val="false"/>
          <w:color w:val="333333"/>
          <w:sz w:val="20"/>
          <w:sz w:val="20"/>
          <w:szCs w:val="20"/>
          <w:rtl w:val="true"/>
        </w:rPr>
        <w:t>، باب دية جوارح الإنسان ومفاصله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أبي عمر الطبیب</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في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حسین الرواسي عن ابن أبي عمر الطبیب</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166/661</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166/662</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206/812</w:t>
      </w:r>
      <w:r>
        <w:rPr>
          <w:rFonts w:ascii="IRNazanin" w:hAnsi="IRNazanin" w:eastAsia="IRNazanin"/>
          <w:b w:val="false"/>
          <w:b w:val="false"/>
          <w:bCs w:val="false"/>
          <w:i w:val="false"/>
          <w:i w:val="false"/>
          <w:iCs w:val="false"/>
          <w:color w:val="333333"/>
          <w:sz w:val="20"/>
          <w:sz w:val="20"/>
          <w:szCs w:val="20"/>
          <w:rtl w:val="true"/>
        </w:rPr>
        <w:t>، باب القضاء في قتیل الزحام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278/1054</w:t>
      </w:r>
      <w:r>
        <w:rPr>
          <w:rFonts w:ascii="IRNazanin" w:hAnsi="IRNazanin" w:eastAsia="IRNazanin"/>
          <w:b w:val="false"/>
          <w:b w:val="false"/>
          <w:bCs w:val="false"/>
          <w:i w:val="false"/>
          <w:i w:val="false"/>
          <w:iCs w:val="false"/>
          <w:color w:val="333333"/>
          <w:sz w:val="20"/>
          <w:sz w:val="20"/>
          <w:szCs w:val="20"/>
          <w:rtl w:val="true"/>
        </w:rPr>
        <w:t xml:space="preserve">، باب المقتول یوجد في قبیلة أو قریة،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168/665</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کتاب القسامة، الحدیث </w:t>
      </w:r>
      <w:r>
        <w:rPr>
          <w:rFonts w:eastAsia="IRNazanin" w:cs="IRNazanin"/>
          <w:b w:val="false"/>
          <w:bCs w:val="false"/>
          <w:i w:val="false"/>
          <w:iCs w:val="false"/>
          <w:color w:val="333333"/>
          <w:sz w:val="20"/>
          <w:szCs w:val="20"/>
        </w:rPr>
        <w:t>16898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166/662</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166/661</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206/812</w:t>
      </w:r>
      <w:r>
        <w:rPr>
          <w:rFonts w:ascii="IRNazanin" w:hAnsi="IRNazanin" w:eastAsia="IRNazanin"/>
          <w:b w:val="false"/>
          <w:b w:val="false"/>
          <w:bCs w:val="false"/>
          <w:i w:val="false"/>
          <w:i w:val="false"/>
          <w:iCs w:val="false"/>
          <w:color w:val="333333"/>
          <w:sz w:val="20"/>
          <w:sz w:val="20"/>
          <w:szCs w:val="20"/>
          <w:rtl w:val="true"/>
        </w:rPr>
        <w:t>، باب القضاء في قتیل الزحام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278/1054</w:t>
      </w:r>
      <w:r>
        <w:rPr>
          <w:rFonts w:ascii="IRNazanin" w:hAnsi="IRNazanin" w:eastAsia="IRNazanin"/>
          <w:b w:val="false"/>
          <w:b w:val="false"/>
          <w:bCs w:val="false"/>
          <w:i w:val="false"/>
          <w:i w:val="false"/>
          <w:iCs w:val="false"/>
          <w:color w:val="333333"/>
          <w:sz w:val="20"/>
          <w:sz w:val="20"/>
          <w:szCs w:val="20"/>
          <w:rtl w:val="true"/>
        </w:rPr>
        <w:t xml:space="preserve">، باب المقتول یوجد في قبیلة أو قریة،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موارد حلف المدّعي نحو ردّ المنكر اليمين عليه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هي جلّها،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منحصرة في صحيح مسعدة بن زياد، وقد مرّت تخریجها في الصفحه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وخبر عليّ بن فضيل في المصدر أعلاه،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74/225</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166/661</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73/223</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167/663</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في خبر أبي بصير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كتاب القسامة، الحدیث </w:t>
      </w:r>
      <w:r>
        <w:rPr>
          <w:rFonts w:eastAsia="IRNazanin" w:cs="IRNazanin"/>
          <w:b w:val="false"/>
          <w:bCs w:val="false"/>
          <w:i w:val="false"/>
          <w:iCs w:val="false"/>
          <w:color w:val="333333"/>
          <w:sz w:val="20"/>
          <w:szCs w:val="20"/>
        </w:rPr>
        <w:t>16898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168/665</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166/661</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206/811</w:t>
      </w:r>
      <w:r>
        <w:rPr>
          <w:rFonts w:ascii="IRNazanin" w:hAnsi="IRNazanin" w:eastAsia="IRNazanin"/>
          <w:b w:val="false"/>
          <w:b w:val="false"/>
          <w:bCs w:val="false"/>
          <w:i w:val="false"/>
          <w:i w:val="false"/>
          <w:iCs w:val="false"/>
          <w:color w:val="333333"/>
          <w:sz w:val="20"/>
          <w:sz w:val="20"/>
          <w:szCs w:val="20"/>
          <w:rtl w:val="true"/>
        </w:rPr>
        <w:t>، باب القضاء في قتیل الزحام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278/1053</w:t>
      </w:r>
      <w:r>
        <w:rPr>
          <w:rFonts w:ascii="IRNazanin" w:hAnsi="IRNazanin" w:eastAsia="IRNazanin"/>
          <w:b w:val="false"/>
          <w:b w:val="false"/>
          <w:bCs w:val="false"/>
          <w:i w:val="false"/>
          <w:i w:val="false"/>
          <w:iCs w:val="false"/>
          <w:color w:val="333333"/>
          <w:sz w:val="20"/>
          <w:sz w:val="20"/>
          <w:szCs w:val="20"/>
          <w:rtl w:val="true"/>
        </w:rPr>
        <w:t xml:space="preserve">، باب المقتول یوجد في قبیلة أو قریة،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ثانيها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ثالثها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القسامة،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169/668</w:t>
      </w:r>
      <w:r>
        <w:rPr>
          <w:rFonts w:ascii="IRNazanin" w:hAnsi="IRNazanin" w:eastAsia="IRNazanin"/>
          <w:b w:val="false"/>
          <w:b w:val="false"/>
          <w:bCs w:val="false"/>
          <w:i w:val="false"/>
          <w:i w:val="false"/>
          <w:iCs w:val="false"/>
          <w:color w:val="333333"/>
          <w:sz w:val="20"/>
          <w:sz w:val="20"/>
          <w:szCs w:val="20"/>
          <w:rtl w:val="true"/>
        </w:rPr>
        <w:t xml:space="preserve">، باب البيّنات علی القتل،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54/194</w:t>
      </w:r>
      <w:r>
        <w:rPr>
          <w:rFonts w:ascii="IRNazanin" w:hAnsi="IRNazanin" w:eastAsia="IRNazanin"/>
          <w:b w:val="false"/>
          <w:b w:val="false"/>
          <w:bCs w:val="false"/>
          <w:i w:val="false"/>
          <w:i w:val="false"/>
          <w:iCs w:val="false"/>
          <w:color w:val="333333"/>
          <w:sz w:val="20"/>
          <w:sz w:val="20"/>
          <w:szCs w:val="20"/>
          <w:rtl w:val="true"/>
        </w:rPr>
        <w:t>، باب دية جوارح الإنسان ومفاصله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169/668</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القسامة، 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حفيده في الإیضاح الهامش السابق</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کالصیمري في غایة المرام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المسبوط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الصفحة السابقة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کتاب العلل، الحدیث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166/662</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73/223</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167/663</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المحكيّ عنه في 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175/684</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262/987</w:t>
      </w:r>
      <w:r>
        <w:rPr>
          <w:rFonts w:ascii="IRNazanin" w:hAnsi="IRNazanin" w:eastAsia="IRNazanin"/>
          <w:b w:val="false"/>
          <w:b w:val="false"/>
          <w:bCs w:val="false"/>
          <w:i w:val="false"/>
          <w:i w:val="false"/>
          <w:iCs w:val="false"/>
          <w:color w:val="333333"/>
          <w:sz w:val="20"/>
          <w:sz w:val="20"/>
          <w:szCs w:val="20"/>
          <w:rtl w:val="true"/>
        </w:rPr>
        <w:t>، باب أنّه لا یجب علی العاقلة 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107/359</w:t>
      </w:r>
      <w:r>
        <w:rPr>
          <w:rFonts w:ascii="IRNazanin" w:hAnsi="IRNazanin" w:eastAsia="IRNazanin"/>
          <w:b w:val="false"/>
          <w:b w:val="false"/>
          <w:bCs w:val="false"/>
          <w:i w:val="false"/>
          <w:i w:val="false"/>
          <w:iCs w:val="false"/>
          <w:color w:val="333333"/>
          <w:sz w:val="20"/>
          <w:sz w:val="20"/>
          <w:szCs w:val="20"/>
          <w:rtl w:val="true"/>
        </w:rPr>
        <w:t>، باب ما جاء في رجل ضرب 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العاقلة،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في كتبه، لكن نقله عنه في غاية المراد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کتاب في الاستقراض، باب الصلاه علی من ترك دیناً، الرقم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مسند أبي هریرة، الرقم</w:t>
      </w:r>
      <w:r>
        <w:rPr>
          <w:rFonts w:eastAsia="IRNazanin" w:cs="IRNazanin"/>
          <w:b w:val="false"/>
          <w:bCs w:val="false"/>
          <w:i w:val="false"/>
          <w:iCs w:val="false"/>
          <w:color w:val="333333"/>
          <w:sz w:val="20"/>
          <w:szCs w:val="20"/>
        </w:rPr>
        <w:t>9882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مسند الشامیین، الرقم </w:t>
      </w:r>
      <w:r>
        <w:rPr>
          <w:rFonts w:eastAsia="IRNazanin" w:cs="IRNazanin"/>
          <w:b w:val="false"/>
          <w:bCs w:val="false"/>
          <w:i w:val="false"/>
          <w:iCs w:val="false"/>
          <w:color w:val="333333"/>
          <w:sz w:val="20"/>
          <w:szCs w:val="20"/>
        </w:rPr>
        <w:t>17199</w:t>
      </w:r>
      <w:r>
        <w:rPr>
          <w:rFonts w:ascii="IRNazanin" w:hAnsi="IRNazanin" w:eastAsia="IRNazanin"/>
          <w:b w:val="false"/>
          <w:b w:val="false"/>
          <w:bCs w:val="false"/>
          <w:i w:val="false"/>
          <w:i w:val="false"/>
          <w:iCs w:val="false"/>
          <w:color w:val="333333"/>
          <w:sz w:val="20"/>
          <w:sz w:val="20"/>
          <w:szCs w:val="20"/>
          <w:rtl w:val="true"/>
        </w:rPr>
        <w:t>، مع اختلاف في ألفاظ الحديث، أمّا نصّ الحديث، فلم أجده في كتب العامّة والخاصّة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ترك مالاً فللوارث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فلورثته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کتاب الفرائض والمواريث، أبواب ولاء ضمان الجريرة والإمامة،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وراجع أيضاً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254/818</w:t>
      </w:r>
      <w:r>
        <w:rPr>
          <w:rFonts w:ascii="IRNazanin" w:hAnsi="IRNazanin" w:eastAsia="IRNazanin"/>
          <w:b w:val="false"/>
          <w:b w:val="false"/>
          <w:bCs w:val="false"/>
          <w:i w:val="false"/>
          <w:i w:val="false"/>
          <w:iCs w:val="false"/>
          <w:color w:val="333333"/>
          <w:sz w:val="20"/>
          <w:sz w:val="20"/>
          <w:szCs w:val="20"/>
          <w:rtl w:val="true"/>
        </w:rPr>
        <w:t xml:space="preserve">، باب نوادر المواريث،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باب ما یجب من حقّ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240/955</w:t>
      </w:r>
      <w:r>
        <w:rPr>
          <w:rFonts w:ascii="IRNazanin" w:hAnsi="IRNazanin" w:eastAsia="IRNazanin"/>
          <w:b w:val="false"/>
          <w:b w:val="false"/>
          <w:bCs w:val="false"/>
          <w:i w:val="false"/>
          <w:i w:val="false"/>
          <w:iCs w:val="false"/>
          <w:color w:val="333333"/>
          <w:sz w:val="20"/>
          <w:sz w:val="20"/>
          <w:szCs w:val="20"/>
          <w:rtl w:val="true"/>
        </w:rPr>
        <w:t xml:space="preserve">، باب الاشتراك في الجنایات،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87/280</w:t>
      </w:r>
      <w:r>
        <w:rPr>
          <w:rFonts w:ascii="IRNazanin" w:hAnsi="IRNazanin" w:eastAsia="IRNazanin"/>
          <w:b w:val="false"/>
          <w:b w:val="false"/>
          <w:bCs w:val="false"/>
          <w:i w:val="false"/>
          <w:i w:val="false"/>
          <w:iCs w:val="false"/>
          <w:color w:val="333333"/>
          <w:sz w:val="20"/>
          <w:sz w:val="20"/>
          <w:szCs w:val="20"/>
          <w:rtl w:val="true"/>
        </w:rPr>
        <w:t>، باب حکم الرجل یقتل الرجلین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موجبات الضمان،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النوادر،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كيفيّة الحكم وأحکام الدعوی،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كتاب آداب القضاة، الحديث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کیفیّة الحکم،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175/683</w:t>
      </w:r>
      <w:r>
        <w:rPr>
          <w:rFonts w:ascii="IRNazanin" w:hAnsi="IRNazanin" w:eastAsia="IRNazanin"/>
          <w:b w:val="false"/>
          <w:b w:val="false"/>
          <w:bCs w:val="false"/>
          <w:i w:val="false"/>
          <w:i w:val="false"/>
          <w:iCs w:val="false"/>
          <w:color w:val="333333"/>
          <w:sz w:val="20"/>
          <w:sz w:val="20"/>
          <w:szCs w:val="20"/>
          <w:rtl w:val="true"/>
        </w:rPr>
        <w:t xml:space="preserve">، باب البيّنات علی القتل، الحديث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وورد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النوادر،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174/683</w:t>
      </w:r>
      <w:r>
        <w:rPr>
          <w:rFonts w:ascii="IRNazanin" w:hAnsi="IRNazanin" w:eastAsia="IRNazanin"/>
          <w:b w:val="false"/>
          <w:b w:val="false"/>
          <w:bCs w:val="false"/>
          <w:i w:val="false"/>
          <w:i w:val="false"/>
          <w:iCs w:val="false"/>
          <w:color w:val="333333"/>
          <w:sz w:val="20"/>
          <w:sz w:val="20"/>
          <w:szCs w:val="20"/>
          <w:rtl w:val="true"/>
        </w:rPr>
        <w:t xml:space="preserve">، باب البیّنات علی القتل،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312/1164</w:t>
      </w:r>
      <w:r>
        <w:rPr>
          <w:rFonts w:ascii="IRNazanin" w:hAnsi="IRNazanin" w:eastAsia="IRNazanin"/>
          <w:b w:val="false"/>
          <w:b w:val="false"/>
          <w:bCs w:val="false"/>
          <w:i w:val="false"/>
          <w:i w:val="false"/>
          <w:iCs w:val="false"/>
          <w:color w:val="333333"/>
          <w:sz w:val="20"/>
          <w:sz w:val="20"/>
          <w:szCs w:val="20"/>
          <w:rtl w:val="true"/>
        </w:rPr>
        <w:t xml:space="preserve">، باب من الزیادات،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النوادر،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وابن حمزة في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حبس ثلاثة أیّام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غایة المراد في شرح نکت الإرشاد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في الریاض علی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الشهرة به عظیمة کادت تکون إجماعاً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لم نقف فیه علی عبارة التي تشیر به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الفصل الاوّل في أقسام القتل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159/638</w:t>
      </w:r>
      <w:r>
        <w:rPr>
          <w:rFonts w:ascii="IRNazanin" w:hAnsi="IRNazanin" w:eastAsia="IRNazanin"/>
          <w:b w:val="false"/>
          <w:b w:val="false"/>
          <w:bCs w:val="false"/>
          <w:i w:val="false"/>
          <w:i w:val="false"/>
          <w:iCs w:val="false"/>
          <w:color w:val="333333"/>
          <w:sz w:val="20"/>
          <w:sz w:val="20"/>
          <w:szCs w:val="20"/>
          <w:rtl w:val="true"/>
        </w:rPr>
        <w:t xml:space="preserve">، باب القضایا في الدیات والقصاص، 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261/980</w:t>
      </w:r>
      <w:r>
        <w:rPr>
          <w:rFonts w:ascii="IRNazanin" w:hAnsi="IRNazanin" w:eastAsia="IRNazanin"/>
          <w:b w:val="false"/>
          <w:b w:val="false"/>
          <w:bCs w:val="false"/>
          <w:i w:val="false"/>
          <w:i w:val="false"/>
          <w:iCs w:val="false"/>
          <w:color w:val="333333"/>
          <w:sz w:val="20"/>
          <w:sz w:val="20"/>
          <w:szCs w:val="20"/>
          <w:rtl w:val="true"/>
        </w:rPr>
        <w:t>، باب أنّه لا یجب علی العاقلة عمد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النفس،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كتاب الجنايات، باب الخيار في القصاص، الحديث </w:t>
      </w:r>
      <w:r>
        <w:rPr>
          <w:rFonts w:eastAsia="IRNazanin" w:cs="IRNazanin"/>
          <w:b w:val="false"/>
          <w:bCs w:val="false"/>
          <w:i w:val="false"/>
          <w:iCs w:val="false"/>
          <w:color w:val="333333"/>
          <w:sz w:val="20"/>
          <w:szCs w:val="20"/>
        </w:rPr>
        <w:t>16472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16473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كتاب الجنايات، باب الخيار في القصاص، الحديث </w:t>
      </w:r>
      <w:r>
        <w:rPr>
          <w:rFonts w:eastAsia="IRNazanin" w:cs="IRNazanin"/>
          <w:b w:val="false"/>
          <w:bCs w:val="false"/>
          <w:i w:val="false"/>
          <w:iCs w:val="false"/>
          <w:color w:val="333333"/>
          <w:sz w:val="20"/>
          <w:szCs w:val="20"/>
        </w:rPr>
        <w:t>16469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247/977</w:t>
      </w:r>
      <w:r>
        <w:rPr>
          <w:rFonts w:ascii="IRNazanin" w:hAnsi="IRNazanin" w:eastAsia="IRNazanin"/>
          <w:b w:val="false"/>
          <w:b w:val="false"/>
          <w:bCs w:val="false"/>
          <w:i w:val="false"/>
          <w:i w:val="false"/>
          <w:iCs w:val="false"/>
          <w:color w:val="333333"/>
          <w:sz w:val="20"/>
          <w:sz w:val="20"/>
          <w:szCs w:val="20"/>
          <w:rtl w:val="true"/>
        </w:rPr>
        <w:t>، باب دیات الأعضاء والجوارح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158/634</w:t>
      </w:r>
      <w:r>
        <w:rPr>
          <w:rFonts w:ascii="IRNazanin" w:hAnsi="IRNazanin" w:eastAsia="IRNazanin"/>
          <w:b w:val="false"/>
          <w:b w:val="false"/>
          <w:bCs w:val="false"/>
          <w:i w:val="false"/>
          <w:i w:val="false"/>
          <w:iCs w:val="false"/>
          <w:color w:val="333333"/>
          <w:sz w:val="20"/>
          <w:sz w:val="20"/>
          <w:szCs w:val="20"/>
          <w:rtl w:val="true"/>
        </w:rPr>
        <w:t xml:space="preserve">، باب القضایا في الدیات والقصاص، 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258/974</w:t>
      </w:r>
      <w:r>
        <w:rPr>
          <w:rFonts w:ascii="IRNazanin" w:hAnsi="IRNazanin" w:eastAsia="IRNazanin"/>
          <w:b w:val="false"/>
          <w:b w:val="false"/>
          <w:bCs w:val="false"/>
          <w:i w:val="false"/>
          <w:i w:val="false"/>
          <w:iCs w:val="false"/>
          <w:color w:val="333333"/>
          <w:sz w:val="20"/>
          <w:sz w:val="20"/>
          <w:szCs w:val="20"/>
          <w:rtl w:val="true"/>
        </w:rPr>
        <w:t xml:space="preserve">، کتاب الدیات باب مقدار الدیة،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الدیة في قتل العمد والخطأ،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النفس،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بل وجدتُ في السرائرخلافه؛ السرائر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الألف على وزن عِلْم بمعنى المحبّة والاُلفة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الجماعة یجتمعون علی قتل واحد،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217/755</w:t>
      </w:r>
      <w:r>
        <w:rPr>
          <w:rFonts w:ascii="IRNazanin" w:hAnsi="IRNazanin" w:eastAsia="IRNazanin"/>
          <w:b w:val="false"/>
          <w:b w:val="false"/>
          <w:bCs w:val="false"/>
          <w:i w:val="false"/>
          <w:i w:val="false"/>
          <w:iCs w:val="false"/>
          <w:color w:val="333333"/>
          <w:sz w:val="20"/>
          <w:sz w:val="20"/>
          <w:szCs w:val="20"/>
          <w:rtl w:val="true"/>
        </w:rPr>
        <w:t>، باب الاثنین إذا قتلاً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281/1065</w:t>
      </w:r>
      <w:r>
        <w:rPr>
          <w:rFonts w:ascii="IRNazanin" w:hAnsi="IRNazanin" w:eastAsia="IRNazanin"/>
          <w:b w:val="false"/>
          <w:b w:val="false"/>
          <w:bCs w:val="false"/>
          <w:i w:val="false"/>
          <w:i w:val="false"/>
          <w:iCs w:val="false"/>
          <w:color w:val="333333"/>
          <w:sz w:val="20"/>
          <w:sz w:val="20"/>
          <w:szCs w:val="20"/>
          <w:rtl w:val="true"/>
        </w:rPr>
        <w:t>، باب جواز قتل الاثنین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82/261</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الدیة، الحدیث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باب الجماعة یجتعمون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116/403</w:t>
      </w:r>
      <w:r>
        <w:rPr>
          <w:rFonts w:ascii="IRNazanin" w:hAnsi="IRNazanin" w:eastAsia="IRNazanin"/>
          <w:b w:val="false"/>
          <w:b w:val="false"/>
          <w:bCs w:val="false"/>
          <w:i w:val="false"/>
          <w:i w:val="false"/>
          <w:iCs w:val="false"/>
          <w:color w:val="333333"/>
          <w:sz w:val="20"/>
          <w:sz w:val="20"/>
          <w:szCs w:val="20"/>
          <w:rtl w:val="true"/>
        </w:rPr>
        <w:t>، باب ما جاء في رجلین اجتمعا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262/988</w:t>
      </w:r>
      <w:r>
        <w:rPr>
          <w:rFonts w:ascii="IRNazanin" w:hAnsi="IRNazanin" w:eastAsia="IRNazanin"/>
          <w:b w:val="false"/>
          <w:b w:val="false"/>
          <w:bCs w:val="false"/>
          <w:i w:val="false"/>
          <w:i w:val="false"/>
          <w:iCs w:val="false"/>
          <w:color w:val="333333"/>
          <w:sz w:val="20"/>
          <w:sz w:val="20"/>
          <w:szCs w:val="20"/>
          <w:rtl w:val="true"/>
        </w:rPr>
        <w:t xml:space="preserve">، باب أنّه لیس للنساء عفو ولا قود،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وفي 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397/1418</w:t>
      </w:r>
      <w:r>
        <w:rPr>
          <w:rFonts w:ascii="IRNazanin" w:hAnsi="IRNazanin" w:eastAsia="IRNazanin"/>
          <w:b w:val="false"/>
          <w:b w:val="false"/>
          <w:bCs w:val="false"/>
          <w:i w:val="false"/>
          <w:i w:val="false"/>
          <w:iCs w:val="false"/>
          <w:color w:val="333333"/>
          <w:sz w:val="20"/>
          <w:sz w:val="20"/>
          <w:szCs w:val="20"/>
          <w:rtl w:val="true"/>
        </w:rPr>
        <w:t xml:space="preserve">، باب من الزیادات، الحدیث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حكى عنه في مفتاح الكرامة، تعلیقات علی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 في 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ولكن نسب عدم إرث النساء للقود إلى جماعة من أصحابنا، وقوّى هو التوريث، ولازمه جواز عفوهنّ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177/692</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الأولياء،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262/988</w:t>
      </w:r>
      <w:r>
        <w:rPr>
          <w:rFonts w:ascii="IRNazanin" w:hAnsi="IRNazanin" w:eastAsia="IRNazanin"/>
          <w:b w:val="false"/>
          <w:b w:val="false"/>
          <w:bCs w:val="false"/>
          <w:i w:val="false"/>
          <w:i w:val="false"/>
          <w:iCs w:val="false"/>
          <w:color w:val="333333"/>
          <w:sz w:val="20"/>
          <w:sz w:val="20"/>
          <w:szCs w:val="20"/>
          <w:rtl w:val="true"/>
        </w:rPr>
        <w:t xml:space="preserve">، باب أنّه لیس للنساء عفو ولا قود،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الإيجاز في الفرائض والمواریث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فصل فيمن یرث الدیة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کشف اللثام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الحسین بن فضّال، ولکن في الروایة علي بن الحسن بن فضّال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397/1418</w:t>
      </w:r>
      <w:r>
        <w:rPr>
          <w:rFonts w:ascii="IRNazanin" w:hAnsi="IRNazanin" w:eastAsia="IRNazanin"/>
          <w:b w:val="false"/>
          <w:b w:val="false"/>
          <w:bCs w:val="false"/>
          <w:i w:val="false"/>
          <w:i w:val="false"/>
          <w:iCs w:val="false"/>
          <w:color w:val="333333"/>
          <w:sz w:val="20"/>
          <w:sz w:val="20"/>
          <w:szCs w:val="20"/>
          <w:rtl w:val="true"/>
        </w:rPr>
        <w:t xml:space="preserve">، باب من الزیادات، الحدیث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262/988</w:t>
      </w:r>
      <w:r>
        <w:rPr>
          <w:rFonts w:ascii="IRNazanin" w:hAnsi="IRNazanin" w:eastAsia="IRNazanin"/>
          <w:b w:val="false"/>
          <w:b w:val="false"/>
          <w:bCs w:val="false"/>
          <w:i w:val="false"/>
          <w:i w:val="false"/>
          <w:iCs w:val="false"/>
          <w:color w:val="333333"/>
          <w:sz w:val="20"/>
          <w:sz w:val="20"/>
          <w:szCs w:val="20"/>
          <w:rtl w:val="true"/>
        </w:rPr>
        <w:t xml:space="preserve">، باب أنّه لیس للنساء عفو ولا قود،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تفاوت في الراوي وبعض الألفاظ؛ 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باب الرجل یقتل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الفرائض والمواريث، أبواب موجبات الإرث،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کتاب الفرائض والمواريث، أبواب موجبات الإرث،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باب القصاص،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آنفاً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مجالسة أهل المعاصی،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والنهي عن المنکر، أبواب الأمر والنهي،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كتاب الجنايات، باب يحفظ الإمام سيفه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ذیل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عن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آبائه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ذبح ذبيحة فليحدّ شفرته وليرح ذبيحته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المحكيّ عنه في 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وفي 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فتاوى ابن الجنيد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وصیّة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الاختصاص،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في فضائل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ابن دأب؛ 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النوادر،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قتل العمد وشبه العمد والخطأ،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157/630</w:t>
      </w:r>
      <w:r>
        <w:rPr>
          <w:rFonts w:ascii="IRNazanin" w:hAnsi="IRNazanin" w:eastAsia="IRNazanin"/>
          <w:b w:val="false"/>
          <w:b w:val="false"/>
          <w:bCs w:val="false"/>
          <w:i w:val="false"/>
          <w:i w:val="false"/>
          <w:iCs w:val="false"/>
          <w:color w:val="333333"/>
          <w:sz w:val="20"/>
          <w:sz w:val="20"/>
          <w:szCs w:val="20"/>
          <w:rtl w:val="true"/>
        </w:rPr>
        <w:t xml:space="preserve">، باب القضایا في الدیات والقصاص،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157/632</w:t>
      </w:r>
      <w:r>
        <w:rPr>
          <w:rFonts w:ascii="IRNazanin" w:hAnsi="IRNazanin" w:eastAsia="IRNazanin"/>
          <w:b w:val="false"/>
          <w:b w:val="false"/>
          <w:bCs w:val="false"/>
          <w:i w:val="false"/>
          <w:i w:val="false"/>
          <w:iCs w:val="false"/>
          <w:color w:val="333333"/>
          <w:sz w:val="20"/>
          <w:sz w:val="20"/>
          <w:szCs w:val="20"/>
          <w:rtl w:val="true"/>
        </w:rPr>
        <w:t xml:space="preserve">، باب القضایا في الدیات والقصاص،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77/238</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الدیة،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97/322</w:t>
      </w:r>
      <w:r>
        <w:rPr>
          <w:rFonts w:ascii="IRNazanin" w:hAnsi="IRNazanin" w:eastAsia="IRNazanin"/>
          <w:b w:val="false"/>
          <w:b w:val="false"/>
          <w:bCs w:val="false"/>
          <w:i w:val="false"/>
          <w:i w:val="false"/>
          <w:iCs w:val="false"/>
          <w:color w:val="333333"/>
          <w:sz w:val="20"/>
          <w:sz w:val="20"/>
          <w:szCs w:val="20"/>
          <w:rtl w:val="true"/>
        </w:rPr>
        <w:t>، باب ما یجب فيه الدیة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قتل العمد وشبه العمد والخظأ،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157/629</w:t>
      </w:r>
      <w:r>
        <w:rPr>
          <w:rFonts w:ascii="IRNazanin" w:hAnsi="IRNazanin" w:eastAsia="IRNazanin"/>
          <w:b w:val="false"/>
          <w:b w:val="false"/>
          <w:bCs w:val="false"/>
          <w:i w:val="false"/>
          <w:i w:val="false"/>
          <w:iCs w:val="false"/>
          <w:color w:val="333333"/>
          <w:sz w:val="20"/>
          <w:sz w:val="20"/>
          <w:szCs w:val="20"/>
          <w:rtl w:val="true"/>
        </w:rPr>
        <w:t xml:space="preserve">، باب القضایا في الدیات والقصاص،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الدية في قتل العمد والخطأ، ذيل الحديث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عمد القتل بالحجر، ذيل الرقم </w:t>
      </w:r>
      <w:r>
        <w:rPr>
          <w:rFonts w:eastAsia="IRNazanin" w:cs="IRNazanin"/>
          <w:b w:val="false"/>
          <w:bCs w:val="false"/>
          <w:i w:val="false"/>
          <w:iCs w:val="false"/>
          <w:color w:val="333333"/>
          <w:sz w:val="20"/>
          <w:szCs w:val="20"/>
        </w:rPr>
        <w:t>16424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عمد القتل بالحجر، الرقم </w:t>
      </w:r>
      <w:r>
        <w:rPr>
          <w:rFonts w:eastAsia="IRNazanin" w:cs="IRNazanin"/>
          <w:b w:val="false"/>
          <w:bCs w:val="false"/>
          <w:i w:val="false"/>
          <w:iCs w:val="false"/>
          <w:color w:val="333333"/>
          <w:sz w:val="20"/>
          <w:szCs w:val="20"/>
        </w:rPr>
        <w:t>16412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 السابقة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 الصفحة السابقة</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Pr>
        <w:t>108:20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كتاب الجنايات، باب استيفاء القصاص؛ الحاوي الكبير</w:t>
      </w:r>
      <w:r>
        <w:rPr>
          <w:rFonts w:eastAsia="IRNazanin" w:cs="IRNazanin"/>
          <w:b w:val="false"/>
          <w:bCs w:val="false"/>
          <w:i w:val="false"/>
          <w:iCs w:val="false"/>
          <w:color w:val="333333"/>
          <w:sz w:val="20"/>
          <w:szCs w:val="20"/>
        </w:rPr>
        <w:t>140:12</w:t>
      </w:r>
      <w:r>
        <w:rPr>
          <w:rFonts w:ascii="IRNazanin" w:hAnsi="IRNazanin" w:eastAsia="IRNazanin"/>
          <w:b w:val="false"/>
          <w:b w:val="false"/>
          <w:bCs w:val="false"/>
          <w:i w:val="false"/>
          <w:i w:val="false"/>
          <w:iCs w:val="false"/>
          <w:color w:val="333333"/>
          <w:sz w:val="20"/>
          <w:sz w:val="20"/>
          <w:szCs w:val="20"/>
          <w:rtl w:val="true"/>
        </w:rPr>
        <w:t>، كتاب القتل، باب القصاص بغير السيف</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عبارة المبسوط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یعطی الذی یقیم الحدود ویقتصّ للناس من بیت المال أرزاقهم عندنا وعند جماعة، وإن لم یکن بیت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الأُجرة علی المقتصّ منه عند قوم وقال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أُجرة القصاص علی المقتصّ المستوفی دون المستوفی منه وهو الأقوی</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المحكيّ عنه في 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أُجرة من یقیم الحدود ویقتصّ للناس من بیت المال وقال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المقتصّی منه الأُجرة وقال أبو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المقتصّ، المستوفي دون المستوفی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دلیلنا إجماع الفرقه وأخبارهم ولأنّ الأصل براءة الذمّة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206/813</w:t>
      </w:r>
      <w:r>
        <w:rPr>
          <w:rFonts w:ascii="IRNazanin" w:hAnsi="IRNazanin" w:eastAsia="IRNazanin"/>
          <w:b w:val="false"/>
          <w:b w:val="false"/>
          <w:bCs w:val="false"/>
          <w:i w:val="false"/>
          <w:i w:val="false"/>
          <w:iCs w:val="false"/>
          <w:color w:val="333333"/>
          <w:sz w:val="20"/>
          <w:sz w:val="20"/>
          <w:szCs w:val="20"/>
          <w:rtl w:val="true"/>
        </w:rPr>
        <w:t>، باب القضاء في قتیل الزحام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278/1055</w:t>
      </w:r>
      <w:r>
        <w:rPr>
          <w:rFonts w:ascii="IRNazanin" w:hAnsi="IRNazanin" w:eastAsia="IRNazanin"/>
          <w:b w:val="false"/>
          <w:b w:val="false"/>
          <w:bCs w:val="false"/>
          <w:i w:val="false"/>
          <w:i w:val="false"/>
          <w:iCs w:val="false"/>
          <w:color w:val="333333"/>
          <w:sz w:val="20"/>
          <w:sz w:val="20"/>
          <w:szCs w:val="20"/>
          <w:rtl w:val="true"/>
        </w:rPr>
        <w:t xml:space="preserve">، باب من قتله الحدّ،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212/838</w:t>
      </w:r>
      <w:r>
        <w:rPr>
          <w:rFonts w:ascii="IRNazanin" w:hAnsi="IRNazanin" w:eastAsia="IRNazanin"/>
          <w:b w:val="false"/>
          <w:b w:val="false"/>
          <w:bCs w:val="false"/>
          <w:i w:val="false"/>
          <w:i w:val="false"/>
          <w:iCs w:val="false"/>
          <w:color w:val="333333"/>
          <w:sz w:val="20"/>
          <w:sz w:val="20"/>
          <w:szCs w:val="20"/>
          <w:rtl w:val="true"/>
        </w:rPr>
        <w:t>، باب القضاء في قتیل الزحام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74/228</w:t>
      </w:r>
      <w:r>
        <w:rPr>
          <w:rFonts w:ascii="IRNazanin" w:hAnsi="IRNazanin" w:eastAsia="IRNazanin"/>
          <w:b w:val="false"/>
          <w:b w:val="false"/>
          <w:bCs w:val="false"/>
          <w:i w:val="false"/>
          <w:i w:val="false"/>
          <w:iCs w:val="false"/>
          <w:color w:val="333333"/>
          <w:sz w:val="20"/>
          <w:sz w:val="20"/>
          <w:szCs w:val="20"/>
          <w:rtl w:val="true"/>
        </w:rPr>
        <w:t xml:space="preserve">، باب من لا دیة له في جراح أو قتل،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191/755</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النوادر، 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279/1090</w:t>
      </w:r>
      <w:r>
        <w:rPr>
          <w:rFonts w:ascii="IRNazanin" w:hAnsi="IRNazanin" w:eastAsia="IRNazanin"/>
          <w:b w:val="false"/>
          <w:b w:val="false"/>
          <w:bCs w:val="false"/>
          <w:i w:val="false"/>
          <w:i w:val="false"/>
          <w:iCs w:val="false"/>
          <w:color w:val="333333"/>
          <w:sz w:val="20"/>
          <w:sz w:val="20"/>
          <w:szCs w:val="20"/>
          <w:rtl w:val="true"/>
        </w:rPr>
        <w:t>، باب القصاص، الحدیث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من لا دیة له،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207/819</w:t>
      </w:r>
      <w:r>
        <w:rPr>
          <w:rFonts w:ascii="IRNazanin" w:hAnsi="IRNazanin" w:eastAsia="IRNazanin"/>
          <w:b w:val="false"/>
          <w:b w:val="false"/>
          <w:bCs w:val="false"/>
          <w:i w:val="false"/>
          <w:i w:val="false"/>
          <w:iCs w:val="false"/>
          <w:color w:val="333333"/>
          <w:sz w:val="20"/>
          <w:sz w:val="20"/>
          <w:szCs w:val="20"/>
          <w:rtl w:val="true"/>
        </w:rPr>
        <w:t>، باب القضاء في قتیل الزحام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279/1056</w:t>
      </w:r>
      <w:r>
        <w:rPr>
          <w:rFonts w:ascii="IRNazanin" w:hAnsi="IRNazanin" w:eastAsia="IRNazanin"/>
          <w:b w:val="false"/>
          <w:b w:val="false"/>
          <w:bCs w:val="false"/>
          <w:i w:val="false"/>
          <w:i w:val="false"/>
          <w:iCs w:val="false"/>
          <w:color w:val="333333"/>
          <w:sz w:val="20"/>
          <w:sz w:val="20"/>
          <w:szCs w:val="20"/>
          <w:rtl w:val="true"/>
        </w:rPr>
        <w:t xml:space="preserve">؛ باب من قتله الحدّ،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63:29</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من لا دیة له،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207/815</w:t>
      </w:r>
      <w:r>
        <w:rPr>
          <w:rFonts w:ascii="IRNazanin" w:hAnsi="IRNazanin" w:eastAsia="IRNazanin"/>
          <w:b w:val="false"/>
          <w:b w:val="false"/>
          <w:bCs w:val="false"/>
          <w:i w:val="false"/>
          <w:i w:val="false"/>
          <w:iCs w:val="false"/>
          <w:color w:val="333333"/>
          <w:sz w:val="20"/>
          <w:sz w:val="20"/>
          <w:szCs w:val="20"/>
          <w:rtl w:val="true"/>
        </w:rPr>
        <w:t>، باب القضاء في قتیل الزحام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279/1091</w:t>
      </w:r>
      <w:r>
        <w:rPr>
          <w:rFonts w:ascii="IRNazanin" w:hAnsi="IRNazanin" w:eastAsia="IRNazanin"/>
          <w:b w:val="false"/>
          <w:b w:val="false"/>
          <w:bCs w:val="false"/>
          <w:i w:val="false"/>
          <w:i w:val="false"/>
          <w:iCs w:val="false"/>
          <w:color w:val="333333"/>
          <w:sz w:val="20"/>
          <w:sz w:val="20"/>
          <w:szCs w:val="20"/>
          <w:rtl w:val="true"/>
        </w:rPr>
        <w:t xml:space="preserve">، باب القصاص، 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کتاب الجراح، فصل القصاص یجری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الکبیر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الصفحة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المحكيّ عنه في 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176/690</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الأولیاء،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265/966</w:t>
      </w:r>
      <w:r>
        <w:rPr>
          <w:rFonts w:ascii="IRNazanin" w:hAnsi="IRNazanin" w:eastAsia="IRNazanin"/>
          <w:b w:val="false"/>
          <w:b w:val="false"/>
          <w:bCs w:val="false"/>
          <w:i w:val="false"/>
          <w:i w:val="false"/>
          <w:iCs w:val="false"/>
          <w:color w:val="333333"/>
          <w:sz w:val="20"/>
          <w:sz w:val="20"/>
          <w:szCs w:val="20"/>
          <w:rtl w:val="true"/>
        </w:rPr>
        <w:t xml:space="preserve">، باب أنّه لیس للنساء عفو ولا قود،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 من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في مفتاح الکرامة، ولکن ما عثرت علی ذلك لأنّه لیس في المنتهی کتاب الحجر والقصاص والدیات</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باب الرجل یقتل وله ولیّان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105/353</w:t>
      </w:r>
      <w:r>
        <w:rPr>
          <w:rFonts w:ascii="IRNazanin" w:hAnsi="IRNazanin" w:eastAsia="IRNazanin"/>
          <w:b w:val="false"/>
          <w:b w:val="false"/>
          <w:bCs w:val="false"/>
          <w:i w:val="false"/>
          <w:i w:val="false"/>
          <w:iCs w:val="false"/>
          <w:color w:val="333333"/>
          <w:sz w:val="20"/>
          <w:sz w:val="20"/>
          <w:szCs w:val="20"/>
          <w:rtl w:val="true"/>
        </w:rPr>
        <w:t>، باب الرجل یقتل فيعفو بعض أولیائه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175/686</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الأولیاء،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تفاوت یسیر؛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باب الرجل یقتل وله ولیّان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177/694</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الأولیاء،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105/352</w:t>
      </w:r>
      <w:r>
        <w:rPr>
          <w:rFonts w:ascii="IRNazanin" w:hAnsi="IRNazanin" w:eastAsia="IRNazanin"/>
          <w:b w:val="false"/>
          <w:b w:val="false"/>
          <w:bCs w:val="false"/>
          <w:i w:val="false"/>
          <w:i w:val="false"/>
          <w:iCs w:val="false"/>
          <w:color w:val="333333"/>
          <w:sz w:val="20"/>
          <w:sz w:val="20"/>
          <w:szCs w:val="20"/>
          <w:rtl w:val="true"/>
        </w:rPr>
        <w:t>، باب الرجل یقتل فيعفو بعض أولیائه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 تفاوت في بعض ألفاظ الروایة؛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باب الرجل یقتل وله ولیّان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176/688</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الأولیاء،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باب الرجل یقتل وله ولیّان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أبواب القصاص في النفس، الباب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177/695</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الأولیاء،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264/992</w:t>
      </w:r>
      <w:r>
        <w:rPr>
          <w:rFonts w:ascii="IRNazanin" w:hAnsi="IRNazanin" w:eastAsia="IRNazanin"/>
          <w:b w:val="false"/>
          <w:b w:val="false"/>
          <w:bCs w:val="false"/>
          <w:i w:val="false"/>
          <w:i w:val="false"/>
          <w:iCs w:val="false"/>
          <w:color w:val="333333"/>
          <w:sz w:val="20"/>
          <w:sz w:val="20"/>
          <w:szCs w:val="20"/>
          <w:rtl w:val="true"/>
        </w:rPr>
        <w:t xml:space="preserve">، باب أنّه لیس للنساء عفو ولا قود،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باب الرجل یقتل وله ولیّان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177/693</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الأولیاء،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262/989</w:t>
      </w:r>
      <w:r>
        <w:rPr>
          <w:rFonts w:ascii="IRNazanin" w:hAnsi="IRNazanin" w:eastAsia="IRNazanin"/>
          <w:b w:val="false"/>
          <w:b w:val="false"/>
          <w:bCs w:val="false"/>
          <w:i w:val="false"/>
          <w:i w:val="false"/>
          <w:iCs w:val="false"/>
          <w:color w:val="333333"/>
          <w:sz w:val="20"/>
          <w:sz w:val="20"/>
          <w:szCs w:val="20"/>
          <w:rtl w:val="true"/>
        </w:rPr>
        <w:t xml:space="preserve">، باب أنّه لیس للنساء عفو ولا قود،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105/355</w:t>
      </w:r>
      <w:r>
        <w:rPr>
          <w:rFonts w:ascii="IRNazanin" w:hAnsi="IRNazanin" w:eastAsia="IRNazanin"/>
          <w:b w:val="false"/>
          <w:b w:val="false"/>
          <w:bCs w:val="false"/>
          <w:i w:val="false"/>
          <w:i w:val="false"/>
          <w:iCs w:val="false"/>
          <w:color w:val="333333"/>
          <w:sz w:val="20"/>
          <w:sz w:val="20"/>
          <w:szCs w:val="20"/>
          <w:rtl w:val="true"/>
        </w:rPr>
        <w:t>، باب الرجل یقتل فيعفو بعض أولیائه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263/990</w:t>
      </w:r>
      <w:r>
        <w:rPr>
          <w:rFonts w:ascii="IRNazanin" w:hAnsi="IRNazanin" w:eastAsia="IRNazanin"/>
          <w:b w:val="false"/>
          <w:b w:val="false"/>
          <w:bCs w:val="false"/>
          <w:i w:val="false"/>
          <w:i w:val="false"/>
          <w:iCs w:val="false"/>
          <w:color w:val="333333"/>
          <w:sz w:val="20"/>
          <w:sz w:val="20"/>
          <w:szCs w:val="20"/>
          <w:rtl w:val="true"/>
        </w:rPr>
        <w:t xml:space="preserve">، باب أنّه ليس للنساء عفو ولا قود، 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207/822</w:t>
      </w:r>
      <w:r>
        <w:rPr>
          <w:rFonts w:ascii="IRNazanin" w:hAnsi="IRNazanin" w:eastAsia="IRNazanin"/>
          <w:b w:val="false"/>
          <w:b w:val="false"/>
          <w:bCs w:val="false"/>
          <w:i w:val="false"/>
          <w:i w:val="false"/>
          <w:iCs w:val="false"/>
          <w:color w:val="333333"/>
          <w:sz w:val="20"/>
          <w:sz w:val="20"/>
          <w:szCs w:val="20"/>
          <w:rtl w:val="true"/>
        </w:rPr>
        <w:t>، باب وصیّة من قتل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النوادر، الحدیث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ومثله عن محمّد بن قيس في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207/823</w:t>
      </w:r>
      <w:r>
        <w:rPr>
          <w:rFonts w:ascii="IRNazanin" w:hAnsi="IRNazanin" w:eastAsia="IRNazanin"/>
          <w:b w:val="false"/>
          <w:b w:val="false"/>
          <w:bCs w:val="false"/>
          <w:i w:val="false"/>
          <w:i w:val="false"/>
          <w:iCs w:val="false"/>
          <w:color w:val="333333"/>
          <w:sz w:val="20"/>
          <w:sz w:val="20"/>
          <w:szCs w:val="20"/>
          <w:rtl w:val="true"/>
        </w:rPr>
        <w:t>، باب وصیّة من قتل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167/681</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الحدیث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167/584</w:t>
      </w:r>
      <w:r>
        <w:rPr>
          <w:rFonts w:ascii="IRNazanin" w:hAnsi="IRNazanin" w:eastAsia="IRNazanin"/>
          <w:b w:val="false"/>
          <w:b w:val="false"/>
          <w:bCs w:val="false"/>
          <w:i w:val="false"/>
          <w:i w:val="false"/>
          <w:iCs w:val="false"/>
          <w:color w:val="333333"/>
          <w:sz w:val="20"/>
          <w:sz w:val="20"/>
          <w:szCs w:val="20"/>
          <w:rtl w:val="true"/>
        </w:rPr>
        <w:t xml:space="preserve">، باب قضاء الدین من الدیّة،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192/416</w:t>
      </w:r>
      <w:r>
        <w:rPr>
          <w:rFonts w:ascii="IRNazanin" w:hAnsi="IRNazanin" w:eastAsia="IRNazanin"/>
          <w:b w:val="false"/>
          <w:b w:val="false"/>
          <w:bCs w:val="false"/>
          <w:i w:val="false"/>
          <w:i w:val="false"/>
          <w:iCs w:val="false"/>
          <w:color w:val="333333"/>
          <w:sz w:val="20"/>
          <w:sz w:val="20"/>
          <w:szCs w:val="20"/>
          <w:rtl w:val="true"/>
        </w:rPr>
        <w:t xml:space="preserve">، باب في الديون وأحكامها، الحديث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365:18</w:t>
      </w:r>
      <w:r>
        <w:rPr>
          <w:rFonts w:ascii="IRNazanin" w:hAnsi="IRNazanin" w:eastAsia="IRNazanin"/>
          <w:b w:val="false"/>
          <w:b w:val="false"/>
          <w:bCs w:val="false"/>
          <w:i w:val="false"/>
          <w:i w:val="false"/>
          <w:iCs w:val="false"/>
          <w:color w:val="333333"/>
          <w:sz w:val="20"/>
          <w:sz w:val="20"/>
          <w:szCs w:val="20"/>
          <w:rtl w:val="true"/>
        </w:rPr>
        <w:t xml:space="preserve">، أبواب الدین والقرض،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الدية، الحديث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377/1347</w:t>
      </w:r>
      <w:r>
        <w:rPr>
          <w:rFonts w:ascii="IRNazanin" w:hAnsi="IRNazanin" w:eastAsia="IRNazanin"/>
          <w:b w:val="false"/>
          <w:b w:val="false"/>
          <w:bCs w:val="false"/>
          <w:i w:val="false"/>
          <w:i w:val="false"/>
          <w:iCs w:val="false"/>
          <w:color w:val="333333"/>
          <w:sz w:val="20"/>
          <w:sz w:val="20"/>
          <w:szCs w:val="20"/>
          <w:rtl w:val="true"/>
        </w:rPr>
        <w:t xml:space="preserve">، في ميراث المرتدّ ومن يستحقّ الدية من ذوي الأرحام، 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کتاب الإرث، أبواب موانع الإرث،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193/774</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169/589</w:t>
      </w:r>
      <w:r>
        <w:rPr>
          <w:rFonts w:ascii="IRNazanin" w:hAnsi="IRNazanin" w:eastAsia="IRNazanin"/>
          <w:b w:val="false"/>
          <w:b w:val="false"/>
          <w:bCs w:val="false"/>
          <w:i w:val="false"/>
          <w:i w:val="false"/>
          <w:iCs w:val="false"/>
          <w:color w:val="333333"/>
          <w:sz w:val="20"/>
          <w:sz w:val="20"/>
          <w:szCs w:val="20"/>
          <w:rtl w:val="true"/>
        </w:rPr>
        <w:t xml:space="preserve">، باب الرجل يوصي من ماله لرجل بشيء ثمّ يقتل خطأ،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ما للإنسان أن يوصی به بعد موته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فتاوى ابن الجنيد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312/861</w:t>
      </w:r>
      <w:r>
        <w:rPr>
          <w:rFonts w:ascii="IRNazanin" w:hAnsi="IRNazanin" w:eastAsia="IRNazanin"/>
          <w:b w:val="false"/>
          <w:b w:val="false"/>
          <w:bCs w:val="false"/>
          <w:i w:val="false"/>
          <w:i w:val="false"/>
          <w:iCs w:val="false"/>
          <w:color w:val="333333"/>
          <w:sz w:val="20"/>
          <w:sz w:val="20"/>
          <w:szCs w:val="20"/>
          <w:rtl w:val="true"/>
        </w:rPr>
        <w:t xml:space="preserve">، باب من الزیادات في القضایا والأحکام، الحدیث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الدين والقرض،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192/416</w:t>
      </w:r>
      <w:r>
        <w:rPr>
          <w:rFonts w:ascii="IRNazanin" w:hAnsi="IRNazanin" w:eastAsia="IRNazanin"/>
          <w:b w:val="false"/>
          <w:b w:val="false"/>
          <w:bCs w:val="false"/>
          <w:i w:val="false"/>
          <w:i w:val="false"/>
          <w:iCs w:val="false"/>
          <w:color w:val="333333"/>
          <w:sz w:val="20"/>
          <w:sz w:val="20"/>
          <w:szCs w:val="20"/>
          <w:rtl w:val="true"/>
        </w:rPr>
        <w:t>، باب في الديون وأحكامها، الحديث</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119/411</w:t>
      </w:r>
      <w:r>
        <w:rPr>
          <w:rFonts w:ascii="IRNazanin" w:hAnsi="IRNazanin" w:eastAsia="IRNazanin"/>
          <w:b w:val="false"/>
          <w:b w:val="false"/>
          <w:bCs w:val="false"/>
          <w:i w:val="false"/>
          <w:i w:val="false"/>
          <w:iCs w:val="false"/>
          <w:color w:val="333333"/>
          <w:sz w:val="20"/>
          <w:sz w:val="20"/>
          <w:szCs w:val="20"/>
          <w:rtl w:val="true"/>
        </w:rPr>
        <w:t xml:space="preserve">، باب الرجل يقتل وعليه دين،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314/1170</w:t>
      </w:r>
      <w:r>
        <w:rPr>
          <w:rFonts w:ascii="IRNazanin" w:hAnsi="IRNazanin" w:eastAsia="IRNazanin"/>
          <w:b w:val="false"/>
          <w:b w:val="false"/>
          <w:bCs w:val="false"/>
          <w:i w:val="false"/>
          <w:i w:val="false"/>
          <w:iCs w:val="false"/>
          <w:color w:val="333333"/>
          <w:sz w:val="20"/>
          <w:sz w:val="20"/>
          <w:szCs w:val="20"/>
          <w:rtl w:val="true"/>
        </w:rPr>
        <w:t xml:space="preserve">، باب من الزيادات،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10257</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مشيخة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180/703</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الأولياء، 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الغرماء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الخصماء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119/411</w:t>
      </w:r>
      <w:r>
        <w:rPr>
          <w:rFonts w:ascii="IRNazanin" w:hAnsi="IRNazanin" w:eastAsia="IRNazanin"/>
          <w:b w:val="false"/>
          <w:b w:val="false"/>
          <w:bCs w:val="false"/>
          <w:i w:val="false"/>
          <w:i w:val="false"/>
          <w:iCs w:val="false"/>
          <w:color w:val="333333"/>
          <w:sz w:val="20"/>
          <w:sz w:val="20"/>
          <w:szCs w:val="20"/>
          <w:rtl w:val="true"/>
        </w:rPr>
        <w:t xml:space="preserve">، باب الرجل يقتل وعليه دين،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83/264</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الدية، الحديث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کتاب الاحتجاج، له کتاب في الفقه لم یطبع وكتابه لم يصل إلينا، لكن حكاه عنه العلّامة في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تخریجها آنفاً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 الرجل يقتل رجلين أو أكثر، الحديث</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220/867</w:t>
      </w:r>
      <w:r>
        <w:rPr>
          <w:rFonts w:ascii="IRNazanin" w:hAnsi="IRNazanin" w:eastAsia="IRNazanin"/>
          <w:b w:val="false"/>
          <w:b w:val="false"/>
          <w:bCs w:val="false"/>
          <w:i w:val="false"/>
          <w:i w:val="false"/>
          <w:iCs w:val="false"/>
          <w:color w:val="333333"/>
          <w:sz w:val="20"/>
          <w:sz w:val="20"/>
          <w:szCs w:val="20"/>
          <w:rtl w:val="true"/>
        </w:rPr>
        <w:t>، باب الاثنين إذا قتلا واحداً 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الشیخ في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كتاب الجنايات، باب القصاص في الجروح والأعضاء</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قول المحقّق الثاني في آثاره وتألیفاته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المقتول لا یدري من قتله،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202/799</w:t>
      </w:r>
      <w:r>
        <w:rPr>
          <w:rFonts w:ascii="IRNazanin" w:hAnsi="IRNazanin" w:eastAsia="IRNazanin"/>
          <w:b w:val="false"/>
          <w:b w:val="false"/>
          <w:bCs w:val="false"/>
          <w:i w:val="false"/>
          <w:i w:val="false"/>
          <w:iCs w:val="false"/>
          <w:color w:val="333333"/>
          <w:sz w:val="20"/>
          <w:sz w:val="20"/>
          <w:szCs w:val="20"/>
          <w:rtl w:val="true"/>
        </w:rPr>
        <w:t>، باب القضاء، في قتیل الزحام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الرجل یخلّص من وجب علیه القود،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223/875</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وغیرها،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80/252</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الدیة، 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باب الرجل یقتل وله ولیّان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176/688</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الأولیاء،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263/991</w:t>
      </w:r>
      <w:r>
        <w:rPr>
          <w:rFonts w:ascii="IRNazanin" w:hAnsi="IRNazanin" w:eastAsia="IRNazanin"/>
          <w:b w:val="false"/>
          <w:b w:val="false"/>
          <w:bCs w:val="false"/>
          <w:i w:val="false"/>
          <w:i w:val="false"/>
          <w:iCs w:val="false"/>
          <w:color w:val="333333"/>
          <w:sz w:val="20"/>
          <w:sz w:val="20"/>
          <w:szCs w:val="20"/>
          <w:rtl w:val="true"/>
        </w:rPr>
        <w:t xml:space="preserve">، باب أنّه لیس للنساء عفو ولا قود،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الرجل یقتل المرأة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181/707</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89/286</w:t>
      </w:r>
      <w:r>
        <w:rPr>
          <w:rFonts w:ascii="IRNazanin" w:hAnsi="IRNazanin" w:eastAsia="IRNazanin"/>
          <w:b w:val="false"/>
          <w:b w:val="false"/>
          <w:bCs w:val="false"/>
          <w:i w:val="false"/>
          <w:i w:val="false"/>
          <w:iCs w:val="false"/>
          <w:color w:val="333333"/>
          <w:sz w:val="20"/>
          <w:sz w:val="20"/>
          <w:szCs w:val="20"/>
          <w:rtl w:val="true"/>
        </w:rPr>
        <w:t>، باب الجراحات والقتل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تخرجها في الصفحة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183/717</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267/1009</w:t>
      </w:r>
      <w:r>
        <w:rPr>
          <w:rFonts w:ascii="IRNazanin" w:hAnsi="IRNazanin" w:eastAsia="IRNazanin"/>
          <w:b w:val="false"/>
          <w:b w:val="false"/>
          <w:bCs w:val="false"/>
          <w:i w:val="false"/>
          <w:i w:val="false"/>
          <w:iCs w:val="false"/>
          <w:color w:val="333333"/>
          <w:sz w:val="20"/>
          <w:sz w:val="20"/>
          <w:szCs w:val="20"/>
          <w:rtl w:val="true"/>
        </w:rPr>
        <w:t xml:space="preserve">، باب حکم المرأة إذا قتلت رجلاً،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تعليقات على باب القصاص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کتاب الحدود والتعزیرات، أبواب حدّ الزنا،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في 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والمؤتلف من المختلف بين الأئمّة السلف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العاقلة،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124/430</w:t>
      </w:r>
      <w:r>
        <w:rPr>
          <w:rFonts w:ascii="IRNazanin" w:hAnsi="IRNazanin" w:eastAsia="IRNazanin"/>
          <w:b w:val="false"/>
          <w:b w:val="false"/>
          <w:bCs w:val="false"/>
          <w:i w:val="false"/>
          <w:i w:val="false"/>
          <w:iCs w:val="false"/>
          <w:color w:val="333333"/>
          <w:sz w:val="20"/>
          <w:sz w:val="20"/>
          <w:szCs w:val="20"/>
          <w:rtl w:val="true"/>
        </w:rPr>
        <w:t xml:space="preserve">، باب ما جاء فیمن قتل ثمّ فرّ،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العاقلة،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العاقلة،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124/430</w:t>
      </w:r>
      <w:r>
        <w:rPr>
          <w:rFonts w:ascii="IRNazanin" w:hAnsi="IRNazanin" w:eastAsia="IRNazanin"/>
          <w:b w:val="false"/>
          <w:b w:val="false"/>
          <w:bCs w:val="false"/>
          <w:i w:val="false"/>
          <w:i w:val="false"/>
          <w:iCs w:val="false"/>
          <w:color w:val="333333"/>
          <w:sz w:val="20"/>
          <w:sz w:val="20"/>
          <w:szCs w:val="20"/>
          <w:rtl w:val="true"/>
        </w:rPr>
        <w:t xml:space="preserve">، باب ما جاء فیمن قتل ثمّ فرّ،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العاقلة،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لکیلا یبطل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یبطل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72/219</w:t>
      </w:r>
      <w:r>
        <w:rPr>
          <w:rFonts w:ascii="IRNazanin" w:hAnsi="IRNazanin" w:eastAsia="IRNazanin"/>
          <w:b w:val="false"/>
          <w:b w:val="false"/>
          <w:bCs w:val="false"/>
          <w:i w:val="false"/>
          <w:i w:val="false"/>
          <w:iCs w:val="false"/>
          <w:color w:val="333333"/>
          <w:sz w:val="20"/>
          <w:sz w:val="20"/>
          <w:szCs w:val="20"/>
          <w:rtl w:val="true"/>
        </w:rPr>
        <w:t xml:space="preserve">، باب القسامة،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دعوى القتل،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73/223</w:t>
      </w:r>
      <w:r>
        <w:rPr>
          <w:rFonts w:ascii="IRNazanin" w:hAnsi="IRNazanin" w:eastAsia="IRNazanin"/>
          <w:b w:val="false"/>
          <w:b w:val="false"/>
          <w:bCs w:val="false"/>
          <w:i w:val="false"/>
          <w:i w:val="false"/>
          <w:iCs w:val="false"/>
          <w:color w:val="333333"/>
          <w:sz w:val="20"/>
          <w:sz w:val="20"/>
          <w:szCs w:val="20"/>
          <w:rtl w:val="true"/>
        </w:rPr>
        <w:t xml:space="preserve">، باب القسامة،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170/672</w:t>
      </w:r>
      <w:r>
        <w:rPr>
          <w:rFonts w:ascii="IRNazanin" w:hAnsi="IRNazanin" w:eastAsia="IRNazanin"/>
          <w:b w:val="false"/>
          <w:b w:val="false"/>
          <w:bCs w:val="false"/>
          <w:i w:val="false"/>
          <w:i w:val="false"/>
          <w:iCs w:val="false"/>
          <w:color w:val="333333"/>
          <w:sz w:val="20"/>
          <w:sz w:val="20"/>
          <w:szCs w:val="20"/>
          <w:rtl w:val="true"/>
        </w:rPr>
        <w:t xml:space="preserve">، باب البيّنات علی القتل،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262/986</w:t>
      </w:r>
      <w:r>
        <w:rPr>
          <w:rFonts w:ascii="IRNazanin" w:hAnsi="IRNazanin" w:eastAsia="IRNazanin"/>
          <w:b w:val="false"/>
          <w:b w:val="false"/>
          <w:bCs w:val="false"/>
          <w:i w:val="false"/>
          <w:i w:val="false"/>
          <w:iCs w:val="false"/>
          <w:color w:val="333333"/>
          <w:sz w:val="20"/>
          <w:sz w:val="20"/>
          <w:szCs w:val="20"/>
          <w:rtl w:val="true"/>
        </w:rPr>
        <w:t>، باب أنّه لا يجب علی العاقلة عمد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العاقلة،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الصفحة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170/670</w:t>
      </w:r>
      <w:r>
        <w:rPr>
          <w:rFonts w:ascii="IRNazanin" w:hAnsi="IRNazanin" w:eastAsia="IRNazanin"/>
          <w:b w:val="false"/>
          <w:b w:val="false"/>
          <w:bCs w:val="false"/>
          <w:i w:val="false"/>
          <w:i w:val="false"/>
          <w:iCs w:val="false"/>
          <w:color w:val="333333"/>
          <w:sz w:val="20"/>
          <w:sz w:val="20"/>
          <w:szCs w:val="20"/>
          <w:rtl w:val="true"/>
        </w:rPr>
        <w:t xml:space="preserve">، باب البيّنات علی القتل،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العاقلة،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مضت في الصفحة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العلّامة في 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128/452</w:t>
      </w:r>
      <w:r>
        <w:rPr>
          <w:rFonts w:ascii="IRNazanin" w:hAnsi="IRNazanin" w:eastAsia="IRNazanin"/>
          <w:b w:val="false"/>
          <w:b w:val="false"/>
          <w:bCs w:val="false"/>
          <w:i w:val="false"/>
          <w:i w:val="false"/>
          <w:iCs w:val="false"/>
          <w:color w:val="333333"/>
          <w:sz w:val="20"/>
          <w:sz w:val="20"/>
          <w:szCs w:val="20"/>
          <w:rtl w:val="true"/>
        </w:rPr>
        <w:t xml:space="preserve">، باب نوادر الدیات، 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278/1087</w:t>
      </w:r>
      <w:r>
        <w:rPr>
          <w:rFonts w:ascii="IRNazanin" w:hAnsi="IRNazanin" w:eastAsia="IRNazanin"/>
          <w:b w:val="false"/>
          <w:b w:val="false"/>
          <w:bCs w:val="false"/>
          <w:i w:val="false"/>
          <w:i w:val="false"/>
          <w:iCs w:val="false"/>
          <w:color w:val="333333"/>
          <w:sz w:val="20"/>
          <w:sz w:val="20"/>
          <w:szCs w:val="20"/>
          <w:rtl w:val="true"/>
        </w:rPr>
        <w:t xml:space="preserve">، باب القصاص، 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29/125</w:t>
      </w:r>
      <w:r>
        <w:rPr>
          <w:rFonts w:ascii="IRNazanin" w:hAnsi="IRNazanin" w:eastAsia="IRNazanin"/>
          <w:b w:val="false"/>
          <w:b w:val="false"/>
          <w:bCs w:val="false"/>
          <w:i w:val="false"/>
          <w:i w:val="false"/>
          <w:iCs w:val="false"/>
          <w:color w:val="333333"/>
          <w:sz w:val="20"/>
          <w:sz w:val="20"/>
          <w:szCs w:val="20"/>
          <w:rtl w:val="true"/>
        </w:rPr>
        <w:t xml:space="preserve">، أبوب القصاص في النفس،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تخریجها في الصفحه السابقة</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278/1087</w:t>
      </w:r>
      <w:r>
        <w:rPr>
          <w:rFonts w:ascii="IRNazanin" w:hAnsi="IRNazanin" w:eastAsia="IRNazanin"/>
          <w:b w:val="false"/>
          <w:b w:val="false"/>
          <w:bCs w:val="false"/>
          <w:i w:val="false"/>
          <w:i w:val="false"/>
          <w:iCs w:val="false"/>
          <w:color w:val="333333"/>
          <w:sz w:val="20"/>
          <w:sz w:val="20"/>
          <w:szCs w:val="20"/>
          <w:rtl w:val="true"/>
        </w:rPr>
        <w:t xml:space="preserve">، باب القصاص،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128/452</w:t>
      </w:r>
      <w:r>
        <w:rPr>
          <w:rFonts w:ascii="IRNazanin" w:hAnsi="IRNazanin" w:eastAsia="IRNazanin"/>
          <w:b w:val="false"/>
          <w:b w:val="false"/>
          <w:bCs w:val="false"/>
          <w:i w:val="false"/>
          <w:i w:val="false"/>
          <w:iCs w:val="false"/>
          <w:color w:val="333333"/>
          <w:sz w:val="20"/>
          <w:sz w:val="20"/>
          <w:szCs w:val="20"/>
          <w:rtl w:val="true"/>
        </w:rPr>
        <w:t xml:space="preserve">، باب نوادر الديات،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باب الرجل یقتل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277/1083</w:t>
      </w:r>
      <w:r>
        <w:rPr>
          <w:rFonts w:ascii="IRNazanin" w:hAnsi="IRNazanin" w:eastAsia="IRNazanin"/>
          <w:b w:val="false"/>
          <w:b w:val="false"/>
          <w:bCs w:val="false"/>
          <w:i w:val="false"/>
          <w:i w:val="false"/>
          <w:iCs w:val="false"/>
          <w:color w:val="333333"/>
          <w:sz w:val="20"/>
          <w:sz w:val="20"/>
          <w:szCs w:val="20"/>
          <w:rtl w:val="true"/>
        </w:rPr>
        <w:t xml:space="preserve">، باب القصاص،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نادر،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276/1082</w:t>
      </w:r>
      <w:r>
        <w:rPr>
          <w:rFonts w:ascii="IRNazanin" w:hAnsi="IRNazanin" w:eastAsia="IRNazanin"/>
          <w:b w:val="false"/>
          <w:b w:val="false"/>
          <w:bCs w:val="false"/>
          <w:i w:val="false"/>
          <w:i w:val="false"/>
          <w:iCs w:val="false"/>
          <w:color w:val="333333"/>
          <w:sz w:val="20"/>
          <w:sz w:val="20"/>
          <w:szCs w:val="20"/>
          <w:rtl w:val="true"/>
        </w:rPr>
        <w:t xml:space="preserve">، باب القصاص،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مَا عَلَى الْمُحْسِنيِنَ مِنْ سَبِيل</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374/1513</w:t>
      </w:r>
      <w:r>
        <w:rPr>
          <w:rFonts w:ascii="IRNazanin" w:hAnsi="IRNazanin" w:eastAsia="IRNazanin"/>
          <w:b w:val="false"/>
          <w:b w:val="false"/>
          <w:bCs w:val="false"/>
          <w:i w:val="false"/>
          <w:i w:val="false"/>
          <w:iCs w:val="false"/>
          <w:color w:val="333333"/>
          <w:sz w:val="20"/>
          <w:sz w:val="20"/>
          <w:szCs w:val="20"/>
          <w:rtl w:val="true"/>
        </w:rPr>
        <w:t>، باب المهور والأُجور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المهور،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الحسن بن الحريش</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نادر،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276/1082</w:t>
      </w:r>
      <w:r>
        <w:rPr>
          <w:rFonts w:ascii="IRNazanin" w:hAnsi="IRNazanin" w:eastAsia="IRNazanin"/>
          <w:b w:val="false"/>
          <w:b w:val="false"/>
          <w:bCs w:val="false"/>
          <w:i w:val="false"/>
          <w:i w:val="false"/>
          <w:iCs w:val="false"/>
          <w:color w:val="333333"/>
          <w:sz w:val="20"/>
          <w:sz w:val="20"/>
          <w:szCs w:val="20"/>
          <w:rtl w:val="true"/>
        </w:rPr>
        <w:t xml:space="preserve">، باب القصاص،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في شأن إنّا أنزلناه في ليلة القدروتفسيرها،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 بموجبها أكثر الأصحاب</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باب الرجل یقتل المرأة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184/719</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88/283</w:t>
      </w:r>
      <w:r>
        <w:rPr>
          <w:rFonts w:ascii="IRNazanin" w:hAnsi="IRNazanin" w:eastAsia="IRNazanin"/>
          <w:b w:val="false"/>
          <w:b w:val="false"/>
          <w:bCs w:val="false"/>
          <w:i w:val="false"/>
          <w:i w:val="false"/>
          <w:iCs w:val="false"/>
          <w:color w:val="333333"/>
          <w:sz w:val="20"/>
          <w:sz w:val="20"/>
          <w:szCs w:val="20"/>
          <w:rtl w:val="true"/>
        </w:rPr>
        <w:t>، باب الجراحات والتقل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الأعضاء،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184/722</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الأعضاء،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184/720</w:t>
      </w:r>
      <w:r>
        <w:rPr>
          <w:rFonts w:ascii="IRNazanin" w:hAnsi="IRNazanin" w:eastAsia="IRNazanin"/>
          <w:b w:val="false"/>
          <w:b w:val="false"/>
          <w:bCs w:val="false"/>
          <w:i w:val="false"/>
          <w:i w:val="false"/>
          <w:iCs w:val="false"/>
          <w:color w:val="333333"/>
          <w:sz w:val="20"/>
          <w:sz w:val="20"/>
          <w:szCs w:val="20"/>
          <w:rtl w:val="true"/>
        </w:rPr>
        <w:t>، باب القود بین الرجال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باب الرجل یقتل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89/284</w:t>
      </w:r>
      <w:r>
        <w:rPr>
          <w:rFonts w:ascii="IRNazanin" w:hAnsi="IRNazanin" w:eastAsia="IRNazanin"/>
          <w:b w:val="false"/>
          <w:b w:val="false"/>
          <w:bCs w:val="false"/>
          <w:i w:val="false"/>
          <w:i w:val="false"/>
          <w:iCs w:val="false"/>
          <w:color w:val="333333"/>
          <w:sz w:val="20"/>
          <w:sz w:val="20"/>
          <w:szCs w:val="20"/>
          <w:rtl w:val="true"/>
        </w:rPr>
        <w:t xml:space="preserve">، باب الجراحات والقتل بین النساء والرجال،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باب الرجل یقتل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181/706</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باب الرجل یقتل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180/704</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باب الرجل یقتل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185/726</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185/723</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کتاب الدیات، أبواب ديات الشجاج والجراح، الباب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 الرجل یقتل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185/724</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الفائدة والبرهان في البحث عن أخبار المسألة،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اعلم أنّ في رواية أبان، عبدالرحمن بن الحجّاج وفيه شيء، وهو أ‌نّه نقل في مشيخة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لثقيل على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رُمي بالكيسانيّة، ثمّ رجع وقال بالحقّ، وإن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ثقه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شرح مشيخة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فيه عن عبدالرحمن بن الحجّاج</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مشیخة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رجال الکشّي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6356</w:t>
      </w:r>
      <w:r>
        <w:rPr>
          <w:rFonts w:ascii="IRNazanin" w:hAnsi="IRNazanin" w:eastAsia="IRNazanin"/>
          <w:b w:val="false"/>
          <w:b w:val="false"/>
          <w:bCs w:val="false"/>
          <w:i w:val="false"/>
          <w:i w:val="false"/>
          <w:iCs w:val="false"/>
          <w:color w:val="333333"/>
          <w:sz w:val="20"/>
          <w:sz w:val="20"/>
          <w:szCs w:val="20"/>
          <w:rtl w:val="true"/>
        </w:rPr>
        <w:t>، عن أبي عبدالله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عبدالرحمن کلّم أهل المدینة، فإنّي أحبّ أن یُری في رجال الشیعة مثلك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لأبان بن تغلب،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270/1064</w:t>
      </w:r>
      <w:r>
        <w:rPr>
          <w:rFonts w:ascii="IRNazanin" w:hAnsi="IRNazanin" w:eastAsia="IRNazanin"/>
          <w:b w:val="false"/>
          <w:b w:val="false"/>
          <w:bCs w:val="false"/>
          <w:i w:val="false"/>
          <w:i w:val="false"/>
          <w:iCs w:val="false"/>
          <w:color w:val="333333"/>
          <w:sz w:val="20"/>
          <w:sz w:val="20"/>
          <w:szCs w:val="20"/>
          <w:rtl w:val="true"/>
        </w:rPr>
        <w:t>، باب دیة عین الأعور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 دیة عین الأعمی وید الأشل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ديات الأعضاء،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ففيه بعد نقل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أنّ القاطع صحيح، فيفهم منه الدية</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أنّ الجروح قصاص،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259/1022</w:t>
      </w:r>
      <w:r>
        <w:rPr>
          <w:rFonts w:ascii="IRNazanin" w:hAnsi="IRNazanin" w:eastAsia="IRNazanin"/>
          <w:b w:val="false"/>
          <w:b w:val="false"/>
          <w:bCs w:val="false"/>
          <w:i w:val="false"/>
          <w:i w:val="false"/>
          <w:iCs w:val="false"/>
          <w:color w:val="333333"/>
          <w:sz w:val="20"/>
          <w:sz w:val="20"/>
          <w:szCs w:val="20"/>
          <w:rtl w:val="true"/>
        </w:rPr>
        <w:t>، باب دیات الأعضاء والجوارح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99/328</w:t>
      </w:r>
      <w:r>
        <w:rPr>
          <w:rFonts w:ascii="IRNazanin" w:hAnsi="IRNazanin" w:eastAsia="IRNazanin"/>
          <w:b w:val="false"/>
          <w:b w:val="false"/>
          <w:bCs w:val="false"/>
          <w:i w:val="false"/>
          <w:i w:val="false"/>
          <w:iCs w:val="false"/>
          <w:color w:val="333333"/>
          <w:sz w:val="20"/>
          <w:sz w:val="20"/>
          <w:szCs w:val="20"/>
          <w:rtl w:val="true"/>
        </w:rPr>
        <w:t>، باب ما یجب فیه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العبّاس بن الحريش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182/712</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267/1008</w:t>
      </w:r>
      <w:r>
        <w:rPr>
          <w:rFonts w:ascii="IRNazanin" w:hAnsi="IRNazanin" w:eastAsia="IRNazanin"/>
          <w:b w:val="false"/>
          <w:b w:val="false"/>
          <w:bCs w:val="false"/>
          <w:i w:val="false"/>
          <w:i w:val="false"/>
          <w:iCs w:val="false"/>
          <w:color w:val="333333"/>
          <w:sz w:val="20"/>
          <w:sz w:val="20"/>
          <w:szCs w:val="20"/>
          <w:rtl w:val="true"/>
        </w:rPr>
        <w:t xml:space="preserve">، باب حکم المرأة إذا قتلت رجلاً،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أنّ الجروح قصاص،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99/328</w:t>
      </w:r>
      <w:r>
        <w:rPr>
          <w:rFonts w:ascii="IRNazanin" w:hAnsi="IRNazanin" w:eastAsia="IRNazanin"/>
          <w:b w:val="false"/>
          <w:b w:val="false"/>
          <w:bCs w:val="false"/>
          <w:i w:val="false"/>
          <w:i w:val="false"/>
          <w:iCs w:val="false"/>
          <w:color w:val="333333"/>
          <w:sz w:val="20"/>
          <w:sz w:val="20"/>
          <w:szCs w:val="20"/>
          <w:rtl w:val="true"/>
        </w:rPr>
        <w:t>، باب ما يجب فيه الدية ونصف الدية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259/1022</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والقصاص فيها، الحديث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41/1113</w:t>
      </w:r>
      <w:r>
        <w:rPr>
          <w:rFonts w:ascii="IRNazanin" w:hAnsi="IRNazanin" w:eastAsia="IRNazanin"/>
          <w:b w:val="false"/>
          <w:b w:val="false"/>
          <w:bCs w:val="false"/>
          <w:i w:val="false"/>
          <w:i w:val="false"/>
          <w:iCs w:val="false"/>
          <w:color w:val="333333"/>
          <w:sz w:val="20"/>
          <w:sz w:val="20"/>
          <w:szCs w:val="20"/>
          <w:rtl w:val="true"/>
        </w:rPr>
        <w:t xml:space="preserve">، کتاب العلل، الحدیث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شارباً</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الحلبي، كما نقل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الحلّي؛ لعدم ثبوت الخلاف كذلك عنه،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وأبو الصلاح عمّم الحكم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قذف اللسان والحدود، الحدیث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أنّ الجروح قصاص،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102/341</w:t>
      </w:r>
      <w:r>
        <w:rPr>
          <w:rFonts w:ascii="IRNazanin" w:hAnsi="IRNazanin" w:eastAsia="IRNazanin"/>
          <w:b w:val="false"/>
          <w:b w:val="false"/>
          <w:bCs w:val="false"/>
          <w:i w:val="false"/>
          <w:i w:val="false"/>
          <w:iCs w:val="false"/>
          <w:color w:val="333333"/>
          <w:sz w:val="20"/>
          <w:sz w:val="20"/>
          <w:szCs w:val="20"/>
          <w:rtl w:val="true"/>
        </w:rPr>
        <w:t xml:space="preserve">، باب دیة الأصباح والأسنان والعظام،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275/1077</w:t>
      </w:r>
      <w:r>
        <w:rPr>
          <w:rFonts w:ascii="IRNazanin" w:hAnsi="IRNazanin" w:eastAsia="IRNazanin"/>
          <w:b w:val="false"/>
          <w:b w:val="false"/>
          <w:bCs w:val="false"/>
          <w:i w:val="false"/>
          <w:i w:val="false"/>
          <w:iCs w:val="false"/>
          <w:color w:val="333333"/>
          <w:sz w:val="20"/>
          <w:sz w:val="20"/>
          <w:szCs w:val="20"/>
          <w:rtl w:val="true"/>
        </w:rPr>
        <w:t xml:space="preserve">، باب القصاص،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279/1093</w:t>
      </w:r>
      <w:r>
        <w:rPr>
          <w:rFonts w:ascii="IRNazanin" w:hAnsi="IRNazanin" w:eastAsia="IRNazanin"/>
          <w:b w:val="false"/>
          <w:b w:val="false"/>
          <w:bCs w:val="false"/>
          <w:i w:val="false"/>
          <w:i w:val="false"/>
          <w:iCs w:val="false"/>
          <w:color w:val="333333"/>
          <w:sz w:val="20"/>
          <w:sz w:val="20"/>
          <w:szCs w:val="20"/>
          <w:rtl w:val="true"/>
        </w:rPr>
        <w:t xml:space="preserve">، باب القصاص، الحدیث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الدیات؛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أنّ الجروح قصاص،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باب القصاص،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 دیة عین الأعمی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269/1057</w:t>
      </w:r>
      <w:r>
        <w:rPr>
          <w:rFonts w:ascii="IRNazanin" w:hAnsi="IRNazanin" w:eastAsia="IRNazanin"/>
          <w:b w:val="false"/>
          <w:b w:val="false"/>
          <w:bCs w:val="false"/>
          <w:i w:val="false"/>
          <w:i w:val="false"/>
          <w:iCs w:val="false"/>
          <w:color w:val="333333"/>
          <w:sz w:val="20"/>
          <w:sz w:val="20"/>
          <w:szCs w:val="20"/>
          <w:rtl w:val="true"/>
        </w:rPr>
        <w:t>، باب دیة عین الأعور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الدیات؛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الأعضاء،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269/1058</w:t>
      </w:r>
      <w:r>
        <w:rPr>
          <w:rFonts w:ascii="IRNazanin" w:hAnsi="IRNazanin" w:eastAsia="IRNazanin"/>
          <w:b w:val="false"/>
          <w:b w:val="false"/>
          <w:bCs w:val="false"/>
          <w:i w:val="false"/>
          <w:i w:val="false"/>
          <w:iCs w:val="false"/>
          <w:color w:val="333333"/>
          <w:sz w:val="20"/>
          <w:sz w:val="20"/>
          <w:szCs w:val="20"/>
          <w:rtl w:val="true"/>
        </w:rPr>
        <w:t>، باب دیة عین الأعور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الأعضاء،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 دیة عین الأعمی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269/1059</w:t>
      </w:r>
      <w:r>
        <w:rPr>
          <w:rFonts w:ascii="IRNazanin" w:hAnsi="IRNazanin" w:eastAsia="IRNazanin"/>
          <w:b w:val="false"/>
          <w:b w:val="false"/>
          <w:bCs w:val="false"/>
          <w:i w:val="false"/>
          <w:i w:val="false"/>
          <w:iCs w:val="false"/>
          <w:color w:val="333333"/>
          <w:sz w:val="20"/>
          <w:sz w:val="20"/>
          <w:szCs w:val="20"/>
          <w:rtl w:val="true"/>
        </w:rPr>
        <w:t>، باب دیة عین الأعور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الأعضاء،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والصحیح حسنة الحلبي</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 دیة عین الأعمی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269/1056</w:t>
      </w:r>
      <w:r>
        <w:rPr>
          <w:rFonts w:ascii="IRNazanin" w:hAnsi="IRNazanin" w:eastAsia="IRNazanin"/>
          <w:b w:val="false"/>
          <w:b w:val="false"/>
          <w:bCs w:val="false"/>
          <w:i w:val="false"/>
          <w:i w:val="false"/>
          <w:iCs w:val="false"/>
          <w:color w:val="333333"/>
          <w:sz w:val="20"/>
          <w:sz w:val="20"/>
          <w:szCs w:val="20"/>
          <w:rtl w:val="true"/>
        </w:rPr>
        <w:t>، باب دیة عین الأعور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الأعضاء، 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183/718</w:t>
      </w:r>
      <w:r>
        <w:rPr>
          <w:rFonts w:ascii="IRNazanin" w:hAnsi="IRNazanin" w:eastAsia="IRNazanin"/>
          <w:b w:val="false"/>
          <w:b w:val="false"/>
          <w:bCs w:val="false"/>
          <w:i w:val="false"/>
          <w:i w:val="false"/>
          <w:iCs w:val="false"/>
          <w:color w:val="333333"/>
          <w:sz w:val="20"/>
          <w:sz w:val="20"/>
          <w:szCs w:val="20"/>
          <w:rtl w:val="true"/>
        </w:rPr>
        <w:t>، باب القود بین الرجال والنساء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کتاب القصاص، أبواب القصاص في النفس، الباب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فتاوی ابن الجنيد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في الصفحة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 دیة عین الأعمی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270/1062</w:t>
      </w:r>
      <w:r>
        <w:rPr>
          <w:rFonts w:ascii="IRNazanin" w:hAnsi="IRNazanin" w:eastAsia="IRNazanin"/>
          <w:b w:val="false"/>
          <w:b w:val="false"/>
          <w:bCs w:val="false"/>
          <w:i w:val="false"/>
          <w:i w:val="false"/>
          <w:iCs w:val="false"/>
          <w:color w:val="333333"/>
          <w:sz w:val="20"/>
          <w:sz w:val="20"/>
          <w:szCs w:val="20"/>
          <w:rtl w:val="true"/>
        </w:rPr>
        <w:t>، باب دیة عین الأعور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98/325</w:t>
      </w:r>
      <w:r>
        <w:rPr>
          <w:rFonts w:ascii="IRNazanin" w:hAnsi="IRNazanin" w:eastAsia="IRNazanin"/>
          <w:b w:val="false"/>
          <w:b w:val="false"/>
          <w:bCs w:val="false"/>
          <w:i w:val="false"/>
          <w:i w:val="false"/>
          <w:iCs w:val="false"/>
          <w:color w:val="333333"/>
          <w:sz w:val="20"/>
          <w:sz w:val="20"/>
          <w:szCs w:val="20"/>
          <w:rtl w:val="true"/>
        </w:rPr>
        <w:t>، باب ما یجب فيه الدیه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الأعضاء،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 دیة عین الأعمی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270/1063</w:t>
      </w:r>
      <w:r>
        <w:rPr>
          <w:rFonts w:ascii="IRNazanin" w:hAnsi="IRNazanin" w:eastAsia="IRNazanin"/>
          <w:b w:val="false"/>
          <w:b w:val="false"/>
          <w:bCs w:val="false"/>
          <w:i w:val="false"/>
          <w:i w:val="false"/>
          <w:iCs w:val="false"/>
          <w:color w:val="333333"/>
          <w:sz w:val="20"/>
          <w:sz w:val="20"/>
          <w:szCs w:val="20"/>
          <w:rtl w:val="true"/>
        </w:rPr>
        <w:t>، باب دیة عین الأعور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111/376</w:t>
      </w:r>
      <w:r>
        <w:rPr>
          <w:rFonts w:ascii="IRNazanin" w:hAnsi="IRNazanin" w:eastAsia="IRNazanin"/>
          <w:b w:val="false"/>
          <w:b w:val="false"/>
          <w:bCs w:val="false"/>
          <w:i w:val="false"/>
          <w:i w:val="false"/>
          <w:iCs w:val="false"/>
          <w:color w:val="333333"/>
          <w:sz w:val="20"/>
          <w:sz w:val="20"/>
          <w:szCs w:val="20"/>
          <w:rtl w:val="true"/>
        </w:rPr>
        <w:t xml:space="preserve">، باب دیة لسان الأُخری،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الأعضاء،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وحكاه العلّامة عن ابن الجنيد في 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 دیة عین الأعمی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270/1061</w:t>
      </w:r>
      <w:r>
        <w:rPr>
          <w:rFonts w:ascii="IRNazanin" w:hAnsi="IRNazanin" w:eastAsia="IRNazanin"/>
          <w:b w:val="false"/>
          <w:b w:val="false"/>
          <w:bCs w:val="false"/>
          <w:i w:val="false"/>
          <w:i w:val="false"/>
          <w:iCs w:val="false"/>
          <w:color w:val="333333"/>
          <w:sz w:val="20"/>
          <w:sz w:val="20"/>
          <w:szCs w:val="20"/>
          <w:rtl w:val="true"/>
        </w:rPr>
        <w:t>، باب دیة عین الأعور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الأعضاء،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 دیة عین الأعمی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270/1060</w:t>
      </w:r>
      <w:r>
        <w:rPr>
          <w:rFonts w:ascii="IRNazanin" w:hAnsi="IRNazanin" w:eastAsia="IRNazanin"/>
          <w:b w:val="false"/>
          <w:b w:val="false"/>
          <w:bCs w:val="false"/>
          <w:i w:val="false"/>
          <w:i w:val="false"/>
          <w:iCs w:val="false"/>
          <w:color w:val="333333"/>
          <w:sz w:val="20"/>
          <w:sz w:val="20"/>
          <w:szCs w:val="20"/>
          <w:rtl w:val="true"/>
        </w:rPr>
        <w:t>، باب دیة عین الأعور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الأعضاء،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كرسف</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أنّ الجروح قصاص،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276/1081</w:t>
      </w:r>
      <w:r>
        <w:rPr>
          <w:rFonts w:ascii="IRNazanin" w:hAnsi="IRNazanin" w:eastAsia="IRNazanin"/>
          <w:b w:val="false"/>
          <w:b w:val="false"/>
          <w:bCs w:val="false"/>
          <w:i w:val="false"/>
          <w:i w:val="false"/>
          <w:iCs w:val="false"/>
          <w:color w:val="333333"/>
          <w:sz w:val="20"/>
          <w:sz w:val="20"/>
          <w:szCs w:val="20"/>
          <w:rtl w:val="true"/>
        </w:rPr>
        <w:t xml:space="preserve">، باب القصاص، الحدیث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قصاص الطرف،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دیة الجراحات والشجاج،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257/1016</w:t>
      </w:r>
      <w:r>
        <w:rPr>
          <w:rFonts w:ascii="IRNazanin" w:hAnsi="IRNazanin" w:eastAsia="IRNazanin"/>
          <w:b w:val="false"/>
          <w:b w:val="false"/>
          <w:bCs w:val="false"/>
          <w:i w:val="false"/>
          <w:i w:val="false"/>
          <w:iCs w:val="false"/>
          <w:color w:val="333333"/>
          <w:sz w:val="20"/>
          <w:sz w:val="20"/>
          <w:szCs w:val="20"/>
          <w:rtl w:val="true"/>
        </w:rPr>
        <w:t>، باب دیات الأعضاء والجوارح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291/1100</w:t>
      </w:r>
      <w:r>
        <w:rPr>
          <w:rFonts w:ascii="IRNazanin" w:hAnsi="IRNazanin" w:eastAsia="IRNazanin"/>
          <w:b w:val="false"/>
          <w:b w:val="false"/>
          <w:bCs w:val="false"/>
          <w:i w:val="false"/>
          <w:i w:val="false"/>
          <w:iCs w:val="false"/>
          <w:color w:val="333333"/>
          <w:sz w:val="20"/>
          <w:sz w:val="20"/>
          <w:szCs w:val="20"/>
          <w:rtl w:val="true"/>
        </w:rPr>
        <w:t xml:space="preserve">، باب دیة الأصابع،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کتاب الدیات، أبواب ديات الأعضاء،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کتاب القصاص، أبواب القصاص في النفس،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371/1053</w:t>
      </w:r>
      <w:r>
        <w:rPr>
          <w:rFonts w:ascii="IRNazanin" w:hAnsi="IRNazanin" w:eastAsia="IRNazanin"/>
          <w:b w:val="false"/>
          <w:b w:val="false"/>
          <w:bCs w:val="false"/>
          <w:i w:val="false"/>
          <w:i w:val="false"/>
          <w:iCs w:val="false"/>
          <w:color w:val="333333"/>
          <w:sz w:val="20"/>
          <w:sz w:val="20"/>
          <w:szCs w:val="20"/>
          <w:rtl w:val="true"/>
        </w:rPr>
        <w:t>، باب المهور والأُجور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232/835</w:t>
      </w:r>
      <w:r>
        <w:rPr>
          <w:rFonts w:ascii="IRNazanin" w:hAnsi="IRNazanin" w:eastAsia="IRNazanin"/>
          <w:b w:val="false"/>
          <w:b w:val="false"/>
          <w:bCs w:val="false"/>
          <w:i w:val="false"/>
          <w:i w:val="false"/>
          <w:iCs w:val="false"/>
          <w:color w:val="333333"/>
          <w:sz w:val="20"/>
          <w:sz w:val="20"/>
          <w:szCs w:val="20"/>
          <w:rtl w:val="true"/>
        </w:rPr>
        <w:t>، باب من عقد علی امرأة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المهور،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فتاوى ابن الجنيد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image" Target="media/image2.jpeg"/><Relationship Id="rId704" Type="http://schemas.openxmlformats.org/officeDocument/2006/relationships/image" Target="media/image2.jpeg"/><Relationship Id="rId705" Type="http://schemas.openxmlformats.org/officeDocument/2006/relationships/footer" Target="footer698.xml"/><Relationship Id="rId706" Type="http://schemas.openxmlformats.org/officeDocument/2006/relationships/footnotes" Target="footnotes.xml"/><Relationship Id="rId707" Type="http://schemas.openxmlformats.org/officeDocument/2006/relationships/numbering" Target="numbering.xml"/><Relationship Id="rId708" Type="http://schemas.openxmlformats.org/officeDocument/2006/relationships/fontTable" Target="fontTable.xml"/><Relationship Id="rId709" Type="http://schemas.openxmlformats.org/officeDocument/2006/relationships/settings" Target="settings.xml"/><Relationship Id="rId7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704</Pages>
  <Words>123073</Words>
  <Characters>557912</Characters>
  <CharactersWithSpaces>676854</CharactersWithSpaces>
  <Paragraphs>4714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2026-08-20T14:24:41Z</dcterms:created>
  <dc:creator>ghaemiyeh.com</dc:creator>
  <dc:description/>
  <dc:language>en-US</dc:language>
  <cp:lastModifiedBy/>
  <dcterms:modified xsi:type="dcterms:W3CDTF">2026-08-20T17:55:06Z</dcterms:modified>
  <cp:revision>1</cp:revision>
  <dc:subject/>
  <dc:title>فقه الثقلین فی شرح تحریرالوسیلة کتاب القصاص</dc:title>
</cp:coreProperties>
</file>

<file path=docProps/custom.xml><?xml version="1.0" encoding="utf-8"?>
<Properties xmlns="http://schemas.openxmlformats.org/officeDocument/2006/custom-properties" xmlns:vt="http://schemas.openxmlformats.org/officeDocument/2006/docPropsVTypes"/>
</file>