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19</w:t>
      </w:r>
      <w:r>
        <w:rPr>
          <w:rtl w:val="true"/>
        </w:rPr>
        <w:t xml:space="preserve"> </w:t>
      </w:r>
      <w:r>
        <w:rPr>
          <w:rtl w:val="true"/>
        </w:rPr>
        <w:t xml:space="preserve">و </w:t>
      </w:r>
      <w:r>
        <w:rPr/>
        <w:t>20</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9757_2870459653">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3769759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769761_2870459653">
            <w:r>
              <w:rPr>
                <w:webHidden/>
                <w:rStyle w:val="IndexLink"/>
                <w:rtl w:val="true"/>
              </w:rPr>
              <w:t>الأُسس المعتمدة للنشر</w:t>
            </w:r>
            <w:r>
              <w:rPr>
                <w:rStyle w:val="IndexLink"/>
                <w:rtl w:val="true"/>
              </w:rPr>
              <w:tab/>
            </w:r>
            <w:r>
              <w:rPr>
                <w:rStyle w:val="IndexLink"/>
              </w:rPr>
              <w:t>14</w:t>
            </w:r>
          </w:hyperlink>
        </w:p>
        <w:p>
          <w:pPr>
            <w:pStyle w:val="Contents2"/>
            <w:tabs>
              <w:tab w:val="clear" w:pos="8743"/>
              <w:tab w:val="right" w:pos="9026" w:leader="dot"/>
            </w:tabs>
            <w:rPr/>
          </w:pPr>
          <w:hyperlink w:anchor="__RefHeading___Toc3769763_2870459653">
            <w:r>
              <w:rPr>
                <w:webHidden/>
                <w:rStyle w:val="IndexLink"/>
                <w:rtl w:val="true"/>
              </w:rPr>
              <w:t>المحتوی</w:t>
            </w:r>
            <w:r>
              <w:rPr>
                <w:rStyle w:val="IndexLink"/>
                <w:rtl w:val="true"/>
              </w:rPr>
              <w:tab/>
            </w:r>
            <w:r>
              <w:rPr>
                <w:rStyle w:val="IndexLink"/>
              </w:rPr>
              <w:t>15</w:t>
            </w:r>
          </w:hyperlink>
        </w:p>
        <w:p>
          <w:pPr>
            <w:pStyle w:val="Contents2"/>
            <w:tabs>
              <w:tab w:val="clear" w:pos="8743"/>
              <w:tab w:val="right" w:pos="9026" w:leader="dot"/>
            </w:tabs>
            <w:rPr/>
          </w:pPr>
          <w:hyperlink w:anchor="__RefHeading___Toc3769765_2870459653">
            <w:r>
              <w:rPr>
                <w:webHidden/>
                <w:rStyle w:val="IndexLink"/>
                <w:rtl w:val="true"/>
              </w:rPr>
              <w:t>کلمة العدد</w:t>
            </w:r>
            <w:r>
              <w:rPr>
                <w:rStyle w:val="IndexLink"/>
                <w:rtl w:val="true"/>
              </w:rPr>
              <w:tab/>
            </w:r>
            <w:r>
              <w:rPr>
                <w:rStyle w:val="IndexLink"/>
              </w:rPr>
              <w:t>17</w:t>
            </w:r>
          </w:hyperlink>
        </w:p>
        <w:p>
          <w:pPr>
            <w:pStyle w:val="Contents2"/>
            <w:tabs>
              <w:tab w:val="clear" w:pos="8743"/>
              <w:tab w:val="right" w:pos="9026" w:leader="dot"/>
            </w:tabs>
            <w:rPr/>
          </w:pPr>
          <w:hyperlink w:anchor="__RefHeading___Toc3769767_2870459653">
            <w:r>
              <w:rPr>
                <w:webHidden/>
                <w:rStyle w:val="IndexLink"/>
                <w:rtl w:val="true"/>
              </w:rPr>
              <w:t xml:space="preserve">وحدة أو تعدد سورتي الضحى والانشراح وسورتي الفيل وقريش </w:t>
            </w:r>
            <w:r>
              <w:rPr>
                <w:rStyle w:val="IndexLink"/>
                <w:rtl w:val="true"/>
              </w:rPr>
              <w:t xml:space="preserve">- </w:t>
            </w:r>
            <w:r>
              <w:rPr>
                <w:rStyle w:val="IndexLink"/>
                <w:rtl w:val="true"/>
              </w:rPr>
              <w:t xml:space="preserve">الشيخ محمد الجعفري </w:t>
            </w:r>
            <w:r>
              <w:rPr>
                <w:rStyle w:val="IndexLink"/>
                <w:rtl w:val="true"/>
              </w:rPr>
              <w:t>(</w:t>
            </w:r>
            <w:r>
              <w:rPr>
                <w:rStyle w:val="IndexLink"/>
                <w:rtl w:val="true"/>
              </w:rPr>
              <w:t>دام عزه</w:t>
            </w:r>
            <w:r>
              <w:rPr>
                <w:rStyle w:val="IndexLink"/>
                <w:rtl w:val="true"/>
              </w:rPr>
              <w:t>)</w:t>
              <w:tab/>
            </w:r>
            <w:r>
              <w:rPr>
                <w:rStyle w:val="IndexLink"/>
              </w:rPr>
              <w:t>21</w:t>
            </w:r>
          </w:hyperlink>
        </w:p>
        <w:p>
          <w:pPr>
            <w:pStyle w:val="Contents3"/>
            <w:tabs>
              <w:tab w:val="clear" w:pos="8459"/>
              <w:tab w:val="right" w:pos="9026" w:leader="dot"/>
            </w:tabs>
            <w:rPr/>
          </w:pPr>
          <w:hyperlink w:anchor="__RefHeading___Toc3769769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769771_2870459653">
            <w:r>
              <w:rPr>
                <w:webHidden/>
                <w:rStyle w:val="IndexLink"/>
                <w:rtl w:val="true"/>
              </w:rPr>
              <w:t>المحور الأوّل</w:t>
            </w:r>
            <w:r>
              <w:rPr>
                <w:rStyle w:val="IndexLink"/>
                <w:rtl w:val="true"/>
              </w:rPr>
              <w:t xml:space="preserve">: </w:t>
            </w:r>
            <w:r>
              <w:rPr>
                <w:rStyle w:val="IndexLink"/>
                <w:rtl w:val="true"/>
              </w:rPr>
              <w:t>الأقوال في المسألة</w:t>
            </w:r>
            <w:r>
              <w:rPr>
                <w:rStyle w:val="IndexLink"/>
                <w:rtl w:val="true"/>
              </w:rPr>
              <w:tab/>
            </w:r>
            <w:r>
              <w:rPr>
                <w:rStyle w:val="IndexLink"/>
              </w:rPr>
              <w:t>24</w:t>
            </w:r>
          </w:hyperlink>
        </w:p>
        <w:p>
          <w:pPr>
            <w:pStyle w:val="Contents4"/>
            <w:tabs>
              <w:tab w:val="clear" w:pos="8176"/>
              <w:tab w:val="right" w:pos="9026" w:leader="dot"/>
            </w:tabs>
            <w:rPr/>
          </w:pPr>
          <w:hyperlink w:anchor="__RefHeading___Toc3769773_2870459653">
            <w:r>
              <w:rPr>
                <w:webHidden/>
                <w:rStyle w:val="IndexLink"/>
                <w:rtl w:val="true"/>
              </w:rPr>
              <w:t>أقوال أهل السنّة</w:t>
            </w:r>
            <w:r>
              <w:rPr>
                <w:rStyle w:val="IndexLink"/>
                <w:rtl w:val="true"/>
              </w:rPr>
              <w:tab/>
            </w:r>
            <w:r>
              <w:rPr>
                <w:rStyle w:val="IndexLink"/>
              </w:rPr>
              <w:t>24</w:t>
            </w:r>
          </w:hyperlink>
        </w:p>
        <w:p>
          <w:pPr>
            <w:pStyle w:val="Contents5"/>
            <w:tabs>
              <w:tab w:val="clear" w:pos="7892"/>
              <w:tab w:val="right" w:pos="9026" w:leader="dot"/>
            </w:tabs>
            <w:rPr/>
          </w:pPr>
          <w:hyperlink w:anchor="__RefHeading___Toc3769775_287045965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769777_2870459653">
            <w:r>
              <w:rPr>
                <w:webHidden/>
                <w:rStyle w:val="IndexLink"/>
                <w:rtl w:val="true"/>
              </w:rPr>
              <w:t>النقطة الأولى</w:t>
            </w:r>
            <w:r>
              <w:rPr>
                <w:rStyle w:val="IndexLink"/>
                <w:rtl w:val="true"/>
              </w:rPr>
              <w:t xml:space="preserve">: </w:t>
            </w:r>
            <w:r>
              <w:rPr>
                <w:rStyle w:val="IndexLink"/>
                <w:rtl w:val="true"/>
              </w:rPr>
              <w:t>الجمع بين السورتين في الصلاة</w:t>
            </w:r>
            <w:r>
              <w:rPr>
                <w:rStyle w:val="IndexLink"/>
                <w:rtl w:val="true"/>
              </w:rPr>
              <w:tab/>
            </w:r>
            <w:r>
              <w:rPr>
                <w:rStyle w:val="IndexLink"/>
              </w:rPr>
              <w:t>24</w:t>
            </w:r>
          </w:hyperlink>
        </w:p>
        <w:p>
          <w:pPr>
            <w:pStyle w:val="Contents5"/>
            <w:tabs>
              <w:tab w:val="clear" w:pos="7892"/>
              <w:tab w:val="right" w:pos="9026" w:leader="dot"/>
            </w:tabs>
            <w:rPr/>
          </w:pPr>
          <w:hyperlink w:anchor="__RefHeading___Toc3769779_2870459653">
            <w:r>
              <w:rPr>
                <w:webHidden/>
                <w:rStyle w:val="IndexLink"/>
                <w:rtl w:val="true"/>
              </w:rPr>
              <w:t>النقطة الثانية</w:t>
            </w:r>
            <w:r>
              <w:rPr>
                <w:rStyle w:val="IndexLink"/>
                <w:rtl w:val="true"/>
              </w:rPr>
              <w:t xml:space="preserve">: </w:t>
            </w:r>
            <w:r>
              <w:rPr>
                <w:rStyle w:val="IndexLink"/>
                <w:rtl w:val="true"/>
              </w:rPr>
              <w:t>التصريح بأنَّهما سورة واحدة، أو أنَّهما بمنزلة سورة واحدة، أو عدم الإتيان بالبسملة بينهما</w:t>
            </w:r>
            <w:r>
              <w:rPr>
                <w:rStyle w:val="IndexLink"/>
                <w:rtl w:val="true"/>
              </w:rPr>
              <w:tab/>
            </w:r>
            <w:r>
              <w:rPr>
                <w:rStyle w:val="IndexLink"/>
              </w:rPr>
              <w:t>25</w:t>
            </w:r>
          </w:hyperlink>
        </w:p>
        <w:p>
          <w:pPr>
            <w:pStyle w:val="Contents4"/>
            <w:tabs>
              <w:tab w:val="clear" w:pos="8176"/>
              <w:tab w:val="right" w:pos="9026" w:leader="dot"/>
            </w:tabs>
            <w:rPr/>
          </w:pPr>
          <w:hyperlink w:anchor="__RefHeading___Toc3769781_2870459653">
            <w:r>
              <w:rPr>
                <w:webHidden/>
                <w:rStyle w:val="IndexLink"/>
                <w:rtl w:val="true"/>
              </w:rPr>
              <w:t>أقوال فقهاء الطائفة</w:t>
            </w:r>
            <w:r>
              <w:rPr>
                <w:rStyle w:val="IndexLink"/>
                <w:rtl w:val="true"/>
              </w:rPr>
              <w:tab/>
            </w:r>
            <w:r>
              <w:rPr>
                <w:rStyle w:val="IndexLink"/>
              </w:rPr>
              <w:t>27</w:t>
            </w:r>
          </w:hyperlink>
        </w:p>
        <w:p>
          <w:pPr>
            <w:pStyle w:val="Contents5"/>
            <w:tabs>
              <w:tab w:val="clear" w:pos="7892"/>
              <w:tab w:val="right" w:pos="9026" w:leader="dot"/>
            </w:tabs>
            <w:rPr/>
          </w:pPr>
          <w:hyperlink w:anchor="__RefHeading___Toc3769783_287045965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769785_2870459653">
            <w:r>
              <w:rPr>
                <w:webHidden/>
                <w:rStyle w:val="IndexLink"/>
                <w:rtl w:val="true"/>
              </w:rPr>
              <w:t>القول الأوَّل</w:t>
            </w:r>
            <w:r>
              <w:rPr>
                <w:rStyle w:val="IndexLink"/>
                <w:rtl w:val="true"/>
              </w:rPr>
              <w:t xml:space="preserve">: </w:t>
            </w:r>
            <w:r>
              <w:rPr>
                <w:rStyle w:val="IndexLink"/>
                <w:rtl w:val="true"/>
              </w:rPr>
              <w:t>أنَّهما سورة واحدة حقيقة ولا تعاد البسملة بينهما</w:t>
            </w:r>
            <w:r>
              <w:rPr>
                <w:rStyle w:val="IndexLink"/>
                <w:rtl w:val="true"/>
              </w:rPr>
              <w:tab/>
            </w:r>
            <w:r>
              <w:rPr>
                <w:rStyle w:val="IndexLink"/>
              </w:rPr>
              <w:t>27</w:t>
            </w:r>
          </w:hyperlink>
        </w:p>
        <w:p>
          <w:pPr>
            <w:pStyle w:val="Contents5"/>
            <w:tabs>
              <w:tab w:val="clear" w:pos="7892"/>
              <w:tab w:val="right" w:pos="9026" w:leader="dot"/>
            </w:tabs>
            <w:rPr/>
          </w:pPr>
          <w:hyperlink w:anchor="__RefHeading___Toc3769787_2870459653">
            <w:r>
              <w:rPr>
                <w:webHidden/>
                <w:rStyle w:val="IndexLink"/>
                <w:rtl w:val="true"/>
              </w:rPr>
              <w:t>القول الثاني</w:t>
            </w:r>
            <w:r>
              <w:rPr>
                <w:rStyle w:val="IndexLink"/>
                <w:rtl w:val="true"/>
              </w:rPr>
              <w:t xml:space="preserve">: </w:t>
            </w:r>
            <w:r>
              <w:rPr>
                <w:rStyle w:val="IndexLink"/>
                <w:rtl w:val="true"/>
              </w:rPr>
              <w:t>أنَّهما سورة واحدة حقيقة وتعاد البسملة بينهما</w:t>
            </w:r>
            <w:r>
              <w:rPr>
                <w:rStyle w:val="IndexLink"/>
                <w:rtl w:val="true"/>
              </w:rPr>
              <w:tab/>
            </w:r>
            <w:r>
              <w:rPr>
                <w:rStyle w:val="IndexLink"/>
              </w:rPr>
              <w:t>28</w:t>
            </w:r>
          </w:hyperlink>
        </w:p>
        <w:p>
          <w:pPr>
            <w:pStyle w:val="Contents5"/>
            <w:tabs>
              <w:tab w:val="clear" w:pos="7892"/>
              <w:tab w:val="right" w:pos="9026" w:leader="dot"/>
            </w:tabs>
            <w:rPr/>
          </w:pPr>
          <w:hyperlink w:anchor="__RefHeading___Toc3769789_2870459653">
            <w:r>
              <w:rPr>
                <w:webHidden/>
                <w:rStyle w:val="IndexLink"/>
                <w:rtl w:val="true"/>
              </w:rPr>
              <w:t>القول الثالث</w:t>
            </w:r>
            <w:r>
              <w:rPr>
                <w:rStyle w:val="IndexLink"/>
                <w:rtl w:val="true"/>
              </w:rPr>
              <w:t xml:space="preserve">: </w:t>
            </w:r>
            <w:r>
              <w:rPr>
                <w:rStyle w:val="IndexLink"/>
                <w:rtl w:val="true"/>
              </w:rPr>
              <w:t>أنَّهما سورتان حقيقة وإن عبّر بعضهم أنَّهما بحكم السورة الواحدة فتجب قراءتهما معاً مع البسملة بينهما</w:t>
            </w:r>
            <w:r>
              <w:rPr>
                <w:rStyle w:val="IndexLink"/>
                <w:rtl w:val="true"/>
              </w:rPr>
              <w:tab/>
            </w:r>
            <w:r>
              <w:rPr>
                <w:rStyle w:val="IndexLink"/>
              </w:rPr>
              <w:t>28</w:t>
            </w:r>
          </w:hyperlink>
        </w:p>
        <w:p>
          <w:pPr>
            <w:pStyle w:val="Contents5"/>
            <w:tabs>
              <w:tab w:val="clear" w:pos="7892"/>
              <w:tab w:val="right" w:pos="9026" w:leader="dot"/>
            </w:tabs>
            <w:rPr/>
          </w:pPr>
          <w:hyperlink w:anchor="__RefHeading___Toc3769791_2870459653">
            <w:r>
              <w:rPr>
                <w:webHidden/>
                <w:rStyle w:val="IndexLink"/>
                <w:rtl w:val="true"/>
              </w:rPr>
              <w:t>القول الرابع</w:t>
            </w:r>
            <w:r>
              <w:rPr>
                <w:rStyle w:val="IndexLink"/>
                <w:rtl w:val="true"/>
              </w:rPr>
              <w:t xml:space="preserve">: </w:t>
            </w:r>
            <w:r>
              <w:rPr>
                <w:rStyle w:val="IndexLink"/>
                <w:rtl w:val="true"/>
              </w:rPr>
              <w:t>أنَّهما بحكم السورة الواحدة ولا تعاد البسملة بينهما</w:t>
            </w:r>
            <w:r>
              <w:rPr>
                <w:rStyle w:val="IndexLink"/>
                <w:rtl w:val="true"/>
              </w:rPr>
              <w:tab/>
            </w:r>
            <w:r>
              <w:rPr>
                <w:rStyle w:val="IndexLink"/>
              </w:rPr>
              <w:t>30</w:t>
            </w:r>
          </w:hyperlink>
        </w:p>
        <w:p>
          <w:pPr>
            <w:pStyle w:val="Contents5"/>
            <w:tabs>
              <w:tab w:val="clear" w:pos="7892"/>
              <w:tab w:val="right" w:pos="9026" w:leader="dot"/>
            </w:tabs>
            <w:rPr/>
          </w:pPr>
          <w:hyperlink w:anchor="__RefHeading___Toc3769793_2870459653">
            <w:r>
              <w:rPr>
                <w:webHidden/>
                <w:rStyle w:val="IndexLink"/>
                <w:rtl w:val="true"/>
              </w:rPr>
              <w:t>القول الخامس</w:t>
            </w:r>
            <w:r>
              <w:rPr>
                <w:rStyle w:val="IndexLink"/>
                <w:rtl w:val="true"/>
              </w:rPr>
              <w:t xml:space="preserve">: </w:t>
            </w:r>
            <w:r>
              <w:rPr>
                <w:rStyle w:val="IndexLink"/>
                <w:rtl w:val="true"/>
              </w:rPr>
              <w:t>يجب قراءتهما معاً</w:t>
            </w:r>
            <w:r>
              <w:rPr>
                <w:rStyle w:val="IndexLink"/>
                <w:rtl w:val="true"/>
              </w:rPr>
              <w:tab/>
            </w:r>
            <w:r>
              <w:rPr>
                <w:rStyle w:val="IndexLink"/>
              </w:rPr>
              <w:t>30</w:t>
            </w:r>
          </w:hyperlink>
        </w:p>
        <w:p>
          <w:pPr>
            <w:pStyle w:val="Contents5"/>
            <w:tabs>
              <w:tab w:val="clear" w:pos="7892"/>
              <w:tab w:val="right" w:pos="9026" w:leader="dot"/>
            </w:tabs>
            <w:rPr/>
          </w:pPr>
          <w:hyperlink w:anchor="__RefHeading___Toc3769795_2870459653">
            <w:r>
              <w:rPr>
                <w:webHidden/>
                <w:rStyle w:val="IndexLink"/>
                <w:rtl w:val="true"/>
              </w:rPr>
              <w:t>القول السادس</w:t>
            </w:r>
            <w:r>
              <w:rPr>
                <w:rStyle w:val="IndexLink"/>
                <w:rtl w:val="true"/>
              </w:rPr>
              <w:t xml:space="preserve">: </w:t>
            </w:r>
            <w:r>
              <w:rPr>
                <w:rStyle w:val="IndexLink"/>
                <w:rtl w:val="true"/>
              </w:rPr>
              <w:t>يجب قراءتهما معاً وتعاد البسملة بينهما، لكن هل هما سورتان أم سورة واحدة؟ لم يظهر</w:t>
            </w:r>
            <w:r>
              <w:rPr>
                <w:rStyle w:val="IndexLink"/>
                <w:rtl w:val="true"/>
              </w:rPr>
              <w:tab/>
            </w:r>
            <w:r>
              <w:rPr>
                <w:rStyle w:val="IndexLink"/>
              </w:rPr>
              <w:t>30</w:t>
            </w:r>
          </w:hyperlink>
        </w:p>
        <w:p>
          <w:pPr>
            <w:pStyle w:val="Contents5"/>
            <w:tabs>
              <w:tab w:val="clear" w:pos="7892"/>
              <w:tab w:val="right" w:pos="9026" w:leader="dot"/>
            </w:tabs>
            <w:rPr/>
          </w:pPr>
          <w:hyperlink w:anchor="__RefHeading___Toc3769797_2870459653">
            <w:r>
              <w:rPr>
                <w:webHidden/>
                <w:rStyle w:val="IndexLink"/>
                <w:rtl w:val="true"/>
              </w:rPr>
              <w:t>القول السابع</w:t>
            </w:r>
            <w:r>
              <w:rPr>
                <w:rStyle w:val="IndexLink"/>
                <w:rtl w:val="true"/>
              </w:rPr>
              <w:t xml:space="preserve">: </w:t>
            </w:r>
            <w:r>
              <w:rPr>
                <w:rStyle w:val="IndexLink"/>
                <w:rtl w:val="true"/>
              </w:rPr>
              <w:t>تجوز قراءتهما معاً مع البسملة بينهما استثناءً من حرمة القِران، كما يجوز أن يكتفى بقراءة إحداهما</w:t>
            </w:r>
            <w:r>
              <w:rPr>
                <w:rStyle w:val="IndexLink"/>
                <w:rtl w:val="true"/>
              </w:rPr>
              <w:tab/>
            </w:r>
            <w:r>
              <w:rPr>
                <w:rStyle w:val="IndexLink"/>
              </w:rPr>
              <w:t>31</w:t>
            </w:r>
          </w:hyperlink>
        </w:p>
        <w:p>
          <w:pPr>
            <w:pStyle w:val="Contents5"/>
            <w:tabs>
              <w:tab w:val="clear" w:pos="7892"/>
              <w:tab w:val="right" w:pos="9026" w:leader="dot"/>
            </w:tabs>
            <w:rPr/>
          </w:pPr>
          <w:hyperlink w:anchor="__RefHeading___Toc3769799_2870459653">
            <w:r>
              <w:rPr>
                <w:webHidden/>
                <w:rStyle w:val="IndexLink"/>
                <w:rtl w:val="true"/>
              </w:rPr>
              <w:t>القول الثامن</w:t>
            </w:r>
            <w:r>
              <w:rPr>
                <w:rStyle w:val="IndexLink"/>
                <w:rtl w:val="true"/>
              </w:rPr>
              <w:t xml:space="preserve">: </w:t>
            </w:r>
            <w:r>
              <w:rPr>
                <w:rStyle w:val="IndexLink"/>
                <w:rtl w:val="true"/>
              </w:rPr>
              <w:t>أنَّهما بحكم سورة واحدة، والاكتفاء بإحداهما خلاف الاحتياط</w:t>
            </w:r>
            <w:r>
              <w:rPr>
                <w:rStyle w:val="IndexLink"/>
                <w:rtl w:val="true"/>
              </w:rPr>
              <w:tab/>
            </w:r>
            <w:r>
              <w:rPr>
                <w:rStyle w:val="IndexLink"/>
              </w:rPr>
              <w:t>31</w:t>
            </w:r>
          </w:hyperlink>
        </w:p>
        <w:p>
          <w:pPr>
            <w:pStyle w:val="Contents5"/>
            <w:tabs>
              <w:tab w:val="clear" w:pos="7892"/>
              <w:tab w:val="right" w:pos="9026" w:leader="dot"/>
            </w:tabs>
            <w:rPr/>
          </w:pPr>
          <w:hyperlink w:anchor="__RefHeading___Toc3769801_2870459653">
            <w:r>
              <w:rPr>
                <w:webHidden/>
                <w:rStyle w:val="IndexLink"/>
                <w:rtl w:val="true"/>
              </w:rPr>
              <w:t>القول التاسع</w:t>
            </w:r>
            <w:r>
              <w:rPr>
                <w:rStyle w:val="IndexLink"/>
                <w:rtl w:val="true"/>
              </w:rPr>
              <w:t xml:space="preserve">: </w:t>
            </w:r>
            <w:r>
              <w:rPr>
                <w:rStyle w:val="IndexLink"/>
                <w:rtl w:val="true"/>
              </w:rPr>
              <w:t>من يظهر منه الاتّحاد والتوقّف في إعادة البسملة</w:t>
            </w:r>
            <w:r>
              <w:rPr>
                <w:rStyle w:val="IndexLink"/>
                <w:rtl w:val="true"/>
              </w:rPr>
              <w:tab/>
            </w:r>
            <w:r>
              <w:rPr>
                <w:rStyle w:val="IndexLink"/>
              </w:rPr>
              <w:t>32</w:t>
            </w:r>
          </w:hyperlink>
        </w:p>
        <w:p>
          <w:pPr>
            <w:pStyle w:val="Contents5"/>
            <w:tabs>
              <w:tab w:val="clear" w:pos="7892"/>
              <w:tab w:val="right" w:pos="9026" w:leader="dot"/>
            </w:tabs>
            <w:rPr/>
          </w:pPr>
          <w:hyperlink w:anchor="__RefHeading___Toc3769803_2870459653">
            <w:r>
              <w:rPr>
                <w:webHidden/>
                <w:rStyle w:val="IndexLink"/>
                <w:rtl w:val="true"/>
              </w:rPr>
              <w:t>القول العاشر</w:t>
            </w:r>
            <w:r>
              <w:rPr>
                <w:rStyle w:val="IndexLink"/>
                <w:rtl w:val="true"/>
              </w:rPr>
              <w:t xml:space="preserve">: </w:t>
            </w:r>
            <w:r>
              <w:rPr>
                <w:rStyle w:val="IndexLink"/>
                <w:rtl w:val="true"/>
              </w:rPr>
              <w:t>أنَّهما متّحدتان موضوعاً، وقراءة البسملة بينهما احتياطاً بنحو القربة المطلقة</w:t>
            </w:r>
            <w:r>
              <w:rPr>
                <w:rStyle w:val="IndexLink"/>
                <w:rtl w:val="true"/>
              </w:rPr>
              <w:tab/>
            </w:r>
            <w:r>
              <w:rPr>
                <w:rStyle w:val="IndexLink"/>
              </w:rPr>
              <w:t>32</w:t>
            </w:r>
          </w:hyperlink>
        </w:p>
        <w:p>
          <w:pPr>
            <w:pStyle w:val="Contents5"/>
            <w:tabs>
              <w:tab w:val="clear" w:pos="7892"/>
              <w:tab w:val="right" w:pos="9026" w:leader="dot"/>
            </w:tabs>
            <w:rPr/>
          </w:pPr>
          <w:hyperlink w:anchor="__RefHeading___Toc3769805_2870459653">
            <w:r>
              <w:rPr>
                <w:webHidden/>
                <w:rStyle w:val="IndexLink"/>
                <w:rtl w:val="true"/>
              </w:rPr>
              <w:t>القول الحادي عشر</w:t>
            </w:r>
            <w:r>
              <w:rPr>
                <w:rStyle w:val="IndexLink"/>
                <w:rtl w:val="true"/>
              </w:rPr>
              <w:t xml:space="preserve">: </w:t>
            </w:r>
            <w:r>
              <w:rPr>
                <w:rStyle w:val="IndexLink"/>
                <w:rtl w:val="true"/>
              </w:rPr>
              <w:t>التوقّف في المسألة، وما يؤدّي مؤدّاه من الاحتياط الوجوبيّ</w:t>
            </w:r>
            <w:r>
              <w:rPr>
                <w:rStyle w:val="IndexLink"/>
                <w:rtl w:val="true"/>
              </w:rPr>
              <w:tab/>
            </w:r>
            <w:r>
              <w:rPr>
                <w:rStyle w:val="IndexLink"/>
              </w:rPr>
              <w:t>32</w:t>
            </w:r>
          </w:hyperlink>
        </w:p>
        <w:p>
          <w:pPr>
            <w:pStyle w:val="Contents3"/>
            <w:tabs>
              <w:tab w:val="clear" w:pos="8459"/>
              <w:tab w:val="right" w:pos="9026" w:leader="dot"/>
            </w:tabs>
            <w:rPr/>
          </w:pPr>
          <w:hyperlink w:anchor="__RefHeading___Toc3769807_2870459653">
            <w:r>
              <w:rPr>
                <w:webHidden/>
                <w:rStyle w:val="IndexLink"/>
                <w:rtl w:val="true"/>
              </w:rPr>
              <w:t>المحور الثاني</w:t>
            </w:r>
            <w:r>
              <w:rPr>
                <w:rStyle w:val="IndexLink"/>
                <w:rtl w:val="true"/>
              </w:rPr>
              <w:t xml:space="preserve">: </w:t>
            </w:r>
            <w:r>
              <w:rPr>
                <w:rStyle w:val="IndexLink"/>
                <w:rtl w:val="true"/>
              </w:rPr>
              <w:t>أدلّة القولين</w:t>
            </w:r>
            <w:r>
              <w:rPr>
                <w:rStyle w:val="IndexLink"/>
                <w:rtl w:val="true"/>
              </w:rPr>
              <w:tab/>
            </w:r>
            <w:r>
              <w:rPr>
                <w:rStyle w:val="IndexLink"/>
              </w:rPr>
              <w:t>33</w:t>
            </w:r>
          </w:hyperlink>
        </w:p>
        <w:p>
          <w:pPr>
            <w:pStyle w:val="Contents4"/>
            <w:tabs>
              <w:tab w:val="clear" w:pos="8176"/>
              <w:tab w:val="right" w:pos="9026" w:leader="dot"/>
            </w:tabs>
            <w:rPr/>
          </w:pPr>
          <w:hyperlink w:anchor="__RefHeading___Toc3769809_2870459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769811_2870459653">
            <w:r>
              <w:rPr>
                <w:webHidden/>
                <w:rStyle w:val="IndexLink"/>
                <w:rtl w:val="true"/>
              </w:rPr>
              <w:t>أوّلاً</w:t>
            </w:r>
            <w:r>
              <w:rPr>
                <w:rStyle w:val="IndexLink"/>
                <w:rtl w:val="true"/>
              </w:rPr>
              <w:t xml:space="preserve">: </w:t>
            </w:r>
            <w:r>
              <w:rPr>
                <w:rStyle w:val="IndexLink"/>
                <w:rtl w:val="true"/>
              </w:rPr>
              <w:t>أدلّة القول بتعدّد السورتين حقيقةً</w:t>
            </w:r>
            <w:r>
              <w:rPr>
                <w:rStyle w:val="IndexLink"/>
                <w:rtl w:val="true"/>
              </w:rPr>
              <w:tab/>
            </w:r>
            <w:r>
              <w:rPr>
                <w:rStyle w:val="IndexLink"/>
              </w:rPr>
              <w:t>33</w:t>
            </w:r>
          </w:hyperlink>
        </w:p>
        <w:p>
          <w:pPr>
            <w:pStyle w:val="Contents5"/>
            <w:tabs>
              <w:tab w:val="clear" w:pos="7892"/>
              <w:tab w:val="right" w:pos="9026" w:leader="dot"/>
            </w:tabs>
            <w:rPr/>
          </w:pPr>
          <w:hyperlink w:anchor="__RefHeading___Toc3769813_2870459653">
            <w:r>
              <w:rPr>
                <w:webHidden/>
                <w:rStyle w:val="IndexLink"/>
                <w:rtl w:val="true"/>
              </w:rPr>
              <w:t>الدليل الأوّل</w:t>
            </w:r>
            <w:r>
              <w:rPr>
                <w:rStyle w:val="IndexLink"/>
                <w:rtl w:val="true"/>
              </w:rPr>
              <w:t xml:space="preserve">: </w:t>
            </w:r>
            <w:r>
              <w:rPr>
                <w:rStyle w:val="IndexLink"/>
                <w:rtl w:val="true"/>
              </w:rPr>
              <w:t>الفصل بين السورتين في المصحف بالبسملة</w:t>
            </w:r>
            <w:r>
              <w:rPr>
                <w:rStyle w:val="IndexLink"/>
                <w:rtl w:val="true"/>
              </w:rPr>
              <w:tab/>
            </w:r>
            <w:r>
              <w:rPr>
                <w:rStyle w:val="IndexLink"/>
              </w:rPr>
              <w:t>33</w:t>
            </w:r>
          </w:hyperlink>
        </w:p>
        <w:p>
          <w:pPr>
            <w:pStyle w:val="Contents5"/>
            <w:tabs>
              <w:tab w:val="clear" w:pos="7892"/>
              <w:tab w:val="right" w:pos="9026" w:leader="dot"/>
            </w:tabs>
            <w:rPr/>
          </w:pPr>
          <w:hyperlink w:anchor="__RefHeading___Toc3769815_2870459653">
            <w:r>
              <w:rPr>
                <w:webHidden/>
                <w:rStyle w:val="IndexLink"/>
                <w:rtl w:val="true"/>
              </w:rPr>
              <w:t>الدليل الثاني</w:t>
            </w:r>
            <w:r>
              <w:rPr>
                <w:rStyle w:val="IndexLink"/>
                <w:rtl w:val="true"/>
              </w:rPr>
              <w:t xml:space="preserve">: </w:t>
            </w:r>
            <w:r>
              <w:rPr>
                <w:rStyle w:val="IndexLink"/>
                <w:rtl w:val="true"/>
              </w:rPr>
              <w:t>أنَّ مقتضى تسمية كلّ سورة من السور الأربع باسمٍ خاصّ بها أن تكون سورة برأسها</w:t>
            </w:r>
            <w:r>
              <w:rPr>
                <w:rStyle w:val="IndexLink"/>
                <w:rtl w:val="true"/>
              </w:rPr>
              <w:tab/>
            </w:r>
            <w:r>
              <w:rPr>
                <w:rStyle w:val="IndexLink"/>
              </w:rPr>
              <w:t>40</w:t>
            </w:r>
          </w:hyperlink>
        </w:p>
        <w:p>
          <w:pPr>
            <w:pStyle w:val="Contents6"/>
            <w:tabs>
              <w:tab w:val="clear" w:pos="7609"/>
              <w:tab w:val="right" w:pos="9026" w:leader="dot"/>
            </w:tabs>
            <w:rPr/>
          </w:pPr>
          <w:hyperlink w:anchor="__RefHeading___Toc3769817_2870459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769819_2870459653">
            <w:r>
              <w:rPr>
                <w:webHidden/>
                <w:rStyle w:val="IndexLink"/>
                <w:rtl w:val="true"/>
              </w:rPr>
              <w:t>المورد الأوّل</w:t>
            </w:r>
            <w:r>
              <w:rPr>
                <w:rStyle w:val="IndexLink"/>
                <w:rtl w:val="true"/>
              </w:rPr>
              <w:tab/>
            </w:r>
            <w:r>
              <w:rPr>
                <w:rStyle w:val="IndexLink"/>
              </w:rPr>
              <w:t>41</w:t>
            </w:r>
          </w:hyperlink>
        </w:p>
        <w:p>
          <w:pPr>
            <w:pStyle w:val="Contents6"/>
            <w:tabs>
              <w:tab w:val="clear" w:pos="7609"/>
              <w:tab w:val="right" w:pos="9026" w:leader="dot"/>
            </w:tabs>
            <w:rPr/>
          </w:pPr>
          <w:hyperlink w:anchor="__RefHeading___Toc3769821_2870459653">
            <w:r>
              <w:rPr>
                <w:webHidden/>
                <w:rStyle w:val="IndexLink"/>
                <w:rtl w:val="true"/>
              </w:rPr>
              <w:t>المورد الآخر</w:t>
            </w:r>
            <w:r>
              <w:rPr>
                <w:rStyle w:val="IndexLink"/>
                <w:rtl w:val="true"/>
              </w:rPr>
              <w:tab/>
            </w:r>
            <w:r>
              <w:rPr>
                <w:rStyle w:val="IndexLink"/>
              </w:rPr>
              <w:t>41</w:t>
            </w:r>
          </w:hyperlink>
        </w:p>
        <w:p>
          <w:pPr>
            <w:pStyle w:val="Contents5"/>
            <w:tabs>
              <w:tab w:val="clear" w:pos="7892"/>
              <w:tab w:val="right" w:pos="9026" w:leader="dot"/>
            </w:tabs>
            <w:rPr/>
          </w:pPr>
          <w:hyperlink w:anchor="__RefHeading___Toc3769823_2870459653">
            <w:r>
              <w:rPr>
                <w:webHidden/>
                <w:rStyle w:val="IndexLink"/>
                <w:rtl w:val="true"/>
              </w:rPr>
              <w:t>الدليل الثالث</w:t>
            </w:r>
            <w:r>
              <w:rPr>
                <w:rStyle w:val="IndexLink"/>
                <w:rtl w:val="true"/>
              </w:rPr>
              <w:t xml:space="preserve">: </w:t>
            </w:r>
            <w:r>
              <w:rPr>
                <w:rStyle w:val="IndexLink"/>
                <w:rtl w:val="true"/>
              </w:rPr>
              <w:t>الروايات التي تضمّنت التعبير عن كلّ من هذه السور بعنوان السورة</w:t>
            </w:r>
            <w:r>
              <w:rPr>
                <w:rStyle w:val="IndexLink"/>
                <w:rtl w:val="true"/>
              </w:rPr>
              <w:tab/>
            </w:r>
            <w:r>
              <w:rPr>
                <w:rStyle w:val="IndexLink"/>
              </w:rPr>
              <w:t>43</w:t>
            </w:r>
          </w:hyperlink>
        </w:p>
        <w:p>
          <w:pPr>
            <w:pStyle w:val="Contents5"/>
            <w:tabs>
              <w:tab w:val="clear" w:pos="7892"/>
              <w:tab w:val="right" w:pos="9026" w:leader="dot"/>
            </w:tabs>
            <w:rPr/>
          </w:pPr>
          <w:hyperlink w:anchor="__RefHeading___Toc3769825_2870459653">
            <w:r>
              <w:rPr>
                <w:webHidden/>
                <w:rStyle w:val="IndexLink"/>
                <w:rtl w:val="true"/>
              </w:rPr>
              <w:t>الدليل الرابع</w:t>
            </w:r>
            <w:r>
              <w:rPr>
                <w:rStyle w:val="IndexLink"/>
                <w:rtl w:val="true"/>
              </w:rPr>
              <w:t xml:space="preserve">: </w:t>
            </w:r>
            <w:r>
              <w:rPr>
                <w:rStyle w:val="IndexLink"/>
                <w:rtl w:val="true"/>
              </w:rPr>
              <w:t>ما تضمّن التوصية بقراءة واحدة من هذه السور لوحدها</w:t>
            </w:r>
            <w:r>
              <w:rPr>
                <w:rStyle w:val="IndexLink"/>
                <w:rtl w:val="true"/>
              </w:rPr>
              <w:tab/>
            </w:r>
            <w:r>
              <w:rPr>
                <w:rStyle w:val="IndexLink"/>
              </w:rPr>
              <w:t>43</w:t>
            </w:r>
          </w:hyperlink>
        </w:p>
        <w:p>
          <w:pPr>
            <w:pStyle w:val="Contents5"/>
            <w:tabs>
              <w:tab w:val="clear" w:pos="7892"/>
              <w:tab w:val="right" w:pos="9026" w:leader="dot"/>
            </w:tabs>
            <w:rPr/>
          </w:pPr>
          <w:hyperlink w:anchor="__RefHeading___Toc3769827_2870459653">
            <w:r>
              <w:rPr>
                <w:webHidden/>
                <w:rStyle w:val="IndexLink"/>
                <w:rtl w:val="true"/>
              </w:rPr>
              <w:t>الدليل الخامس</w:t>
            </w:r>
            <w:r>
              <w:rPr>
                <w:rStyle w:val="IndexLink"/>
                <w:rtl w:val="true"/>
              </w:rPr>
              <w:t xml:space="preserve">: </w:t>
            </w:r>
            <w:r>
              <w:rPr>
                <w:rStyle w:val="IndexLink"/>
                <w:rtl w:val="true"/>
              </w:rPr>
              <w:t>ما ورد من الثواب على قراءة إحدى هذه السور</w:t>
            </w:r>
            <w:r>
              <w:rPr>
                <w:rStyle w:val="IndexLink"/>
                <w:rtl w:val="true"/>
              </w:rPr>
              <w:tab/>
            </w:r>
            <w:r>
              <w:rPr>
                <w:rStyle w:val="IndexLink"/>
              </w:rPr>
              <w:t>45</w:t>
            </w:r>
          </w:hyperlink>
        </w:p>
        <w:p>
          <w:pPr>
            <w:pStyle w:val="Contents5"/>
            <w:tabs>
              <w:tab w:val="clear" w:pos="7892"/>
              <w:tab w:val="right" w:pos="9026" w:leader="dot"/>
            </w:tabs>
            <w:rPr/>
          </w:pPr>
          <w:hyperlink w:anchor="__RefHeading___Toc3769829_2870459653">
            <w:r>
              <w:rPr>
                <w:webHidden/>
                <w:rStyle w:val="IndexLink"/>
                <w:rtl w:val="true"/>
              </w:rPr>
              <w:t>الدليل السادس</w:t>
            </w:r>
            <w:r>
              <w:rPr>
                <w:rStyle w:val="IndexLink"/>
                <w:rtl w:val="true"/>
              </w:rPr>
              <w:t xml:space="preserve">: </w:t>
            </w:r>
            <w:r>
              <w:rPr>
                <w:rStyle w:val="IndexLink"/>
                <w:rtl w:val="true"/>
              </w:rPr>
              <w:t xml:space="preserve">ما دلّ على أنَّ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قد قرأ إحدى السورتين في ركعة من الفريضة</w:t>
            </w:r>
            <w:r>
              <w:rPr>
                <w:rStyle w:val="IndexLink"/>
                <w:rtl w:val="true"/>
              </w:rPr>
              <w:tab/>
            </w:r>
            <w:r>
              <w:rPr>
                <w:rStyle w:val="IndexLink"/>
              </w:rPr>
              <w:t>46</w:t>
            </w:r>
          </w:hyperlink>
        </w:p>
        <w:p>
          <w:pPr>
            <w:pStyle w:val="Contents5"/>
            <w:tabs>
              <w:tab w:val="clear" w:pos="7892"/>
              <w:tab w:val="right" w:pos="9026" w:leader="dot"/>
            </w:tabs>
            <w:rPr/>
          </w:pPr>
          <w:hyperlink w:anchor="__RefHeading___Toc3769831_2870459653">
            <w:r>
              <w:rPr>
                <w:webHidden/>
                <w:rStyle w:val="IndexLink"/>
                <w:rtl w:val="true"/>
              </w:rPr>
              <w:t>الدليل السابع</w:t>
            </w:r>
            <w:r>
              <w:rPr>
                <w:rStyle w:val="IndexLink"/>
                <w:rtl w:val="true"/>
              </w:rPr>
              <w:t xml:space="preserve">: </w:t>
            </w:r>
            <w:r>
              <w:rPr>
                <w:rStyle w:val="IndexLink"/>
                <w:rtl w:val="true"/>
              </w:rPr>
              <w:t>دعوى سيرة المتشرّعة</w:t>
            </w:r>
            <w:r>
              <w:rPr>
                <w:rStyle w:val="IndexLink"/>
                <w:rtl w:val="true"/>
              </w:rPr>
              <w:tab/>
            </w:r>
            <w:r>
              <w:rPr>
                <w:rStyle w:val="IndexLink"/>
              </w:rPr>
              <w:t>46</w:t>
            </w:r>
          </w:hyperlink>
        </w:p>
        <w:p>
          <w:pPr>
            <w:pStyle w:val="Contents4"/>
            <w:tabs>
              <w:tab w:val="clear" w:pos="8176"/>
              <w:tab w:val="right" w:pos="9026" w:leader="dot"/>
            </w:tabs>
            <w:rPr/>
          </w:pPr>
          <w:hyperlink w:anchor="__RefHeading___Toc3769833_2870459653">
            <w:r>
              <w:rPr>
                <w:webHidden/>
                <w:rStyle w:val="IndexLink"/>
                <w:rtl w:val="true"/>
              </w:rPr>
              <w:t>ثانياً</w:t>
            </w:r>
            <w:r>
              <w:rPr>
                <w:rStyle w:val="IndexLink"/>
                <w:rtl w:val="true"/>
              </w:rPr>
              <w:t xml:space="preserve">: </w:t>
            </w:r>
            <w:r>
              <w:rPr>
                <w:rStyle w:val="IndexLink"/>
                <w:rtl w:val="true"/>
              </w:rPr>
              <w:t>أدلّة القول بوحدة السورتين حقيقة</w:t>
            </w:r>
            <w:r>
              <w:rPr>
                <w:rStyle w:val="IndexLink"/>
                <w:rtl w:val="true"/>
              </w:rPr>
              <w:tab/>
            </w:r>
            <w:r>
              <w:rPr>
                <w:rStyle w:val="IndexLink"/>
              </w:rPr>
              <w:t>49</w:t>
            </w:r>
          </w:hyperlink>
        </w:p>
        <w:p>
          <w:pPr>
            <w:pStyle w:val="Contents5"/>
            <w:tabs>
              <w:tab w:val="clear" w:pos="7892"/>
              <w:tab w:val="right" w:pos="9026" w:leader="dot"/>
            </w:tabs>
            <w:rPr/>
          </w:pPr>
          <w:hyperlink w:anchor="__RefHeading___Toc3769835_2870459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769837_2870459653">
            <w:r>
              <w:rPr>
                <w:webHidden/>
                <w:rStyle w:val="IndexLink"/>
                <w:rtl w:val="true"/>
              </w:rPr>
              <w:t>تفصيل الكلام في هذه الأدلّة</w:t>
            </w:r>
            <w:r>
              <w:rPr>
                <w:rStyle w:val="IndexLink"/>
                <w:rtl w:val="true"/>
              </w:rPr>
              <w:tab/>
            </w:r>
            <w:r>
              <w:rPr>
                <w:rStyle w:val="IndexLink"/>
              </w:rPr>
              <w:t>49</w:t>
            </w:r>
          </w:hyperlink>
        </w:p>
        <w:p>
          <w:pPr>
            <w:pStyle w:val="Contents6"/>
            <w:tabs>
              <w:tab w:val="clear" w:pos="7609"/>
              <w:tab w:val="right" w:pos="9026" w:leader="dot"/>
            </w:tabs>
            <w:rPr/>
          </w:pPr>
          <w:hyperlink w:anchor="__RefHeading___Toc3769839_2870459653">
            <w:r>
              <w:rPr>
                <w:webHidden/>
                <w:rStyle w:val="IndexLink"/>
                <w:rtl w:val="true"/>
              </w:rPr>
              <w:t>الدليل الأوّل</w:t>
            </w:r>
            <w:r>
              <w:rPr>
                <w:rStyle w:val="IndexLink"/>
                <w:rtl w:val="true"/>
              </w:rPr>
              <w:t xml:space="preserve">: </w:t>
            </w:r>
            <w:r>
              <w:rPr>
                <w:rStyle w:val="IndexLink"/>
                <w:rtl w:val="true"/>
              </w:rPr>
              <w:t>الإجماع وما يؤدّي مؤدّاه</w:t>
            </w:r>
            <w:r>
              <w:rPr>
                <w:rStyle w:val="IndexLink"/>
                <w:rtl w:val="true"/>
              </w:rPr>
              <w:tab/>
            </w:r>
            <w:r>
              <w:rPr>
                <w:rStyle w:val="IndexLink"/>
              </w:rPr>
              <w:t>49</w:t>
            </w:r>
          </w:hyperlink>
        </w:p>
        <w:p>
          <w:pPr>
            <w:pStyle w:val="Contents6"/>
            <w:tabs>
              <w:tab w:val="clear" w:pos="7609"/>
              <w:tab w:val="right" w:pos="9026" w:leader="dot"/>
            </w:tabs>
            <w:rPr/>
          </w:pPr>
          <w:hyperlink w:anchor="__RefHeading___Toc3769841_2870459653">
            <w:r>
              <w:rPr>
                <w:webHidden/>
                <w:rStyle w:val="IndexLink"/>
                <w:rtl w:val="true"/>
              </w:rPr>
              <w:t>الدليل الثاني</w:t>
            </w:r>
            <w:r>
              <w:rPr>
                <w:rStyle w:val="IndexLink"/>
                <w:rtl w:val="true"/>
              </w:rPr>
              <w:t xml:space="preserve">: </w:t>
            </w:r>
            <w:r>
              <w:rPr>
                <w:rStyle w:val="IndexLink"/>
                <w:rtl w:val="true"/>
              </w:rPr>
              <w:t>الروايات الخاصّة</w:t>
            </w:r>
            <w:r>
              <w:rPr>
                <w:rStyle w:val="IndexLink"/>
                <w:rtl w:val="true"/>
              </w:rPr>
              <w:tab/>
            </w:r>
            <w:r>
              <w:rPr>
                <w:rStyle w:val="IndexLink"/>
              </w:rPr>
              <w:t>51</w:t>
            </w:r>
          </w:hyperlink>
        </w:p>
        <w:p>
          <w:pPr>
            <w:pStyle w:val="Contents6"/>
            <w:tabs>
              <w:tab w:val="clear" w:pos="7609"/>
              <w:tab w:val="right" w:pos="9026" w:leader="dot"/>
            </w:tabs>
            <w:rPr/>
          </w:pPr>
          <w:hyperlink w:anchor="__RefHeading___Toc3769843_2870459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769845_2870459653">
            <w:r>
              <w:rPr>
                <w:webHidden/>
                <w:rStyle w:val="IndexLink"/>
                <w:rtl w:val="true"/>
              </w:rPr>
              <w:t>الروايات المسندة</w:t>
            </w:r>
            <w:r>
              <w:rPr>
                <w:rStyle w:val="IndexLink"/>
                <w:rtl w:val="true"/>
              </w:rPr>
              <w:tab/>
            </w:r>
            <w:r>
              <w:rPr>
                <w:rStyle w:val="IndexLink"/>
              </w:rPr>
              <w:t>51</w:t>
            </w:r>
          </w:hyperlink>
        </w:p>
        <w:p>
          <w:pPr>
            <w:pStyle w:val="Contents6"/>
            <w:tabs>
              <w:tab w:val="clear" w:pos="7609"/>
              <w:tab w:val="right" w:pos="9026" w:leader="dot"/>
            </w:tabs>
            <w:rPr/>
          </w:pPr>
          <w:hyperlink w:anchor="__RefHeading___Toc3769847_2870459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769849_2870459653">
            <w:r>
              <w:rPr>
                <w:webHidden/>
                <w:rStyle w:val="IndexLink"/>
                <w:rtl w:val="true"/>
              </w:rPr>
              <w:t>الطائفة الأولى</w:t>
            </w:r>
            <w:r>
              <w:rPr>
                <w:rStyle w:val="IndexLink"/>
                <w:rtl w:val="true"/>
              </w:rPr>
              <w:t xml:space="preserve">: </w:t>
            </w:r>
            <w:r>
              <w:rPr>
                <w:rStyle w:val="IndexLink"/>
                <w:rtl w:val="true"/>
              </w:rPr>
              <w:t>أنَّهما سورتان ولكن يجمع بينهما</w:t>
            </w:r>
            <w:r>
              <w:rPr>
                <w:rStyle w:val="IndexLink"/>
                <w:rtl w:val="true"/>
              </w:rPr>
              <w:tab/>
            </w:r>
            <w:r>
              <w:rPr>
                <w:rStyle w:val="IndexLink"/>
              </w:rPr>
              <w:t>51</w:t>
            </w:r>
          </w:hyperlink>
        </w:p>
        <w:p>
          <w:pPr>
            <w:pStyle w:val="Contents6"/>
            <w:tabs>
              <w:tab w:val="clear" w:pos="7609"/>
              <w:tab w:val="right" w:pos="9026" w:leader="dot"/>
            </w:tabs>
            <w:rPr/>
          </w:pPr>
          <w:hyperlink w:anchor="__RefHeading___Toc3769851_2870459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769853_2870459653">
            <w:r>
              <w:rPr>
                <w:webHidden/>
                <w:rStyle w:val="IndexLink"/>
                <w:rtl w:val="true"/>
              </w:rPr>
              <w:t>الرواية الأولى</w:t>
            </w:r>
            <w:r>
              <w:rPr>
                <w:rStyle w:val="IndexLink"/>
                <w:rtl w:val="true"/>
              </w:rPr>
              <w:tab/>
            </w:r>
            <w:r>
              <w:rPr>
                <w:rStyle w:val="IndexLink"/>
              </w:rPr>
              <w:t>51</w:t>
            </w:r>
          </w:hyperlink>
        </w:p>
        <w:p>
          <w:pPr>
            <w:pStyle w:val="Contents6"/>
            <w:tabs>
              <w:tab w:val="clear" w:pos="7609"/>
              <w:tab w:val="right" w:pos="9026" w:leader="dot"/>
            </w:tabs>
            <w:rPr/>
          </w:pPr>
          <w:hyperlink w:anchor="__RefHeading___Toc3769855_2870459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769857_2870459653">
            <w:r>
              <w:rPr>
                <w:webHidden/>
                <w:rStyle w:val="IndexLink"/>
                <w:rtl w:val="true"/>
              </w:rPr>
              <w:t>الوجه الأوّل</w:t>
            </w:r>
            <w:r>
              <w:rPr>
                <w:rStyle w:val="IndexLink"/>
                <w:rtl w:val="true"/>
              </w:rPr>
              <w:tab/>
            </w:r>
            <w:r>
              <w:rPr>
                <w:rStyle w:val="IndexLink"/>
              </w:rPr>
              <w:t>53</w:t>
            </w:r>
          </w:hyperlink>
        </w:p>
        <w:p>
          <w:pPr>
            <w:pStyle w:val="Contents6"/>
            <w:tabs>
              <w:tab w:val="clear" w:pos="7609"/>
              <w:tab w:val="right" w:pos="9026" w:leader="dot"/>
            </w:tabs>
            <w:rPr/>
          </w:pPr>
          <w:hyperlink w:anchor="__RefHeading___Toc3769859_2870459653">
            <w:r>
              <w:rPr>
                <w:webHidden/>
                <w:rStyle w:val="IndexLink"/>
                <w:rtl w:val="true"/>
              </w:rPr>
              <w:t>الوجه الثاني</w:t>
            </w:r>
            <w:r>
              <w:rPr>
                <w:rStyle w:val="IndexLink"/>
                <w:rtl w:val="true"/>
              </w:rPr>
              <w:tab/>
            </w:r>
            <w:r>
              <w:rPr>
                <w:rStyle w:val="IndexLink"/>
              </w:rPr>
              <w:t>53</w:t>
            </w:r>
          </w:hyperlink>
        </w:p>
        <w:p>
          <w:pPr>
            <w:pStyle w:val="Contents6"/>
            <w:tabs>
              <w:tab w:val="clear" w:pos="7609"/>
              <w:tab w:val="right" w:pos="9026" w:leader="dot"/>
            </w:tabs>
            <w:rPr/>
          </w:pPr>
          <w:hyperlink w:anchor="__RefHeading___Toc3769861_2870459653">
            <w:r>
              <w:rPr>
                <w:webHidden/>
                <w:rStyle w:val="IndexLink"/>
                <w:rtl w:val="true"/>
              </w:rPr>
              <w:t>الوجه الثالث</w:t>
            </w:r>
            <w:r>
              <w:rPr>
                <w:rStyle w:val="IndexLink"/>
                <w:rtl w:val="true"/>
              </w:rPr>
              <w:tab/>
            </w:r>
            <w:r>
              <w:rPr>
                <w:rStyle w:val="IndexLink"/>
              </w:rPr>
              <w:t>54</w:t>
            </w:r>
          </w:hyperlink>
        </w:p>
        <w:p>
          <w:pPr>
            <w:pStyle w:val="Contents6"/>
            <w:tabs>
              <w:tab w:val="clear" w:pos="7609"/>
              <w:tab w:val="right" w:pos="9026" w:leader="dot"/>
            </w:tabs>
            <w:rPr/>
          </w:pPr>
          <w:hyperlink w:anchor="__RefHeading___Toc3769863_2870459653">
            <w:r>
              <w:rPr>
                <w:webHidden/>
                <w:rStyle w:val="IndexLink"/>
                <w:rtl w:val="true"/>
              </w:rPr>
              <w:t>الطائفة الثانية</w:t>
            </w:r>
            <w:r>
              <w:rPr>
                <w:rStyle w:val="IndexLink"/>
                <w:rtl w:val="true"/>
              </w:rPr>
              <w:t xml:space="preserve">: </w:t>
            </w:r>
            <w:r>
              <w:rPr>
                <w:rStyle w:val="IndexLink"/>
                <w:rtl w:val="true"/>
              </w:rPr>
              <w:t>ما ورد فيها أنَّهما سورة واحدة</w:t>
            </w:r>
            <w:r>
              <w:rPr>
                <w:rStyle w:val="IndexLink"/>
                <w:rtl w:val="true"/>
              </w:rPr>
              <w:tab/>
            </w:r>
            <w:r>
              <w:rPr>
                <w:rStyle w:val="IndexLink"/>
              </w:rPr>
              <w:t>55</w:t>
            </w:r>
          </w:hyperlink>
        </w:p>
        <w:p>
          <w:pPr>
            <w:pStyle w:val="Contents6"/>
            <w:tabs>
              <w:tab w:val="clear" w:pos="7609"/>
              <w:tab w:val="right" w:pos="9026" w:leader="dot"/>
            </w:tabs>
            <w:rPr/>
          </w:pPr>
          <w:hyperlink w:anchor="__RefHeading___Toc3769865_2870459653">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769867_2870459653">
            <w:r>
              <w:rPr>
                <w:webHidden/>
                <w:rStyle w:val="IndexLink"/>
                <w:rtl w:val="true"/>
              </w:rPr>
              <w:t>الأولى</w:t>
            </w:r>
            <w:r>
              <w:rPr>
                <w:rStyle w:val="IndexLink"/>
                <w:rtl w:val="true"/>
              </w:rPr>
              <w:tab/>
            </w:r>
            <w:r>
              <w:rPr>
                <w:rStyle w:val="IndexLink"/>
              </w:rPr>
              <w:t>55</w:t>
            </w:r>
          </w:hyperlink>
        </w:p>
        <w:p>
          <w:pPr>
            <w:pStyle w:val="Contents6"/>
            <w:tabs>
              <w:tab w:val="clear" w:pos="7609"/>
              <w:tab w:val="right" w:pos="9026" w:leader="dot"/>
            </w:tabs>
            <w:rPr/>
          </w:pPr>
          <w:hyperlink w:anchor="__RefHeading___Toc3769869_2870459653">
            <w:r>
              <w:rPr>
                <w:webHidden/>
                <w:rStyle w:val="IndexLink"/>
                <w:rtl w:val="true"/>
              </w:rPr>
              <w:t>الثانية</w:t>
            </w:r>
            <w:r>
              <w:rPr>
                <w:rStyle w:val="IndexLink"/>
                <w:rtl w:val="true"/>
              </w:rPr>
              <w:tab/>
            </w:r>
            <w:r>
              <w:rPr>
                <w:rStyle w:val="IndexLink"/>
              </w:rPr>
              <w:t>56</w:t>
            </w:r>
          </w:hyperlink>
        </w:p>
        <w:p>
          <w:pPr>
            <w:pStyle w:val="Contents6"/>
            <w:tabs>
              <w:tab w:val="clear" w:pos="7609"/>
              <w:tab w:val="right" w:pos="9026" w:leader="dot"/>
            </w:tabs>
            <w:rPr/>
          </w:pPr>
          <w:hyperlink w:anchor="__RefHeading___Toc3769871_2870459653">
            <w:r>
              <w:rPr>
                <w:webHidden/>
                <w:rStyle w:val="IndexLink"/>
                <w:rtl w:val="true"/>
              </w:rPr>
              <w:t>الثالثة</w:t>
            </w:r>
            <w:r>
              <w:rPr>
                <w:rStyle w:val="IndexLink"/>
                <w:rtl w:val="true"/>
              </w:rPr>
              <w:tab/>
            </w:r>
            <w:r>
              <w:rPr>
                <w:rStyle w:val="IndexLink"/>
              </w:rPr>
              <w:t>57</w:t>
            </w:r>
          </w:hyperlink>
        </w:p>
        <w:p>
          <w:pPr>
            <w:pStyle w:val="Contents6"/>
            <w:tabs>
              <w:tab w:val="clear" w:pos="7609"/>
              <w:tab w:val="right" w:pos="9026" w:leader="dot"/>
            </w:tabs>
            <w:rPr/>
          </w:pPr>
          <w:hyperlink w:anchor="__RefHeading___Toc3769873_2870459653">
            <w:r>
              <w:rPr>
                <w:webHidden/>
                <w:rStyle w:val="IndexLink"/>
                <w:rtl w:val="true"/>
              </w:rPr>
              <w:t>الروايات المرسلة</w:t>
            </w:r>
            <w:r>
              <w:rPr>
                <w:rStyle w:val="IndexLink"/>
                <w:rtl w:val="true"/>
              </w:rPr>
              <w:tab/>
            </w:r>
            <w:r>
              <w:rPr>
                <w:rStyle w:val="IndexLink"/>
              </w:rPr>
              <w:t>57</w:t>
            </w:r>
          </w:hyperlink>
        </w:p>
        <w:p>
          <w:pPr>
            <w:pStyle w:val="Contents6"/>
            <w:tabs>
              <w:tab w:val="clear" w:pos="7609"/>
              <w:tab w:val="right" w:pos="9026" w:leader="dot"/>
            </w:tabs>
            <w:rPr/>
          </w:pPr>
          <w:hyperlink w:anchor="__RefHeading___Toc3769875_2870459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769877_2870459653">
            <w:r>
              <w:rPr>
                <w:webHidden/>
                <w:rStyle w:val="IndexLink"/>
                <w:rtl w:val="true"/>
              </w:rPr>
              <w:t>الرواية الأولى</w:t>
            </w:r>
            <w:r>
              <w:rPr>
                <w:rStyle w:val="IndexLink"/>
                <w:rtl w:val="true"/>
              </w:rPr>
              <w:tab/>
            </w:r>
            <w:r>
              <w:rPr>
                <w:rStyle w:val="IndexLink"/>
              </w:rPr>
              <w:t>58</w:t>
            </w:r>
          </w:hyperlink>
        </w:p>
        <w:p>
          <w:pPr>
            <w:pStyle w:val="Contents6"/>
            <w:tabs>
              <w:tab w:val="clear" w:pos="7609"/>
              <w:tab w:val="right" w:pos="9026" w:leader="dot"/>
            </w:tabs>
            <w:rPr/>
          </w:pPr>
          <w:hyperlink w:anchor="__RefHeading___Toc3769879_2870459653">
            <w:r>
              <w:rPr>
                <w:webHidden/>
                <w:rStyle w:val="IndexLink"/>
                <w:rtl w:val="true"/>
              </w:rPr>
              <w:t>الرواية الثانية</w:t>
            </w:r>
            <w:r>
              <w:rPr>
                <w:rStyle w:val="IndexLink"/>
                <w:rtl w:val="true"/>
              </w:rPr>
              <w:tab/>
            </w:r>
            <w:r>
              <w:rPr>
                <w:rStyle w:val="IndexLink"/>
              </w:rPr>
              <w:t>58</w:t>
            </w:r>
          </w:hyperlink>
        </w:p>
        <w:p>
          <w:pPr>
            <w:pStyle w:val="Contents6"/>
            <w:tabs>
              <w:tab w:val="clear" w:pos="7609"/>
              <w:tab w:val="right" w:pos="9026" w:leader="dot"/>
            </w:tabs>
            <w:rPr/>
          </w:pPr>
          <w:hyperlink w:anchor="__RefHeading___Toc3769881_2870459653">
            <w:r>
              <w:rPr>
                <w:webHidden/>
                <w:rStyle w:val="IndexLink"/>
                <w:rtl w:val="true"/>
              </w:rPr>
              <w:t>الرواية الثالثة</w:t>
            </w:r>
            <w:r>
              <w:rPr>
                <w:rStyle w:val="IndexLink"/>
                <w:rtl w:val="true"/>
              </w:rPr>
              <w:tab/>
            </w:r>
            <w:r>
              <w:rPr>
                <w:rStyle w:val="IndexLink"/>
              </w:rPr>
              <w:t>58</w:t>
            </w:r>
          </w:hyperlink>
        </w:p>
        <w:p>
          <w:pPr>
            <w:pStyle w:val="Contents6"/>
            <w:tabs>
              <w:tab w:val="clear" w:pos="7609"/>
              <w:tab w:val="right" w:pos="9026" w:leader="dot"/>
            </w:tabs>
            <w:rPr/>
          </w:pPr>
          <w:hyperlink w:anchor="__RefHeading___Toc3769883_2870459653">
            <w:r>
              <w:rPr>
                <w:webHidden/>
                <w:rStyle w:val="IndexLink"/>
                <w:rtl w:val="true"/>
              </w:rPr>
              <w:t>الرواية الرابعة</w:t>
            </w:r>
            <w:r>
              <w:rPr>
                <w:rStyle w:val="IndexLink"/>
                <w:rtl w:val="true"/>
              </w:rPr>
              <w:tab/>
            </w:r>
            <w:r>
              <w:rPr>
                <w:rStyle w:val="IndexLink"/>
              </w:rPr>
              <w:t>59</w:t>
            </w:r>
          </w:hyperlink>
        </w:p>
        <w:p>
          <w:pPr>
            <w:pStyle w:val="Contents6"/>
            <w:tabs>
              <w:tab w:val="clear" w:pos="7609"/>
              <w:tab w:val="right" w:pos="9026" w:leader="dot"/>
            </w:tabs>
            <w:rPr/>
          </w:pPr>
          <w:hyperlink w:anchor="__RefHeading___Toc3769885_2870459653">
            <w:r>
              <w:rPr>
                <w:webHidden/>
                <w:rStyle w:val="IndexLink"/>
                <w:rtl w:val="true"/>
              </w:rPr>
              <w:t>الرواية الخامسة</w:t>
            </w:r>
            <w:r>
              <w:rPr>
                <w:rStyle w:val="IndexLink"/>
                <w:rtl w:val="true"/>
              </w:rPr>
              <w:tab/>
            </w:r>
            <w:r>
              <w:rPr>
                <w:rStyle w:val="IndexLink"/>
              </w:rPr>
              <w:t>59</w:t>
            </w:r>
          </w:hyperlink>
        </w:p>
        <w:p>
          <w:pPr>
            <w:pStyle w:val="Contents6"/>
            <w:tabs>
              <w:tab w:val="clear" w:pos="7609"/>
              <w:tab w:val="right" w:pos="9026" w:leader="dot"/>
            </w:tabs>
            <w:rPr/>
          </w:pPr>
          <w:hyperlink w:anchor="__RefHeading___Toc3769887_2870459653">
            <w:r>
              <w:rPr>
                <w:webHidden/>
                <w:rStyle w:val="IndexLink"/>
                <w:rtl w:val="true"/>
              </w:rPr>
              <w:t>الطائفة الثالثة</w:t>
            </w:r>
            <w:r>
              <w:rPr>
                <w:rStyle w:val="IndexLink"/>
                <w:rtl w:val="true"/>
              </w:rPr>
              <w:t xml:space="preserve">: </w:t>
            </w:r>
            <w:r>
              <w:rPr>
                <w:rStyle w:val="IndexLink"/>
                <w:rtl w:val="true"/>
              </w:rPr>
              <w:t>ما تضمّنت التفريق بينهما</w:t>
            </w:r>
            <w:r>
              <w:rPr>
                <w:rStyle w:val="IndexLink"/>
                <w:rtl w:val="true"/>
              </w:rPr>
              <w:tab/>
            </w:r>
            <w:r>
              <w:rPr>
                <w:rStyle w:val="IndexLink"/>
              </w:rPr>
              <w:t>60</w:t>
            </w:r>
          </w:hyperlink>
        </w:p>
        <w:p>
          <w:pPr>
            <w:pStyle w:val="Contents6"/>
            <w:tabs>
              <w:tab w:val="clear" w:pos="7609"/>
              <w:tab w:val="right" w:pos="9026" w:leader="dot"/>
            </w:tabs>
            <w:rPr/>
          </w:pPr>
          <w:hyperlink w:anchor="__RefHeading___Toc3769889_287045965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769891_2870459653">
            <w:r>
              <w:rPr>
                <w:webHidden/>
                <w:rStyle w:val="IndexLink"/>
                <w:rtl w:val="true"/>
              </w:rPr>
              <w:t>الأولى</w:t>
            </w:r>
            <w:r>
              <w:rPr>
                <w:rStyle w:val="IndexLink"/>
                <w:rtl w:val="true"/>
              </w:rPr>
              <w:t xml:space="preserve">: </w:t>
            </w:r>
            <w:r>
              <w:rPr>
                <w:rStyle w:val="IndexLink"/>
                <w:rtl w:val="true"/>
              </w:rPr>
              <w:t>رواية داود الرقّيّ</w:t>
            </w:r>
            <w:r>
              <w:rPr>
                <w:rStyle w:val="IndexLink"/>
                <w:rtl w:val="true"/>
              </w:rPr>
              <w:tab/>
            </w:r>
            <w:r>
              <w:rPr>
                <w:rStyle w:val="IndexLink"/>
              </w:rPr>
              <w:t>60</w:t>
            </w:r>
          </w:hyperlink>
        </w:p>
        <w:p>
          <w:pPr>
            <w:pStyle w:val="Contents6"/>
            <w:tabs>
              <w:tab w:val="clear" w:pos="7609"/>
              <w:tab w:val="right" w:pos="9026" w:leader="dot"/>
            </w:tabs>
            <w:rPr/>
          </w:pPr>
          <w:hyperlink w:anchor="__RefHeading___Toc3769893_2870459653">
            <w:r>
              <w:rPr>
                <w:webHidden/>
                <w:rStyle w:val="IndexLink"/>
                <w:rtl w:val="true"/>
              </w:rPr>
              <w:t>الرواية الثانية</w:t>
            </w:r>
            <w:r>
              <w:rPr>
                <w:rStyle w:val="IndexLink"/>
                <w:rtl w:val="true"/>
              </w:rPr>
              <w:t xml:space="preserve">: </w:t>
            </w:r>
            <w:r>
              <w:rPr>
                <w:rStyle w:val="IndexLink"/>
                <w:rtl w:val="true"/>
              </w:rPr>
              <w:t>رواية زيد الشحّام</w:t>
            </w:r>
            <w:r>
              <w:rPr>
                <w:rStyle w:val="IndexLink"/>
                <w:rtl w:val="true"/>
              </w:rPr>
              <w:tab/>
            </w:r>
            <w:r>
              <w:rPr>
                <w:rStyle w:val="IndexLink"/>
              </w:rPr>
              <w:t>61</w:t>
            </w:r>
          </w:hyperlink>
        </w:p>
        <w:p>
          <w:pPr>
            <w:pStyle w:val="Contents6"/>
            <w:tabs>
              <w:tab w:val="clear" w:pos="7609"/>
              <w:tab w:val="right" w:pos="9026" w:leader="dot"/>
            </w:tabs>
            <w:rPr/>
          </w:pPr>
          <w:hyperlink w:anchor="__RefHeading___Toc3769895_2870459653">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769897_2870459653">
            <w:r>
              <w:rPr>
                <w:webHidden/>
                <w:rStyle w:val="IndexLink"/>
                <w:rtl w:val="true"/>
              </w:rPr>
              <w:t>الصورة الأولى</w:t>
            </w:r>
            <w:r>
              <w:rPr>
                <w:rStyle w:val="IndexLink"/>
                <w:rtl w:val="true"/>
              </w:rPr>
              <w:tab/>
            </w:r>
            <w:r>
              <w:rPr>
                <w:rStyle w:val="IndexLink"/>
              </w:rPr>
              <w:t>61</w:t>
            </w:r>
          </w:hyperlink>
        </w:p>
        <w:p>
          <w:pPr>
            <w:pStyle w:val="Contents6"/>
            <w:tabs>
              <w:tab w:val="clear" w:pos="7609"/>
              <w:tab w:val="right" w:pos="9026" w:leader="dot"/>
            </w:tabs>
            <w:rPr/>
          </w:pPr>
          <w:hyperlink w:anchor="__RefHeading___Toc3769899_2870459653">
            <w:r>
              <w:rPr>
                <w:webHidden/>
                <w:rStyle w:val="IndexLink"/>
                <w:rtl w:val="true"/>
              </w:rPr>
              <w:t>الصورة الثانية</w:t>
            </w:r>
            <w:r>
              <w:rPr>
                <w:rStyle w:val="IndexLink"/>
                <w:rtl w:val="true"/>
              </w:rPr>
              <w:tab/>
            </w:r>
            <w:r>
              <w:rPr>
                <w:rStyle w:val="IndexLink"/>
              </w:rPr>
              <w:t>62</w:t>
            </w:r>
          </w:hyperlink>
        </w:p>
        <w:p>
          <w:pPr>
            <w:pStyle w:val="Contents6"/>
            <w:tabs>
              <w:tab w:val="clear" w:pos="7609"/>
              <w:tab w:val="right" w:pos="9026" w:leader="dot"/>
            </w:tabs>
            <w:rPr/>
          </w:pPr>
          <w:hyperlink w:anchor="__RefHeading___Toc3769901_2870459653">
            <w:r>
              <w:rPr>
                <w:webHidden/>
                <w:rStyle w:val="IndexLink"/>
                <w:rtl w:val="true"/>
              </w:rPr>
              <w:t>الصورة الثالثة</w:t>
            </w:r>
            <w:r>
              <w:rPr>
                <w:rStyle w:val="IndexLink"/>
                <w:rtl w:val="true"/>
              </w:rPr>
              <w:tab/>
            </w:r>
            <w:r>
              <w:rPr>
                <w:rStyle w:val="IndexLink"/>
              </w:rPr>
              <w:t>65</w:t>
            </w:r>
          </w:hyperlink>
        </w:p>
        <w:p>
          <w:pPr>
            <w:pStyle w:val="Contents6"/>
            <w:tabs>
              <w:tab w:val="clear" w:pos="7609"/>
              <w:tab w:val="right" w:pos="9026" w:leader="dot"/>
            </w:tabs>
            <w:rPr/>
          </w:pPr>
          <w:hyperlink w:anchor="__RefHeading___Toc3769903_2870459653">
            <w:r>
              <w:rPr>
                <w:webHidden/>
                <w:rStyle w:val="IndexLink"/>
                <w:rtl w:val="true"/>
              </w:rPr>
              <w:t>الدليل الثالث</w:t>
            </w:r>
            <w:r>
              <w:rPr>
                <w:rStyle w:val="IndexLink"/>
                <w:rtl w:val="true"/>
              </w:rPr>
              <w:t xml:space="preserve">: </w:t>
            </w:r>
            <w:r>
              <w:rPr>
                <w:rStyle w:val="IndexLink"/>
                <w:rtl w:val="true"/>
              </w:rPr>
              <w:t>وحدة النزول</w:t>
            </w:r>
            <w:r>
              <w:rPr>
                <w:rStyle w:val="IndexLink"/>
                <w:rtl w:val="true"/>
              </w:rPr>
              <w:tab/>
            </w:r>
            <w:r>
              <w:rPr>
                <w:rStyle w:val="IndexLink"/>
              </w:rPr>
              <w:t>74</w:t>
            </w:r>
          </w:hyperlink>
        </w:p>
        <w:p>
          <w:pPr>
            <w:pStyle w:val="Contents6"/>
            <w:tabs>
              <w:tab w:val="clear" w:pos="7609"/>
              <w:tab w:val="right" w:pos="9026" w:leader="dot"/>
            </w:tabs>
            <w:rPr/>
          </w:pPr>
          <w:hyperlink w:anchor="__RefHeading___Toc3769905_2870459653">
            <w:r>
              <w:rPr>
                <w:webHidden/>
                <w:rStyle w:val="IndexLink"/>
                <w:rtl w:val="true"/>
              </w:rPr>
              <w:t>الدليل الرابع</w:t>
            </w:r>
            <w:r>
              <w:rPr>
                <w:rStyle w:val="IndexLink"/>
                <w:rtl w:val="true"/>
              </w:rPr>
              <w:t xml:space="preserve">: </w:t>
            </w:r>
            <w:r>
              <w:rPr>
                <w:rStyle w:val="IndexLink"/>
                <w:rtl w:val="true"/>
              </w:rPr>
              <w:t>وحدة السياق</w:t>
            </w:r>
            <w:r>
              <w:rPr>
                <w:rStyle w:val="IndexLink"/>
                <w:rtl w:val="true"/>
              </w:rPr>
              <w:tab/>
            </w:r>
            <w:r>
              <w:rPr>
                <w:rStyle w:val="IndexLink"/>
              </w:rPr>
              <w:t>75</w:t>
            </w:r>
          </w:hyperlink>
        </w:p>
        <w:p>
          <w:pPr>
            <w:pStyle w:val="Contents3"/>
            <w:tabs>
              <w:tab w:val="clear" w:pos="8459"/>
              <w:tab w:val="right" w:pos="9026" w:leader="dot"/>
            </w:tabs>
            <w:rPr/>
          </w:pPr>
          <w:hyperlink w:anchor="__RefHeading___Toc3769907_2870459653">
            <w:r>
              <w:rPr>
                <w:webHidden/>
                <w:rStyle w:val="IndexLink"/>
                <w:rtl w:val="true"/>
              </w:rPr>
              <w:t>نتيجة البحث</w:t>
            </w:r>
            <w:r>
              <w:rPr>
                <w:rStyle w:val="IndexLink"/>
                <w:rtl w:val="true"/>
              </w:rPr>
              <w:tab/>
            </w:r>
            <w:r>
              <w:rPr>
                <w:rStyle w:val="IndexLink"/>
              </w:rPr>
              <w:t>81</w:t>
            </w:r>
          </w:hyperlink>
        </w:p>
        <w:p>
          <w:pPr>
            <w:pStyle w:val="Contents3"/>
            <w:tabs>
              <w:tab w:val="clear" w:pos="8459"/>
              <w:tab w:val="right" w:pos="9026" w:leader="dot"/>
            </w:tabs>
            <w:rPr/>
          </w:pPr>
          <w:hyperlink w:anchor="__RefHeading___Toc3769909_2870459653">
            <w:r>
              <w:rPr>
                <w:webHidden/>
                <w:rStyle w:val="IndexLink"/>
                <w:rtl w:val="true"/>
              </w:rPr>
              <w:t>الخاتمة</w:t>
            </w:r>
            <w:r>
              <w:rPr>
                <w:rStyle w:val="IndexLink"/>
                <w:rtl w:val="true"/>
              </w:rPr>
              <w:t xml:space="preserve">: </w:t>
            </w:r>
            <w:r>
              <w:rPr>
                <w:rStyle w:val="IndexLink"/>
                <w:rtl w:val="true"/>
              </w:rPr>
              <w:t>في ملخّص البحث ونتيجته</w:t>
            </w:r>
            <w:r>
              <w:rPr>
                <w:rStyle w:val="IndexLink"/>
                <w:rtl w:val="true"/>
              </w:rPr>
              <w:tab/>
            </w:r>
            <w:r>
              <w:rPr>
                <w:rStyle w:val="IndexLink"/>
              </w:rPr>
              <w:t>82</w:t>
            </w:r>
          </w:hyperlink>
        </w:p>
        <w:p>
          <w:pPr>
            <w:pStyle w:val="Contents3"/>
            <w:tabs>
              <w:tab w:val="clear" w:pos="8459"/>
              <w:tab w:val="right" w:pos="9026" w:leader="dot"/>
            </w:tabs>
            <w:rPr/>
          </w:pPr>
          <w:hyperlink w:anchor="__RefHeading___Toc3769911_2870459653">
            <w:r>
              <w:rPr>
                <w:webHidden/>
                <w:rStyle w:val="IndexLink"/>
                <w:rtl w:val="true"/>
              </w:rPr>
              <w:t>المصادر</w:t>
            </w:r>
            <w:r>
              <w:rPr>
                <w:rStyle w:val="IndexLink"/>
                <w:rtl w:val="true"/>
              </w:rPr>
              <w:tab/>
            </w:r>
            <w:r>
              <w:rPr>
                <w:rStyle w:val="IndexLink"/>
              </w:rPr>
              <w:t>85</w:t>
            </w:r>
          </w:hyperlink>
        </w:p>
        <w:p>
          <w:pPr>
            <w:pStyle w:val="Contents2"/>
            <w:tabs>
              <w:tab w:val="clear" w:pos="8743"/>
              <w:tab w:val="right" w:pos="9026" w:leader="dot"/>
            </w:tabs>
            <w:rPr/>
          </w:pPr>
          <w:hyperlink w:anchor="__RefHeading___Toc3769913_2870459653">
            <w:r>
              <w:rPr>
                <w:webHidden/>
                <w:rStyle w:val="IndexLink"/>
                <w:rtl w:val="true"/>
              </w:rPr>
              <w:t xml:space="preserve">ملكية الدولة </w:t>
            </w:r>
            <w:r>
              <w:rPr>
                <w:rStyle w:val="IndexLink"/>
                <w:rtl w:val="true"/>
              </w:rPr>
              <w:t xml:space="preserve">- </w:t>
            </w:r>
            <w:r>
              <w:rPr>
                <w:rStyle w:val="IndexLink"/>
                <w:rtl w:val="true"/>
              </w:rPr>
              <w:t xml:space="preserve">الشيخ وليد العامري </w:t>
            </w:r>
            <w:r>
              <w:rPr>
                <w:rStyle w:val="IndexLink"/>
                <w:rtl w:val="true"/>
              </w:rPr>
              <w:t>(</w:t>
            </w:r>
            <w:r>
              <w:rPr>
                <w:rStyle w:val="IndexLink"/>
                <w:rtl w:val="true"/>
              </w:rPr>
              <w:t>دام عزه</w:t>
            </w:r>
            <w:r>
              <w:rPr>
                <w:rStyle w:val="IndexLink"/>
                <w:rtl w:val="true"/>
              </w:rPr>
              <w:t>)</w:t>
              <w:tab/>
            </w:r>
            <w:r>
              <w:rPr>
                <w:rStyle w:val="IndexLink"/>
              </w:rPr>
              <w:t>105</w:t>
            </w:r>
          </w:hyperlink>
        </w:p>
        <w:p>
          <w:pPr>
            <w:pStyle w:val="Contents3"/>
            <w:tabs>
              <w:tab w:val="clear" w:pos="8459"/>
              <w:tab w:val="right" w:pos="9026" w:leader="dot"/>
            </w:tabs>
            <w:rPr/>
          </w:pPr>
          <w:hyperlink w:anchor="__RefHeading___Toc3769915_2870459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3769917_2870459653">
            <w:r>
              <w:rPr>
                <w:webHidden/>
                <w:rStyle w:val="IndexLink"/>
                <w:rtl w:val="true"/>
              </w:rPr>
              <w:t>أدلّة ملكيّة الدولة</w:t>
            </w:r>
            <w:r>
              <w:rPr>
                <w:rStyle w:val="IndexLink"/>
                <w:rtl w:val="true"/>
              </w:rPr>
              <w:tab/>
            </w:r>
            <w:r>
              <w:rPr>
                <w:rStyle w:val="IndexLink"/>
              </w:rPr>
              <w:t>112</w:t>
            </w:r>
          </w:hyperlink>
        </w:p>
        <w:p>
          <w:pPr>
            <w:pStyle w:val="Contents4"/>
            <w:tabs>
              <w:tab w:val="clear" w:pos="8176"/>
              <w:tab w:val="right" w:pos="9026" w:leader="dot"/>
            </w:tabs>
            <w:rPr/>
          </w:pPr>
          <w:hyperlink w:anchor="__RefHeading___Toc3769919_2870459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769921_2870459653">
            <w:r>
              <w:rPr>
                <w:webHidden/>
                <w:rStyle w:val="IndexLink"/>
                <w:rtl w:val="true"/>
              </w:rPr>
              <w:t>المقام الأوّل</w:t>
            </w:r>
            <w:r>
              <w:rPr>
                <w:rStyle w:val="IndexLink"/>
                <w:rtl w:val="true"/>
              </w:rPr>
              <w:t xml:space="preserve">: </w:t>
            </w:r>
            <w:r>
              <w:rPr>
                <w:rStyle w:val="IndexLink"/>
                <w:rtl w:val="true"/>
              </w:rPr>
              <w:t>الأدلّة العامّة</w:t>
            </w:r>
            <w:r>
              <w:rPr>
                <w:rStyle w:val="IndexLink"/>
                <w:rtl w:val="true"/>
              </w:rPr>
              <w:tab/>
            </w:r>
            <w:r>
              <w:rPr>
                <w:rStyle w:val="IndexLink"/>
              </w:rPr>
              <w:t>112</w:t>
            </w:r>
          </w:hyperlink>
        </w:p>
        <w:p>
          <w:pPr>
            <w:pStyle w:val="Contents5"/>
            <w:tabs>
              <w:tab w:val="clear" w:pos="7892"/>
              <w:tab w:val="right" w:pos="9026" w:leader="dot"/>
            </w:tabs>
            <w:rPr/>
          </w:pPr>
          <w:hyperlink w:anchor="__RefHeading___Toc3769923_287045965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769925_2870459653">
            <w:r>
              <w:rPr>
                <w:webHidden/>
                <w:rStyle w:val="IndexLink"/>
                <w:rtl w:val="true"/>
              </w:rPr>
              <w:t>الدليل الأوّل</w:t>
            </w:r>
            <w:r>
              <w:rPr>
                <w:rStyle w:val="IndexLink"/>
                <w:rtl w:val="true"/>
              </w:rPr>
              <w:t xml:space="preserve">: </w:t>
            </w:r>
            <w:r>
              <w:rPr>
                <w:rStyle w:val="IndexLink"/>
                <w:rtl w:val="true"/>
              </w:rPr>
              <w:t>السيرة والارتكاز العقلائيّ</w:t>
            </w:r>
            <w:r>
              <w:rPr>
                <w:rStyle w:val="IndexLink"/>
                <w:rtl w:val="true"/>
              </w:rPr>
              <w:tab/>
            </w:r>
            <w:r>
              <w:rPr>
                <w:rStyle w:val="IndexLink"/>
              </w:rPr>
              <w:t>112</w:t>
            </w:r>
          </w:hyperlink>
        </w:p>
        <w:p>
          <w:pPr>
            <w:pStyle w:val="Contents5"/>
            <w:tabs>
              <w:tab w:val="clear" w:pos="7892"/>
              <w:tab w:val="right" w:pos="9026" w:leader="dot"/>
            </w:tabs>
            <w:rPr/>
          </w:pPr>
          <w:hyperlink w:anchor="__RefHeading___Toc3769927_2870459653">
            <w:r>
              <w:rPr>
                <w:webHidden/>
                <w:rStyle w:val="IndexLink"/>
                <w:rtl w:val="true"/>
              </w:rPr>
              <w:t>الدليل الثاني</w:t>
            </w:r>
            <w:r>
              <w:rPr>
                <w:rStyle w:val="IndexLink"/>
                <w:rtl w:val="true"/>
              </w:rPr>
              <w:t xml:space="preserve">: </w:t>
            </w:r>
            <w:r>
              <w:rPr>
                <w:rStyle w:val="IndexLink"/>
                <w:rtl w:val="true"/>
              </w:rPr>
              <w:t>التمسّك بإطلاقات البيع والتجارة</w:t>
            </w:r>
            <w:r>
              <w:rPr>
                <w:rStyle w:val="IndexLink"/>
                <w:rtl w:val="true"/>
              </w:rPr>
              <w:tab/>
            </w:r>
            <w:r>
              <w:rPr>
                <w:rStyle w:val="IndexLink"/>
              </w:rPr>
              <w:t>114</w:t>
            </w:r>
          </w:hyperlink>
        </w:p>
        <w:p>
          <w:pPr>
            <w:pStyle w:val="Contents5"/>
            <w:tabs>
              <w:tab w:val="clear" w:pos="7892"/>
              <w:tab w:val="right" w:pos="9026" w:leader="dot"/>
            </w:tabs>
            <w:rPr/>
          </w:pPr>
          <w:hyperlink w:anchor="__RefHeading___Toc3769929_2870459653">
            <w:r>
              <w:rPr>
                <w:webHidden/>
                <w:rStyle w:val="IndexLink"/>
                <w:rtl w:val="true"/>
              </w:rPr>
              <w:t>الدليل الثالث</w:t>
            </w:r>
            <w:r>
              <w:rPr>
                <w:rStyle w:val="IndexLink"/>
                <w:rtl w:val="true"/>
              </w:rPr>
              <w:t xml:space="preserve">: </w:t>
            </w:r>
            <w:r>
              <w:rPr>
                <w:rStyle w:val="IndexLink"/>
                <w:rtl w:val="true"/>
              </w:rPr>
              <w:t>التمسّك بولاية الفقيه</w:t>
            </w:r>
            <w:r>
              <w:rPr>
                <w:rStyle w:val="IndexLink"/>
                <w:rtl w:val="true"/>
              </w:rPr>
              <w:tab/>
            </w:r>
            <w:r>
              <w:rPr>
                <w:rStyle w:val="IndexLink"/>
              </w:rPr>
              <w:t>117</w:t>
            </w:r>
          </w:hyperlink>
        </w:p>
        <w:p>
          <w:pPr>
            <w:pStyle w:val="Contents6"/>
            <w:tabs>
              <w:tab w:val="clear" w:pos="7609"/>
              <w:tab w:val="right" w:pos="9026" w:leader="dot"/>
            </w:tabs>
            <w:rPr/>
          </w:pPr>
          <w:hyperlink w:anchor="__RefHeading___Toc3769931_2870459653">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769933_2870459653">
            <w:r>
              <w:rPr>
                <w:webHidden/>
                <w:rStyle w:val="IndexLink"/>
                <w:rtl w:val="true"/>
              </w:rPr>
              <w:t>الوجه الأوّل</w:t>
            </w:r>
            <w:r>
              <w:rPr>
                <w:rStyle w:val="IndexLink"/>
                <w:rtl w:val="true"/>
              </w:rPr>
              <w:tab/>
            </w:r>
            <w:r>
              <w:rPr>
                <w:rStyle w:val="IndexLink"/>
              </w:rPr>
              <w:t>117</w:t>
            </w:r>
          </w:hyperlink>
        </w:p>
        <w:p>
          <w:pPr>
            <w:pStyle w:val="Contents6"/>
            <w:tabs>
              <w:tab w:val="clear" w:pos="7609"/>
              <w:tab w:val="right" w:pos="9026" w:leader="dot"/>
            </w:tabs>
            <w:rPr/>
          </w:pPr>
          <w:hyperlink w:anchor="__RefHeading___Toc3769935_2870459653">
            <w:r>
              <w:rPr>
                <w:webHidden/>
                <w:rStyle w:val="IndexLink"/>
                <w:rtl w:val="true"/>
              </w:rPr>
              <w:t>الوجه الثاني</w:t>
            </w:r>
            <w:r>
              <w:rPr>
                <w:rStyle w:val="IndexLink"/>
                <w:rtl w:val="true"/>
              </w:rPr>
              <w:tab/>
            </w:r>
            <w:r>
              <w:rPr>
                <w:rStyle w:val="IndexLink"/>
              </w:rPr>
              <w:t>118</w:t>
            </w:r>
          </w:hyperlink>
        </w:p>
        <w:p>
          <w:pPr>
            <w:pStyle w:val="Contents4"/>
            <w:tabs>
              <w:tab w:val="clear" w:pos="8176"/>
              <w:tab w:val="right" w:pos="9026" w:leader="dot"/>
            </w:tabs>
            <w:rPr/>
          </w:pPr>
          <w:hyperlink w:anchor="__RefHeading___Toc3769937_2870459653">
            <w:r>
              <w:rPr>
                <w:webHidden/>
                <w:rStyle w:val="IndexLink"/>
                <w:rtl w:val="true"/>
              </w:rPr>
              <w:t>المقام الثاني</w:t>
            </w:r>
            <w:r>
              <w:rPr>
                <w:rStyle w:val="IndexLink"/>
                <w:rtl w:val="true"/>
              </w:rPr>
              <w:t xml:space="preserve">: </w:t>
            </w:r>
            <w:r>
              <w:rPr>
                <w:rStyle w:val="IndexLink"/>
                <w:rtl w:val="true"/>
              </w:rPr>
              <w:t>الأدلّة الخاصّة</w:t>
            </w:r>
            <w:r>
              <w:rPr>
                <w:rStyle w:val="IndexLink"/>
                <w:rtl w:val="true"/>
              </w:rPr>
              <w:tab/>
            </w:r>
            <w:r>
              <w:rPr>
                <w:rStyle w:val="IndexLink"/>
              </w:rPr>
              <w:t>119</w:t>
            </w:r>
          </w:hyperlink>
        </w:p>
        <w:p>
          <w:pPr>
            <w:pStyle w:val="Contents5"/>
            <w:tabs>
              <w:tab w:val="clear" w:pos="7892"/>
              <w:tab w:val="right" w:pos="9026" w:leader="dot"/>
            </w:tabs>
            <w:rPr/>
          </w:pPr>
          <w:hyperlink w:anchor="__RefHeading___Toc3769939_2870459653">
            <w:r>
              <w:rPr>
                <w:webHidden/>
                <w:rStyle w:val="IndexLink"/>
                <w:rtl w:val="true"/>
              </w:rPr>
              <w:t>الدليل الأوّل</w:t>
            </w:r>
            <w:r>
              <w:rPr>
                <w:rStyle w:val="IndexLink"/>
                <w:rtl w:val="true"/>
              </w:rPr>
              <w:tab/>
            </w:r>
            <w:r>
              <w:rPr>
                <w:rStyle w:val="IndexLink"/>
              </w:rPr>
              <w:t>119</w:t>
            </w:r>
          </w:hyperlink>
        </w:p>
        <w:p>
          <w:pPr>
            <w:pStyle w:val="Contents6"/>
            <w:tabs>
              <w:tab w:val="clear" w:pos="7609"/>
              <w:tab w:val="right" w:pos="9026" w:leader="dot"/>
            </w:tabs>
            <w:rPr/>
          </w:pPr>
          <w:hyperlink w:anchor="__RefHeading___Toc3769941_2870459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769943_2870459653">
            <w:r>
              <w:rPr>
                <w:webHidden/>
                <w:rStyle w:val="IndexLink"/>
                <w:rtl w:val="true"/>
              </w:rPr>
              <w:t>النحو الأوّل</w:t>
            </w:r>
            <w:r>
              <w:rPr>
                <w:rStyle w:val="IndexLink"/>
                <w:rtl w:val="true"/>
              </w:rPr>
              <w:tab/>
            </w:r>
            <w:r>
              <w:rPr>
                <w:rStyle w:val="IndexLink"/>
              </w:rPr>
              <w:t>119</w:t>
            </w:r>
          </w:hyperlink>
        </w:p>
        <w:p>
          <w:pPr>
            <w:pStyle w:val="Contents6"/>
            <w:tabs>
              <w:tab w:val="clear" w:pos="7609"/>
              <w:tab w:val="right" w:pos="9026" w:leader="dot"/>
            </w:tabs>
            <w:rPr/>
          </w:pPr>
          <w:hyperlink w:anchor="__RefHeading___Toc3769945_2870459653">
            <w:r>
              <w:rPr>
                <w:webHidden/>
                <w:rStyle w:val="IndexLink"/>
                <w:rtl w:val="true"/>
              </w:rPr>
              <w:t>النحو الثاني</w:t>
            </w:r>
            <w:r>
              <w:rPr>
                <w:rStyle w:val="IndexLink"/>
                <w:rtl w:val="true"/>
              </w:rPr>
              <w:tab/>
            </w:r>
            <w:r>
              <w:rPr>
                <w:rStyle w:val="IndexLink"/>
              </w:rPr>
              <w:t>119</w:t>
            </w:r>
          </w:hyperlink>
        </w:p>
        <w:p>
          <w:pPr>
            <w:pStyle w:val="Contents6"/>
            <w:tabs>
              <w:tab w:val="clear" w:pos="7609"/>
              <w:tab w:val="right" w:pos="9026" w:leader="dot"/>
            </w:tabs>
            <w:rPr/>
          </w:pPr>
          <w:hyperlink w:anchor="__RefHeading___Toc3769947_2870459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769949_2870459653">
            <w:r>
              <w:rPr>
                <w:webHidden/>
                <w:rStyle w:val="IndexLink"/>
                <w:rtl w:val="true"/>
              </w:rPr>
              <w:t>المرحلة الأولى</w:t>
            </w:r>
            <w:r>
              <w:rPr>
                <w:rStyle w:val="IndexLink"/>
                <w:rtl w:val="true"/>
              </w:rPr>
              <w:t xml:space="preserve">: </w:t>
            </w:r>
            <w:r>
              <w:rPr>
                <w:rStyle w:val="IndexLink"/>
                <w:rtl w:val="true"/>
              </w:rPr>
              <w:t>ثبوت مصاديق لملكيّة الدولة في زمن الحضور</w:t>
            </w:r>
            <w:r>
              <w:rPr>
                <w:rStyle w:val="IndexLink"/>
                <w:rtl w:val="true"/>
              </w:rPr>
              <w:tab/>
            </w:r>
            <w:r>
              <w:rPr>
                <w:rStyle w:val="IndexLink"/>
              </w:rPr>
              <w:t>122</w:t>
            </w:r>
          </w:hyperlink>
        </w:p>
        <w:p>
          <w:pPr>
            <w:pStyle w:val="Contents6"/>
            <w:tabs>
              <w:tab w:val="clear" w:pos="7609"/>
              <w:tab w:val="right" w:pos="9026" w:leader="dot"/>
            </w:tabs>
            <w:rPr/>
          </w:pPr>
          <w:hyperlink w:anchor="__RefHeading___Toc3769951_2870459653">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769953_2870459653">
            <w:r>
              <w:rPr>
                <w:webHidden/>
                <w:rStyle w:val="IndexLink"/>
                <w:rtl w:val="true"/>
              </w:rPr>
              <w:t>المصداق الأوّل</w:t>
            </w:r>
            <w:r>
              <w:rPr>
                <w:rStyle w:val="IndexLink"/>
                <w:rtl w:val="true"/>
              </w:rPr>
              <w:t xml:space="preserve">: </w:t>
            </w:r>
            <w:r>
              <w:rPr>
                <w:rStyle w:val="IndexLink"/>
                <w:rtl w:val="true"/>
              </w:rPr>
              <w:t>الخمس</w:t>
            </w:r>
            <w:r>
              <w:rPr>
                <w:rStyle w:val="IndexLink"/>
                <w:rtl w:val="true"/>
              </w:rPr>
              <w:tab/>
            </w:r>
            <w:r>
              <w:rPr>
                <w:rStyle w:val="IndexLink"/>
              </w:rPr>
              <w:t>122</w:t>
            </w:r>
          </w:hyperlink>
        </w:p>
        <w:p>
          <w:pPr>
            <w:pStyle w:val="Contents6"/>
            <w:tabs>
              <w:tab w:val="clear" w:pos="7609"/>
              <w:tab w:val="right" w:pos="9026" w:leader="dot"/>
            </w:tabs>
            <w:rPr/>
          </w:pPr>
          <w:hyperlink w:anchor="__RefHeading___Toc3769955_2870459653">
            <w:r>
              <w:rPr>
                <w:webHidden/>
                <w:rStyle w:val="IndexLink"/>
                <w:rtl w:val="true"/>
              </w:rPr>
              <w:t>المصداق الثاني</w:t>
            </w:r>
            <w:r>
              <w:rPr>
                <w:rStyle w:val="IndexLink"/>
                <w:rtl w:val="true"/>
              </w:rPr>
              <w:t xml:space="preserve">: </w:t>
            </w:r>
            <w:r>
              <w:rPr>
                <w:rStyle w:val="IndexLink"/>
                <w:rtl w:val="true"/>
              </w:rPr>
              <w:t>الفيء والأنفال</w:t>
            </w:r>
            <w:r>
              <w:rPr>
                <w:rStyle w:val="IndexLink"/>
                <w:rtl w:val="true"/>
              </w:rPr>
              <w:tab/>
            </w:r>
            <w:r>
              <w:rPr>
                <w:rStyle w:val="IndexLink"/>
              </w:rPr>
              <w:t>126</w:t>
            </w:r>
          </w:hyperlink>
        </w:p>
        <w:p>
          <w:pPr>
            <w:pStyle w:val="Contents6"/>
            <w:tabs>
              <w:tab w:val="clear" w:pos="7609"/>
              <w:tab w:val="right" w:pos="9026" w:leader="dot"/>
            </w:tabs>
            <w:rPr/>
          </w:pPr>
          <w:hyperlink w:anchor="__RefHeading___Toc3769957_2870459653">
            <w:r>
              <w:rPr>
                <w:webHidden/>
                <w:rStyle w:val="IndexLink"/>
                <w:rtl w:val="true"/>
              </w:rPr>
              <w:t>المرحلة الثانية</w:t>
            </w:r>
            <w:r>
              <w:rPr>
                <w:rStyle w:val="IndexLink"/>
                <w:rtl w:val="true"/>
              </w:rPr>
              <w:t xml:space="preserve">: </w:t>
            </w:r>
            <w:r>
              <w:rPr>
                <w:rStyle w:val="IndexLink"/>
                <w:rtl w:val="true"/>
              </w:rPr>
              <w:t>أيْ ثبوت ملكيّة الدولة في زمن الغيبة</w:t>
            </w:r>
            <w:r>
              <w:rPr>
                <w:rStyle w:val="IndexLink"/>
                <w:rtl w:val="true"/>
              </w:rPr>
              <w:tab/>
            </w:r>
            <w:r>
              <w:rPr>
                <w:rStyle w:val="IndexLink"/>
              </w:rPr>
              <w:t>130</w:t>
            </w:r>
          </w:hyperlink>
        </w:p>
        <w:p>
          <w:pPr>
            <w:pStyle w:val="Contents6"/>
            <w:tabs>
              <w:tab w:val="clear" w:pos="7609"/>
              <w:tab w:val="right" w:pos="9026" w:leader="dot"/>
            </w:tabs>
            <w:rPr/>
          </w:pPr>
          <w:hyperlink w:anchor="__RefHeading___Toc3769959_2870459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769961_2870459653">
            <w:r>
              <w:rPr>
                <w:webHidden/>
                <w:rStyle w:val="IndexLink"/>
                <w:rtl w:val="true"/>
              </w:rPr>
              <w:t>الجهة الأولى</w:t>
            </w:r>
            <w:r>
              <w:rPr>
                <w:rStyle w:val="IndexLink"/>
                <w:rtl w:val="true"/>
              </w:rPr>
              <w:t xml:space="preserve">: </w:t>
            </w:r>
            <w:r>
              <w:rPr>
                <w:rStyle w:val="IndexLink"/>
                <w:rtl w:val="true"/>
              </w:rPr>
              <w:t>التمسّك بالولاية العامّة للفقيه</w:t>
            </w:r>
            <w:r>
              <w:rPr>
                <w:rStyle w:val="IndexLink"/>
                <w:rtl w:val="true"/>
              </w:rPr>
              <w:tab/>
            </w:r>
            <w:r>
              <w:rPr>
                <w:rStyle w:val="IndexLink"/>
              </w:rPr>
              <w:t>130</w:t>
            </w:r>
          </w:hyperlink>
        </w:p>
        <w:p>
          <w:pPr>
            <w:pStyle w:val="Contents6"/>
            <w:tabs>
              <w:tab w:val="clear" w:pos="7609"/>
              <w:tab w:val="right" w:pos="9026" w:leader="dot"/>
            </w:tabs>
            <w:rPr/>
          </w:pPr>
          <w:hyperlink w:anchor="__RefHeading___Toc3769963_2870459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769965_2870459653">
            <w:r>
              <w:rPr>
                <w:webHidden/>
                <w:rStyle w:val="IndexLink"/>
                <w:rtl w:val="true"/>
              </w:rPr>
              <w:t>الاحتمال الأوّل</w:t>
            </w:r>
            <w:r>
              <w:rPr>
                <w:rStyle w:val="IndexLink"/>
                <w:rtl w:val="true"/>
              </w:rPr>
              <w:tab/>
            </w:r>
            <w:r>
              <w:rPr>
                <w:rStyle w:val="IndexLink"/>
              </w:rPr>
              <w:t>130</w:t>
            </w:r>
          </w:hyperlink>
        </w:p>
        <w:p>
          <w:pPr>
            <w:pStyle w:val="Contents6"/>
            <w:tabs>
              <w:tab w:val="clear" w:pos="7609"/>
              <w:tab w:val="right" w:pos="9026" w:leader="dot"/>
            </w:tabs>
            <w:rPr/>
          </w:pPr>
          <w:hyperlink w:anchor="__RefHeading___Toc3769967_2870459653">
            <w:r>
              <w:rPr>
                <w:webHidden/>
                <w:rStyle w:val="IndexLink"/>
                <w:rtl w:val="true"/>
              </w:rPr>
              <w:t>الاحتمال الثاني</w:t>
            </w:r>
            <w:r>
              <w:rPr>
                <w:rStyle w:val="IndexLink"/>
                <w:rtl w:val="true"/>
              </w:rPr>
              <w:tab/>
            </w:r>
            <w:r>
              <w:rPr>
                <w:rStyle w:val="IndexLink"/>
              </w:rPr>
              <w:t>130</w:t>
            </w:r>
          </w:hyperlink>
        </w:p>
        <w:p>
          <w:pPr>
            <w:pStyle w:val="Contents6"/>
            <w:tabs>
              <w:tab w:val="clear" w:pos="7609"/>
              <w:tab w:val="right" w:pos="9026" w:leader="dot"/>
            </w:tabs>
            <w:rPr/>
          </w:pPr>
          <w:hyperlink w:anchor="__RefHeading___Toc3769969_2870459653">
            <w:r>
              <w:rPr>
                <w:webHidden/>
                <w:rStyle w:val="IndexLink"/>
                <w:rtl w:val="true"/>
              </w:rPr>
              <w:t>الاحتمال الثالث</w:t>
            </w:r>
            <w:r>
              <w:rPr>
                <w:rStyle w:val="IndexLink"/>
                <w:rtl w:val="true"/>
              </w:rPr>
              <w:tab/>
            </w:r>
            <w:r>
              <w:rPr>
                <w:rStyle w:val="IndexLink"/>
              </w:rPr>
              <w:t>130</w:t>
            </w:r>
          </w:hyperlink>
        </w:p>
        <w:p>
          <w:pPr>
            <w:pStyle w:val="Contents6"/>
            <w:tabs>
              <w:tab w:val="clear" w:pos="7609"/>
              <w:tab w:val="right" w:pos="9026" w:leader="dot"/>
            </w:tabs>
            <w:rPr/>
          </w:pPr>
          <w:hyperlink w:anchor="__RefHeading___Toc3769971_2870459653">
            <w:r>
              <w:rPr>
                <w:webHidden/>
                <w:rStyle w:val="IndexLink"/>
                <w:rtl w:val="true"/>
              </w:rPr>
              <w:t>الاحتمال الرابع</w:t>
            </w:r>
            <w:r>
              <w:rPr>
                <w:rStyle w:val="IndexLink"/>
                <w:rtl w:val="true"/>
              </w:rPr>
              <w:tab/>
            </w:r>
            <w:r>
              <w:rPr>
                <w:rStyle w:val="IndexLink"/>
              </w:rPr>
              <w:t>131</w:t>
            </w:r>
          </w:hyperlink>
        </w:p>
        <w:p>
          <w:pPr>
            <w:pStyle w:val="Contents6"/>
            <w:tabs>
              <w:tab w:val="clear" w:pos="7609"/>
              <w:tab w:val="right" w:pos="9026" w:leader="dot"/>
            </w:tabs>
            <w:rPr/>
          </w:pPr>
          <w:hyperlink w:anchor="__RefHeading___Toc3769973_2870459653">
            <w:r>
              <w:rPr>
                <w:webHidden/>
                <w:rStyle w:val="IndexLink"/>
                <w:rtl w:val="true"/>
              </w:rPr>
              <w:t>الجهة الثانية</w:t>
            </w:r>
            <w:r>
              <w:rPr>
                <w:rStyle w:val="IndexLink"/>
                <w:rtl w:val="true"/>
              </w:rPr>
              <w:t xml:space="preserve">: </w:t>
            </w:r>
            <w:r>
              <w:rPr>
                <w:rStyle w:val="IndexLink"/>
                <w:rtl w:val="true"/>
              </w:rPr>
              <w:t>التمسّك بالحسبة</w:t>
            </w:r>
            <w:r>
              <w:rPr>
                <w:rStyle w:val="IndexLink"/>
                <w:rtl w:val="true"/>
              </w:rPr>
              <w:tab/>
            </w:r>
            <w:r>
              <w:rPr>
                <w:rStyle w:val="IndexLink"/>
              </w:rPr>
              <w:t>131</w:t>
            </w:r>
          </w:hyperlink>
        </w:p>
        <w:p>
          <w:pPr>
            <w:pStyle w:val="Contents6"/>
            <w:tabs>
              <w:tab w:val="clear" w:pos="7609"/>
              <w:tab w:val="right" w:pos="9026" w:leader="dot"/>
            </w:tabs>
            <w:rPr/>
          </w:pPr>
          <w:hyperlink w:anchor="__RefHeading___Toc3769975_2870459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769977_2870459653">
            <w:r>
              <w:rPr>
                <w:webHidden/>
                <w:rStyle w:val="IndexLink"/>
                <w:rtl w:val="true"/>
              </w:rPr>
              <w:t>اللازم الأوّل</w:t>
            </w:r>
            <w:r>
              <w:rPr>
                <w:rStyle w:val="IndexLink"/>
                <w:rtl w:val="true"/>
              </w:rPr>
              <w:tab/>
            </w:r>
            <w:r>
              <w:rPr>
                <w:rStyle w:val="IndexLink"/>
              </w:rPr>
              <w:t>133</w:t>
            </w:r>
          </w:hyperlink>
        </w:p>
        <w:p>
          <w:pPr>
            <w:pStyle w:val="Contents6"/>
            <w:tabs>
              <w:tab w:val="clear" w:pos="7609"/>
              <w:tab w:val="right" w:pos="9026" w:leader="dot"/>
            </w:tabs>
            <w:rPr/>
          </w:pPr>
          <w:hyperlink w:anchor="__RefHeading___Toc3769979_2870459653">
            <w:r>
              <w:rPr>
                <w:webHidden/>
                <w:rStyle w:val="IndexLink"/>
                <w:rtl w:val="true"/>
              </w:rPr>
              <w:t>اللازم الثاني</w:t>
            </w:r>
            <w:r>
              <w:rPr>
                <w:rStyle w:val="IndexLink"/>
                <w:rtl w:val="true"/>
              </w:rPr>
              <w:tab/>
            </w:r>
            <w:r>
              <w:rPr>
                <w:rStyle w:val="IndexLink"/>
              </w:rPr>
              <w:t>134</w:t>
            </w:r>
          </w:hyperlink>
        </w:p>
        <w:p>
          <w:pPr>
            <w:pStyle w:val="Contents6"/>
            <w:tabs>
              <w:tab w:val="clear" w:pos="7609"/>
              <w:tab w:val="right" w:pos="9026" w:leader="dot"/>
            </w:tabs>
            <w:rPr/>
          </w:pPr>
          <w:hyperlink w:anchor="__RefHeading___Toc3769981_2870459653">
            <w:r>
              <w:rPr>
                <w:webHidden/>
                <w:rStyle w:val="IndexLink"/>
                <w:rtl w:val="true"/>
              </w:rPr>
              <w:t>اللازم الثالث</w:t>
            </w:r>
            <w:r>
              <w:rPr>
                <w:rStyle w:val="IndexLink"/>
                <w:rtl w:val="true"/>
              </w:rPr>
              <w:tab/>
            </w:r>
            <w:r>
              <w:rPr>
                <w:rStyle w:val="IndexLink"/>
              </w:rPr>
              <w:t>135</w:t>
            </w:r>
          </w:hyperlink>
        </w:p>
        <w:p>
          <w:pPr>
            <w:pStyle w:val="Contents6"/>
            <w:tabs>
              <w:tab w:val="clear" w:pos="7609"/>
              <w:tab w:val="right" w:pos="9026" w:leader="dot"/>
            </w:tabs>
            <w:rPr/>
          </w:pPr>
          <w:hyperlink w:anchor="__RefHeading___Toc3769983_2870459653">
            <w:r>
              <w:rPr>
                <w:webHidden/>
                <w:rStyle w:val="IndexLink"/>
                <w:rtl w:val="true"/>
              </w:rPr>
              <w:t>اللازم الرابع</w:t>
            </w:r>
            <w:r>
              <w:rPr>
                <w:rStyle w:val="IndexLink"/>
                <w:rtl w:val="true"/>
              </w:rPr>
              <w:tab/>
            </w:r>
            <w:r>
              <w:rPr>
                <w:rStyle w:val="IndexLink"/>
              </w:rPr>
              <w:t>135</w:t>
            </w:r>
          </w:hyperlink>
        </w:p>
        <w:p>
          <w:pPr>
            <w:pStyle w:val="Contents6"/>
            <w:tabs>
              <w:tab w:val="clear" w:pos="7609"/>
              <w:tab w:val="right" w:pos="9026" w:leader="dot"/>
            </w:tabs>
            <w:rPr/>
          </w:pPr>
          <w:hyperlink w:anchor="__RefHeading___Toc3769985_2870459653">
            <w:r>
              <w:rPr>
                <w:webHidden/>
                <w:rStyle w:val="IndexLink"/>
                <w:rtl w:val="true"/>
              </w:rPr>
              <w:t>اللازم الخامس</w:t>
            </w:r>
            <w:r>
              <w:rPr>
                <w:rStyle w:val="IndexLink"/>
                <w:rtl w:val="true"/>
              </w:rPr>
              <w:tab/>
            </w:r>
            <w:r>
              <w:rPr>
                <w:rStyle w:val="IndexLink"/>
              </w:rPr>
              <w:t>135</w:t>
            </w:r>
          </w:hyperlink>
        </w:p>
        <w:p>
          <w:pPr>
            <w:pStyle w:val="Contents6"/>
            <w:tabs>
              <w:tab w:val="clear" w:pos="7609"/>
              <w:tab w:val="right" w:pos="9026" w:leader="dot"/>
            </w:tabs>
            <w:rPr/>
          </w:pPr>
          <w:hyperlink w:anchor="__RefHeading___Toc3769987_2870459653">
            <w:r>
              <w:rPr>
                <w:webHidden/>
                <w:rStyle w:val="IndexLink"/>
                <w:rtl w:val="true"/>
              </w:rPr>
              <w:t>اللازم السادس</w:t>
            </w:r>
            <w:r>
              <w:rPr>
                <w:rStyle w:val="IndexLink"/>
                <w:rtl w:val="true"/>
              </w:rPr>
              <w:tab/>
            </w:r>
            <w:r>
              <w:rPr>
                <w:rStyle w:val="IndexLink"/>
              </w:rPr>
              <w:t>136</w:t>
            </w:r>
          </w:hyperlink>
        </w:p>
        <w:p>
          <w:pPr>
            <w:pStyle w:val="Contents6"/>
            <w:tabs>
              <w:tab w:val="clear" w:pos="7609"/>
              <w:tab w:val="right" w:pos="9026" w:leader="dot"/>
            </w:tabs>
            <w:rPr/>
          </w:pPr>
          <w:hyperlink w:anchor="__RefHeading___Toc3769989_2870459653">
            <w:r>
              <w:rPr>
                <w:webHidden/>
                <w:rStyle w:val="IndexLink"/>
                <w:rtl w:val="true"/>
              </w:rPr>
              <w:t>اللازم السابع</w:t>
            </w:r>
            <w:r>
              <w:rPr>
                <w:rStyle w:val="IndexLink"/>
                <w:rtl w:val="true"/>
              </w:rPr>
              <w:tab/>
            </w:r>
            <w:r>
              <w:rPr>
                <w:rStyle w:val="IndexLink"/>
              </w:rPr>
              <w:t>136</w:t>
            </w:r>
          </w:hyperlink>
        </w:p>
        <w:p>
          <w:pPr>
            <w:pStyle w:val="Contents5"/>
            <w:tabs>
              <w:tab w:val="clear" w:pos="7892"/>
              <w:tab w:val="right" w:pos="9026" w:leader="dot"/>
            </w:tabs>
            <w:rPr/>
          </w:pPr>
          <w:hyperlink w:anchor="__RefHeading___Toc3769991_2870459653">
            <w:r>
              <w:rPr>
                <w:webHidden/>
                <w:rStyle w:val="IndexLink"/>
                <w:rtl w:val="true"/>
              </w:rPr>
              <w:t>الدليل الثاني</w:t>
            </w:r>
            <w:r>
              <w:rPr>
                <w:rStyle w:val="IndexLink"/>
                <w:rtl w:val="true"/>
              </w:rPr>
              <w:t xml:space="preserve">: </w:t>
            </w:r>
            <w:r>
              <w:rPr>
                <w:rStyle w:val="IndexLink"/>
                <w:rtl w:val="true"/>
              </w:rPr>
              <w:t>السيرة والارتكاز العقلائيّ الممضى من الشارع</w:t>
            </w:r>
            <w:r>
              <w:rPr>
                <w:rStyle w:val="IndexLink"/>
                <w:rtl w:val="true"/>
              </w:rPr>
              <w:tab/>
            </w:r>
            <w:r>
              <w:rPr>
                <w:rStyle w:val="IndexLink"/>
              </w:rPr>
              <w:t>137</w:t>
            </w:r>
          </w:hyperlink>
        </w:p>
        <w:p>
          <w:pPr>
            <w:pStyle w:val="Contents5"/>
            <w:tabs>
              <w:tab w:val="clear" w:pos="7892"/>
              <w:tab w:val="right" w:pos="9026" w:leader="dot"/>
            </w:tabs>
            <w:rPr/>
          </w:pPr>
          <w:hyperlink w:anchor="__RefHeading___Toc3769993_2870459653">
            <w:r>
              <w:rPr>
                <w:webHidden/>
                <w:rStyle w:val="IndexLink"/>
                <w:rtl w:val="true"/>
              </w:rPr>
              <w:t>الدليل الثالث</w:t>
            </w:r>
            <w:r>
              <w:rPr>
                <w:rStyle w:val="IndexLink"/>
                <w:rtl w:val="true"/>
              </w:rPr>
              <w:tab/>
            </w:r>
            <w:r>
              <w:rPr>
                <w:rStyle w:val="IndexLink"/>
              </w:rPr>
              <w:t>139</w:t>
            </w:r>
          </w:hyperlink>
        </w:p>
        <w:p>
          <w:pPr>
            <w:pStyle w:val="Contents6"/>
            <w:tabs>
              <w:tab w:val="clear" w:pos="7609"/>
              <w:tab w:val="right" w:pos="9026" w:leader="dot"/>
            </w:tabs>
            <w:rPr/>
          </w:pPr>
          <w:hyperlink w:anchor="__RefHeading___Toc3769995_2870459653">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3769997_2870459653">
            <w:r>
              <w:rPr>
                <w:webHidden/>
                <w:rStyle w:val="IndexLink"/>
                <w:rtl w:val="true"/>
              </w:rPr>
              <w:t>الطائفة الأولى</w:t>
            </w:r>
            <w:r>
              <w:rPr>
                <w:rStyle w:val="IndexLink"/>
                <w:rtl w:val="true"/>
              </w:rPr>
              <w:t xml:space="preserve">: </w:t>
            </w:r>
            <w:r>
              <w:rPr>
                <w:rStyle w:val="IndexLink"/>
                <w:rtl w:val="true"/>
              </w:rPr>
              <w:t>الروايات الدالّة على جواز الولاية من قبل الحاكم الجائر</w:t>
            </w:r>
            <w:r>
              <w:rPr>
                <w:rStyle w:val="IndexLink"/>
                <w:rtl w:val="true"/>
              </w:rPr>
              <w:tab/>
            </w:r>
            <w:r>
              <w:rPr>
                <w:rStyle w:val="IndexLink"/>
              </w:rPr>
              <w:t>139</w:t>
            </w:r>
          </w:hyperlink>
        </w:p>
        <w:p>
          <w:pPr>
            <w:pStyle w:val="Contents6"/>
            <w:tabs>
              <w:tab w:val="clear" w:pos="7609"/>
              <w:tab w:val="right" w:pos="9026" w:leader="dot"/>
            </w:tabs>
            <w:rPr/>
          </w:pPr>
          <w:hyperlink w:anchor="__RefHeading___Toc3769999_2870459653">
            <w:r>
              <w:rPr>
                <w:webHidden/>
                <w:rStyle w:val="IndexLink"/>
                <w:rtl w:val="true"/>
              </w:rPr>
              <w:t>الطائفة الثانية</w:t>
            </w:r>
            <w:r>
              <w:rPr>
                <w:rStyle w:val="IndexLink"/>
                <w:rtl w:val="true"/>
              </w:rPr>
              <w:t xml:space="preserve">: </w:t>
            </w:r>
            <w:r>
              <w:rPr>
                <w:rStyle w:val="IndexLink"/>
                <w:rtl w:val="true"/>
              </w:rPr>
              <w:t>الروايات الدالّة على قبول هدايا السلطان</w:t>
            </w:r>
            <w:r>
              <w:rPr>
                <w:rStyle w:val="IndexLink"/>
                <w:rtl w:val="true"/>
              </w:rPr>
              <w:tab/>
            </w:r>
            <w:r>
              <w:rPr>
                <w:rStyle w:val="IndexLink"/>
              </w:rPr>
              <w:t>142</w:t>
            </w:r>
          </w:hyperlink>
        </w:p>
        <w:p>
          <w:pPr>
            <w:pStyle w:val="Contents3"/>
            <w:tabs>
              <w:tab w:val="clear" w:pos="8459"/>
              <w:tab w:val="right" w:pos="9026" w:leader="dot"/>
            </w:tabs>
            <w:rPr/>
          </w:pPr>
          <w:hyperlink w:anchor="__RefHeading___Toc3770001_2870459653">
            <w:r>
              <w:rPr>
                <w:webHidden/>
                <w:rStyle w:val="IndexLink"/>
                <w:rtl w:val="true"/>
              </w:rPr>
              <w:t>خلاصة البحث</w:t>
            </w:r>
            <w:r>
              <w:rPr>
                <w:rStyle w:val="IndexLink"/>
                <w:rtl w:val="true"/>
              </w:rPr>
              <w:tab/>
            </w:r>
            <w:r>
              <w:rPr>
                <w:rStyle w:val="IndexLink"/>
              </w:rPr>
              <w:t>144</w:t>
            </w:r>
          </w:hyperlink>
        </w:p>
        <w:p>
          <w:pPr>
            <w:pStyle w:val="Contents3"/>
            <w:tabs>
              <w:tab w:val="clear" w:pos="8459"/>
              <w:tab w:val="right" w:pos="9026" w:leader="dot"/>
            </w:tabs>
            <w:rPr/>
          </w:pPr>
          <w:hyperlink w:anchor="__RefHeading___Toc3770003_2870459653">
            <w:r>
              <w:rPr>
                <w:webHidden/>
                <w:rStyle w:val="IndexLink"/>
                <w:rtl w:val="true"/>
              </w:rPr>
              <w:t>المصادر</w:t>
            </w:r>
            <w:r>
              <w:rPr>
                <w:rStyle w:val="IndexLink"/>
                <w:rtl w:val="true"/>
              </w:rPr>
              <w:tab/>
            </w:r>
            <w:r>
              <w:rPr>
                <w:rStyle w:val="IndexLink"/>
              </w:rPr>
              <w:t>146</w:t>
            </w:r>
          </w:hyperlink>
        </w:p>
        <w:p>
          <w:pPr>
            <w:pStyle w:val="Contents2"/>
            <w:tabs>
              <w:tab w:val="clear" w:pos="8743"/>
              <w:tab w:val="right" w:pos="9026" w:leader="dot"/>
            </w:tabs>
            <w:rPr/>
          </w:pPr>
          <w:hyperlink w:anchor="__RefHeading___Toc3770005_2870459653">
            <w:r>
              <w:rPr>
                <w:webHidden/>
                <w:rStyle w:val="IndexLink"/>
                <w:rtl w:val="true"/>
              </w:rPr>
              <w:t xml:space="preserve">اجتماع العدد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علاء آل شويجة </w:t>
            </w:r>
            <w:r>
              <w:rPr>
                <w:rStyle w:val="IndexLink"/>
                <w:rtl w:val="true"/>
              </w:rPr>
              <w:t>(</w:t>
            </w:r>
            <w:r>
              <w:rPr>
                <w:rStyle w:val="IndexLink"/>
                <w:rtl w:val="true"/>
              </w:rPr>
              <w:t>دام عزه</w:t>
            </w:r>
            <w:r>
              <w:rPr>
                <w:rStyle w:val="IndexLink"/>
                <w:rtl w:val="true"/>
              </w:rPr>
              <w:t>)</w:t>
              <w:tab/>
            </w:r>
            <w:r>
              <w:rPr>
                <w:rStyle w:val="IndexLink"/>
              </w:rPr>
              <w:t>149</w:t>
            </w:r>
          </w:hyperlink>
        </w:p>
        <w:p>
          <w:pPr>
            <w:pStyle w:val="Contents3"/>
            <w:tabs>
              <w:tab w:val="clear" w:pos="8459"/>
              <w:tab w:val="right" w:pos="9026" w:leader="dot"/>
            </w:tabs>
            <w:rPr/>
          </w:pPr>
          <w:hyperlink w:anchor="__RefHeading___Toc3770007_2870459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3770009_2870459653">
            <w:r>
              <w:rPr>
                <w:webHidden/>
                <w:rStyle w:val="IndexLink"/>
                <w:rtl w:val="true"/>
              </w:rPr>
              <w:t>المقدّمة</w:t>
            </w:r>
            <w:r>
              <w:rPr>
                <w:rStyle w:val="IndexLink"/>
                <w:rtl w:val="true"/>
              </w:rPr>
              <w:tab/>
            </w:r>
            <w:r>
              <w:rPr>
                <w:rStyle w:val="IndexLink"/>
              </w:rPr>
              <w:t>151</w:t>
            </w:r>
          </w:hyperlink>
        </w:p>
        <w:p>
          <w:pPr>
            <w:pStyle w:val="Contents3"/>
            <w:tabs>
              <w:tab w:val="clear" w:pos="8459"/>
              <w:tab w:val="right" w:pos="9026" w:leader="dot"/>
            </w:tabs>
            <w:rPr/>
          </w:pPr>
          <w:hyperlink w:anchor="__RefHeading___Toc3770011_2870459653">
            <w:r>
              <w:rPr>
                <w:webHidden/>
                <w:rStyle w:val="IndexLink"/>
                <w:rtl w:val="true"/>
              </w:rPr>
              <w:t>في المراد من تداخل العدد</w:t>
            </w:r>
            <w:r>
              <w:rPr>
                <w:rStyle w:val="IndexLink"/>
                <w:rtl w:val="true"/>
              </w:rPr>
              <w:tab/>
            </w:r>
            <w:r>
              <w:rPr>
                <w:rStyle w:val="IndexLink"/>
              </w:rPr>
              <w:t>152</w:t>
            </w:r>
          </w:hyperlink>
        </w:p>
        <w:p>
          <w:pPr>
            <w:pStyle w:val="Contents3"/>
            <w:tabs>
              <w:tab w:val="clear" w:pos="8459"/>
              <w:tab w:val="right" w:pos="9026" w:leader="dot"/>
            </w:tabs>
            <w:rPr/>
          </w:pPr>
          <w:hyperlink w:anchor="__RefHeading___Toc3770013_2870459653">
            <w:r>
              <w:rPr>
                <w:webHidden/>
                <w:rStyle w:val="IndexLink"/>
                <w:rtl w:val="true"/>
              </w:rPr>
              <w:t>العرض التاريخي للمسألة</w:t>
            </w:r>
            <w:r>
              <w:rPr>
                <w:rStyle w:val="IndexLink"/>
                <w:rtl w:val="true"/>
              </w:rPr>
              <w:tab/>
            </w:r>
            <w:r>
              <w:rPr>
                <w:rStyle w:val="IndexLink"/>
              </w:rPr>
              <w:t>154</w:t>
            </w:r>
          </w:hyperlink>
        </w:p>
        <w:p>
          <w:pPr>
            <w:pStyle w:val="Contents3"/>
            <w:tabs>
              <w:tab w:val="clear" w:pos="8459"/>
              <w:tab w:val="right" w:pos="9026" w:leader="dot"/>
            </w:tabs>
            <w:rPr/>
          </w:pPr>
          <w:hyperlink w:anchor="__RefHeading___Toc3770015_2870459653">
            <w:r>
              <w:rPr>
                <w:webHidden/>
                <w:rStyle w:val="IndexLink"/>
                <w:rtl w:val="true"/>
              </w:rPr>
              <w:t>الأقوال في المسألة</w:t>
            </w:r>
            <w:r>
              <w:rPr>
                <w:rStyle w:val="IndexLink"/>
                <w:rtl w:val="true"/>
              </w:rPr>
              <w:tab/>
            </w:r>
            <w:r>
              <w:rPr>
                <w:rStyle w:val="IndexLink"/>
              </w:rPr>
              <w:t>168</w:t>
            </w:r>
          </w:hyperlink>
        </w:p>
        <w:p>
          <w:pPr>
            <w:pStyle w:val="Contents4"/>
            <w:tabs>
              <w:tab w:val="clear" w:pos="8176"/>
              <w:tab w:val="right" w:pos="9026" w:leader="dot"/>
            </w:tabs>
            <w:rPr/>
          </w:pPr>
          <w:hyperlink w:anchor="__RefHeading___Toc3770017_2870459653">
            <w:r>
              <w:rPr>
                <w:webHidden/>
                <w:rStyle w:val="IndexLink"/>
                <w:rtl w:val="true"/>
              </w:rPr>
              <w:t>القول الأوّل</w:t>
            </w:r>
            <w:r>
              <w:rPr>
                <w:rStyle w:val="IndexLink"/>
                <w:rtl w:val="true"/>
              </w:rPr>
              <w:tab/>
            </w:r>
            <w:r>
              <w:rPr>
                <w:rStyle w:val="IndexLink"/>
              </w:rPr>
              <w:t>168</w:t>
            </w:r>
          </w:hyperlink>
        </w:p>
        <w:p>
          <w:pPr>
            <w:pStyle w:val="Contents4"/>
            <w:tabs>
              <w:tab w:val="clear" w:pos="8176"/>
              <w:tab w:val="right" w:pos="9026" w:leader="dot"/>
            </w:tabs>
            <w:rPr/>
          </w:pPr>
          <w:hyperlink w:anchor="__RefHeading___Toc3770019_2870459653">
            <w:r>
              <w:rPr>
                <w:webHidden/>
                <w:rStyle w:val="IndexLink"/>
                <w:rtl w:val="true"/>
              </w:rPr>
              <w:t>القول الثاني</w:t>
            </w:r>
            <w:r>
              <w:rPr>
                <w:rStyle w:val="IndexLink"/>
                <w:rtl w:val="true"/>
              </w:rPr>
              <w:tab/>
            </w:r>
            <w:r>
              <w:rPr>
                <w:rStyle w:val="IndexLink"/>
              </w:rPr>
              <w:t>168</w:t>
            </w:r>
          </w:hyperlink>
        </w:p>
        <w:p>
          <w:pPr>
            <w:pStyle w:val="Contents4"/>
            <w:tabs>
              <w:tab w:val="clear" w:pos="8176"/>
              <w:tab w:val="right" w:pos="9026" w:leader="dot"/>
            </w:tabs>
            <w:rPr/>
          </w:pPr>
          <w:hyperlink w:anchor="__RefHeading___Toc3770021_2870459653">
            <w:r>
              <w:rPr>
                <w:webHidden/>
                <w:rStyle w:val="IndexLink"/>
                <w:rtl w:val="true"/>
              </w:rPr>
              <w:t>القول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3770023_2870459653">
            <w:r>
              <w:rPr>
                <w:webHidden/>
                <w:rStyle w:val="IndexLink"/>
                <w:rtl w:val="true"/>
              </w:rPr>
              <w:t>القول الرابع</w:t>
            </w:r>
            <w:r>
              <w:rPr>
                <w:rStyle w:val="IndexLink"/>
                <w:rtl w:val="true"/>
              </w:rPr>
              <w:tab/>
            </w:r>
            <w:r>
              <w:rPr>
                <w:rStyle w:val="IndexLink"/>
              </w:rPr>
              <w:t>171</w:t>
            </w:r>
          </w:hyperlink>
        </w:p>
        <w:p>
          <w:pPr>
            <w:pStyle w:val="Contents4"/>
            <w:tabs>
              <w:tab w:val="clear" w:pos="8176"/>
              <w:tab w:val="right" w:pos="9026" w:leader="dot"/>
            </w:tabs>
            <w:rPr/>
          </w:pPr>
          <w:hyperlink w:anchor="__RefHeading___Toc3770025_2870459653">
            <w:r>
              <w:rPr>
                <w:webHidden/>
                <w:rStyle w:val="IndexLink"/>
                <w:rtl w:val="true"/>
              </w:rPr>
              <w:t>القول الخامس</w:t>
            </w:r>
            <w:r>
              <w:rPr>
                <w:rStyle w:val="IndexLink"/>
                <w:rtl w:val="true"/>
              </w:rPr>
              <w:tab/>
            </w:r>
            <w:r>
              <w:rPr>
                <w:rStyle w:val="IndexLink"/>
              </w:rPr>
              <w:t>171</w:t>
            </w:r>
          </w:hyperlink>
        </w:p>
        <w:p>
          <w:pPr>
            <w:pStyle w:val="Contents4"/>
            <w:tabs>
              <w:tab w:val="clear" w:pos="8176"/>
              <w:tab w:val="right" w:pos="9026" w:leader="dot"/>
            </w:tabs>
            <w:rPr/>
          </w:pPr>
          <w:hyperlink w:anchor="__RefHeading___Toc3770027_2870459653">
            <w:r>
              <w:rPr>
                <w:webHidden/>
                <w:rStyle w:val="IndexLink"/>
                <w:rtl w:val="true"/>
              </w:rPr>
              <w:t>القول السادس</w:t>
            </w:r>
            <w:r>
              <w:rPr>
                <w:rStyle w:val="IndexLink"/>
                <w:rtl w:val="true"/>
              </w:rPr>
              <w:tab/>
            </w:r>
            <w:r>
              <w:rPr>
                <w:rStyle w:val="IndexLink"/>
              </w:rPr>
              <w:t>172</w:t>
            </w:r>
          </w:hyperlink>
        </w:p>
        <w:p>
          <w:pPr>
            <w:pStyle w:val="Contents3"/>
            <w:tabs>
              <w:tab w:val="clear" w:pos="8459"/>
              <w:tab w:val="right" w:pos="9026" w:leader="dot"/>
            </w:tabs>
            <w:rPr/>
          </w:pPr>
          <w:hyperlink w:anchor="__RefHeading___Toc3770029_2870459653">
            <w:r>
              <w:rPr>
                <w:webHidden/>
                <w:rStyle w:val="IndexLink"/>
                <w:rtl w:val="true"/>
              </w:rPr>
              <w:t>كلمات فقهاء العامّة وأقوالهم</w:t>
            </w:r>
            <w:r>
              <w:rPr>
                <w:rStyle w:val="IndexLink"/>
                <w:rtl w:val="true"/>
              </w:rPr>
              <w:tab/>
            </w:r>
            <w:r>
              <w:rPr>
                <w:rStyle w:val="IndexLink"/>
              </w:rPr>
              <w:t>174</w:t>
            </w:r>
          </w:hyperlink>
        </w:p>
        <w:p>
          <w:pPr>
            <w:pStyle w:val="Contents3"/>
            <w:tabs>
              <w:tab w:val="clear" w:pos="8459"/>
              <w:tab w:val="right" w:pos="9026" w:leader="dot"/>
            </w:tabs>
            <w:rPr/>
          </w:pPr>
          <w:hyperlink w:anchor="__RefHeading___Toc3770031_2870459653">
            <w:r>
              <w:rPr>
                <w:webHidden/>
                <w:rStyle w:val="IndexLink"/>
                <w:rtl w:val="true"/>
              </w:rPr>
              <w:t>الأصل ومقتضى القاعدة</w:t>
            </w:r>
            <w:r>
              <w:rPr>
                <w:rStyle w:val="IndexLink"/>
                <w:rtl w:val="true"/>
              </w:rPr>
              <w:tab/>
            </w:r>
            <w:r>
              <w:rPr>
                <w:rStyle w:val="IndexLink"/>
              </w:rPr>
              <w:t>178</w:t>
            </w:r>
          </w:hyperlink>
        </w:p>
        <w:p>
          <w:pPr>
            <w:pStyle w:val="Contents3"/>
            <w:tabs>
              <w:tab w:val="clear" w:pos="8459"/>
              <w:tab w:val="right" w:pos="9026" w:leader="dot"/>
            </w:tabs>
            <w:rPr/>
          </w:pPr>
          <w:hyperlink w:anchor="__RefHeading___Toc3770033_2870459653">
            <w:r>
              <w:rPr>
                <w:webHidden/>
                <w:rStyle w:val="IndexLink"/>
                <w:rtl w:val="true"/>
              </w:rPr>
              <w:t>الأدلّة</w:t>
            </w:r>
            <w:r>
              <w:rPr>
                <w:rStyle w:val="IndexLink"/>
                <w:rtl w:val="true"/>
              </w:rPr>
              <w:tab/>
            </w:r>
            <w:r>
              <w:rPr>
                <w:rStyle w:val="IndexLink"/>
              </w:rPr>
              <w:t>183</w:t>
            </w:r>
          </w:hyperlink>
        </w:p>
        <w:p>
          <w:pPr>
            <w:pStyle w:val="Contents4"/>
            <w:tabs>
              <w:tab w:val="clear" w:pos="8176"/>
              <w:tab w:val="right" w:pos="9026" w:leader="dot"/>
            </w:tabs>
            <w:rPr/>
          </w:pPr>
          <w:hyperlink w:anchor="__RefHeading___Toc3770035_2870459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770037_2870459653">
            <w:r>
              <w:rPr>
                <w:webHidden/>
                <w:rStyle w:val="IndexLink"/>
                <w:rtl w:val="true"/>
              </w:rPr>
              <w:t>الأُولى</w:t>
            </w:r>
            <w:r>
              <w:rPr>
                <w:rStyle w:val="IndexLink"/>
                <w:rtl w:val="true"/>
              </w:rPr>
              <w:tab/>
            </w:r>
            <w:r>
              <w:rPr>
                <w:rStyle w:val="IndexLink"/>
              </w:rPr>
              <w:t>183</w:t>
            </w:r>
          </w:hyperlink>
        </w:p>
        <w:p>
          <w:pPr>
            <w:pStyle w:val="Contents4"/>
            <w:tabs>
              <w:tab w:val="clear" w:pos="8176"/>
              <w:tab w:val="right" w:pos="9026" w:leader="dot"/>
            </w:tabs>
            <w:rPr/>
          </w:pPr>
          <w:hyperlink w:anchor="__RefHeading___Toc3770039_2870459653">
            <w:r>
              <w:rPr>
                <w:webHidden/>
                <w:rStyle w:val="IndexLink"/>
                <w:rtl w:val="true"/>
              </w:rPr>
              <w:t>الثانية</w:t>
            </w:r>
            <w:r>
              <w:rPr>
                <w:rStyle w:val="IndexLink"/>
                <w:rtl w:val="true"/>
              </w:rPr>
              <w:tab/>
            </w:r>
            <w:r>
              <w:rPr>
                <w:rStyle w:val="IndexLink"/>
              </w:rPr>
              <w:t>184</w:t>
            </w:r>
          </w:hyperlink>
        </w:p>
        <w:p>
          <w:pPr>
            <w:pStyle w:val="Contents4"/>
            <w:tabs>
              <w:tab w:val="clear" w:pos="8176"/>
              <w:tab w:val="right" w:pos="9026" w:leader="dot"/>
            </w:tabs>
            <w:rPr/>
          </w:pPr>
          <w:hyperlink w:anchor="__RefHeading___Toc3770041_2870459653">
            <w:r>
              <w:rPr>
                <w:webHidden/>
                <w:rStyle w:val="IndexLink"/>
                <w:rtl w:val="true"/>
              </w:rPr>
              <w:t>الثالثة</w:t>
            </w:r>
            <w:r>
              <w:rPr>
                <w:rStyle w:val="IndexLink"/>
                <w:rtl w:val="true"/>
              </w:rPr>
              <w:tab/>
            </w:r>
            <w:r>
              <w:rPr>
                <w:rStyle w:val="IndexLink"/>
              </w:rPr>
              <w:t>185</w:t>
            </w:r>
          </w:hyperlink>
        </w:p>
        <w:p>
          <w:pPr>
            <w:pStyle w:val="Contents4"/>
            <w:tabs>
              <w:tab w:val="clear" w:pos="8176"/>
              <w:tab w:val="right" w:pos="9026" w:leader="dot"/>
            </w:tabs>
            <w:rPr/>
          </w:pPr>
          <w:hyperlink w:anchor="__RefHeading___Toc3770043_2870459653">
            <w:r>
              <w:rPr>
                <w:webHidden/>
                <w:rStyle w:val="IndexLink"/>
                <w:rtl w:val="true"/>
              </w:rPr>
              <w:t>الرابعة</w:t>
            </w:r>
            <w:r>
              <w:rPr>
                <w:rStyle w:val="IndexLink"/>
                <w:rtl w:val="true"/>
              </w:rPr>
              <w:tab/>
            </w:r>
            <w:r>
              <w:rPr>
                <w:rStyle w:val="IndexLink"/>
              </w:rPr>
              <w:t>186</w:t>
            </w:r>
          </w:hyperlink>
        </w:p>
        <w:p>
          <w:pPr>
            <w:pStyle w:val="Contents4"/>
            <w:tabs>
              <w:tab w:val="clear" w:pos="8176"/>
              <w:tab w:val="right" w:pos="9026" w:leader="dot"/>
            </w:tabs>
            <w:rPr/>
          </w:pPr>
          <w:hyperlink w:anchor="__RefHeading___Toc3770045_2870459653">
            <w:r>
              <w:rPr>
                <w:webHidden/>
                <w:rStyle w:val="IndexLink"/>
                <w:rtl w:val="true"/>
              </w:rPr>
              <w:t>الخامسة</w:t>
            </w:r>
            <w:r>
              <w:rPr>
                <w:rStyle w:val="IndexLink"/>
                <w:rtl w:val="true"/>
              </w:rPr>
              <w:tab/>
            </w:r>
            <w:r>
              <w:rPr>
                <w:rStyle w:val="IndexLink"/>
              </w:rPr>
              <w:t>187</w:t>
            </w:r>
          </w:hyperlink>
        </w:p>
        <w:p>
          <w:pPr>
            <w:pStyle w:val="Contents4"/>
            <w:tabs>
              <w:tab w:val="clear" w:pos="8176"/>
              <w:tab w:val="right" w:pos="9026" w:leader="dot"/>
            </w:tabs>
            <w:rPr/>
          </w:pPr>
          <w:hyperlink w:anchor="__RefHeading___Toc3770047_2870459653">
            <w:r>
              <w:rPr>
                <w:webHidden/>
                <w:rStyle w:val="IndexLink"/>
                <w:rtl w:val="true"/>
              </w:rPr>
              <w:t>السادسة</w:t>
            </w:r>
            <w:r>
              <w:rPr>
                <w:rStyle w:val="IndexLink"/>
                <w:rtl w:val="true"/>
              </w:rPr>
              <w:tab/>
            </w:r>
            <w:r>
              <w:rPr>
                <w:rStyle w:val="IndexLink"/>
              </w:rPr>
              <w:t>187</w:t>
            </w:r>
          </w:hyperlink>
        </w:p>
        <w:p>
          <w:pPr>
            <w:pStyle w:val="Contents3"/>
            <w:tabs>
              <w:tab w:val="clear" w:pos="8459"/>
              <w:tab w:val="right" w:pos="9026" w:leader="dot"/>
            </w:tabs>
            <w:rPr/>
          </w:pPr>
          <w:hyperlink w:anchor="__RefHeading___Toc3770049_2870459653">
            <w:r>
              <w:rPr>
                <w:webHidden/>
                <w:rStyle w:val="IndexLink"/>
                <w:rtl w:val="true"/>
              </w:rPr>
              <w:t>أدلّة التداخل</w:t>
            </w:r>
            <w:r>
              <w:rPr>
                <w:rStyle w:val="IndexLink"/>
                <w:rtl w:val="true"/>
              </w:rPr>
              <w:tab/>
            </w:r>
            <w:r>
              <w:rPr>
                <w:rStyle w:val="IndexLink"/>
              </w:rPr>
              <w:t>189</w:t>
            </w:r>
          </w:hyperlink>
        </w:p>
        <w:p>
          <w:pPr>
            <w:pStyle w:val="Contents4"/>
            <w:tabs>
              <w:tab w:val="clear" w:pos="8176"/>
              <w:tab w:val="right" w:pos="9026" w:leader="dot"/>
            </w:tabs>
            <w:rPr/>
          </w:pPr>
          <w:hyperlink w:anchor="__RefHeading___Toc3770051_2870459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770053_2870459653">
            <w:r>
              <w:rPr>
                <w:webHidden/>
                <w:rStyle w:val="IndexLink"/>
                <w:rtl w:val="true"/>
              </w:rPr>
              <w:t>الأولى</w:t>
            </w:r>
            <w:r>
              <w:rPr>
                <w:rStyle w:val="IndexLink"/>
                <w:rtl w:val="true"/>
              </w:rPr>
              <w:tab/>
            </w:r>
            <w:r>
              <w:rPr>
                <w:rStyle w:val="IndexLink"/>
              </w:rPr>
              <w:t>189</w:t>
            </w:r>
          </w:hyperlink>
        </w:p>
        <w:p>
          <w:pPr>
            <w:pStyle w:val="Contents4"/>
            <w:tabs>
              <w:tab w:val="clear" w:pos="8176"/>
              <w:tab w:val="right" w:pos="9026" w:leader="dot"/>
            </w:tabs>
            <w:rPr/>
          </w:pPr>
          <w:hyperlink w:anchor="__RefHeading___Toc3770055_2870459653">
            <w:r>
              <w:rPr>
                <w:webHidden/>
                <w:rStyle w:val="IndexLink"/>
                <w:rtl w:val="true"/>
              </w:rPr>
              <w:t>الثانية</w:t>
            </w:r>
            <w:r>
              <w:rPr>
                <w:rStyle w:val="IndexLink"/>
                <w:rtl w:val="true"/>
              </w:rPr>
              <w:tab/>
            </w:r>
            <w:r>
              <w:rPr>
                <w:rStyle w:val="IndexLink"/>
              </w:rPr>
              <w:t>189</w:t>
            </w:r>
          </w:hyperlink>
        </w:p>
        <w:p>
          <w:pPr>
            <w:pStyle w:val="Contents4"/>
            <w:tabs>
              <w:tab w:val="clear" w:pos="8176"/>
              <w:tab w:val="right" w:pos="9026" w:leader="dot"/>
            </w:tabs>
            <w:rPr/>
          </w:pPr>
          <w:hyperlink w:anchor="__RefHeading___Toc3770057_2870459653">
            <w:r>
              <w:rPr>
                <w:webHidden/>
                <w:rStyle w:val="IndexLink"/>
                <w:rtl w:val="true"/>
              </w:rPr>
              <w:t>الثالثة</w:t>
            </w:r>
            <w:r>
              <w:rPr>
                <w:rStyle w:val="IndexLink"/>
                <w:rtl w:val="true"/>
              </w:rPr>
              <w:tab/>
            </w:r>
            <w:r>
              <w:rPr>
                <w:rStyle w:val="IndexLink"/>
              </w:rPr>
              <w:t>189</w:t>
            </w:r>
          </w:hyperlink>
        </w:p>
        <w:p>
          <w:pPr>
            <w:pStyle w:val="Contents5"/>
            <w:tabs>
              <w:tab w:val="clear" w:pos="7892"/>
              <w:tab w:val="right" w:pos="9026" w:leader="dot"/>
            </w:tabs>
            <w:rPr/>
          </w:pPr>
          <w:hyperlink w:anchor="__RefHeading___Toc3770059_2870459653">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770061_2870459653">
            <w:r>
              <w:rPr>
                <w:webHidden/>
                <w:rStyle w:val="IndexLink"/>
                <w:rtl w:val="true"/>
              </w:rPr>
              <w:t>الجهة الأولى</w:t>
            </w:r>
            <w:r>
              <w:rPr>
                <w:rStyle w:val="IndexLink"/>
                <w:rtl w:val="true"/>
              </w:rPr>
              <w:t xml:space="preserve">: </w:t>
            </w:r>
            <w:r>
              <w:rPr>
                <w:rStyle w:val="IndexLink"/>
                <w:rtl w:val="true"/>
              </w:rPr>
              <w:t>في تعيين جميل، وهل هو ابن درّاج أو ابن صالح؟</w:t>
            </w:r>
            <w:r>
              <w:rPr>
                <w:rStyle w:val="IndexLink"/>
                <w:rtl w:val="true"/>
              </w:rPr>
              <w:tab/>
            </w:r>
            <w:r>
              <w:rPr>
                <w:rStyle w:val="IndexLink"/>
              </w:rPr>
              <w:t>191</w:t>
            </w:r>
          </w:hyperlink>
        </w:p>
        <w:p>
          <w:pPr>
            <w:pStyle w:val="Contents5"/>
            <w:tabs>
              <w:tab w:val="clear" w:pos="7892"/>
              <w:tab w:val="right" w:pos="9026" w:leader="dot"/>
            </w:tabs>
            <w:rPr/>
          </w:pPr>
          <w:hyperlink w:anchor="__RefHeading___Toc3770063_2870459653">
            <w:r>
              <w:rPr>
                <w:webHidden/>
                <w:rStyle w:val="IndexLink"/>
                <w:rtl w:val="true"/>
              </w:rPr>
              <w:t>الجهة الثانية</w:t>
            </w:r>
            <w:r>
              <w:rPr>
                <w:rStyle w:val="IndexLink"/>
                <w:rtl w:val="true"/>
              </w:rPr>
              <w:t xml:space="preserve">: </w:t>
            </w:r>
            <w:r>
              <w:rPr>
                <w:rStyle w:val="IndexLink"/>
                <w:rtl w:val="true"/>
              </w:rPr>
              <w:t>في اعتبار طريق الصدوق إلى جميل بن درّاج</w:t>
            </w:r>
            <w:r>
              <w:rPr>
                <w:rStyle w:val="IndexLink"/>
                <w:rtl w:val="true"/>
              </w:rPr>
              <w:tab/>
            </w:r>
            <w:r>
              <w:rPr>
                <w:rStyle w:val="IndexLink"/>
              </w:rPr>
              <w:t>192</w:t>
            </w:r>
          </w:hyperlink>
        </w:p>
        <w:p>
          <w:pPr>
            <w:pStyle w:val="Contents5"/>
            <w:tabs>
              <w:tab w:val="clear" w:pos="7892"/>
              <w:tab w:val="right" w:pos="9026" w:leader="dot"/>
            </w:tabs>
            <w:rPr/>
          </w:pPr>
          <w:hyperlink w:anchor="__RefHeading___Toc3770065_2870459653">
            <w:r>
              <w:rPr>
                <w:webHidden/>
                <w:rStyle w:val="IndexLink"/>
                <w:rtl w:val="true"/>
              </w:rPr>
              <w:t>الجهة الثالثة</w:t>
            </w:r>
            <w:r>
              <w:rPr>
                <w:rStyle w:val="IndexLink"/>
                <w:rtl w:val="true"/>
              </w:rPr>
              <w:t xml:space="preserve">: </w:t>
            </w:r>
            <w:r>
              <w:rPr>
                <w:rStyle w:val="IndexLink"/>
                <w:rtl w:val="true"/>
              </w:rPr>
              <w:t>وهي البحث في إمكان تعيين الواسطة المجهولة</w:t>
            </w:r>
            <w:r>
              <w:rPr>
                <w:rStyle w:val="IndexLink"/>
                <w:rtl w:val="true"/>
              </w:rPr>
              <w:tab/>
            </w:r>
            <w:r>
              <w:rPr>
                <w:rStyle w:val="IndexLink"/>
              </w:rPr>
              <w:t>192</w:t>
            </w:r>
          </w:hyperlink>
        </w:p>
        <w:p>
          <w:pPr>
            <w:pStyle w:val="Contents5"/>
            <w:tabs>
              <w:tab w:val="clear" w:pos="7892"/>
              <w:tab w:val="right" w:pos="9026" w:leader="dot"/>
            </w:tabs>
            <w:rPr/>
          </w:pPr>
          <w:hyperlink w:anchor="__RefHeading___Toc3770067_2870459653">
            <w:r>
              <w:rPr>
                <w:webHidden/>
                <w:rStyle w:val="IndexLink"/>
                <w:rtl w:val="true"/>
              </w:rPr>
              <w:t>الجهة الرابعة</w:t>
            </w:r>
            <w:r>
              <w:rPr>
                <w:rStyle w:val="IndexLink"/>
                <w:rtl w:val="true"/>
              </w:rPr>
              <w:t xml:space="preserve">: </w:t>
            </w:r>
            <w:r>
              <w:rPr>
                <w:rStyle w:val="IndexLink"/>
                <w:rtl w:val="true"/>
              </w:rPr>
              <w:t>في إمكان تجاوز الإرسال</w:t>
            </w:r>
            <w:r>
              <w:rPr>
                <w:rStyle w:val="IndexLink"/>
                <w:rtl w:val="true"/>
              </w:rPr>
              <w:tab/>
            </w:r>
            <w:r>
              <w:rPr>
                <w:rStyle w:val="IndexLink"/>
              </w:rPr>
              <w:t>193</w:t>
            </w:r>
          </w:hyperlink>
        </w:p>
        <w:p>
          <w:pPr>
            <w:pStyle w:val="Contents5"/>
            <w:tabs>
              <w:tab w:val="clear" w:pos="7892"/>
              <w:tab w:val="right" w:pos="9026" w:leader="dot"/>
            </w:tabs>
            <w:rPr/>
          </w:pPr>
          <w:hyperlink w:anchor="__RefHeading___Toc3770069_2870459653">
            <w:r>
              <w:rPr>
                <w:webHidden/>
                <w:rStyle w:val="IndexLink"/>
                <w:rtl w:val="true"/>
              </w:rPr>
              <w:t>الجهة الخامسة</w:t>
            </w:r>
            <w:r>
              <w:rPr>
                <w:rStyle w:val="IndexLink"/>
                <w:rtl w:val="true"/>
              </w:rPr>
              <w:t xml:space="preserve">: </w:t>
            </w:r>
            <w:r>
              <w:rPr>
                <w:rStyle w:val="IndexLink"/>
                <w:rtl w:val="true"/>
              </w:rPr>
              <w:t>في سند الشيخ إلى جميل في المرسلة</w:t>
            </w:r>
            <w:r>
              <w:rPr>
                <w:rStyle w:val="IndexLink"/>
                <w:rtl w:val="true"/>
              </w:rPr>
              <w:tab/>
            </w:r>
            <w:r>
              <w:rPr>
                <w:rStyle w:val="IndexLink"/>
              </w:rPr>
              <w:t>194</w:t>
            </w:r>
          </w:hyperlink>
        </w:p>
        <w:p>
          <w:pPr>
            <w:pStyle w:val="Contents4"/>
            <w:tabs>
              <w:tab w:val="clear" w:pos="8176"/>
              <w:tab w:val="right" w:pos="9026" w:leader="dot"/>
            </w:tabs>
            <w:rPr/>
          </w:pPr>
          <w:hyperlink w:anchor="__RefHeading___Toc3770071_2870459653">
            <w:r>
              <w:rPr>
                <w:webHidden/>
                <w:rStyle w:val="IndexLink"/>
                <w:rtl w:val="true"/>
              </w:rPr>
              <w:t>الرابعة</w:t>
            </w:r>
            <w:r>
              <w:rPr>
                <w:rStyle w:val="IndexLink"/>
                <w:rtl w:val="true"/>
              </w:rPr>
              <w:tab/>
            </w:r>
            <w:r>
              <w:rPr>
                <w:rStyle w:val="IndexLink"/>
              </w:rPr>
              <w:t>194</w:t>
            </w:r>
          </w:hyperlink>
        </w:p>
        <w:p>
          <w:pPr>
            <w:pStyle w:val="Contents4"/>
            <w:tabs>
              <w:tab w:val="clear" w:pos="8176"/>
              <w:tab w:val="right" w:pos="9026" w:leader="dot"/>
            </w:tabs>
            <w:rPr/>
          </w:pPr>
          <w:hyperlink w:anchor="__RefHeading___Toc3770073_2870459653">
            <w:r>
              <w:rPr>
                <w:webHidden/>
                <w:rStyle w:val="IndexLink"/>
                <w:rtl w:val="true"/>
              </w:rPr>
              <w:t>الخامسة</w:t>
            </w:r>
            <w:r>
              <w:rPr>
                <w:rStyle w:val="IndexLink"/>
                <w:rtl w:val="true"/>
              </w:rPr>
              <w:tab/>
            </w:r>
            <w:r>
              <w:rPr>
                <w:rStyle w:val="IndexLink"/>
              </w:rPr>
              <w:t>195</w:t>
            </w:r>
          </w:hyperlink>
        </w:p>
        <w:p>
          <w:pPr>
            <w:pStyle w:val="Contents4"/>
            <w:tabs>
              <w:tab w:val="clear" w:pos="8176"/>
              <w:tab w:val="right" w:pos="9026" w:leader="dot"/>
            </w:tabs>
            <w:rPr/>
          </w:pPr>
          <w:hyperlink w:anchor="__RefHeading___Toc3770075_2870459653">
            <w:r>
              <w:rPr>
                <w:webHidden/>
                <w:rStyle w:val="IndexLink"/>
                <w:rtl w:val="true"/>
              </w:rPr>
              <w:t>السادسة</w:t>
            </w:r>
            <w:r>
              <w:rPr>
                <w:rStyle w:val="IndexLink"/>
                <w:rtl w:val="true"/>
              </w:rPr>
              <w:tab/>
            </w:r>
            <w:r>
              <w:rPr>
                <w:rStyle w:val="IndexLink"/>
              </w:rPr>
              <w:t>197</w:t>
            </w:r>
          </w:hyperlink>
        </w:p>
        <w:p>
          <w:pPr>
            <w:pStyle w:val="Contents2"/>
            <w:tabs>
              <w:tab w:val="clear" w:pos="8743"/>
              <w:tab w:val="right" w:pos="9026" w:leader="dot"/>
            </w:tabs>
            <w:rPr/>
          </w:pPr>
          <w:hyperlink w:anchor="__RefHeading___Toc3770077_2870459653">
            <w:r>
              <w:rPr>
                <w:webHidden/>
                <w:rStyle w:val="IndexLink"/>
                <w:rtl w:val="true"/>
              </w:rPr>
              <w:t xml:space="preserve">انقلاب النسبة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حميد رمح </w:t>
            </w:r>
            <w:r>
              <w:rPr>
                <w:rStyle w:val="IndexLink"/>
                <w:rtl w:val="true"/>
              </w:rPr>
              <w:t>(</w:t>
            </w:r>
            <w:r>
              <w:rPr>
                <w:rStyle w:val="IndexLink"/>
                <w:rtl w:val="true"/>
              </w:rPr>
              <w:t>دام عزه</w:t>
            </w:r>
            <w:r>
              <w:rPr>
                <w:rStyle w:val="IndexLink"/>
                <w:rtl w:val="true"/>
              </w:rPr>
              <w:t>)</w:t>
              <w:tab/>
            </w:r>
            <w:r>
              <w:rPr>
                <w:rStyle w:val="IndexLink"/>
              </w:rPr>
              <w:t>199</w:t>
            </w:r>
          </w:hyperlink>
        </w:p>
        <w:p>
          <w:pPr>
            <w:pStyle w:val="Contents3"/>
            <w:tabs>
              <w:tab w:val="clear" w:pos="8459"/>
              <w:tab w:val="right" w:pos="9026" w:leader="dot"/>
            </w:tabs>
            <w:rPr/>
          </w:pPr>
          <w:hyperlink w:anchor="__RefHeading___Toc3770079_2870459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3770081_2870459653">
            <w:r>
              <w:rPr>
                <w:webHidden/>
                <w:rStyle w:val="IndexLink"/>
                <w:rtl w:val="true"/>
              </w:rPr>
              <w:t>المقام الأوَّل</w:t>
            </w:r>
            <w:r>
              <w:rPr>
                <w:rStyle w:val="IndexLink"/>
                <w:rtl w:val="true"/>
              </w:rPr>
              <w:t xml:space="preserve">: </w:t>
            </w:r>
            <w:r>
              <w:rPr>
                <w:rStyle w:val="IndexLink"/>
                <w:rtl w:val="true"/>
              </w:rPr>
              <w:t>في بيان معنى التعارض</w:t>
            </w:r>
            <w:r>
              <w:rPr>
                <w:rStyle w:val="IndexLink"/>
                <w:rtl w:val="true"/>
              </w:rPr>
              <w:tab/>
            </w:r>
            <w:r>
              <w:rPr>
                <w:rStyle w:val="IndexLink"/>
              </w:rPr>
              <w:t>203</w:t>
            </w:r>
          </w:hyperlink>
        </w:p>
        <w:p>
          <w:pPr>
            <w:pStyle w:val="Contents3"/>
            <w:tabs>
              <w:tab w:val="clear" w:pos="8459"/>
              <w:tab w:val="right" w:pos="9026" w:leader="dot"/>
            </w:tabs>
            <w:rPr/>
          </w:pPr>
          <w:hyperlink w:anchor="__RefHeading___Toc3770083_2870459653">
            <w:r>
              <w:rPr>
                <w:webHidden/>
                <w:rStyle w:val="IndexLink"/>
                <w:rtl w:val="true"/>
              </w:rPr>
              <w:t>المقام الثاني</w:t>
            </w:r>
            <w:r>
              <w:rPr>
                <w:rStyle w:val="IndexLink"/>
                <w:rtl w:val="true"/>
              </w:rPr>
              <w:t xml:space="preserve">: </w:t>
            </w:r>
            <w:r>
              <w:rPr>
                <w:rStyle w:val="IndexLink"/>
                <w:rtl w:val="true"/>
              </w:rPr>
              <w:t>في أنحاء الجمع</w:t>
            </w:r>
            <w:r>
              <w:rPr>
                <w:rStyle w:val="IndexLink"/>
                <w:rtl w:val="true"/>
              </w:rPr>
              <w:tab/>
            </w:r>
            <w:r>
              <w:rPr>
                <w:rStyle w:val="IndexLink"/>
              </w:rPr>
              <w:t>213</w:t>
            </w:r>
          </w:hyperlink>
        </w:p>
        <w:p>
          <w:pPr>
            <w:pStyle w:val="Contents3"/>
            <w:tabs>
              <w:tab w:val="clear" w:pos="8459"/>
              <w:tab w:val="right" w:pos="9026" w:leader="dot"/>
            </w:tabs>
            <w:rPr/>
          </w:pPr>
          <w:hyperlink w:anchor="__RefHeading___Toc3770085_2870459653">
            <w:r>
              <w:rPr>
                <w:webHidden/>
                <w:rStyle w:val="IndexLink"/>
                <w:rtl w:val="true"/>
              </w:rPr>
              <w:t>المقام الثالث</w:t>
            </w:r>
            <w:r>
              <w:rPr>
                <w:rStyle w:val="IndexLink"/>
                <w:rtl w:val="true"/>
              </w:rPr>
              <w:t xml:space="preserve">: </w:t>
            </w:r>
            <w:r>
              <w:rPr>
                <w:rStyle w:val="IndexLink"/>
                <w:rtl w:val="true"/>
              </w:rPr>
              <w:t>في أقسام المرجّحات</w:t>
            </w:r>
            <w:r>
              <w:rPr>
                <w:rStyle w:val="IndexLink"/>
                <w:rtl w:val="true"/>
              </w:rPr>
              <w:tab/>
            </w:r>
            <w:r>
              <w:rPr>
                <w:rStyle w:val="IndexLink"/>
              </w:rPr>
              <w:t>222</w:t>
            </w:r>
          </w:hyperlink>
        </w:p>
        <w:p>
          <w:pPr>
            <w:pStyle w:val="Contents4"/>
            <w:tabs>
              <w:tab w:val="clear" w:pos="8176"/>
              <w:tab w:val="right" w:pos="9026" w:leader="dot"/>
            </w:tabs>
            <w:rPr/>
          </w:pPr>
          <w:hyperlink w:anchor="__RefHeading___Toc3770087_2870459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770089_2870459653">
            <w:r>
              <w:rPr>
                <w:webHidden/>
                <w:rStyle w:val="IndexLink"/>
                <w:rtl w:val="true"/>
              </w:rPr>
              <w:t>الصورة الأولى</w:t>
            </w:r>
            <w:r>
              <w:rPr>
                <w:rStyle w:val="IndexLink"/>
                <w:rtl w:val="true"/>
              </w:rPr>
              <w:t xml:space="preserve">: </w:t>
            </w:r>
            <w:r>
              <w:rPr>
                <w:rStyle w:val="IndexLink"/>
                <w:rtl w:val="true"/>
              </w:rPr>
              <w:t>ترجيح النصّ على الظاهر</w:t>
            </w:r>
            <w:r>
              <w:rPr>
                <w:rStyle w:val="IndexLink"/>
                <w:rtl w:val="true"/>
              </w:rPr>
              <w:tab/>
            </w:r>
            <w:r>
              <w:rPr>
                <w:rStyle w:val="IndexLink"/>
              </w:rPr>
              <w:t>224</w:t>
            </w:r>
          </w:hyperlink>
        </w:p>
        <w:p>
          <w:pPr>
            <w:pStyle w:val="Contents4"/>
            <w:tabs>
              <w:tab w:val="clear" w:pos="8176"/>
              <w:tab w:val="right" w:pos="9026" w:leader="dot"/>
            </w:tabs>
            <w:rPr/>
          </w:pPr>
          <w:hyperlink w:anchor="__RefHeading___Toc3770091_2870459653">
            <w:r>
              <w:rPr>
                <w:webHidden/>
                <w:rStyle w:val="IndexLink"/>
                <w:rtl w:val="true"/>
              </w:rPr>
              <w:t>الصورة الثانية</w:t>
            </w:r>
            <w:r>
              <w:rPr>
                <w:rStyle w:val="IndexLink"/>
                <w:rtl w:val="true"/>
              </w:rPr>
              <w:t xml:space="preserve">: </w:t>
            </w:r>
            <w:r>
              <w:rPr>
                <w:rStyle w:val="IndexLink"/>
                <w:rtl w:val="true"/>
              </w:rPr>
              <w:t>ترجيح الأظهر على الظاهر</w:t>
            </w:r>
            <w:r>
              <w:rPr>
                <w:rStyle w:val="IndexLink"/>
                <w:rtl w:val="true"/>
              </w:rPr>
              <w:tab/>
            </w:r>
            <w:r>
              <w:rPr>
                <w:rStyle w:val="IndexLink"/>
              </w:rPr>
              <w:t>225</w:t>
            </w:r>
          </w:hyperlink>
        </w:p>
        <w:p>
          <w:pPr>
            <w:pStyle w:val="Contents5"/>
            <w:tabs>
              <w:tab w:val="clear" w:pos="7892"/>
              <w:tab w:val="right" w:pos="9026" w:leader="dot"/>
            </w:tabs>
            <w:rPr/>
          </w:pPr>
          <w:hyperlink w:anchor="__RefHeading___Toc3770093_2870459653">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770095_2870459653">
            <w:r>
              <w:rPr>
                <w:webHidden/>
                <w:rStyle w:val="IndexLink"/>
                <w:rtl w:val="true"/>
              </w:rPr>
              <w:t>الأولى</w:t>
            </w:r>
            <w:r>
              <w:rPr>
                <w:rStyle w:val="IndexLink"/>
                <w:rtl w:val="true"/>
              </w:rPr>
              <w:tab/>
            </w:r>
            <w:r>
              <w:rPr>
                <w:rStyle w:val="IndexLink"/>
              </w:rPr>
              <w:t>225</w:t>
            </w:r>
          </w:hyperlink>
        </w:p>
        <w:p>
          <w:pPr>
            <w:pStyle w:val="Contents5"/>
            <w:tabs>
              <w:tab w:val="clear" w:pos="7892"/>
              <w:tab w:val="right" w:pos="9026" w:leader="dot"/>
            </w:tabs>
            <w:rPr/>
          </w:pPr>
          <w:hyperlink w:anchor="__RefHeading___Toc3770097_2870459653">
            <w:r>
              <w:rPr>
                <w:webHidden/>
                <w:rStyle w:val="IndexLink"/>
                <w:rtl w:val="true"/>
              </w:rPr>
              <w:t>الثانية</w:t>
            </w:r>
            <w:r>
              <w:rPr>
                <w:rStyle w:val="IndexLink"/>
                <w:rtl w:val="true"/>
              </w:rPr>
              <w:tab/>
            </w:r>
            <w:r>
              <w:rPr>
                <w:rStyle w:val="IndexLink"/>
              </w:rPr>
              <w:t>225</w:t>
            </w:r>
          </w:hyperlink>
        </w:p>
        <w:p>
          <w:pPr>
            <w:pStyle w:val="Contents5"/>
            <w:tabs>
              <w:tab w:val="clear" w:pos="7892"/>
              <w:tab w:val="right" w:pos="9026" w:leader="dot"/>
            </w:tabs>
            <w:rPr/>
          </w:pPr>
          <w:hyperlink w:anchor="__RefHeading___Toc3770099_2870459653">
            <w:r>
              <w:rPr>
                <w:webHidden/>
                <w:rStyle w:val="IndexLink"/>
                <w:rtl w:val="true"/>
              </w:rPr>
              <w:t>الثالثة</w:t>
            </w:r>
            <w:r>
              <w:rPr>
                <w:rStyle w:val="IndexLink"/>
                <w:rtl w:val="true"/>
              </w:rPr>
              <w:tab/>
            </w:r>
            <w:r>
              <w:rPr>
                <w:rStyle w:val="IndexLink"/>
              </w:rPr>
              <w:t>228</w:t>
            </w:r>
          </w:hyperlink>
        </w:p>
        <w:p>
          <w:pPr>
            <w:pStyle w:val="Contents5"/>
            <w:tabs>
              <w:tab w:val="clear" w:pos="7892"/>
              <w:tab w:val="right" w:pos="9026" w:leader="dot"/>
            </w:tabs>
            <w:rPr/>
          </w:pPr>
          <w:hyperlink w:anchor="__RefHeading___Toc3770101_2870459653">
            <w:r>
              <w:rPr>
                <w:webHidden/>
                <w:rStyle w:val="IndexLink"/>
                <w:rtl w:val="true"/>
              </w:rPr>
              <w:t>الرابعة</w:t>
            </w:r>
            <w:r>
              <w:rPr>
                <w:rStyle w:val="IndexLink"/>
                <w:rtl w:val="true"/>
              </w:rPr>
              <w:tab/>
            </w:r>
            <w:r>
              <w:rPr>
                <w:rStyle w:val="IndexLink"/>
              </w:rPr>
              <w:t>229</w:t>
            </w:r>
          </w:hyperlink>
        </w:p>
        <w:p>
          <w:pPr>
            <w:pStyle w:val="Contents5"/>
            <w:tabs>
              <w:tab w:val="clear" w:pos="7892"/>
              <w:tab w:val="right" w:pos="9026" w:leader="dot"/>
            </w:tabs>
            <w:rPr/>
          </w:pPr>
          <w:hyperlink w:anchor="__RefHeading___Toc3770103_2870459653">
            <w:r>
              <w:rPr>
                <w:webHidden/>
                <w:rStyle w:val="IndexLink"/>
                <w:rtl w:val="true"/>
              </w:rPr>
              <w:t>الخامسة</w:t>
            </w:r>
            <w:r>
              <w:rPr>
                <w:rStyle w:val="IndexLink"/>
                <w:rtl w:val="true"/>
              </w:rPr>
              <w:tab/>
            </w:r>
            <w:r>
              <w:rPr>
                <w:rStyle w:val="IndexLink"/>
              </w:rPr>
              <w:t>230</w:t>
            </w:r>
          </w:hyperlink>
        </w:p>
        <w:p>
          <w:pPr>
            <w:pStyle w:val="Contents5"/>
            <w:tabs>
              <w:tab w:val="clear" w:pos="7892"/>
              <w:tab w:val="right" w:pos="9026" w:leader="dot"/>
            </w:tabs>
            <w:rPr/>
          </w:pPr>
          <w:hyperlink w:anchor="__RefHeading___Toc3770105_2870459653">
            <w:r>
              <w:rPr>
                <w:webHidden/>
                <w:rStyle w:val="IndexLink"/>
                <w:rtl w:val="true"/>
              </w:rPr>
              <w:t>السادسة</w:t>
            </w:r>
            <w:r>
              <w:rPr>
                <w:rStyle w:val="IndexLink"/>
                <w:rtl w:val="true"/>
              </w:rPr>
              <w:tab/>
            </w:r>
            <w:r>
              <w:rPr>
                <w:rStyle w:val="IndexLink"/>
              </w:rPr>
              <w:t>233</w:t>
            </w:r>
          </w:hyperlink>
        </w:p>
        <w:p>
          <w:pPr>
            <w:pStyle w:val="Contents3"/>
            <w:tabs>
              <w:tab w:val="clear" w:pos="8459"/>
              <w:tab w:val="right" w:pos="9026" w:leader="dot"/>
            </w:tabs>
            <w:rPr/>
          </w:pPr>
          <w:hyperlink w:anchor="__RefHeading___Toc3770107_2870459653">
            <w:r>
              <w:rPr>
                <w:webHidden/>
                <w:rStyle w:val="IndexLink"/>
                <w:rtl w:val="true"/>
              </w:rPr>
              <w:t>المقام الرابع</w:t>
            </w:r>
            <w:r>
              <w:rPr>
                <w:rStyle w:val="IndexLink"/>
                <w:rtl w:val="true"/>
              </w:rPr>
              <w:t xml:space="preserve">: </w:t>
            </w:r>
            <w:r>
              <w:rPr>
                <w:rStyle w:val="IndexLink"/>
                <w:rtl w:val="true"/>
              </w:rPr>
              <w:t>في القسمة الأوَّليّة للتعارض وكيفيّة العلاج</w:t>
            </w:r>
            <w:r>
              <w:rPr>
                <w:rStyle w:val="IndexLink"/>
                <w:rtl w:val="true"/>
              </w:rPr>
              <w:tab/>
            </w:r>
            <w:r>
              <w:rPr>
                <w:rStyle w:val="IndexLink"/>
              </w:rPr>
              <w:t>235</w:t>
            </w:r>
          </w:hyperlink>
        </w:p>
        <w:p>
          <w:pPr>
            <w:pStyle w:val="Contents4"/>
            <w:tabs>
              <w:tab w:val="clear" w:pos="8176"/>
              <w:tab w:val="right" w:pos="9026" w:leader="dot"/>
            </w:tabs>
            <w:rPr/>
          </w:pPr>
          <w:hyperlink w:anchor="__RefHeading___Toc3770109_2870459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770111_2870459653">
            <w:r>
              <w:rPr>
                <w:webHidden/>
                <w:rStyle w:val="IndexLink"/>
                <w:rtl w:val="true"/>
              </w:rPr>
              <w:t>القسم الأوَّل</w:t>
            </w:r>
            <w:r>
              <w:rPr>
                <w:rStyle w:val="IndexLink"/>
                <w:rtl w:val="true"/>
              </w:rPr>
              <w:t xml:space="preserve">: </w:t>
            </w:r>
            <w:r>
              <w:rPr>
                <w:rStyle w:val="IndexLink"/>
                <w:rtl w:val="true"/>
              </w:rPr>
              <w:t>ما يقع بين دليلين لا غير</w:t>
            </w:r>
            <w:r>
              <w:rPr>
                <w:rStyle w:val="IndexLink"/>
                <w:rtl w:val="true"/>
              </w:rPr>
              <w:tab/>
            </w:r>
            <w:r>
              <w:rPr>
                <w:rStyle w:val="IndexLink"/>
              </w:rPr>
              <w:t>235</w:t>
            </w:r>
          </w:hyperlink>
        </w:p>
        <w:p>
          <w:pPr>
            <w:pStyle w:val="Contents4"/>
            <w:tabs>
              <w:tab w:val="clear" w:pos="8176"/>
              <w:tab w:val="right" w:pos="9026" w:leader="dot"/>
            </w:tabs>
            <w:rPr/>
          </w:pPr>
          <w:hyperlink w:anchor="__RefHeading___Toc3770113_2870459653">
            <w:r>
              <w:rPr>
                <w:webHidden/>
                <w:rStyle w:val="IndexLink"/>
                <w:rtl w:val="true"/>
              </w:rPr>
              <w:t>القسم الثاني</w:t>
            </w:r>
            <w:r>
              <w:rPr>
                <w:rStyle w:val="IndexLink"/>
                <w:rtl w:val="true"/>
              </w:rPr>
              <w:t xml:space="preserve">: </w:t>
            </w:r>
            <w:r>
              <w:rPr>
                <w:rStyle w:val="IndexLink"/>
                <w:rtl w:val="true"/>
              </w:rPr>
              <w:t>ما يقع بين أكثر من دليلين</w:t>
            </w:r>
            <w:r>
              <w:rPr>
                <w:rStyle w:val="IndexLink"/>
                <w:rtl w:val="true"/>
              </w:rPr>
              <w:tab/>
            </w:r>
            <w:r>
              <w:rPr>
                <w:rStyle w:val="IndexLink"/>
              </w:rPr>
              <w:t>240</w:t>
            </w:r>
          </w:hyperlink>
        </w:p>
        <w:p>
          <w:pPr>
            <w:pStyle w:val="Contents2"/>
            <w:tabs>
              <w:tab w:val="clear" w:pos="8743"/>
              <w:tab w:val="right" w:pos="9026" w:leader="dot"/>
            </w:tabs>
            <w:rPr/>
          </w:pPr>
          <w:hyperlink w:anchor="__RefHeading___Toc3770115_2870459653">
            <w:r>
              <w:rPr>
                <w:webHidden/>
                <w:rStyle w:val="IndexLink"/>
                <w:rtl w:val="true"/>
              </w:rPr>
              <w:t xml:space="preserve">دراسة في مصادر الشيخ </w:t>
            </w:r>
            <w:r>
              <w:rPr>
                <w:rStyle w:val="IndexLink"/>
                <w:rtl w:val="true"/>
              </w:rPr>
              <w:t>(</w:t>
            </w:r>
            <w:r>
              <w:rPr>
                <w:rStyle w:val="IndexLink"/>
                <w:rtl w:val="true"/>
              </w:rPr>
              <w:t>قدس سره</w:t>
            </w:r>
            <w:r>
              <w:rPr>
                <w:rStyle w:val="IndexLink"/>
                <w:rtl w:val="true"/>
              </w:rPr>
              <w:t xml:space="preserve">) </w:t>
            </w:r>
            <w:r>
              <w:rPr>
                <w:rStyle w:val="IndexLink"/>
                <w:rtl w:val="true"/>
              </w:rPr>
              <w:t xml:space="preserve">في كتاب التهذيب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قاسم الطائي </w:t>
            </w:r>
            <w:r>
              <w:rPr>
                <w:rStyle w:val="IndexLink"/>
                <w:rtl w:val="true"/>
              </w:rPr>
              <w:t>(</w:t>
            </w:r>
            <w:r>
              <w:rPr>
                <w:rStyle w:val="IndexLink"/>
                <w:rtl w:val="true"/>
              </w:rPr>
              <w:t>دام عزه</w:t>
            </w:r>
            <w:r>
              <w:rPr>
                <w:rStyle w:val="IndexLink"/>
                <w:rtl w:val="true"/>
              </w:rPr>
              <w:t>)</w:t>
              <w:tab/>
            </w:r>
            <w:r>
              <w:rPr>
                <w:rStyle w:val="IndexLink"/>
              </w:rPr>
              <w:t>249</w:t>
            </w:r>
          </w:hyperlink>
        </w:p>
        <w:p>
          <w:pPr>
            <w:pStyle w:val="Contents3"/>
            <w:tabs>
              <w:tab w:val="clear" w:pos="8459"/>
              <w:tab w:val="right" w:pos="9026" w:leader="dot"/>
            </w:tabs>
            <w:rPr/>
          </w:pPr>
          <w:hyperlink w:anchor="__RefHeading___Toc3770117_2870459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3770119_2870459653">
            <w:r>
              <w:rPr>
                <w:webHidden/>
                <w:rStyle w:val="IndexLink"/>
                <w:rtl w:val="true"/>
              </w:rPr>
              <w:t>مقدّمة</w:t>
            </w:r>
            <w:r>
              <w:rPr>
                <w:rStyle w:val="IndexLink"/>
                <w:rtl w:val="true"/>
              </w:rPr>
              <w:tab/>
            </w:r>
            <w:r>
              <w:rPr>
                <w:rStyle w:val="IndexLink"/>
              </w:rPr>
              <w:t>253</w:t>
            </w:r>
          </w:hyperlink>
        </w:p>
        <w:p>
          <w:pPr>
            <w:pStyle w:val="Contents3"/>
            <w:tabs>
              <w:tab w:val="clear" w:pos="8459"/>
              <w:tab w:val="right" w:pos="9026" w:leader="dot"/>
            </w:tabs>
            <w:rPr/>
          </w:pPr>
          <w:hyperlink w:anchor="__RefHeading___Toc3770121_2870459653">
            <w:r>
              <w:rPr>
                <w:webHidden/>
                <w:rStyle w:val="IndexLink"/>
                <w:rtl w:val="true"/>
              </w:rPr>
              <w:t>الطريقة المتّبعة في معرفة مصدر الانتزاع</w:t>
            </w:r>
            <w:r>
              <w:rPr>
                <w:rStyle w:val="IndexLink"/>
                <w:rtl w:val="true"/>
              </w:rPr>
              <w:tab/>
            </w:r>
            <w:r>
              <w:rPr>
                <w:rStyle w:val="IndexLink"/>
              </w:rPr>
              <w:t>264</w:t>
            </w:r>
          </w:hyperlink>
        </w:p>
        <w:p>
          <w:pPr>
            <w:pStyle w:val="Contents3"/>
            <w:tabs>
              <w:tab w:val="clear" w:pos="8459"/>
              <w:tab w:val="right" w:pos="9026" w:leader="dot"/>
            </w:tabs>
            <w:rPr/>
          </w:pPr>
          <w:hyperlink w:anchor="__RefHeading___Toc3770123_2870459653">
            <w:r>
              <w:rPr>
                <w:webHidden/>
                <w:rStyle w:val="IndexLink"/>
                <w:rtl w:val="true"/>
              </w:rPr>
              <w:t>الحسين بن محمّد الأشعريّ</w:t>
            </w:r>
            <w:r>
              <w:rPr>
                <w:rStyle w:val="IndexLink"/>
                <w:rtl w:val="true"/>
              </w:rPr>
              <w:tab/>
            </w:r>
            <w:r>
              <w:rPr>
                <w:rStyle w:val="IndexLink"/>
              </w:rPr>
              <w:t>266</w:t>
            </w:r>
          </w:hyperlink>
        </w:p>
        <w:p>
          <w:pPr>
            <w:pStyle w:val="Contents3"/>
            <w:tabs>
              <w:tab w:val="clear" w:pos="8459"/>
              <w:tab w:val="right" w:pos="9026" w:leader="dot"/>
            </w:tabs>
            <w:rPr/>
          </w:pPr>
          <w:hyperlink w:anchor="__RefHeading___Toc3770125_2870459653">
            <w:r>
              <w:rPr>
                <w:webHidden/>
                <w:rStyle w:val="IndexLink"/>
                <w:rtl w:val="true"/>
              </w:rPr>
              <w:t>النتائج المتحصّلة</w:t>
            </w:r>
            <w:r>
              <w:rPr>
                <w:rStyle w:val="IndexLink"/>
                <w:rtl w:val="true"/>
              </w:rPr>
              <w:tab/>
            </w:r>
            <w:r>
              <w:rPr>
                <w:rStyle w:val="IndexLink"/>
              </w:rPr>
              <w:t>335</w:t>
            </w:r>
          </w:hyperlink>
        </w:p>
        <w:p>
          <w:pPr>
            <w:pStyle w:val="Contents2"/>
            <w:tabs>
              <w:tab w:val="clear" w:pos="8743"/>
              <w:tab w:val="right" w:pos="9026" w:leader="dot"/>
            </w:tabs>
            <w:rPr/>
          </w:pPr>
          <w:hyperlink w:anchor="__RefHeading___Toc3770127_2870459653">
            <w:r>
              <w:rPr>
                <w:webHidden/>
                <w:rStyle w:val="IndexLink"/>
                <w:rtl w:val="true"/>
              </w:rPr>
              <w:t xml:space="preserve">حاشية الشيخ حسن ابن الشهيد الثاني على خلاصة الأقوال للعلامة الحلی </w:t>
            </w:r>
            <w:r>
              <w:rPr>
                <w:rStyle w:val="IndexLink"/>
                <w:rtl w:val="true"/>
              </w:rPr>
              <w:t>(</w:t>
            </w:r>
            <w:r>
              <w:rPr>
                <w:rStyle w:val="IndexLink"/>
                <w:rtl w:val="true"/>
              </w:rPr>
              <w:t>قدس سره</w:t>
            </w:r>
            <w:r>
              <w:rPr>
                <w:rStyle w:val="IndexLink"/>
                <w:rtl w:val="true"/>
              </w:rPr>
              <w:t xml:space="preserve">) </w:t>
            </w:r>
            <w:r>
              <w:rPr>
                <w:rStyle w:val="IndexLink"/>
                <w:rtl w:val="true"/>
              </w:rPr>
              <w:t xml:space="preserve">وعلى حاشية والده على الخلاصة </w:t>
            </w:r>
            <w:r>
              <w:rPr>
                <w:rStyle w:val="IndexLink"/>
                <w:rtl w:val="true"/>
              </w:rPr>
              <w:t xml:space="preserve">- </w:t>
            </w:r>
            <w:r>
              <w:rPr>
                <w:rStyle w:val="IndexLink"/>
                <w:rtl w:val="true"/>
              </w:rPr>
              <w:t xml:space="preserve">الشيخ محمد العتبي </w:t>
            </w:r>
            <w:r>
              <w:rPr>
                <w:rStyle w:val="IndexLink"/>
                <w:rtl w:val="true"/>
              </w:rPr>
              <w:t>(</w:t>
            </w:r>
            <w:r>
              <w:rPr>
                <w:rStyle w:val="IndexLink"/>
                <w:rtl w:val="true"/>
              </w:rPr>
              <w:t>دام عزه</w:t>
            </w:r>
            <w:r>
              <w:rPr>
                <w:rStyle w:val="IndexLink"/>
                <w:rtl w:val="true"/>
              </w:rPr>
              <w:t>)</w:t>
              <w:tab/>
            </w:r>
            <w:r>
              <w:rPr>
                <w:rStyle w:val="IndexLink"/>
              </w:rPr>
              <w:t>337</w:t>
            </w:r>
          </w:hyperlink>
        </w:p>
        <w:p>
          <w:pPr>
            <w:pStyle w:val="Contents3"/>
            <w:tabs>
              <w:tab w:val="clear" w:pos="8459"/>
              <w:tab w:val="right" w:pos="9026" w:leader="dot"/>
            </w:tabs>
            <w:rPr/>
          </w:pPr>
          <w:hyperlink w:anchor="__RefHeading___Toc3770129_2870459653">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3770131_2870459653">
            <w:r>
              <w:rPr>
                <w:webHidden/>
                <w:rStyle w:val="IndexLink"/>
                <w:rtl w:val="true"/>
              </w:rPr>
              <w:t>مقدمة</w:t>
            </w:r>
            <w:r>
              <w:rPr>
                <w:rStyle w:val="IndexLink"/>
                <w:rtl w:val="true"/>
              </w:rPr>
              <w:tab/>
            </w:r>
            <w:r>
              <w:rPr>
                <w:rStyle w:val="IndexLink"/>
              </w:rPr>
              <w:t>339</w:t>
            </w:r>
          </w:hyperlink>
        </w:p>
        <w:p>
          <w:pPr>
            <w:pStyle w:val="Contents4"/>
            <w:tabs>
              <w:tab w:val="clear" w:pos="8176"/>
              <w:tab w:val="right" w:pos="9026" w:leader="dot"/>
            </w:tabs>
            <w:rPr/>
          </w:pPr>
          <w:hyperlink w:anchor="__RefHeading___Toc3770133_2870459653">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770135_2870459653">
            <w:r>
              <w:rPr>
                <w:webHidden/>
                <w:rStyle w:val="IndexLink"/>
                <w:rtl w:val="true"/>
              </w:rPr>
              <w:t>نبذة من حياة المؤلِّف</w:t>
            </w:r>
            <w:r>
              <w:rPr>
                <w:rStyle w:val="IndexLink"/>
                <w:rtl w:val="true"/>
              </w:rPr>
              <w:tab/>
            </w:r>
            <w:r>
              <w:rPr>
                <w:rStyle w:val="IndexLink"/>
              </w:rPr>
              <w:t>341</w:t>
            </w:r>
          </w:hyperlink>
        </w:p>
        <w:p>
          <w:pPr>
            <w:pStyle w:val="Contents5"/>
            <w:tabs>
              <w:tab w:val="clear" w:pos="7892"/>
              <w:tab w:val="right" w:pos="9026" w:leader="dot"/>
            </w:tabs>
            <w:rPr/>
          </w:pPr>
          <w:hyperlink w:anchor="__RefHeading___Toc3770137_2870459653">
            <w:r>
              <w:rPr>
                <w:webHidden/>
                <w:rStyle w:val="IndexLink"/>
                <w:rtl w:val="true"/>
              </w:rPr>
              <w:t>اسمه</w:t>
            </w:r>
            <w:r>
              <w:rPr>
                <w:rStyle w:val="IndexLink"/>
                <w:rtl w:val="true"/>
              </w:rPr>
              <w:tab/>
            </w:r>
            <w:r>
              <w:rPr>
                <w:rStyle w:val="IndexLink"/>
              </w:rPr>
              <w:t>341</w:t>
            </w:r>
          </w:hyperlink>
        </w:p>
        <w:p>
          <w:pPr>
            <w:pStyle w:val="Contents5"/>
            <w:tabs>
              <w:tab w:val="clear" w:pos="7892"/>
              <w:tab w:val="right" w:pos="9026" w:leader="dot"/>
            </w:tabs>
            <w:rPr/>
          </w:pPr>
          <w:hyperlink w:anchor="__RefHeading___Toc3770139_2870459653">
            <w:r>
              <w:rPr>
                <w:webHidden/>
                <w:rStyle w:val="IndexLink"/>
                <w:rtl w:val="true"/>
              </w:rPr>
              <w:t>مولده</w:t>
            </w:r>
            <w:r>
              <w:rPr>
                <w:rStyle w:val="IndexLink"/>
                <w:rtl w:val="true"/>
              </w:rPr>
              <w:tab/>
            </w:r>
            <w:r>
              <w:rPr>
                <w:rStyle w:val="IndexLink"/>
              </w:rPr>
              <w:t>341</w:t>
            </w:r>
          </w:hyperlink>
        </w:p>
        <w:p>
          <w:pPr>
            <w:pStyle w:val="Contents5"/>
            <w:tabs>
              <w:tab w:val="clear" w:pos="7892"/>
              <w:tab w:val="right" w:pos="9026" w:leader="dot"/>
            </w:tabs>
            <w:rPr/>
          </w:pPr>
          <w:hyperlink w:anchor="__RefHeading___Toc3770141_2870459653">
            <w:r>
              <w:rPr>
                <w:webHidden/>
                <w:rStyle w:val="IndexLink"/>
                <w:rtl w:val="true"/>
              </w:rPr>
              <w:t>أسرته ونشأته</w:t>
            </w:r>
            <w:r>
              <w:rPr>
                <w:rStyle w:val="IndexLink"/>
                <w:rtl w:val="true"/>
              </w:rPr>
              <w:tab/>
            </w:r>
            <w:r>
              <w:rPr>
                <w:rStyle w:val="IndexLink"/>
              </w:rPr>
              <w:t>341</w:t>
            </w:r>
          </w:hyperlink>
        </w:p>
        <w:p>
          <w:pPr>
            <w:pStyle w:val="Contents5"/>
            <w:tabs>
              <w:tab w:val="clear" w:pos="7892"/>
              <w:tab w:val="right" w:pos="9026" w:leader="dot"/>
            </w:tabs>
            <w:rPr/>
          </w:pPr>
          <w:hyperlink w:anchor="__RefHeading___Toc3770143_2870459653">
            <w:r>
              <w:rPr>
                <w:webHidden/>
                <w:rStyle w:val="IndexLink"/>
                <w:rtl w:val="true"/>
              </w:rPr>
              <w:t>وفاته ومدفنه</w:t>
            </w:r>
            <w:r>
              <w:rPr>
                <w:rStyle w:val="IndexLink"/>
                <w:rtl w:val="true"/>
              </w:rPr>
              <w:tab/>
            </w:r>
            <w:r>
              <w:rPr>
                <w:rStyle w:val="IndexLink"/>
              </w:rPr>
              <w:t>342</w:t>
            </w:r>
          </w:hyperlink>
        </w:p>
        <w:p>
          <w:pPr>
            <w:pStyle w:val="Contents5"/>
            <w:tabs>
              <w:tab w:val="clear" w:pos="7892"/>
              <w:tab w:val="right" w:pos="9026" w:leader="dot"/>
            </w:tabs>
            <w:rPr/>
          </w:pPr>
          <w:hyperlink w:anchor="__RefHeading___Toc3770145_2870459653">
            <w:r>
              <w:rPr>
                <w:webHidden/>
                <w:rStyle w:val="IndexLink"/>
                <w:rtl w:val="true"/>
              </w:rPr>
              <w:t>ما قيل في حقّه</w:t>
            </w:r>
            <w:r>
              <w:rPr>
                <w:rStyle w:val="IndexLink"/>
                <w:rtl w:val="true"/>
              </w:rPr>
              <w:tab/>
            </w:r>
            <w:r>
              <w:rPr>
                <w:rStyle w:val="IndexLink"/>
              </w:rPr>
              <w:t>343</w:t>
            </w:r>
          </w:hyperlink>
        </w:p>
        <w:p>
          <w:pPr>
            <w:pStyle w:val="Contents5"/>
            <w:tabs>
              <w:tab w:val="clear" w:pos="7892"/>
              <w:tab w:val="right" w:pos="9026" w:leader="dot"/>
            </w:tabs>
            <w:rPr/>
          </w:pPr>
          <w:hyperlink w:anchor="__RefHeading___Toc3770147_2870459653">
            <w:r>
              <w:rPr>
                <w:webHidden/>
                <w:rStyle w:val="IndexLink"/>
                <w:rtl w:val="true"/>
              </w:rPr>
              <w:t>مشايخه</w:t>
            </w:r>
            <w:r>
              <w:rPr>
                <w:rStyle w:val="IndexLink"/>
                <w:rtl w:val="true"/>
              </w:rPr>
              <w:tab/>
            </w:r>
            <w:r>
              <w:rPr>
                <w:rStyle w:val="IndexLink"/>
              </w:rPr>
              <w:t>343</w:t>
            </w:r>
          </w:hyperlink>
        </w:p>
        <w:p>
          <w:pPr>
            <w:pStyle w:val="Contents5"/>
            <w:tabs>
              <w:tab w:val="clear" w:pos="7892"/>
              <w:tab w:val="right" w:pos="9026" w:leader="dot"/>
            </w:tabs>
            <w:rPr/>
          </w:pPr>
          <w:hyperlink w:anchor="__RefHeading___Toc3770149_2870459653">
            <w:r>
              <w:rPr>
                <w:webHidden/>
                <w:rStyle w:val="IndexLink"/>
                <w:rtl w:val="true"/>
              </w:rPr>
              <w:t>تلامذته والراوون عنه</w:t>
            </w:r>
            <w:r>
              <w:rPr>
                <w:rStyle w:val="IndexLink"/>
                <w:rtl w:val="true"/>
              </w:rPr>
              <w:tab/>
            </w:r>
            <w:r>
              <w:rPr>
                <w:rStyle w:val="IndexLink"/>
              </w:rPr>
              <w:t>344</w:t>
            </w:r>
          </w:hyperlink>
        </w:p>
        <w:p>
          <w:pPr>
            <w:pStyle w:val="Contents5"/>
            <w:tabs>
              <w:tab w:val="clear" w:pos="7892"/>
              <w:tab w:val="right" w:pos="9026" w:leader="dot"/>
            </w:tabs>
            <w:rPr/>
          </w:pPr>
          <w:hyperlink w:anchor="__RefHeading___Toc3770151_2870459653">
            <w:r>
              <w:rPr>
                <w:webHidden/>
                <w:rStyle w:val="IndexLink"/>
                <w:rtl w:val="true"/>
              </w:rPr>
              <w:t>مصنّفاته</w:t>
            </w:r>
            <w:r>
              <w:rPr>
                <w:rStyle w:val="IndexLink"/>
                <w:rtl w:val="true"/>
              </w:rPr>
              <w:tab/>
            </w:r>
            <w:r>
              <w:rPr>
                <w:rStyle w:val="IndexLink"/>
              </w:rPr>
              <w:t>345</w:t>
            </w:r>
          </w:hyperlink>
        </w:p>
        <w:p>
          <w:pPr>
            <w:pStyle w:val="Contents5"/>
            <w:tabs>
              <w:tab w:val="clear" w:pos="7892"/>
              <w:tab w:val="right" w:pos="9026" w:leader="dot"/>
            </w:tabs>
            <w:rPr/>
          </w:pPr>
          <w:hyperlink w:anchor="__RefHeading___Toc3770153_2870459653">
            <w:r>
              <w:rPr>
                <w:webHidden/>
                <w:rStyle w:val="IndexLink"/>
                <w:rtl w:val="true"/>
              </w:rPr>
              <w:t>النسخ المعتمدة في التحقيق</w:t>
            </w:r>
            <w:r>
              <w:rPr>
                <w:rStyle w:val="IndexLink"/>
                <w:rtl w:val="true"/>
              </w:rPr>
              <w:tab/>
            </w:r>
            <w:r>
              <w:rPr>
                <w:rStyle w:val="IndexLink"/>
              </w:rPr>
              <w:t>350</w:t>
            </w:r>
          </w:hyperlink>
        </w:p>
        <w:p>
          <w:pPr>
            <w:pStyle w:val="Contents6"/>
            <w:tabs>
              <w:tab w:val="clear" w:pos="7609"/>
              <w:tab w:val="right" w:pos="9026" w:leader="dot"/>
            </w:tabs>
            <w:rPr/>
          </w:pPr>
          <w:hyperlink w:anchor="__RefHeading___Toc3770155_2870459653">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770157_2870459653">
            <w:r>
              <w:rPr>
                <w:webHidden/>
                <w:rStyle w:val="IndexLink"/>
                <w:rtl w:val="true"/>
              </w:rPr>
              <w:t>الأولى</w:t>
            </w:r>
            <w:r>
              <w:rPr>
                <w:rStyle w:val="IndexLink"/>
                <w:rtl w:val="true"/>
              </w:rPr>
              <w:tab/>
            </w:r>
            <w:r>
              <w:rPr>
                <w:rStyle w:val="IndexLink"/>
              </w:rPr>
              <w:t>350</w:t>
            </w:r>
          </w:hyperlink>
        </w:p>
        <w:p>
          <w:pPr>
            <w:pStyle w:val="Contents6"/>
            <w:tabs>
              <w:tab w:val="clear" w:pos="7609"/>
              <w:tab w:val="right" w:pos="9026" w:leader="dot"/>
            </w:tabs>
            <w:rPr/>
          </w:pPr>
          <w:hyperlink w:anchor="__RefHeading___Toc3770159_2870459653">
            <w:r>
              <w:rPr>
                <w:webHidden/>
                <w:rStyle w:val="IndexLink"/>
                <w:rtl w:val="true"/>
              </w:rPr>
              <w:t>الثانية</w:t>
            </w:r>
            <w:r>
              <w:rPr>
                <w:rStyle w:val="IndexLink"/>
                <w:rtl w:val="true"/>
              </w:rPr>
              <w:tab/>
            </w:r>
            <w:r>
              <w:rPr>
                <w:rStyle w:val="IndexLink"/>
              </w:rPr>
              <w:t>351</w:t>
            </w:r>
          </w:hyperlink>
        </w:p>
        <w:p>
          <w:pPr>
            <w:pStyle w:val="Contents6"/>
            <w:tabs>
              <w:tab w:val="clear" w:pos="7609"/>
              <w:tab w:val="right" w:pos="9026" w:leader="dot"/>
            </w:tabs>
            <w:rPr/>
          </w:pPr>
          <w:hyperlink w:anchor="__RefHeading___Toc3770161_2870459653">
            <w:r>
              <w:rPr>
                <w:webHidden/>
                <w:rStyle w:val="IndexLink"/>
                <w:rtl w:val="true"/>
              </w:rPr>
              <w:t>الثالثة</w:t>
            </w:r>
            <w:r>
              <w:rPr>
                <w:rStyle w:val="IndexLink"/>
                <w:rtl w:val="true"/>
              </w:rPr>
              <w:tab/>
            </w:r>
            <w:r>
              <w:rPr>
                <w:rStyle w:val="IndexLink"/>
              </w:rPr>
              <w:t>352</w:t>
            </w:r>
          </w:hyperlink>
        </w:p>
        <w:p>
          <w:pPr>
            <w:pStyle w:val="Contents5"/>
            <w:tabs>
              <w:tab w:val="clear" w:pos="7892"/>
              <w:tab w:val="right" w:pos="9026" w:leader="dot"/>
            </w:tabs>
            <w:rPr/>
          </w:pPr>
          <w:hyperlink w:anchor="__RefHeading___Toc3770163_2870459653">
            <w:r>
              <w:rPr>
                <w:webHidden/>
                <w:rStyle w:val="IndexLink"/>
                <w:rtl w:val="true"/>
              </w:rPr>
              <w:t>عملنا في التحقيق</w:t>
            </w:r>
            <w:r>
              <w:rPr>
                <w:rStyle w:val="IndexLink"/>
                <w:rtl w:val="true"/>
              </w:rPr>
              <w:tab/>
            </w:r>
            <w:r>
              <w:rPr>
                <w:rStyle w:val="IndexLink"/>
              </w:rPr>
              <w:t>353</w:t>
            </w:r>
          </w:hyperlink>
        </w:p>
        <w:p>
          <w:pPr>
            <w:pStyle w:val="Contents3"/>
            <w:tabs>
              <w:tab w:val="clear" w:pos="8459"/>
              <w:tab w:val="right" w:pos="9026" w:leader="dot"/>
            </w:tabs>
            <w:rPr/>
          </w:pPr>
          <w:hyperlink w:anchor="__RefHeading___Toc3770165_2870459653">
            <w:r>
              <w:rPr>
                <w:webHidden/>
                <w:rStyle w:val="IndexLink"/>
                <w:rtl w:val="true"/>
              </w:rPr>
              <w:t xml:space="preserve">حاشية الشيخ حسن ابن الشهيد الثاني </w:t>
            </w:r>
            <w:r>
              <w:rPr>
                <w:rStyle w:val="IndexLink"/>
                <w:rtl w:val="true"/>
              </w:rPr>
              <w:t>...</w:t>
              <w:tab/>
            </w:r>
            <w:r>
              <w:rPr>
                <w:rStyle w:val="IndexLink"/>
              </w:rPr>
              <w:t>361</w:t>
            </w:r>
          </w:hyperlink>
        </w:p>
        <w:p>
          <w:pPr>
            <w:pStyle w:val="Contents4"/>
            <w:tabs>
              <w:tab w:val="clear" w:pos="8176"/>
              <w:tab w:val="right" w:pos="9026" w:leader="dot"/>
            </w:tabs>
            <w:rPr/>
          </w:pPr>
          <w:hyperlink w:anchor="__RefHeading___Toc3770167_2870459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3770169_2870459653">
            <w:r>
              <w:rPr>
                <w:webHidden/>
                <w:rStyle w:val="IndexLink"/>
                <w:rtl w:val="true"/>
              </w:rPr>
              <w:t>القسم الأول</w:t>
            </w:r>
            <w:r>
              <w:rPr>
                <w:rStyle w:val="IndexLink"/>
                <w:rtl w:val="true"/>
              </w:rPr>
              <w:tab/>
            </w:r>
            <w:r>
              <w:rPr>
                <w:rStyle w:val="IndexLink"/>
              </w:rPr>
              <w:t>363</w:t>
            </w:r>
          </w:hyperlink>
        </w:p>
        <w:p>
          <w:pPr>
            <w:pStyle w:val="Contents5"/>
            <w:tabs>
              <w:tab w:val="clear" w:pos="7892"/>
              <w:tab w:val="right" w:pos="9026" w:leader="dot"/>
            </w:tabs>
            <w:rPr/>
          </w:pPr>
          <w:hyperlink w:anchor="__RefHeading___Toc3770171_2870459653">
            <w:r>
              <w:rPr>
                <w:webHidden/>
                <w:rStyle w:val="IndexLink"/>
                <w:rtl w:val="true"/>
              </w:rPr>
              <w:t>الفصل الأوّل</w:t>
            </w:r>
            <w:r>
              <w:rPr>
                <w:rStyle w:val="IndexLink"/>
                <w:rtl w:val="true"/>
              </w:rPr>
              <w:t xml:space="preserve">: </w:t>
            </w:r>
            <w:r>
              <w:rPr>
                <w:rStyle w:val="IndexLink"/>
                <w:rtl w:val="true"/>
              </w:rPr>
              <w:t>في الهمزة</w:t>
            </w:r>
            <w:r>
              <w:rPr>
                <w:rStyle w:val="IndexLink"/>
                <w:rtl w:val="true"/>
              </w:rPr>
              <w:tab/>
            </w:r>
            <w:r>
              <w:rPr>
                <w:rStyle w:val="IndexLink"/>
              </w:rPr>
              <w:t>363</w:t>
            </w:r>
          </w:hyperlink>
        </w:p>
        <w:p>
          <w:pPr>
            <w:pStyle w:val="Contents6"/>
            <w:tabs>
              <w:tab w:val="clear" w:pos="7609"/>
              <w:tab w:val="right" w:pos="9026" w:leader="dot"/>
            </w:tabs>
            <w:rPr/>
          </w:pPr>
          <w:hyperlink w:anchor="__RefHeading___Toc3770173_2870459653">
            <w:r>
              <w:rPr>
                <w:webHidden/>
                <w:rStyle w:val="IndexLink"/>
                <w:rtl w:val="true"/>
              </w:rPr>
              <w:t>الباب الأوّل</w:t>
            </w:r>
            <w:r>
              <w:rPr>
                <w:rStyle w:val="IndexLink"/>
                <w:rtl w:val="true"/>
              </w:rPr>
              <w:t xml:space="preserve">: </w:t>
            </w:r>
            <w:r>
              <w:rPr>
                <w:rStyle w:val="IndexLink"/>
                <w:rtl w:val="true"/>
              </w:rPr>
              <w:t>في إبراهيم</w:t>
            </w:r>
            <w:r>
              <w:rPr>
                <w:rStyle w:val="IndexLink"/>
                <w:rtl w:val="true"/>
              </w:rPr>
              <w:tab/>
            </w:r>
            <w:r>
              <w:rPr>
                <w:rStyle w:val="IndexLink"/>
              </w:rPr>
              <w:t>363</w:t>
            </w:r>
          </w:hyperlink>
        </w:p>
        <w:p>
          <w:pPr>
            <w:pStyle w:val="Contents6"/>
            <w:tabs>
              <w:tab w:val="clear" w:pos="7609"/>
              <w:tab w:val="right" w:pos="9026" w:leader="dot"/>
            </w:tabs>
            <w:rPr/>
          </w:pPr>
          <w:hyperlink w:anchor="__RefHeading___Toc3770175_2870459653">
            <w:r>
              <w:rPr>
                <w:webHidden/>
                <w:rStyle w:val="IndexLink"/>
              </w:rPr>
              <w:t>1</w:t>
            </w:r>
            <w:r>
              <w:rPr>
                <w:rStyle w:val="IndexLink"/>
                <w:rtl w:val="true"/>
              </w:rPr>
              <w:t xml:space="preserve"> - </w:t>
            </w:r>
            <w:r>
              <w:rPr>
                <w:rStyle w:val="IndexLink"/>
                <w:rtl w:val="true"/>
              </w:rPr>
              <w:t>إبراهيم بن عيسى</w:t>
            </w:r>
            <w:r>
              <w:rPr>
                <w:rStyle w:val="IndexLink"/>
                <w:rtl w:val="true"/>
              </w:rPr>
              <w:tab/>
            </w:r>
            <w:r>
              <w:rPr>
                <w:rStyle w:val="IndexLink"/>
              </w:rPr>
              <w:t>363</w:t>
            </w:r>
          </w:hyperlink>
        </w:p>
        <w:p>
          <w:pPr>
            <w:pStyle w:val="Contents6"/>
            <w:tabs>
              <w:tab w:val="clear" w:pos="7609"/>
              <w:tab w:val="right" w:pos="9026" w:leader="dot"/>
            </w:tabs>
            <w:rPr/>
          </w:pPr>
          <w:hyperlink w:anchor="__RefHeading___Toc3770177_2870459653">
            <w:r>
              <w:rPr>
                <w:webHidden/>
                <w:rStyle w:val="IndexLink"/>
              </w:rPr>
              <w:t>2</w:t>
            </w:r>
            <w:r>
              <w:rPr>
                <w:rStyle w:val="IndexLink"/>
                <w:rtl w:val="true"/>
              </w:rPr>
              <w:t xml:space="preserve"> - </w:t>
            </w:r>
            <w:r>
              <w:rPr>
                <w:rStyle w:val="IndexLink"/>
                <w:rtl w:val="true"/>
              </w:rPr>
              <w:t>إبراهيم بن عمر اليمانيّ</w:t>
            </w:r>
            <w:r>
              <w:rPr>
                <w:rStyle w:val="IndexLink"/>
                <w:rtl w:val="true"/>
              </w:rPr>
              <w:tab/>
            </w:r>
            <w:r>
              <w:rPr>
                <w:rStyle w:val="IndexLink"/>
              </w:rPr>
              <w:t>363</w:t>
            </w:r>
          </w:hyperlink>
        </w:p>
        <w:p>
          <w:pPr>
            <w:pStyle w:val="Contents6"/>
            <w:tabs>
              <w:tab w:val="clear" w:pos="7609"/>
              <w:tab w:val="right" w:pos="9026" w:leader="dot"/>
            </w:tabs>
            <w:rPr/>
          </w:pPr>
          <w:hyperlink w:anchor="__RefHeading___Toc3770179_2870459653">
            <w:r>
              <w:rPr>
                <w:webHidden/>
                <w:rStyle w:val="IndexLink"/>
              </w:rPr>
              <w:t>3</w:t>
            </w:r>
            <w:r>
              <w:rPr>
                <w:rStyle w:val="IndexLink"/>
                <w:rtl w:val="true"/>
              </w:rPr>
              <w:t xml:space="preserve"> - </w:t>
            </w:r>
            <w:r>
              <w:rPr>
                <w:rStyle w:val="IndexLink"/>
                <w:rtl w:val="true"/>
              </w:rPr>
              <w:t>إبراهيم بن محمّد الهمدانيّ</w:t>
            </w:r>
            <w:r>
              <w:rPr>
                <w:rStyle w:val="IndexLink"/>
                <w:rtl w:val="true"/>
              </w:rPr>
              <w:tab/>
            </w:r>
            <w:r>
              <w:rPr>
                <w:rStyle w:val="IndexLink"/>
              </w:rPr>
              <w:t>364</w:t>
            </w:r>
          </w:hyperlink>
        </w:p>
        <w:p>
          <w:pPr>
            <w:pStyle w:val="Contents6"/>
            <w:tabs>
              <w:tab w:val="clear" w:pos="7609"/>
              <w:tab w:val="right" w:pos="9026" w:leader="dot"/>
            </w:tabs>
            <w:rPr/>
          </w:pPr>
          <w:hyperlink w:anchor="__RefHeading___Toc3770181_2870459653">
            <w:r>
              <w:rPr>
                <w:webHidden/>
                <w:rStyle w:val="IndexLink"/>
              </w:rPr>
              <w:t>4</w:t>
            </w:r>
            <w:r>
              <w:rPr>
                <w:rStyle w:val="IndexLink"/>
                <w:rtl w:val="true"/>
              </w:rPr>
              <w:t xml:space="preserve"> - </w:t>
            </w:r>
            <w:r>
              <w:rPr>
                <w:rStyle w:val="IndexLink"/>
                <w:rtl w:val="true"/>
              </w:rPr>
              <w:t>إبراهيم بن عبدة</w:t>
            </w:r>
            <w:r>
              <w:rPr>
                <w:rStyle w:val="IndexLink"/>
                <w:rtl w:val="true"/>
              </w:rPr>
              <w:tab/>
            </w:r>
            <w:r>
              <w:rPr>
                <w:rStyle w:val="IndexLink"/>
              </w:rPr>
              <w:t>365</w:t>
            </w:r>
          </w:hyperlink>
        </w:p>
        <w:p>
          <w:pPr>
            <w:pStyle w:val="Contents6"/>
            <w:tabs>
              <w:tab w:val="clear" w:pos="7609"/>
              <w:tab w:val="right" w:pos="9026" w:leader="dot"/>
            </w:tabs>
            <w:rPr/>
          </w:pPr>
          <w:hyperlink w:anchor="__RefHeading___Toc3770183_2870459653">
            <w:r>
              <w:rPr>
                <w:webHidden/>
                <w:rStyle w:val="IndexLink"/>
              </w:rPr>
              <w:t>5</w:t>
            </w:r>
            <w:r>
              <w:rPr>
                <w:rStyle w:val="IndexLink"/>
                <w:rtl w:val="true"/>
              </w:rPr>
              <w:t xml:space="preserve"> - </w:t>
            </w:r>
            <w:r>
              <w:rPr>
                <w:rStyle w:val="IndexLink"/>
                <w:rtl w:val="true"/>
              </w:rPr>
              <w:t>إبراهيم بن محمّد بن فارس</w:t>
            </w:r>
            <w:r>
              <w:rPr>
                <w:rStyle w:val="IndexLink"/>
                <w:rtl w:val="true"/>
              </w:rPr>
              <w:tab/>
            </w:r>
            <w:r>
              <w:rPr>
                <w:rStyle w:val="IndexLink"/>
              </w:rPr>
              <w:t>366</w:t>
            </w:r>
          </w:hyperlink>
        </w:p>
        <w:p>
          <w:pPr>
            <w:pStyle w:val="Contents6"/>
            <w:tabs>
              <w:tab w:val="clear" w:pos="7609"/>
              <w:tab w:val="right" w:pos="9026" w:leader="dot"/>
            </w:tabs>
            <w:rPr/>
          </w:pPr>
          <w:hyperlink w:anchor="__RefHeading___Toc3770185_2870459653">
            <w:r>
              <w:rPr>
                <w:webHidden/>
                <w:rStyle w:val="IndexLink"/>
                <w:rtl w:val="true"/>
              </w:rPr>
              <w:t>الباب الثاني</w:t>
            </w:r>
            <w:r>
              <w:rPr>
                <w:rStyle w:val="IndexLink"/>
                <w:rtl w:val="true"/>
              </w:rPr>
              <w:t xml:space="preserve">: </w:t>
            </w:r>
            <w:r>
              <w:rPr>
                <w:rStyle w:val="IndexLink"/>
                <w:rtl w:val="true"/>
              </w:rPr>
              <w:t>في إسماعيل</w:t>
            </w:r>
            <w:r>
              <w:rPr>
                <w:rStyle w:val="IndexLink"/>
                <w:rtl w:val="true"/>
              </w:rPr>
              <w:tab/>
            </w:r>
            <w:r>
              <w:rPr>
                <w:rStyle w:val="IndexLink"/>
              </w:rPr>
              <w:t>367</w:t>
            </w:r>
          </w:hyperlink>
        </w:p>
        <w:p>
          <w:pPr>
            <w:pStyle w:val="Contents6"/>
            <w:tabs>
              <w:tab w:val="clear" w:pos="7609"/>
              <w:tab w:val="right" w:pos="9026" w:leader="dot"/>
            </w:tabs>
            <w:rPr/>
          </w:pPr>
          <w:hyperlink w:anchor="__RefHeading___Toc3770187_2870459653">
            <w:r>
              <w:rPr>
                <w:webHidden/>
                <w:rStyle w:val="IndexLink"/>
              </w:rPr>
              <w:t>6</w:t>
            </w:r>
            <w:r>
              <w:rPr>
                <w:rStyle w:val="IndexLink"/>
                <w:rtl w:val="true"/>
              </w:rPr>
              <w:t xml:space="preserve"> - </w:t>
            </w:r>
            <w:r>
              <w:rPr>
                <w:rStyle w:val="IndexLink"/>
                <w:rtl w:val="true"/>
              </w:rPr>
              <w:t>إسماعيل بن عبد الخالق</w:t>
            </w:r>
            <w:r>
              <w:rPr>
                <w:rStyle w:val="IndexLink"/>
                <w:rtl w:val="true"/>
              </w:rPr>
              <w:tab/>
            </w:r>
            <w:r>
              <w:rPr>
                <w:rStyle w:val="IndexLink"/>
              </w:rPr>
              <w:t>367</w:t>
            </w:r>
          </w:hyperlink>
        </w:p>
        <w:p>
          <w:pPr>
            <w:pStyle w:val="Contents6"/>
            <w:tabs>
              <w:tab w:val="clear" w:pos="7609"/>
              <w:tab w:val="right" w:pos="9026" w:leader="dot"/>
            </w:tabs>
            <w:rPr/>
          </w:pPr>
          <w:hyperlink w:anchor="__RefHeading___Toc3770189_2870459653">
            <w:r>
              <w:rPr>
                <w:webHidden/>
                <w:rStyle w:val="IndexLink"/>
              </w:rPr>
              <w:t>7</w:t>
            </w:r>
            <w:r>
              <w:rPr>
                <w:rStyle w:val="IndexLink"/>
                <w:rtl w:val="true"/>
              </w:rPr>
              <w:t xml:space="preserve"> - </w:t>
            </w:r>
            <w:r>
              <w:rPr>
                <w:rStyle w:val="IndexLink"/>
                <w:rtl w:val="true"/>
              </w:rPr>
              <w:t>إسماعيل بن آدم</w:t>
            </w:r>
            <w:r>
              <w:rPr>
                <w:rStyle w:val="IndexLink"/>
                <w:rtl w:val="true"/>
              </w:rPr>
              <w:tab/>
            </w:r>
            <w:r>
              <w:rPr>
                <w:rStyle w:val="IndexLink"/>
              </w:rPr>
              <w:t>367</w:t>
            </w:r>
          </w:hyperlink>
        </w:p>
        <w:p>
          <w:pPr>
            <w:pStyle w:val="Contents6"/>
            <w:tabs>
              <w:tab w:val="clear" w:pos="7609"/>
              <w:tab w:val="right" w:pos="9026" w:leader="dot"/>
            </w:tabs>
            <w:rPr/>
          </w:pPr>
          <w:hyperlink w:anchor="__RefHeading___Toc3770191_2870459653">
            <w:r>
              <w:rPr>
                <w:webHidden/>
                <w:rStyle w:val="IndexLink"/>
                <w:rtl w:val="true"/>
              </w:rPr>
              <w:t>الباب السابع</w:t>
            </w:r>
            <w:r>
              <w:rPr>
                <w:rStyle w:val="IndexLink"/>
                <w:rtl w:val="true"/>
              </w:rPr>
              <w:t xml:space="preserve">: </w:t>
            </w:r>
            <w:r>
              <w:rPr>
                <w:rStyle w:val="IndexLink"/>
                <w:rtl w:val="true"/>
              </w:rPr>
              <w:t>في أحمد</w:t>
            </w:r>
            <w:r>
              <w:rPr>
                <w:rStyle w:val="IndexLink"/>
                <w:rtl w:val="true"/>
              </w:rPr>
              <w:tab/>
            </w:r>
            <w:r>
              <w:rPr>
                <w:rStyle w:val="IndexLink"/>
              </w:rPr>
              <w:t>368</w:t>
            </w:r>
          </w:hyperlink>
        </w:p>
        <w:p>
          <w:pPr>
            <w:pStyle w:val="Contents6"/>
            <w:tabs>
              <w:tab w:val="clear" w:pos="7609"/>
              <w:tab w:val="right" w:pos="9026" w:leader="dot"/>
            </w:tabs>
            <w:rPr/>
          </w:pPr>
          <w:hyperlink w:anchor="__RefHeading___Toc3770193_2870459653">
            <w:r>
              <w:rPr>
                <w:webHidden/>
                <w:rStyle w:val="IndexLink"/>
              </w:rPr>
              <w:t>8</w:t>
            </w:r>
            <w:r>
              <w:rPr>
                <w:rStyle w:val="IndexLink"/>
                <w:rtl w:val="true"/>
              </w:rPr>
              <w:t xml:space="preserve"> - </w:t>
            </w:r>
            <w:r>
              <w:rPr>
                <w:rStyle w:val="IndexLink"/>
                <w:rtl w:val="true"/>
              </w:rPr>
              <w:t>أحمد بن يوسف</w:t>
            </w:r>
            <w:r>
              <w:rPr>
                <w:rStyle w:val="IndexLink"/>
                <w:rtl w:val="true"/>
              </w:rPr>
              <w:tab/>
            </w:r>
            <w:r>
              <w:rPr>
                <w:rStyle w:val="IndexLink"/>
              </w:rPr>
              <w:t>368</w:t>
            </w:r>
          </w:hyperlink>
        </w:p>
        <w:p>
          <w:pPr>
            <w:pStyle w:val="Contents6"/>
            <w:tabs>
              <w:tab w:val="clear" w:pos="7609"/>
              <w:tab w:val="right" w:pos="9026" w:leader="dot"/>
            </w:tabs>
            <w:rPr/>
          </w:pPr>
          <w:hyperlink w:anchor="__RefHeading___Toc3770195_2870459653">
            <w:r>
              <w:rPr>
                <w:webHidden/>
                <w:rStyle w:val="IndexLink"/>
              </w:rPr>
              <w:t>9</w:t>
            </w:r>
            <w:r>
              <w:rPr>
                <w:rStyle w:val="IndexLink"/>
                <w:rtl w:val="true"/>
              </w:rPr>
              <w:t xml:space="preserve"> - </w:t>
            </w:r>
            <w:r>
              <w:rPr>
                <w:rStyle w:val="IndexLink"/>
                <w:rtl w:val="true"/>
              </w:rPr>
              <w:t>أحمد بن عمر الحلّال</w:t>
            </w:r>
            <w:r>
              <w:rPr>
                <w:rStyle w:val="IndexLink"/>
                <w:rtl w:val="true"/>
              </w:rPr>
              <w:tab/>
            </w:r>
            <w:r>
              <w:rPr>
                <w:rStyle w:val="IndexLink"/>
              </w:rPr>
              <w:t>369</w:t>
            </w:r>
          </w:hyperlink>
        </w:p>
        <w:p>
          <w:pPr>
            <w:pStyle w:val="Contents6"/>
            <w:tabs>
              <w:tab w:val="clear" w:pos="7609"/>
              <w:tab w:val="right" w:pos="9026" w:leader="dot"/>
            </w:tabs>
            <w:rPr/>
          </w:pPr>
          <w:hyperlink w:anchor="__RefHeading___Toc3770197_2870459653">
            <w:r>
              <w:rPr>
                <w:webHidden/>
                <w:rStyle w:val="IndexLink"/>
              </w:rPr>
              <w:t>10</w:t>
            </w:r>
            <w:r>
              <w:rPr>
                <w:rStyle w:val="IndexLink"/>
                <w:rtl w:val="true"/>
              </w:rPr>
              <w:t xml:space="preserve"> - </w:t>
            </w:r>
            <w:r>
              <w:rPr>
                <w:rStyle w:val="IndexLink"/>
                <w:rtl w:val="true"/>
              </w:rPr>
              <w:t>أحمد بن الحسين بن عبد الملك</w:t>
            </w:r>
            <w:r>
              <w:rPr>
                <w:rStyle w:val="IndexLink"/>
                <w:rtl w:val="true"/>
              </w:rPr>
              <w:tab/>
            </w:r>
            <w:r>
              <w:rPr>
                <w:rStyle w:val="IndexLink"/>
              </w:rPr>
              <w:t>369</w:t>
            </w:r>
          </w:hyperlink>
        </w:p>
        <w:p>
          <w:pPr>
            <w:pStyle w:val="Contents6"/>
            <w:tabs>
              <w:tab w:val="clear" w:pos="7609"/>
              <w:tab w:val="right" w:pos="9026" w:leader="dot"/>
            </w:tabs>
            <w:rPr/>
          </w:pPr>
          <w:hyperlink w:anchor="__RefHeading___Toc3770199_2870459653">
            <w:r>
              <w:rPr>
                <w:webHidden/>
                <w:rStyle w:val="IndexLink"/>
              </w:rPr>
              <w:t>11</w:t>
            </w:r>
            <w:r>
              <w:rPr>
                <w:rStyle w:val="IndexLink"/>
                <w:rtl w:val="true"/>
              </w:rPr>
              <w:t xml:space="preserve">- </w:t>
            </w:r>
            <w:r>
              <w:rPr>
                <w:rStyle w:val="IndexLink"/>
                <w:rtl w:val="true"/>
              </w:rPr>
              <w:t>أحمد بن عليّ بن الحسن بن شاذان</w:t>
            </w:r>
            <w:r>
              <w:rPr>
                <w:rStyle w:val="IndexLink"/>
                <w:rtl w:val="true"/>
              </w:rPr>
              <w:tab/>
            </w:r>
            <w:r>
              <w:rPr>
                <w:rStyle w:val="IndexLink"/>
              </w:rPr>
              <w:t>370</w:t>
            </w:r>
          </w:hyperlink>
        </w:p>
        <w:p>
          <w:pPr>
            <w:pStyle w:val="Contents6"/>
            <w:tabs>
              <w:tab w:val="clear" w:pos="7609"/>
              <w:tab w:val="right" w:pos="9026" w:leader="dot"/>
            </w:tabs>
            <w:rPr/>
          </w:pPr>
          <w:hyperlink w:anchor="__RefHeading___Toc3770201_2870459653">
            <w:r>
              <w:rPr>
                <w:webHidden/>
                <w:rStyle w:val="IndexLink"/>
              </w:rPr>
              <w:t>12</w:t>
            </w:r>
            <w:r>
              <w:rPr>
                <w:rStyle w:val="IndexLink"/>
                <w:rtl w:val="true"/>
              </w:rPr>
              <w:t xml:space="preserve">- </w:t>
            </w:r>
            <w:r>
              <w:rPr>
                <w:rStyle w:val="IndexLink"/>
                <w:rtl w:val="true"/>
              </w:rPr>
              <w:t>أحمد بن عبد الواحد بن أحمد البزّاز</w:t>
            </w:r>
            <w:r>
              <w:rPr>
                <w:rStyle w:val="IndexLink"/>
                <w:rtl w:val="true"/>
              </w:rPr>
              <w:t>.</w:t>
              <w:tab/>
            </w:r>
            <w:r>
              <w:rPr>
                <w:rStyle w:val="IndexLink"/>
              </w:rPr>
              <w:t>371</w:t>
            </w:r>
          </w:hyperlink>
        </w:p>
        <w:p>
          <w:pPr>
            <w:pStyle w:val="Contents6"/>
            <w:tabs>
              <w:tab w:val="clear" w:pos="7609"/>
              <w:tab w:val="right" w:pos="9026" w:leader="dot"/>
            </w:tabs>
            <w:rPr/>
          </w:pPr>
          <w:hyperlink w:anchor="__RefHeading___Toc3770203_2870459653">
            <w:r>
              <w:rPr>
                <w:webHidden/>
                <w:rStyle w:val="IndexLink"/>
                <w:rtl w:val="true"/>
              </w:rPr>
              <w:t>الباب الثامن</w:t>
            </w:r>
            <w:r>
              <w:rPr>
                <w:rStyle w:val="IndexLink"/>
                <w:rtl w:val="true"/>
              </w:rPr>
              <w:t xml:space="preserve">: </w:t>
            </w:r>
            <w:r>
              <w:rPr>
                <w:rStyle w:val="IndexLink"/>
                <w:rtl w:val="true"/>
              </w:rPr>
              <w:t>في أبان</w:t>
            </w:r>
            <w:r>
              <w:rPr>
                <w:rStyle w:val="IndexLink"/>
                <w:rtl w:val="true"/>
              </w:rPr>
              <w:tab/>
            </w:r>
            <w:r>
              <w:rPr>
                <w:rStyle w:val="IndexLink"/>
              </w:rPr>
              <w:t>372</w:t>
            </w:r>
          </w:hyperlink>
        </w:p>
        <w:p>
          <w:pPr>
            <w:pStyle w:val="Contents6"/>
            <w:tabs>
              <w:tab w:val="clear" w:pos="7609"/>
              <w:tab w:val="right" w:pos="9026" w:leader="dot"/>
            </w:tabs>
            <w:rPr/>
          </w:pPr>
          <w:hyperlink w:anchor="__RefHeading___Toc3770205_2870459653">
            <w:r>
              <w:rPr>
                <w:webHidden/>
                <w:rStyle w:val="IndexLink"/>
              </w:rPr>
              <w:t>13</w:t>
            </w:r>
            <w:r>
              <w:rPr>
                <w:rStyle w:val="IndexLink"/>
                <w:rtl w:val="true"/>
              </w:rPr>
              <w:t xml:space="preserve">- </w:t>
            </w:r>
            <w:r>
              <w:rPr>
                <w:rStyle w:val="IndexLink"/>
                <w:rtl w:val="true"/>
              </w:rPr>
              <w:t>أبان بن عثمان الأحمر</w:t>
            </w:r>
            <w:r>
              <w:rPr>
                <w:rStyle w:val="IndexLink"/>
                <w:rtl w:val="true"/>
              </w:rPr>
              <w:tab/>
            </w:r>
            <w:r>
              <w:rPr>
                <w:rStyle w:val="IndexLink"/>
              </w:rPr>
              <w:t>372</w:t>
            </w:r>
          </w:hyperlink>
        </w:p>
        <w:p>
          <w:pPr>
            <w:pStyle w:val="Contents5"/>
            <w:tabs>
              <w:tab w:val="clear" w:pos="7892"/>
              <w:tab w:val="right" w:pos="9026" w:leader="dot"/>
            </w:tabs>
            <w:rPr/>
          </w:pPr>
          <w:hyperlink w:anchor="__RefHeading___Toc3770207_2870459653">
            <w:r>
              <w:rPr>
                <w:webHidden/>
                <w:rStyle w:val="IndexLink"/>
                <w:rtl w:val="true"/>
              </w:rPr>
              <w:t>الفصل الثاني</w:t>
            </w:r>
            <w:r>
              <w:rPr>
                <w:rStyle w:val="IndexLink"/>
                <w:rtl w:val="true"/>
              </w:rPr>
              <w:t xml:space="preserve">: </w:t>
            </w:r>
            <w:r>
              <w:rPr>
                <w:rStyle w:val="IndexLink"/>
                <w:rtl w:val="true"/>
              </w:rPr>
              <w:t>في الباء</w:t>
            </w:r>
            <w:r>
              <w:rPr>
                <w:rStyle w:val="IndexLink"/>
                <w:rtl w:val="true"/>
              </w:rPr>
              <w:tab/>
            </w:r>
            <w:r>
              <w:rPr>
                <w:rStyle w:val="IndexLink"/>
              </w:rPr>
              <w:t>373</w:t>
            </w:r>
          </w:hyperlink>
        </w:p>
        <w:p>
          <w:pPr>
            <w:pStyle w:val="Contents6"/>
            <w:tabs>
              <w:tab w:val="clear" w:pos="7609"/>
              <w:tab w:val="right" w:pos="9026" w:leader="dot"/>
            </w:tabs>
            <w:rPr/>
          </w:pPr>
          <w:hyperlink w:anchor="__RefHeading___Toc3770209_2870459653">
            <w:r>
              <w:rPr>
                <w:webHidden/>
                <w:rStyle w:val="IndexLink"/>
                <w:rtl w:val="true"/>
              </w:rPr>
              <w:t>الباب الخامس</w:t>
            </w:r>
            <w:r>
              <w:rPr>
                <w:rStyle w:val="IndexLink"/>
                <w:rtl w:val="true"/>
              </w:rPr>
              <w:t xml:space="preserve">( </w:t>
            </w:r>
            <w:r>
              <w:rPr>
                <w:rStyle w:val="IndexLink"/>
                <w:rtl w:val="true"/>
              </w:rPr>
              <w:t>بكر</w:t>
            </w:r>
            <w:r>
              <w:rPr>
                <w:rStyle w:val="IndexLink"/>
                <w:rtl w:val="true"/>
              </w:rPr>
              <w:t>)</w:t>
              <w:tab/>
            </w:r>
            <w:r>
              <w:rPr>
                <w:rStyle w:val="IndexLink"/>
              </w:rPr>
              <w:t>373</w:t>
            </w:r>
          </w:hyperlink>
        </w:p>
        <w:p>
          <w:pPr>
            <w:pStyle w:val="Contents6"/>
            <w:tabs>
              <w:tab w:val="clear" w:pos="7609"/>
              <w:tab w:val="right" w:pos="9026" w:leader="dot"/>
            </w:tabs>
            <w:rPr/>
          </w:pPr>
          <w:hyperlink w:anchor="__RefHeading___Toc3770211_2870459653">
            <w:r>
              <w:rPr>
                <w:webHidden/>
                <w:rStyle w:val="IndexLink"/>
              </w:rPr>
              <w:t>14</w:t>
            </w:r>
            <w:r>
              <w:rPr>
                <w:rStyle w:val="IndexLink"/>
                <w:rtl w:val="true"/>
              </w:rPr>
              <w:t xml:space="preserve">- </w:t>
            </w:r>
            <w:r>
              <w:rPr>
                <w:rStyle w:val="IndexLink"/>
                <w:rtl w:val="true"/>
              </w:rPr>
              <w:t>بكر بن محمّد الأزديّ</w:t>
            </w:r>
            <w:r>
              <w:rPr>
                <w:rStyle w:val="IndexLink"/>
                <w:rtl w:val="true"/>
              </w:rPr>
              <w:tab/>
            </w:r>
            <w:r>
              <w:rPr>
                <w:rStyle w:val="IndexLink"/>
              </w:rPr>
              <w:t>373</w:t>
            </w:r>
          </w:hyperlink>
        </w:p>
        <w:p>
          <w:pPr>
            <w:pStyle w:val="Contents6"/>
            <w:tabs>
              <w:tab w:val="clear" w:pos="7609"/>
              <w:tab w:val="right" w:pos="9026" w:leader="dot"/>
            </w:tabs>
            <w:rPr/>
          </w:pPr>
          <w:hyperlink w:anchor="__RefHeading___Toc3770213_2870459653">
            <w:r>
              <w:rPr>
                <w:webHidden/>
                <w:rStyle w:val="IndexLink"/>
                <w:rtl w:val="true"/>
              </w:rPr>
              <w:t>الباب السادس</w:t>
            </w:r>
            <w:r>
              <w:rPr>
                <w:rStyle w:val="IndexLink"/>
                <w:rtl w:val="true"/>
              </w:rPr>
              <w:t xml:space="preserve">: </w:t>
            </w:r>
            <w:r>
              <w:rPr>
                <w:rStyle w:val="IndexLink"/>
                <w:rtl w:val="true"/>
              </w:rPr>
              <w:t>في بريد</w:t>
            </w:r>
            <w:r>
              <w:rPr>
                <w:rStyle w:val="IndexLink"/>
                <w:rtl w:val="true"/>
              </w:rPr>
              <w:tab/>
            </w:r>
            <w:r>
              <w:rPr>
                <w:rStyle w:val="IndexLink"/>
              </w:rPr>
              <w:t>375</w:t>
            </w:r>
          </w:hyperlink>
        </w:p>
        <w:p>
          <w:pPr>
            <w:pStyle w:val="Contents6"/>
            <w:tabs>
              <w:tab w:val="clear" w:pos="7609"/>
              <w:tab w:val="right" w:pos="9026" w:leader="dot"/>
            </w:tabs>
            <w:rPr/>
          </w:pPr>
          <w:hyperlink w:anchor="__RefHeading___Toc3770215_2870459653">
            <w:r>
              <w:rPr>
                <w:webHidden/>
                <w:rStyle w:val="IndexLink"/>
              </w:rPr>
              <w:t>15</w:t>
            </w:r>
            <w:r>
              <w:rPr>
                <w:rStyle w:val="IndexLink"/>
                <w:rtl w:val="true"/>
              </w:rPr>
              <w:t xml:space="preserve">- </w:t>
            </w:r>
            <w:r>
              <w:rPr>
                <w:rStyle w:val="IndexLink"/>
                <w:rtl w:val="true"/>
              </w:rPr>
              <w:t>بريد بن معاوية</w:t>
            </w:r>
            <w:r>
              <w:rPr>
                <w:rStyle w:val="IndexLink"/>
                <w:rtl w:val="true"/>
              </w:rPr>
              <w:tab/>
            </w:r>
            <w:r>
              <w:rPr>
                <w:rStyle w:val="IndexLink"/>
              </w:rPr>
              <w:t>375</w:t>
            </w:r>
          </w:hyperlink>
        </w:p>
        <w:p>
          <w:pPr>
            <w:pStyle w:val="Contents6"/>
            <w:tabs>
              <w:tab w:val="clear" w:pos="7609"/>
              <w:tab w:val="right" w:pos="9026" w:leader="dot"/>
            </w:tabs>
            <w:rPr/>
          </w:pPr>
          <w:hyperlink w:anchor="__RefHeading___Toc3770217_2870459653">
            <w:r>
              <w:rPr>
                <w:webHidden/>
                <w:rStyle w:val="IndexLink"/>
                <w:rtl w:val="true"/>
              </w:rPr>
              <w:t>الباب السابع</w:t>
            </w:r>
            <w:r>
              <w:rPr>
                <w:rStyle w:val="IndexLink"/>
                <w:rtl w:val="true"/>
              </w:rPr>
              <w:t xml:space="preserve">: </w:t>
            </w:r>
            <w:r>
              <w:rPr>
                <w:rStyle w:val="IndexLink"/>
                <w:rtl w:val="true"/>
              </w:rPr>
              <w:t>في الآحاد</w:t>
            </w:r>
            <w:r>
              <w:rPr>
                <w:rStyle w:val="IndexLink"/>
                <w:rtl w:val="true"/>
              </w:rPr>
              <w:tab/>
            </w:r>
            <w:r>
              <w:rPr>
                <w:rStyle w:val="IndexLink"/>
              </w:rPr>
              <w:t>376</w:t>
            </w:r>
          </w:hyperlink>
        </w:p>
        <w:p>
          <w:pPr>
            <w:pStyle w:val="Contents6"/>
            <w:tabs>
              <w:tab w:val="clear" w:pos="7609"/>
              <w:tab w:val="right" w:pos="9026" w:leader="dot"/>
            </w:tabs>
            <w:rPr/>
          </w:pPr>
          <w:hyperlink w:anchor="__RefHeading___Toc3770219_2870459653">
            <w:r>
              <w:rPr>
                <w:webHidden/>
                <w:rStyle w:val="IndexLink"/>
              </w:rPr>
              <w:t>16</w:t>
            </w:r>
            <w:r>
              <w:rPr>
                <w:rStyle w:val="IndexLink"/>
                <w:rtl w:val="true"/>
              </w:rPr>
              <w:t xml:space="preserve">- </w:t>
            </w:r>
            <w:r>
              <w:rPr>
                <w:rStyle w:val="IndexLink"/>
                <w:rtl w:val="true"/>
              </w:rPr>
              <w:t>بُكير بن أعين</w:t>
            </w:r>
            <w:r>
              <w:rPr>
                <w:rStyle w:val="IndexLink"/>
                <w:rtl w:val="true"/>
              </w:rPr>
              <w:t>.</w:t>
              <w:tab/>
            </w:r>
            <w:r>
              <w:rPr>
                <w:rStyle w:val="IndexLink"/>
              </w:rPr>
              <w:t>376</w:t>
            </w:r>
          </w:hyperlink>
        </w:p>
        <w:p>
          <w:pPr>
            <w:pStyle w:val="Contents5"/>
            <w:tabs>
              <w:tab w:val="clear" w:pos="7892"/>
              <w:tab w:val="right" w:pos="9026" w:leader="dot"/>
            </w:tabs>
            <w:rPr/>
          </w:pPr>
          <w:hyperlink w:anchor="__RefHeading___Toc3770221_2870459653">
            <w:r>
              <w:rPr>
                <w:webHidden/>
                <w:rStyle w:val="IndexLink"/>
                <w:rtl w:val="true"/>
              </w:rPr>
              <w:t>الفصل الرابع</w:t>
            </w:r>
            <w:r>
              <w:rPr>
                <w:rStyle w:val="IndexLink"/>
                <w:rtl w:val="true"/>
              </w:rPr>
              <w:t xml:space="preserve">: </w:t>
            </w:r>
            <w:r>
              <w:rPr>
                <w:rStyle w:val="IndexLink"/>
                <w:rtl w:val="true"/>
              </w:rPr>
              <w:t xml:space="preserve">في الثاء </w:t>
            </w:r>
            <w:r>
              <w:rPr>
                <w:rStyle w:val="IndexLink"/>
                <w:rtl w:val="true"/>
              </w:rPr>
              <w:t xml:space="preserve">- </w:t>
            </w:r>
            <w:r>
              <w:rPr>
                <w:rStyle w:val="IndexLink"/>
                <w:rtl w:val="true"/>
              </w:rPr>
              <w:t>الآحاد</w:t>
            </w:r>
            <w:r>
              <w:rPr>
                <w:rStyle w:val="IndexLink"/>
                <w:rtl w:val="true"/>
              </w:rPr>
              <w:tab/>
            </w:r>
            <w:r>
              <w:rPr>
                <w:rStyle w:val="IndexLink"/>
              </w:rPr>
              <w:t>377</w:t>
            </w:r>
          </w:hyperlink>
        </w:p>
        <w:p>
          <w:pPr>
            <w:pStyle w:val="Contents6"/>
            <w:tabs>
              <w:tab w:val="clear" w:pos="7609"/>
              <w:tab w:val="right" w:pos="9026" w:leader="dot"/>
            </w:tabs>
            <w:rPr/>
          </w:pPr>
          <w:hyperlink w:anchor="__RefHeading___Toc3770223_2870459653">
            <w:r>
              <w:rPr>
                <w:webHidden/>
                <w:rStyle w:val="IndexLink"/>
              </w:rPr>
              <w:t>17</w:t>
            </w:r>
            <w:r>
              <w:rPr>
                <w:rStyle w:val="IndexLink"/>
                <w:rtl w:val="true"/>
              </w:rPr>
              <w:t xml:space="preserve">- </w:t>
            </w:r>
            <w:r>
              <w:rPr>
                <w:rStyle w:val="IndexLink"/>
                <w:rtl w:val="true"/>
              </w:rPr>
              <w:t>ثعلبة بن ميمون</w:t>
            </w:r>
            <w:r>
              <w:rPr>
                <w:rStyle w:val="IndexLink"/>
                <w:rtl w:val="true"/>
              </w:rPr>
              <w:tab/>
            </w:r>
            <w:r>
              <w:rPr>
                <w:rStyle w:val="IndexLink"/>
              </w:rPr>
              <w:t>377</w:t>
            </w:r>
          </w:hyperlink>
        </w:p>
        <w:p>
          <w:pPr>
            <w:pStyle w:val="Contents5"/>
            <w:tabs>
              <w:tab w:val="clear" w:pos="7892"/>
              <w:tab w:val="right" w:pos="9026" w:leader="dot"/>
            </w:tabs>
            <w:rPr/>
          </w:pPr>
          <w:hyperlink w:anchor="__RefHeading___Toc3770225_2870459653">
            <w:r>
              <w:rPr>
                <w:webHidden/>
                <w:rStyle w:val="IndexLink"/>
                <w:rtl w:val="true"/>
              </w:rPr>
              <w:t>الفصل الخامس</w:t>
            </w:r>
            <w:r>
              <w:rPr>
                <w:rStyle w:val="IndexLink"/>
                <w:rtl w:val="true"/>
              </w:rPr>
              <w:t xml:space="preserve">: </w:t>
            </w:r>
            <w:r>
              <w:rPr>
                <w:rStyle w:val="IndexLink"/>
                <w:rtl w:val="true"/>
              </w:rPr>
              <w:t>في الجيم</w:t>
            </w:r>
            <w:r>
              <w:rPr>
                <w:rStyle w:val="IndexLink"/>
                <w:rtl w:val="true"/>
              </w:rPr>
              <w:tab/>
            </w:r>
            <w:r>
              <w:rPr>
                <w:rStyle w:val="IndexLink"/>
              </w:rPr>
              <w:t>378</w:t>
            </w:r>
          </w:hyperlink>
        </w:p>
        <w:p>
          <w:pPr>
            <w:pStyle w:val="Contents6"/>
            <w:tabs>
              <w:tab w:val="clear" w:pos="7609"/>
              <w:tab w:val="right" w:pos="9026" w:leader="dot"/>
            </w:tabs>
            <w:rPr/>
          </w:pPr>
          <w:hyperlink w:anchor="__RefHeading___Toc3770227_2870459653">
            <w:r>
              <w:rPr>
                <w:webHidden/>
                <w:rStyle w:val="IndexLink"/>
                <w:rtl w:val="true"/>
              </w:rPr>
              <w:t>الباب الأوَّل</w:t>
            </w:r>
            <w:r>
              <w:rPr>
                <w:rStyle w:val="IndexLink"/>
                <w:rtl w:val="true"/>
              </w:rPr>
              <w:t xml:space="preserve">: </w:t>
            </w:r>
            <w:r>
              <w:rPr>
                <w:rStyle w:val="IndexLink"/>
                <w:rtl w:val="true"/>
              </w:rPr>
              <w:t>في جعفر</w:t>
            </w:r>
            <w:r>
              <w:rPr>
                <w:rStyle w:val="IndexLink"/>
                <w:rtl w:val="true"/>
              </w:rPr>
              <w:tab/>
            </w:r>
            <w:r>
              <w:rPr>
                <w:rStyle w:val="IndexLink"/>
              </w:rPr>
              <w:t>378</w:t>
            </w:r>
          </w:hyperlink>
        </w:p>
        <w:p>
          <w:pPr>
            <w:pStyle w:val="Contents6"/>
            <w:tabs>
              <w:tab w:val="clear" w:pos="7609"/>
              <w:tab w:val="right" w:pos="9026" w:leader="dot"/>
            </w:tabs>
            <w:rPr/>
          </w:pPr>
          <w:hyperlink w:anchor="__RefHeading___Toc3770229_2870459653">
            <w:r>
              <w:rPr>
                <w:webHidden/>
                <w:rStyle w:val="IndexLink"/>
              </w:rPr>
              <w:t>18</w:t>
            </w:r>
            <w:r>
              <w:rPr>
                <w:rStyle w:val="IndexLink"/>
                <w:rtl w:val="true"/>
              </w:rPr>
              <w:t xml:space="preserve">- </w:t>
            </w:r>
            <w:r>
              <w:rPr>
                <w:rStyle w:val="IndexLink"/>
                <w:rtl w:val="true"/>
              </w:rPr>
              <w:t>جعفر بن سعيد</w:t>
            </w:r>
            <w:r>
              <w:rPr>
                <w:rStyle w:val="IndexLink"/>
                <w:rtl w:val="true"/>
              </w:rPr>
              <w:tab/>
            </w:r>
            <w:r>
              <w:rPr>
                <w:rStyle w:val="IndexLink"/>
              </w:rPr>
              <w:t>378</w:t>
            </w:r>
          </w:hyperlink>
        </w:p>
        <w:p>
          <w:pPr>
            <w:pStyle w:val="Contents5"/>
            <w:tabs>
              <w:tab w:val="clear" w:pos="7892"/>
              <w:tab w:val="right" w:pos="9026" w:leader="dot"/>
            </w:tabs>
            <w:rPr/>
          </w:pPr>
          <w:hyperlink w:anchor="__RefHeading___Toc3770231_2870459653">
            <w:r>
              <w:rPr>
                <w:webHidden/>
                <w:rStyle w:val="IndexLink"/>
                <w:rtl w:val="true"/>
              </w:rPr>
              <w:t>الفصل السادس</w:t>
            </w:r>
            <w:r>
              <w:rPr>
                <w:rStyle w:val="IndexLink"/>
                <w:rtl w:val="true"/>
              </w:rPr>
              <w:t xml:space="preserve">: </w:t>
            </w:r>
            <w:r>
              <w:rPr>
                <w:rStyle w:val="IndexLink"/>
                <w:rtl w:val="true"/>
              </w:rPr>
              <w:t>في الحاء</w:t>
            </w:r>
            <w:r>
              <w:rPr>
                <w:rStyle w:val="IndexLink"/>
                <w:rtl w:val="true"/>
              </w:rPr>
              <w:tab/>
            </w:r>
            <w:r>
              <w:rPr>
                <w:rStyle w:val="IndexLink"/>
              </w:rPr>
              <w:t>379</w:t>
            </w:r>
          </w:hyperlink>
        </w:p>
        <w:p>
          <w:pPr>
            <w:pStyle w:val="Contents6"/>
            <w:tabs>
              <w:tab w:val="clear" w:pos="7609"/>
              <w:tab w:val="right" w:pos="9026" w:leader="dot"/>
            </w:tabs>
            <w:rPr/>
          </w:pPr>
          <w:hyperlink w:anchor="__RefHeading___Toc3770233_2870459653">
            <w:r>
              <w:rPr>
                <w:webHidden/>
                <w:rStyle w:val="IndexLink"/>
                <w:rtl w:val="true"/>
              </w:rPr>
              <w:t>الباب الأوَّل</w:t>
            </w:r>
            <w:r>
              <w:rPr>
                <w:rStyle w:val="IndexLink"/>
                <w:rtl w:val="true"/>
              </w:rPr>
              <w:t xml:space="preserve">: </w:t>
            </w:r>
            <w:r>
              <w:rPr>
                <w:rStyle w:val="IndexLink"/>
                <w:rtl w:val="true"/>
              </w:rPr>
              <w:t>في الحسن</w:t>
            </w:r>
            <w:r>
              <w:rPr>
                <w:rStyle w:val="IndexLink"/>
                <w:rtl w:val="true"/>
              </w:rPr>
              <w:tab/>
            </w:r>
            <w:r>
              <w:rPr>
                <w:rStyle w:val="IndexLink"/>
              </w:rPr>
              <w:t>379</w:t>
            </w:r>
          </w:hyperlink>
        </w:p>
        <w:p>
          <w:pPr>
            <w:pStyle w:val="Contents6"/>
            <w:tabs>
              <w:tab w:val="clear" w:pos="7609"/>
              <w:tab w:val="right" w:pos="9026" w:leader="dot"/>
            </w:tabs>
            <w:rPr/>
          </w:pPr>
          <w:hyperlink w:anchor="__RefHeading___Toc3770235_2870459653">
            <w:r>
              <w:rPr>
                <w:webHidden/>
                <w:rStyle w:val="IndexLink"/>
              </w:rPr>
              <w:t>19</w:t>
            </w:r>
            <w:r>
              <w:rPr>
                <w:rStyle w:val="IndexLink"/>
                <w:rtl w:val="true"/>
              </w:rPr>
              <w:t xml:space="preserve">- </w:t>
            </w:r>
            <w:r>
              <w:rPr>
                <w:rStyle w:val="IndexLink"/>
                <w:rtl w:val="true"/>
              </w:rPr>
              <w:t>الحسن بن محبوب</w:t>
            </w:r>
            <w:r>
              <w:rPr>
                <w:rStyle w:val="IndexLink"/>
                <w:rtl w:val="true"/>
              </w:rPr>
              <w:tab/>
            </w:r>
            <w:r>
              <w:rPr>
                <w:rStyle w:val="IndexLink"/>
              </w:rPr>
              <w:t>379</w:t>
            </w:r>
          </w:hyperlink>
        </w:p>
        <w:p>
          <w:pPr>
            <w:pStyle w:val="Contents6"/>
            <w:tabs>
              <w:tab w:val="clear" w:pos="7609"/>
              <w:tab w:val="right" w:pos="9026" w:leader="dot"/>
            </w:tabs>
            <w:rPr/>
          </w:pPr>
          <w:hyperlink w:anchor="__RefHeading___Toc3770237_2870459653">
            <w:r>
              <w:rPr>
                <w:webHidden/>
                <w:rStyle w:val="IndexLink"/>
              </w:rPr>
              <w:t>20</w:t>
            </w:r>
            <w:r>
              <w:rPr>
                <w:rStyle w:val="IndexLink"/>
                <w:rtl w:val="true"/>
              </w:rPr>
              <w:t xml:space="preserve">- </w:t>
            </w:r>
            <w:r>
              <w:rPr>
                <w:rStyle w:val="IndexLink"/>
                <w:rtl w:val="true"/>
              </w:rPr>
              <w:t>الحسن بن عليّ بن فضّال</w:t>
            </w:r>
            <w:r>
              <w:rPr>
                <w:rStyle w:val="IndexLink"/>
                <w:rtl w:val="true"/>
              </w:rPr>
              <w:tab/>
            </w:r>
            <w:r>
              <w:rPr>
                <w:rStyle w:val="IndexLink"/>
              </w:rPr>
              <w:t>381</w:t>
            </w:r>
          </w:hyperlink>
        </w:p>
        <w:p>
          <w:pPr>
            <w:pStyle w:val="Contents6"/>
            <w:tabs>
              <w:tab w:val="clear" w:pos="7609"/>
              <w:tab w:val="right" w:pos="9026" w:leader="dot"/>
            </w:tabs>
            <w:rPr/>
          </w:pPr>
          <w:hyperlink w:anchor="__RefHeading___Toc3770239_2870459653">
            <w:r>
              <w:rPr>
                <w:webHidden/>
                <w:rStyle w:val="IndexLink"/>
              </w:rPr>
              <w:t>21</w:t>
            </w:r>
            <w:r>
              <w:rPr>
                <w:rStyle w:val="IndexLink"/>
                <w:rtl w:val="true"/>
              </w:rPr>
              <w:t xml:space="preserve">- </w:t>
            </w:r>
            <w:r>
              <w:rPr>
                <w:rStyle w:val="IndexLink"/>
                <w:rtl w:val="true"/>
              </w:rPr>
              <w:t>الحسن بن عليّ بن يقطين</w:t>
            </w:r>
            <w:r>
              <w:rPr>
                <w:rStyle w:val="IndexLink"/>
                <w:rtl w:val="true"/>
              </w:rPr>
              <w:tab/>
            </w:r>
            <w:r>
              <w:rPr>
                <w:rStyle w:val="IndexLink"/>
              </w:rPr>
              <w:t>382</w:t>
            </w:r>
          </w:hyperlink>
        </w:p>
        <w:p>
          <w:pPr>
            <w:pStyle w:val="Contents6"/>
            <w:tabs>
              <w:tab w:val="clear" w:pos="7609"/>
              <w:tab w:val="right" w:pos="9026" w:leader="dot"/>
            </w:tabs>
            <w:rPr/>
          </w:pPr>
          <w:hyperlink w:anchor="__RefHeading___Toc3770241_2870459653">
            <w:r>
              <w:rPr>
                <w:webHidden/>
                <w:rStyle w:val="IndexLink"/>
                <w:rtl w:val="true"/>
              </w:rPr>
              <w:t>الباب الثاني</w:t>
            </w:r>
            <w:r>
              <w:rPr>
                <w:rStyle w:val="IndexLink"/>
                <w:rtl w:val="true"/>
              </w:rPr>
              <w:t xml:space="preserve">: </w:t>
            </w:r>
            <w:r>
              <w:rPr>
                <w:rStyle w:val="IndexLink"/>
                <w:rtl w:val="true"/>
              </w:rPr>
              <w:t>في الحسين</w:t>
            </w:r>
            <w:r>
              <w:rPr>
                <w:rStyle w:val="IndexLink"/>
                <w:rtl w:val="true"/>
              </w:rPr>
              <w:tab/>
            </w:r>
            <w:r>
              <w:rPr>
                <w:rStyle w:val="IndexLink"/>
              </w:rPr>
              <w:t>382</w:t>
            </w:r>
          </w:hyperlink>
        </w:p>
        <w:p>
          <w:pPr>
            <w:pStyle w:val="Contents6"/>
            <w:tabs>
              <w:tab w:val="clear" w:pos="7609"/>
              <w:tab w:val="right" w:pos="9026" w:leader="dot"/>
            </w:tabs>
            <w:rPr/>
          </w:pPr>
          <w:hyperlink w:anchor="__RefHeading___Toc3770243_2870459653">
            <w:r>
              <w:rPr>
                <w:webHidden/>
                <w:rStyle w:val="IndexLink"/>
              </w:rPr>
              <w:t>22</w:t>
            </w:r>
            <w:r>
              <w:rPr>
                <w:rStyle w:val="IndexLink"/>
                <w:rtl w:val="true"/>
              </w:rPr>
              <w:t xml:space="preserve">- </w:t>
            </w:r>
            <w:r>
              <w:rPr>
                <w:rStyle w:val="IndexLink"/>
                <w:rtl w:val="true"/>
              </w:rPr>
              <w:t>الحسين بن سعيد</w:t>
            </w:r>
            <w:r>
              <w:rPr>
                <w:rStyle w:val="IndexLink"/>
                <w:rtl w:val="true"/>
              </w:rPr>
              <w:tab/>
            </w:r>
            <w:r>
              <w:rPr>
                <w:rStyle w:val="IndexLink"/>
              </w:rPr>
              <w:t>382</w:t>
            </w:r>
          </w:hyperlink>
        </w:p>
        <w:p>
          <w:pPr>
            <w:pStyle w:val="Contents6"/>
            <w:tabs>
              <w:tab w:val="clear" w:pos="7609"/>
              <w:tab w:val="right" w:pos="9026" w:leader="dot"/>
            </w:tabs>
            <w:rPr/>
          </w:pPr>
          <w:hyperlink w:anchor="__RefHeading___Toc3770245_2870459653">
            <w:r>
              <w:rPr>
                <w:webHidden/>
                <w:rStyle w:val="IndexLink"/>
              </w:rPr>
              <w:t>23</w:t>
            </w:r>
            <w:r>
              <w:rPr>
                <w:rStyle w:val="IndexLink"/>
                <w:rtl w:val="true"/>
              </w:rPr>
              <w:t xml:space="preserve">- </w:t>
            </w:r>
            <w:r>
              <w:rPr>
                <w:rStyle w:val="IndexLink"/>
                <w:rtl w:val="true"/>
              </w:rPr>
              <w:t>الحسين بن بشّار</w:t>
            </w:r>
            <w:r>
              <w:rPr>
                <w:rStyle w:val="IndexLink"/>
                <w:rtl w:val="true"/>
              </w:rPr>
              <w:tab/>
            </w:r>
            <w:r>
              <w:rPr>
                <w:rStyle w:val="IndexLink"/>
              </w:rPr>
              <w:t>383</w:t>
            </w:r>
          </w:hyperlink>
        </w:p>
        <w:p>
          <w:pPr>
            <w:pStyle w:val="Contents6"/>
            <w:tabs>
              <w:tab w:val="clear" w:pos="7609"/>
              <w:tab w:val="right" w:pos="9026" w:leader="dot"/>
            </w:tabs>
            <w:rPr/>
          </w:pPr>
          <w:hyperlink w:anchor="__RefHeading___Toc3770247_2870459653">
            <w:r>
              <w:rPr>
                <w:webHidden/>
                <w:rStyle w:val="IndexLink"/>
              </w:rPr>
              <w:t>24</w:t>
            </w:r>
            <w:r>
              <w:rPr>
                <w:rStyle w:val="IndexLink"/>
                <w:rtl w:val="true"/>
              </w:rPr>
              <w:t xml:space="preserve">- </w:t>
            </w:r>
            <w:r>
              <w:rPr>
                <w:rStyle w:val="IndexLink"/>
                <w:rtl w:val="true"/>
              </w:rPr>
              <w:t>الحسين بن عبد ربّه</w:t>
            </w:r>
            <w:r>
              <w:rPr>
                <w:rStyle w:val="IndexLink"/>
                <w:rtl w:val="true"/>
              </w:rPr>
              <w:tab/>
            </w:r>
            <w:r>
              <w:rPr>
                <w:rStyle w:val="IndexLink"/>
              </w:rPr>
              <w:t>384</w:t>
            </w:r>
          </w:hyperlink>
        </w:p>
        <w:p>
          <w:pPr>
            <w:pStyle w:val="Contents6"/>
            <w:tabs>
              <w:tab w:val="clear" w:pos="7609"/>
              <w:tab w:val="right" w:pos="9026" w:leader="dot"/>
            </w:tabs>
            <w:rPr/>
          </w:pPr>
          <w:hyperlink w:anchor="__RefHeading___Toc3770249_2870459653">
            <w:r>
              <w:rPr>
                <w:webHidden/>
                <w:rStyle w:val="IndexLink"/>
                <w:rtl w:val="true"/>
              </w:rPr>
              <w:t>الباب الثالث</w:t>
            </w:r>
            <w:r>
              <w:rPr>
                <w:rStyle w:val="IndexLink"/>
                <w:rtl w:val="true"/>
              </w:rPr>
              <w:t xml:space="preserve">: </w:t>
            </w:r>
            <w:r>
              <w:rPr>
                <w:rStyle w:val="IndexLink"/>
                <w:rtl w:val="true"/>
              </w:rPr>
              <w:t>في حمزة</w:t>
            </w:r>
            <w:r>
              <w:rPr>
                <w:rStyle w:val="IndexLink"/>
                <w:rtl w:val="true"/>
              </w:rPr>
              <w:tab/>
            </w:r>
            <w:r>
              <w:rPr>
                <w:rStyle w:val="IndexLink"/>
              </w:rPr>
              <w:t>386</w:t>
            </w:r>
          </w:hyperlink>
        </w:p>
        <w:p>
          <w:pPr>
            <w:pStyle w:val="Contents6"/>
            <w:tabs>
              <w:tab w:val="clear" w:pos="7609"/>
              <w:tab w:val="right" w:pos="9026" w:leader="dot"/>
            </w:tabs>
            <w:rPr/>
          </w:pPr>
          <w:hyperlink w:anchor="__RefHeading___Toc3770251_2870459653">
            <w:r>
              <w:rPr>
                <w:webHidden/>
                <w:rStyle w:val="IndexLink"/>
              </w:rPr>
              <w:t>25</w:t>
            </w:r>
            <w:r>
              <w:rPr>
                <w:rStyle w:val="IndexLink"/>
                <w:rtl w:val="true"/>
              </w:rPr>
              <w:t xml:space="preserve">- </w:t>
            </w:r>
            <w:r>
              <w:rPr>
                <w:rStyle w:val="IndexLink"/>
                <w:rtl w:val="true"/>
              </w:rPr>
              <w:t>حمزة بن بزيع</w:t>
            </w:r>
            <w:r>
              <w:rPr>
                <w:rStyle w:val="IndexLink"/>
                <w:rtl w:val="true"/>
              </w:rPr>
              <w:tab/>
            </w:r>
            <w:r>
              <w:rPr>
                <w:rStyle w:val="IndexLink"/>
              </w:rPr>
              <w:t>386</w:t>
            </w:r>
          </w:hyperlink>
        </w:p>
        <w:p>
          <w:pPr>
            <w:pStyle w:val="Contents6"/>
            <w:tabs>
              <w:tab w:val="clear" w:pos="7609"/>
              <w:tab w:val="right" w:pos="9026" w:leader="dot"/>
            </w:tabs>
            <w:rPr/>
          </w:pPr>
          <w:hyperlink w:anchor="__RefHeading___Toc3770253_2870459653">
            <w:r>
              <w:rPr>
                <w:webHidden/>
                <w:rStyle w:val="IndexLink"/>
                <w:rtl w:val="true"/>
              </w:rPr>
              <w:t>الباب الخامس</w:t>
            </w:r>
            <w:r>
              <w:rPr>
                <w:rStyle w:val="IndexLink"/>
                <w:rtl w:val="true"/>
              </w:rPr>
              <w:t xml:space="preserve">: </w:t>
            </w:r>
            <w:r>
              <w:rPr>
                <w:rStyle w:val="IndexLink"/>
                <w:rtl w:val="true"/>
              </w:rPr>
              <w:t>في حمّاد</w:t>
            </w:r>
            <w:r>
              <w:rPr>
                <w:rStyle w:val="IndexLink"/>
                <w:rtl w:val="true"/>
              </w:rPr>
              <w:tab/>
            </w:r>
            <w:r>
              <w:rPr>
                <w:rStyle w:val="IndexLink"/>
              </w:rPr>
              <w:t>386</w:t>
            </w:r>
          </w:hyperlink>
        </w:p>
        <w:p>
          <w:pPr>
            <w:pStyle w:val="Contents6"/>
            <w:tabs>
              <w:tab w:val="clear" w:pos="7609"/>
              <w:tab w:val="right" w:pos="9026" w:leader="dot"/>
            </w:tabs>
            <w:rPr/>
          </w:pPr>
          <w:hyperlink w:anchor="__RefHeading___Toc3770255_2870459653">
            <w:r>
              <w:rPr>
                <w:webHidden/>
                <w:rStyle w:val="IndexLink"/>
              </w:rPr>
              <w:t>26</w:t>
            </w:r>
            <w:r>
              <w:rPr>
                <w:rStyle w:val="IndexLink"/>
                <w:rtl w:val="true"/>
              </w:rPr>
              <w:t xml:space="preserve">- </w:t>
            </w:r>
            <w:r>
              <w:rPr>
                <w:rStyle w:val="IndexLink"/>
                <w:rtl w:val="true"/>
              </w:rPr>
              <w:t>حمّاد بن عثمان بن عمرو</w:t>
            </w:r>
            <w:r>
              <w:rPr>
                <w:rStyle w:val="IndexLink"/>
                <w:rtl w:val="true"/>
              </w:rPr>
              <w:tab/>
            </w:r>
            <w:r>
              <w:rPr>
                <w:rStyle w:val="IndexLink"/>
              </w:rPr>
              <w:t>386</w:t>
            </w:r>
          </w:hyperlink>
        </w:p>
        <w:p>
          <w:pPr>
            <w:pStyle w:val="Contents6"/>
            <w:tabs>
              <w:tab w:val="clear" w:pos="7609"/>
              <w:tab w:val="right" w:pos="9026" w:leader="dot"/>
            </w:tabs>
            <w:rPr/>
          </w:pPr>
          <w:hyperlink w:anchor="__RefHeading___Toc3770257_2870459653">
            <w:r>
              <w:rPr>
                <w:webHidden/>
                <w:rStyle w:val="IndexLink"/>
                <w:rtl w:val="true"/>
              </w:rPr>
              <w:t>الباب الثامن</w:t>
            </w:r>
            <w:r>
              <w:rPr>
                <w:rStyle w:val="IndexLink"/>
                <w:rtl w:val="true"/>
              </w:rPr>
              <w:t xml:space="preserve">: </w:t>
            </w:r>
            <w:r>
              <w:rPr>
                <w:rStyle w:val="IndexLink"/>
                <w:rtl w:val="true"/>
              </w:rPr>
              <w:t>في حفص</w:t>
            </w:r>
            <w:r>
              <w:rPr>
                <w:rStyle w:val="IndexLink"/>
                <w:rtl w:val="true"/>
              </w:rPr>
              <w:tab/>
            </w:r>
            <w:r>
              <w:rPr>
                <w:rStyle w:val="IndexLink"/>
              </w:rPr>
              <w:t>387</w:t>
            </w:r>
          </w:hyperlink>
        </w:p>
        <w:p>
          <w:pPr>
            <w:pStyle w:val="Contents6"/>
            <w:tabs>
              <w:tab w:val="clear" w:pos="7609"/>
              <w:tab w:val="right" w:pos="9026" w:leader="dot"/>
            </w:tabs>
            <w:rPr/>
          </w:pPr>
          <w:hyperlink w:anchor="__RefHeading___Toc3770259_2870459653">
            <w:r>
              <w:rPr>
                <w:webHidden/>
                <w:rStyle w:val="IndexLink"/>
              </w:rPr>
              <w:t>27</w:t>
            </w:r>
            <w:r>
              <w:rPr>
                <w:rStyle w:val="IndexLink"/>
                <w:rtl w:val="true"/>
              </w:rPr>
              <w:t xml:space="preserve"> - </w:t>
            </w:r>
            <w:r>
              <w:rPr>
                <w:rStyle w:val="IndexLink"/>
                <w:rtl w:val="true"/>
              </w:rPr>
              <w:t>حفص بن سوقة</w:t>
            </w:r>
            <w:r>
              <w:rPr>
                <w:rStyle w:val="IndexLink"/>
                <w:rtl w:val="true"/>
              </w:rPr>
              <w:tab/>
            </w:r>
            <w:r>
              <w:rPr>
                <w:rStyle w:val="IndexLink"/>
              </w:rPr>
              <w:t>387</w:t>
            </w:r>
          </w:hyperlink>
        </w:p>
        <w:p>
          <w:pPr>
            <w:pStyle w:val="Contents6"/>
            <w:tabs>
              <w:tab w:val="clear" w:pos="7609"/>
              <w:tab w:val="right" w:pos="9026" w:leader="dot"/>
            </w:tabs>
            <w:rPr/>
          </w:pPr>
          <w:hyperlink w:anchor="__RefHeading___Toc3770261_2870459653">
            <w:r>
              <w:rPr>
                <w:webHidden/>
                <w:rStyle w:val="IndexLink"/>
                <w:rtl w:val="true"/>
              </w:rPr>
              <w:t>الباب التاسع</w:t>
            </w:r>
            <w:r>
              <w:rPr>
                <w:rStyle w:val="IndexLink"/>
                <w:rtl w:val="true"/>
              </w:rPr>
              <w:t xml:space="preserve">: </w:t>
            </w:r>
            <w:r>
              <w:rPr>
                <w:rStyle w:val="IndexLink"/>
                <w:rtl w:val="true"/>
              </w:rPr>
              <w:t>في حميد</w:t>
            </w:r>
            <w:r>
              <w:rPr>
                <w:rStyle w:val="IndexLink"/>
                <w:rtl w:val="true"/>
              </w:rPr>
              <w:tab/>
            </w:r>
            <w:r>
              <w:rPr>
                <w:rStyle w:val="IndexLink"/>
              </w:rPr>
              <w:t>388</w:t>
            </w:r>
          </w:hyperlink>
        </w:p>
        <w:p>
          <w:pPr>
            <w:pStyle w:val="Contents6"/>
            <w:tabs>
              <w:tab w:val="clear" w:pos="7609"/>
              <w:tab w:val="right" w:pos="9026" w:leader="dot"/>
            </w:tabs>
            <w:rPr/>
          </w:pPr>
          <w:hyperlink w:anchor="__RefHeading___Toc3770263_2870459653">
            <w:r>
              <w:rPr>
                <w:webHidden/>
                <w:rStyle w:val="IndexLink"/>
              </w:rPr>
              <w:t>28</w:t>
            </w:r>
            <w:r>
              <w:rPr>
                <w:rStyle w:val="IndexLink"/>
                <w:rtl w:val="true"/>
              </w:rPr>
              <w:t xml:space="preserve"> - </w:t>
            </w:r>
            <w:r>
              <w:rPr>
                <w:rStyle w:val="IndexLink"/>
                <w:rtl w:val="true"/>
              </w:rPr>
              <w:t>حميد بن المثنّى</w:t>
            </w:r>
            <w:r>
              <w:rPr>
                <w:rStyle w:val="IndexLink"/>
                <w:rtl w:val="true"/>
              </w:rPr>
              <w:tab/>
            </w:r>
            <w:r>
              <w:rPr>
                <w:rStyle w:val="IndexLink"/>
              </w:rPr>
              <w:t>388</w:t>
            </w:r>
          </w:hyperlink>
        </w:p>
        <w:p>
          <w:pPr>
            <w:pStyle w:val="Contents6"/>
            <w:tabs>
              <w:tab w:val="clear" w:pos="7609"/>
              <w:tab w:val="right" w:pos="9026" w:leader="dot"/>
            </w:tabs>
            <w:rPr/>
          </w:pPr>
          <w:hyperlink w:anchor="__RefHeading___Toc3770265_2870459653">
            <w:r>
              <w:rPr>
                <w:webHidden/>
                <w:rStyle w:val="IndexLink"/>
                <w:rtl w:val="true"/>
              </w:rPr>
              <w:t>الباب الثاني عشر</w:t>
            </w:r>
            <w:r>
              <w:rPr>
                <w:rStyle w:val="IndexLink"/>
                <w:rtl w:val="true"/>
              </w:rPr>
              <w:t xml:space="preserve">: </w:t>
            </w:r>
            <w:r>
              <w:rPr>
                <w:rStyle w:val="IndexLink"/>
                <w:rtl w:val="true"/>
              </w:rPr>
              <w:t>في حذيفة</w:t>
            </w:r>
            <w:r>
              <w:rPr>
                <w:rStyle w:val="IndexLink"/>
                <w:rtl w:val="true"/>
              </w:rPr>
              <w:tab/>
            </w:r>
            <w:r>
              <w:rPr>
                <w:rStyle w:val="IndexLink"/>
              </w:rPr>
              <w:t>389</w:t>
            </w:r>
          </w:hyperlink>
        </w:p>
        <w:p>
          <w:pPr>
            <w:pStyle w:val="Contents6"/>
            <w:tabs>
              <w:tab w:val="clear" w:pos="7609"/>
              <w:tab w:val="right" w:pos="9026" w:leader="dot"/>
            </w:tabs>
            <w:rPr/>
          </w:pPr>
          <w:hyperlink w:anchor="__RefHeading___Toc3770267_2870459653">
            <w:r>
              <w:rPr>
                <w:webHidden/>
                <w:rStyle w:val="IndexLink"/>
              </w:rPr>
              <w:t>29</w:t>
            </w:r>
            <w:r>
              <w:rPr>
                <w:rStyle w:val="IndexLink"/>
                <w:rtl w:val="true"/>
              </w:rPr>
              <w:t xml:space="preserve">- </w:t>
            </w:r>
            <w:r>
              <w:rPr>
                <w:rStyle w:val="IndexLink"/>
                <w:rtl w:val="true"/>
              </w:rPr>
              <w:t>حذيفة بن منصور</w:t>
            </w:r>
            <w:r>
              <w:rPr>
                <w:rStyle w:val="IndexLink"/>
                <w:rtl w:val="true"/>
              </w:rPr>
              <w:tab/>
            </w:r>
            <w:r>
              <w:rPr>
                <w:rStyle w:val="IndexLink"/>
              </w:rPr>
              <w:t>389</w:t>
            </w:r>
          </w:hyperlink>
        </w:p>
        <w:p>
          <w:pPr>
            <w:pStyle w:val="Contents6"/>
            <w:tabs>
              <w:tab w:val="clear" w:pos="7609"/>
              <w:tab w:val="right" w:pos="9026" w:leader="dot"/>
            </w:tabs>
            <w:rPr/>
          </w:pPr>
          <w:hyperlink w:anchor="__RefHeading___Toc3770269_2870459653">
            <w:r>
              <w:rPr>
                <w:webHidden/>
                <w:rStyle w:val="IndexLink"/>
                <w:rtl w:val="true"/>
              </w:rPr>
              <w:t>الباب الخامس عشر</w:t>
            </w:r>
            <w:r>
              <w:rPr>
                <w:rStyle w:val="IndexLink"/>
                <w:rtl w:val="true"/>
              </w:rPr>
              <w:t xml:space="preserve">: </w:t>
            </w:r>
            <w:r>
              <w:rPr>
                <w:rStyle w:val="IndexLink"/>
                <w:rtl w:val="true"/>
              </w:rPr>
              <w:t>في الآحاد</w:t>
            </w:r>
            <w:r>
              <w:rPr>
                <w:rStyle w:val="IndexLink"/>
                <w:rtl w:val="true"/>
              </w:rPr>
              <w:tab/>
            </w:r>
            <w:r>
              <w:rPr>
                <w:rStyle w:val="IndexLink"/>
              </w:rPr>
              <w:t>390</w:t>
            </w:r>
          </w:hyperlink>
        </w:p>
        <w:p>
          <w:pPr>
            <w:pStyle w:val="Contents6"/>
            <w:tabs>
              <w:tab w:val="clear" w:pos="7609"/>
              <w:tab w:val="right" w:pos="9026" w:leader="dot"/>
            </w:tabs>
            <w:rPr/>
          </w:pPr>
          <w:hyperlink w:anchor="__RefHeading___Toc3770271_2870459653">
            <w:r>
              <w:rPr>
                <w:webHidden/>
                <w:rStyle w:val="IndexLink"/>
              </w:rPr>
              <w:t>30</w:t>
            </w:r>
            <w:r>
              <w:rPr>
                <w:rStyle w:val="IndexLink"/>
                <w:rtl w:val="true"/>
              </w:rPr>
              <w:t xml:space="preserve">- </w:t>
            </w:r>
            <w:r>
              <w:rPr>
                <w:rStyle w:val="IndexLink"/>
                <w:rtl w:val="true"/>
              </w:rPr>
              <w:t>حجّاج بن رفاعة</w:t>
            </w:r>
            <w:r>
              <w:rPr>
                <w:rStyle w:val="IndexLink"/>
                <w:rtl w:val="true"/>
              </w:rPr>
              <w:tab/>
            </w:r>
            <w:r>
              <w:rPr>
                <w:rStyle w:val="IndexLink"/>
              </w:rPr>
              <w:t>390</w:t>
            </w:r>
          </w:hyperlink>
        </w:p>
        <w:p>
          <w:pPr>
            <w:pStyle w:val="Contents5"/>
            <w:tabs>
              <w:tab w:val="clear" w:pos="7892"/>
              <w:tab w:val="right" w:pos="9026" w:leader="dot"/>
            </w:tabs>
            <w:rPr/>
          </w:pPr>
          <w:hyperlink w:anchor="__RefHeading___Toc3770273_2870459653">
            <w:r>
              <w:rPr>
                <w:webHidden/>
                <w:rStyle w:val="IndexLink"/>
                <w:rtl w:val="true"/>
              </w:rPr>
              <w:t>الفصل الثامن</w:t>
            </w:r>
            <w:r>
              <w:rPr>
                <w:rStyle w:val="IndexLink"/>
                <w:rtl w:val="true"/>
              </w:rPr>
              <w:t xml:space="preserve">: </w:t>
            </w:r>
            <w:r>
              <w:rPr>
                <w:rStyle w:val="IndexLink"/>
                <w:rtl w:val="true"/>
              </w:rPr>
              <w:t>في الدالّ</w:t>
            </w:r>
            <w:r>
              <w:rPr>
                <w:rStyle w:val="IndexLink"/>
                <w:rtl w:val="true"/>
              </w:rPr>
              <w:tab/>
            </w:r>
            <w:r>
              <w:rPr>
                <w:rStyle w:val="IndexLink"/>
              </w:rPr>
              <w:t>391</w:t>
            </w:r>
          </w:hyperlink>
        </w:p>
        <w:p>
          <w:pPr>
            <w:pStyle w:val="Contents6"/>
            <w:tabs>
              <w:tab w:val="clear" w:pos="7609"/>
              <w:tab w:val="right" w:pos="9026" w:leader="dot"/>
            </w:tabs>
            <w:rPr/>
          </w:pPr>
          <w:hyperlink w:anchor="__RefHeading___Toc3770275_2870459653">
            <w:r>
              <w:rPr>
                <w:webHidden/>
                <w:rStyle w:val="IndexLink"/>
                <w:rtl w:val="true"/>
              </w:rPr>
              <w:t>الباب الأوّل</w:t>
            </w:r>
            <w:r>
              <w:rPr>
                <w:rStyle w:val="IndexLink"/>
                <w:rtl w:val="true"/>
              </w:rPr>
              <w:t xml:space="preserve">: </w:t>
            </w:r>
            <w:r>
              <w:rPr>
                <w:rStyle w:val="IndexLink"/>
                <w:rtl w:val="true"/>
              </w:rPr>
              <w:t>في داود</w:t>
            </w:r>
            <w:r>
              <w:rPr>
                <w:rStyle w:val="IndexLink"/>
                <w:rtl w:val="true"/>
              </w:rPr>
              <w:tab/>
            </w:r>
            <w:r>
              <w:rPr>
                <w:rStyle w:val="IndexLink"/>
              </w:rPr>
              <w:t>391</w:t>
            </w:r>
          </w:hyperlink>
        </w:p>
        <w:p>
          <w:pPr>
            <w:pStyle w:val="Contents6"/>
            <w:tabs>
              <w:tab w:val="clear" w:pos="7609"/>
              <w:tab w:val="right" w:pos="9026" w:leader="dot"/>
            </w:tabs>
            <w:rPr/>
          </w:pPr>
          <w:hyperlink w:anchor="__RefHeading___Toc3770277_2870459653">
            <w:r>
              <w:rPr>
                <w:webHidden/>
                <w:rStyle w:val="IndexLink"/>
              </w:rPr>
              <w:t>31</w:t>
            </w:r>
            <w:r>
              <w:rPr>
                <w:rStyle w:val="IndexLink"/>
                <w:rtl w:val="true"/>
              </w:rPr>
              <w:t xml:space="preserve"> - </w:t>
            </w:r>
            <w:r>
              <w:rPr>
                <w:rStyle w:val="IndexLink"/>
                <w:rtl w:val="true"/>
              </w:rPr>
              <w:t>داود بن زربي</w:t>
            </w:r>
            <w:r>
              <w:rPr>
                <w:rStyle w:val="IndexLink"/>
                <w:rtl w:val="true"/>
              </w:rPr>
              <w:tab/>
            </w:r>
            <w:r>
              <w:rPr>
                <w:rStyle w:val="IndexLink"/>
              </w:rPr>
              <w:t>391</w:t>
            </w:r>
          </w:hyperlink>
        </w:p>
        <w:p>
          <w:pPr>
            <w:pStyle w:val="Contents5"/>
            <w:tabs>
              <w:tab w:val="clear" w:pos="7892"/>
              <w:tab w:val="right" w:pos="9026" w:leader="dot"/>
            </w:tabs>
            <w:rPr/>
          </w:pPr>
          <w:hyperlink w:anchor="__RefHeading___Toc3770279_2870459653">
            <w:r>
              <w:rPr>
                <w:webHidden/>
                <w:rStyle w:val="IndexLink"/>
                <w:rtl w:val="true"/>
              </w:rPr>
              <w:t>الفصل العاشر</w:t>
            </w:r>
            <w:r>
              <w:rPr>
                <w:rStyle w:val="IndexLink"/>
                <w:rtl w:val="true"/>
              </w:rPr>
              <w:t xml:space="preserve">: </w:t>
            </w:r>
            <w:r>
              <w:rPr>
                <w:rStyle w:val="IndexLink"/>
                <w:rtl w:val="true"/>
              </w:rPr>
              <w:t>في الراء الآحاد</w:t>
            </w:r>
            <w:r>
              <w:rPr>
                <w:rStyle w:val="IndexLink"/>
                <w:rtl w:val="true"/>
              </w:rPr>
              <w:tab/>
            </w:r>
            <w:r>
              <w:rPr>
                <w:rStyle w:val="IndexLink"/>
              </w:rPr>
              <w:t>392</w:t>
            </w:r>
          </w:hyperlink>
        </w:p>
        <w:p>
          <w:pPr>
            <w:pStyle w:val="Contents6"/>
            <w:tabs>
              <w:tab w:val="clear" w:pos="7609"/>
              <w:tab w:val="right" w:pos="9026" w:leader="dot"/>
            </w:tabs>
            <w:rPr/>
          </w:pPr>
          <w:hyperlink w:anchor="__RefHeading___Toc3770281_2870459653">
            <w:r>
              <w:rPr>
                <w:webHidden/>
                <w:rStyle w:val="IndexLink"/>
              </w:rPr>
              <w:t>32</w:t>
            </w:r>
            <w:r>
              <w:rPr>
                <w:rStyle w:val="IndexLink"/>
                <w:rtl w:val="true"/>
              </w:rPr>
              <w:t xml:space="preserve"> - </w:t>
            </w:r>
            <w:r>
              <w:rPr>
                <w:rStyle w:val="IndexLink"/>
                <w:rtl w:val="true"/>
              </w:rPr>
              <w:t>رزيق بن مرزوق</w:t>
            </w:r>
            <w:r>
              <w:rPr>
                <w:rStyle w:val="IndexLink"/>
                <w:rtl w:val="true"/>
              </w:rPr>
              <w:tab/>
            </w:r>
            <w:r>
              <w:rPr>
                <w:rStyle w:val="IndexLink"/>
              </w:rPr>
              <w:t>392</w:t>
            </w:r>
          </w:hyperlink>
        </w:p>
        <w:p>
          <w:pPr>
            <w:pStyle w:val="Contents5"/>
            <w:tabs>
              <w:tab w:val="clear" w:pos="7892"/>
              <w:tab w:val="right" w:pos="9026" w:leader="dot"/>
            </w:tabs>
            <w:rPr/>
          </w:pPr>
          <w:hyperlink w:anchor="__RefHeading___Toc3770283_2870459653">
            <w:r>
              <w:rPr>
                <w:webHidden/>
                <w:rStyle w:val="IndexLink"/>
                <w:rtl w:val="true"/>
              </w:rPr>
              <w:t>الفصل الحادي عشر</w:t>
            </w:r>
            <w:r>
              <w:rPr>
                <w:rStyle w:val="IndexLink"/>
                <w:rtl w:val="true"/>
              </w:rPr>
              <w:t xml:space="preserve">: </w:t>
            </w:r>
            <w:r>
              <w:rPr>
                <w:rStyle w:val="IndexLink"/>
                <w:rtl w:val="true"/>
              </w:rPr>
              <w:t>في الزاي</w:t>
            </w:r>
            <w:r>
              <w:rPr>
                <w:rStyle w:val="IndexLink"/>
                <w:rtl w:val="true"/>
              </w:rPr>
              <w:tab/>
            </w:r>
            <w:r>
              <w:rPr>
                <w:rStyle w:val="IndexLink"/>
              </w:rPr>
              <w:t>393</w:t>
            </w:r>
          </w:hyperlink>
        </w:p>
        <w:p>
          <w:pPr>
            <w:pStyle w:val="Contents6"/>
            <w:tabs>
              <w:tab w:val="clear" w:pos="7609"/>
              <w:tab w:val="right" w:pos="9026" w:leader="dot"/>
            </w:tabs>
            <w:rPr/>
          </w:pPr>
          <w:hyperlink w:anchor="__RefHeading___Toc3770285_2870459653">
            <w:r>
              <w:rPr>
                <w:webHidden/>
                <w:rStyle w:val="IndexLink"/>
                <w:rtl w:val="true"/>
              </w:rPr>
              <w:t>الباب الثالث</w:t>
            </w:r>
            <w:r>
              <w:rPr>
                <w:rStyle w:val="IndexLink"/>
                <w:rtl w:val="true"/>
              </w:rPr>
              <w:t xml:space="preserve">: </w:t>
            </w:r>
            <w:r>
              <w:rPr>
                <w:rStyle w:val="IndexLink"/>
                <w:rtl w:val="true"/>
              </w:rPr>
              <w:t>في زكريا</w:t>
            </w:r>
            <w:r>
              <w:rPr>
                <w:rStyle w:val="IndexLink"/>
                <w:rtl w:val="true"/>
              </w:rPr>
              <w:tab/>
            </w:r>
            <w:r>
              <w:rPr>
                <w:rStyle w:val="IndexLink"/>
              </w:rPr>
              <w:t>393</w:t>
            </w:r>
          </w:hyperlink>
        </w:p>
        <w:p>
          <w:pPr>
            <w:pStyle w:val="Contents6"/>
            <w:tabs>
              <w:tab w:val="clear" w:pos="7609"/>
              <w:tab w:val="right" w:pos="9026" w:leader="dot"/>
            </w:tabs>
            <w:rPr/>
          </w:pPr>
          <w:hyperlink w:anchor="__RefHeading___Toc3770287_2870459653">
            <w:r>
              <w:rPr>
                <w:webHidden/>
                <w:rStyle w:val="IndexLink"/>
              </w:rPr>
              <w:t>33</w:t>
            </w:r>
            <w:r>
              <w:rPr>
                <w:rStyle w:val="IndexLink"/>
                <w:rtl w:val="true"/>
              </w:rPr>
              <w:t xml:space="preserve">- </w:t>
            </w:r>
            <w:r>
              <w:rPr>
                <w:rStyle w:val="IndexLink"/>
                <w:rtl w:val="true"/>
              </w:rPr>
              <w:t>زكريا بن سابور</w:t>
            </w:r>
            <w:r>
              <w:rPr>
                <w:rStyle w:val="IndexLink"/>
                <w:rtl w:val="true"/>
              </w:rPr>
              <w:tab/>
            </w:r>
            <w:r>
              <w:rPr>
                <w:rStyle w:val="IndexLink"/>
              </w:rPr>
              <w:t>393</w:t>
            </w:r>
          </w:hyperlink>
        </w:p>
        <w:p>
          <w:pPr>
            <w:pStyle w:val="Contents6"/>
            <w:tabs>
              <w:tab w:val="clear" w:pos="7609"/>
              <w:tab w:val="right" w:pos="9026" w:leader="dot"/>
            </w:tabs>
            <w:rPr/>
          </w:pPr>
          <w:hyperlink w:anchor="__RefHeading___Toc3770289_2870459653">
            <w:r>
              <w:rPr>
                <w:webHidden/>
                <w:rStyle w:val="IndexLink"/>
                <w:rtl w:val="true"/>
              </w:rPr>
              <w:t>الباب الرابع</w:t>
            </w:r>
            <w:r>
              <w:rPr>
                <w:rStyle w:val="IndexLink"/>
                <w:rtl w:val="true"/>
              </w:rPr>
              <w:t xml:space="preserve">: </w:t>
            </w:r>
            <w:r>
              <w:rPr>
                <w:rStyle w:val="IndexLink"/>
                <w:rtl w:val="true"/>
              </w:rPr>
              <w:t>في الآحاد</w:t>
            </w:r>
            <w:r>
              <w:rPr>
                <w:rStyle w:val="IndexLink"/>
                <w:rtl w:val="true"/>
              </w:rPr>
              <w:tab/>
            </w:r>
            <w:r>
              <w:rPr>
                <w:rStyle w:val="IndexLink"/>
              </w:rPr>
              <w:t>394</w:t>
            </w:r>
          </w:hyperlink>
        </w:p>
        <w:p>
          <w:pPr>
            <w:pStyle w:val="Contents6"/>
            <w:tabs>
              <w:tab w:val="clear" w:pos="7609"/>
              <w:tab w:val="right" w:pos="9026" w:leader="dot"/>
            </w:tabs>
            <w:rPr/>
          </w:pPr>
          <w:hyperlink w:anchor="__RefHeading___Toc3770291_2870459653">
            <w:r>
              <w:rPr>
                <w:webHidden/>
                <w:rStyle w:val="IndexLink"/>
              </w:rPr>
              <w:t>34</w:t>
            </w:r>
            <w:r>
              <w:rPr>
                <w:rStyle w:val="IndexLink"/>
                <w:rtl w:val="true"/>
              </w:rPr>
              <w:t xml:space="preserve">- </w:t>
            </w:r>
            <w:r>
              <w:rPr>
                <w:rStyle w:val="IndexLink"/>
                <w:rtl w:val="true"/>
              </w:rPr>
              <w:t>زرارة بن أعين</w:t>
            </w:r>
            <w:r>
              <w:rPr>
                <w:rStyle w:val="IndexLink"/>
                <w:rtl w:val="true"/>
              </w:rPr>
              <w:tab/>
            </w:r>
            <w:r>
              <w:rPr>
                <w:rStyle w:val="IndexLink"/>
              </w:rPr>
              <w:t>394</w:t>
            </w:r>
          </w:hyperlink>
        </w:p>
        <w:p>
          <w:pPr>
            <w:pStyle w:val="Contents6"/>
            <w:tabs>
              <w:tab w:val="clear" w:pos="7609"/>
              <w:tab w:val="right" w:pos="9026" w:leader="dot"/>
            </w:tabs>
            <w:rPr/>
          </w:pPr>
          <w:hyperlink w:anchor="__RefHeading___Toc3770293_2870459653">
            <w:r>
              <w:rPr>
                <w:webHidden/>
                <w:rStyle w:val="IndexLink"/>
              </w:rPr>
              <w:t>35</w:t>
            </w:r>
            <w:r>
              <w:rPr>
                <w:rStyle w:val="IndexLink"/>
                <w:rtl w:val="true"/>
              </w:rPr>
              <w:t xml:space="preserve"> - </w:t>
            </w:r>
            <w:r>
              <w:rPr>
                <w:rStyle w:val="IndexLink"/>
                <w:rtl w:val="true"/>
              </w:rPr>
              <w:t>زكّار</w:t>
            </w:r>
            <w:r>
              <w:rPr>
                <w:rStyle w:val="IndexLink"/>
                <w:rtl w:val="true"/>
              </w:rPr>
              <w:tab/>
            </w:r>
            <w:r>
              <w:rPr>
                <w:rStyle w:val="IndexLink"/>
              </w:rPr>
              <w:t>395</w:t>
            </w:r>
          </w:hyperlink>
        </w:p>
        <w:p>
          <w:pPr>
            <w:pStyle w:val="Contents5"/>
            <w:tabs>
              <w:tab w:val="clear" w:pos="7892"/>
              <w:tab w:val="right" w:pos="9026" w:leader="dot"/>
            </w:tabs>
            <w:rPr/>
          </w:pPr>
          <w:hyperlink w:anchor="__RefHeading___Toc3770295_2870459653">
            <w:r>
              <w:rPr>
                <w:webHidden/>
                <w:rStyle w:val="IndexLink"/>
                <w:rtl w:val="true"/>
              </w:rPr>
              <w:t>الفصل الثاني عشر</w:t>
            </w:r>
            <w:r>
              <w:rPr>
                <w:rStyle w:val="IndexLink"/>
                <w:rtl w:val="true"/>
              </w:rPr>
              <w:t xml:space="preserve">: </w:t>
            </w:r>
            <w:r>
              <w:rPr>
                <w:rStyle w:val="IndexLink"/>
                <w:rtl w:val="true"/>
              </w:rPr>
              <w:t>في السين</w:t>
            </w:r>
            <w:r>
              <w:rPr>
                <w:rStyle w:val="IndexLink"/>
                <w:rtl w:val="true"/>
              </w:rPr>
              <w:tab/>
            </w:r>
            <w:r>
              <w:rPr>
                <w:rStyle w:val="IndexLink"/>
              </w:rPr>
              <w:t>396</w:t>
            </w:r>
          </w:hyperlink>
        </w:p>
        <w:p>
          <w:pPr>
            <w:pStyle w:val="Contents6"/>
            <w:tabs>
              <w:tab w:val="clear" w:pos="7609"/>
              <w:tab w:val="right" w:pos="9026" w:leader="dot"/>
            </w:tabs>
            <w:rPr/>
          </w:pPr>
          <w:hyperlink w:anchor="__RefHeading___Toc3770297_2870459653">
            <w:r>
              <w:rPr>
                <w:webHidden/>
                <w:rStyle w:val="IndexLink"/>
                <w:rtl w:val="true"/>
              </w:rPr>
              <w:t>الباب الأوّل</w:t>
            </w:r>
            <w:r>
              <w:rPr>
                <w:rStyle w:val="IndexLink"/>
                <w:rtl w:val="true"/>
              </w:rPr>
              <w:t xml:space="preserve">: </w:t>
            </w:r>
            <w:r>
              <w:rPr>
                <w:rStyle w:val="IndexLink"/>
                <w:rtl w:val="true"/>
              </w:rPr>
              <w:t>في سليمان</w:t>
            </w:r>
            <w:r>
              <w:rPr>
                <w:rStyle w:val="IndexLink"/>
                <w:rtl w:val="true"/>
              </w:rPr>
              <w:tab/>
            </w:r>
            <w:r>
              <w:rPr>
                <w:rStyle w:val="IndexLink"/>
              </w:rPr>
              <w:t>396</w:t>
            </w:r>
          </w:hyperlink>
        </w:p>
        <w:p>
          <w:pPr>
            <w:pStyle w:val="Contents6"/>
            <w:tabs>
              <w:tab w:val="clear" w:pos="7609"/>
              <w:tab w:val="right" w:pos="9026" w:leader="dot"/>
            </w:tabs>
            <w:rPr/>
          </w:pPr>
          <w:hyperlink w:anchor="__RefHeading___Toc3770299_2870459653">
            <w:r>
              <w:rPr>
                <w:webHidden/>
                <w:rStyle w:val="IndexLink"/>
              </w:rPr>
              <w:t>36</w:t>
            </w:r>
            <w:r>
              <w:rPr>
                <w:rStyle w:val="IndexLink"/>
                <w:rtl w:val="true"/>
              </w:rPr>
              <w:t xml:space="preserve"> - </w:t>
            </w:r>
            <w:r>
              <w:rPr>
                <w:rStyle w:val="IndexLink"/>
                <w:rtl w:val="true"/>
              </w:rPr>
              <w:t>سليمان بن سفيان</w:t>
            </w:r>
            <w:r>
              <w:rPr>
                <w:rStyle w:val="IndexLink"/>
                <w:rtl w:val="true"/>
              </w:rPr>
              <w:tab/>
            </w:r>
            <w:r>
              <w:rPr>
                <w:rStyle w:val="IndexLink"/>
              </w:rPr>
              <w:t>396</w:t>
            </w:r>
          </w:hyperlink>
        </w:p>
        <w:p>
          <w:pPr>
            <w:pStyle w:val="Contents6"/>
            <w:tabs>
              <w:tab w:val="clear" w:pos="7609"/>
              <w:tab w:val="right" w:pos="9026" w:leader="dot"/>
            </w:tabs>
            <w:rPr/>
          </w:pPr>
          <w:hyperlink w:anchor="__RefHeading___Toc3770301_2870459653">
            <w:r>
              <w:rPr>
                <w:webHidden/>
                <w:rStyle w:val="IndexLink"/>
                <w:rtl w:val="true"/>
              </w:rPr>
              <w:t>الباب الرابع</w:t>
            </w:r>
            <w:r>
              <w:rPr>
                <w:rStyle w:val="IndexLink"/>
                <w:rtl w:val="true"/>
              </w:rPr>
              <w:t xml:space="preserve">: </w:t>
            </w:r>
            <w:r>
              <w:rPr>
                <w:rStyle w:val="IndexLink"/>
                <w:rtl w:val="true"/>
              </w:rPr>
              <w:t>في سهل</w:t>
            </w:r>
            <w:r>
              <w:rPr>
                <w:rStyle w:val="IndexLink"/>
                <w:rtl w:val="true"/>
              </w:rPr>
              <w:tab/>
            </w:r>
            <w:r>
              <w:rPr>
                <w:rStyle w:val="IndexLink"/>
              </w:rPr>
              <w:t>398</w:t>
            </w:r>
          </w:hyperlink>
        </w:p>
        <w:p>
          <w:pPr>
            <w:pStyle w:val="Contents6"/>
            <w:tabs>
              <w:tab w:val="clear" w:pos="7609"/>
              <w:tab w:val="right" w:pos="9026" w:leader="dot"/>
            </w:tabs>
            <w:rPr/>
          </w:pPr>
          <w:hyperlink w:anchor="__RefHeading___Toc3770303_2870459653">
            <w:r>
              <w:rPr>
                <w:webHidden/>
                <w:rStyle w:val="IndexLink"/>
              </w:rPr>
              <w:t>37</w:t>
            </w:r>
            <w:r>
              <w:rPr>
                <w:rStyle w:val="IndexLink"/>
                <w:rtl w:val="true"/>
              </w:rPr>
              <w:t xml:space="preserve"> - </w:t>
            </w:r>
            <w:r>
              <w:rPr>
                <w:rStyle w:val="IndexLink"/>
                <w:rtl w:val="true"/>
              </w:rPr>
              <w:t>سهل بن اليسع</w:t>
            </w:r>
            <w:r>
              <w:rPr>
                <w:rStyle w:val="IndexLink"/>
                <w:rtl w:val="true"/>
              </w:rPr>
              <w:tab/>
            </w:r>
            <w:r>
              <w:rPr>
                <w:rStyle w:val="IndexLink"/>
              </w:rPr>
              <w:t>398</w:t>
            </w:r>
          </w:hyperlink>
        </w:p>
        <w:p>
          <w:pPr>
            <w:pStyle w:val="Contents6"/>
            <w:tabs>
              <w:tab w:val="clear" w:pos="7609"/>
              <w:tab w:val="right" w:pos="9026" w:leader="dot"/>
            </w:tabs>
            <w:rPr/>
          </w:pPr>
          <w:hyperlink w:anchor="__RefHeading___Toc3770305_2870459653">
            <w:r>
              <w:rPr>
                <w:webHidden/>
                <w:rStyle w:val="IndexLink"/>
                <w:rtl w:val="true"/>
              </w:rPr>
              <w:t>الباب العاشر</w:t>
            </w:r>
            <w:r>
              <w:rPr>
                <w:rStyle w:val="IndexLink"/>
                <w:rtl w:val="true"/>
              </w:rPr>
              <w:t xml:space="preserve">: </w:t>
            </w:r>
            <w:r>
              <w:rPr>
                <w:rStyle w:val="IndexLink"/>
                <w:rtl w:val="true"/>
              </w:rPr>
              <w:t>في الآحاد</w:t>
            </w:r>
            <w:r>
              <w:rPr>
                <w:rStyle w:val="IndexLink"/>
                <w:rtl w:val="true"/>
              </w:rPr>
              <w:tab/>
            </w:r>
            <w:r>
              <w:rPr>
                <w:rStyle w:val="IndexLink"/>
              </w:rPr>
              <w:t>398</w:t>
            </w:r>
          </w:hyperlink>
        </w:p>
        <w:p>
          <w:pPr>
            <w:pStyle w:val="Contents6"/>
            <w:tabs>
              <w:tab w:val="clear" w:pos="7609"/>
              <w:tab w:val="right" w:pos="9026" w:leader="dot"/>
            </w:tabs>
            <w:rPr/>
          </w:pPr>
          <w:hyperlink w:anchor="__RefHeading___Toc3770307_2870459653">
            <w:r>
              <w:rPr>
                <w:webHidden/>
                <w:rStyle w:val="IndexLink"/>
              </w:rPr>
              <w:t>38</w:t>
            </w:r>
            <w:r>
              <w:rPr>
                <w:rStyle w:val="IndexLink"/>
                <w:rtl w:val="true"/>
              </w:rPr>
              <w:t xml:space="preserve">- </w:t>
            </w:r>
            <w:r>
              <w:rPr>
                <w:rStyle w:val="IndexLink"/>
                <w:rtl w:val="true"/>
              </w:rPr>
              <w:t>سدير</w:t>
            </w:r>
            <w:r>
              <w:rPr>
                <w:rStyle w:val="IndexLink"/>
                <w:rtl w:val="true"/>
              </w:rPr>
              <w:tab/>
            </w:r>
            <w:r>
              <w:rPr>
                <w:rStyle w:val="IndexLink"/>
              </w:rPr>
              <w:t>398</w:t>
            </w:r>
          </w:hyperlink>
        </w:p>
        <w:p>
          <w:pPr>
            <w:pStyle w:val="Contents6"/>
            <w:tabs>
              <w:tab w:val="clear" w:pos="7609"/>
              <w:tab w:val="right" w:pos="9026" w:leader="dot"/>
            </w:tabs>
            <w:rPr/>
          </w:pPr>
          <w:hyperlink w:anchor="__RefHeading___Toc3770309_2870459653">
            <w:r>
              <w:rPr>
                <w:webHidden/>
                <w:rStyle w:val="IndexLink"/>
              </w:rPr>
              <w:t>39</w:t>
            </w:r>
            <w:r>
              <w:rPr>
                <w:rStyle w:val="IndexLink"/>
                <w:rtl w:val="true"/>
              </w:rPr>
              <w:t xml:space="preserve"> - </w:t>
            </w:r>
            <w:r>
              <w:rPr>
                <w:rStyle w:val="IndexLink"/>
                <w:rtl w:val="true"/>
              </w:rPr>
              <w:t>سُكَيْن</w:t>
            </w:r>
            <w:r>
              <w:rPr>
                <w:rStyle w:val="IndexLink"/>
                <w:rtl w:val="true"/>
              </w:rPr>
              <w:tab/>
            </w:r>
            <w:r>
              <w:rPr>
                <w:rStyle w:val="IndexLink"/>
              </w:rPr>
              <w:t>400</w:t>
            </w:r>
          </w:hyperlink>
        </w:p>
        <w:p>
          <w:pPr>
            <w:pStyle w:val="Contents5"/>
            <w:tabs>
              <w:tab w:val="clear" w:pos="7892"/>
              <w:tab w:val="right" w:pos="9026" w:leader="dot"/>
            </w:tabs>
            <w:rPr/>
          </w:pPr>
          <w:hyperlink w:anchor="__RefHeading___Toc3770311_2870459653">
            <w:r>
              <w:rPr>
                <w:webHidden/>
                <w:rStyle w:val="IndexLink"/>
                <w:rtl w:val="true"/>
              </w:rPr>
              <w:t>الفصل الثالث عشر</w:t>
            </w:r>
            <w:r>
              <w:rPr>
                <w:rStyle w:val="IndexLink"/>
                <w:rtl w:val="true"/>
              </w:rPr>
              <w:t xml:space="preserve">: </w:t>
            </w:r>
            <w:r>
              <w:rPr>
                <w:rStyle w:val="IndexLink"/>
                <w:rtl w:val="true"/>
              </w:rPr>
              <w:t>في الشين الآحاد</w:t>
            </w:r>
            <w:r>
              <w:rPr>
                <w:rStyle w:val="IndexLink"/>
                <w:rtl w:val="true"/>
              </w:rPr>
              <w:tab/>
            </w:r>
            <w:r>
              <w:rPr>
                <w:rStyle w:val="IndexLink"/>
              </w:rPr>
              <w:t>401</w:t>
            </w:r>
          </w:hyperlink>
        </w:p>
        <w:p>
          <w:pPr>
            <w:pStyle w:val="Contents6"/>
            <w:tabs>
              <w:tab w:val="clear" w:pos="7609"/>
              <w:tab w:val="right" w:pos="9026" w:leader="dot"/>
            </w:tabs>
            <w:rPr/>
          </w:pPr>
          <w:hyperlink w:anchor="__RefHeading___Toc3770313_2870459653">
            <w:r>
              <w:rPr>
                <w:webHidden/>
                <w:rStyle w:val="IndexLink"/>
              </w:rPr>
              <w:t>40</w:t>
            </w:r>
            <w:r>
              <w:rPr>
                <w:rStyle w:val="IndexLink"/>
                <w:rtl w:val="true"/>
              </w:rPr>
              <w:t xml:space="preserve">- </w:t>
            </w:r>
            <w:r>
              <w:rPr>
                <w:rStyle w:val="IndexLink"/>
                <w:rtl w:val="true"/>
              </w:rPr>
              <w:t>شهاب بن عبد ربّه</w:t>
            </w:r>
            <w:r>
              <w:rPr>
                <w:rStyle w:val="IndexLink"/>
                <w:rtl w:val="true"/>
              </w:rPr>
              <w:tab/>
            </w:r>
            <w:r>
              <w:rPr>
                <w:rStyle w:val="IndexLink"/>
              </w:rPr>
              <w:t>401</w:t>
            </w:r>
          </w:hyperlink>
        </w:p>
        <w:p>
          <w:pPr>
            <w:pStyle w:val="Contents5"/>
            <w:tabs>
              <w:tab w:val="clear" w:pos="7892"/>
              <w:tab w:val="right" w:pos="9026" w:leader="dot"/>
            </w:tabs>
            <w:rPr/>
          </w:pPr>
          <w:hyperlink w:anchor="__RefHeading___Toc3770315_2870459653">
            <w:r>
              <w:rPr>
                <w:webHidden/>
                <w:rStyle w:val="IndexLink"/>
                <w:rtl w:val="true"/>
              </w:rPr>
              <w:t>الفصل الثامن عشر</w:t>
            </w:r>
            <w:r>
              <w:rPr>
                <w:rStyle w:val="IndexLink"/>
                <w:rtl w:val="true"/>
              </w:rPr>
              <w:t xml:space="preserve">: </w:t>
            </w:r>
            <w:r>
              <w:rPr>
                <w:rStyle w:val="IndexLink"/>
                <w:rtl w:val="true"/>
              </w:rPr>
              <w:t>في العين</w:t>
            </w:r>
            <w:r>
              <w:rPr>
                <w:rStyle w:val="IndexLink"/>
                <w:rtl w:val="true"/>
              </w:rPr>
              <w:tab/>
            </w:r>
            <w:r>
              <w:rPr>
                <w:rStyle w:val="IndexLink"/>
              </w:rPr>
              <w:t>402</w:t>
            </w:r>
          </w:hyperlink>
        </w:p>
        <w:p>
          <w:pPr>
            <w:pStyle w:val="Contents6"/>
            <w:tabs>
              <w:tab w:val="clear" w:pos="7609"/>
              <w:tab w:val="right" w:pos="9026" w:leader="dot"/>
            </w:tabs>
            <w:rPr/>
          </w:pPr>
          <w:hyperlink w:anchor="__RefHeading___Toc3770317_2870459653">
            <w:r>
              <w:rPr>
                <w:webHidden/>
                <w:rStyle w:val="IndexLink"/>
                <w:rtl w:val="true"/>
              </w:rPr>
              <w:t>الباب الأوّل</w:t>
            </w:r>
            <w:r>
              <w:rPr>
                <w:rStyle w:val="IndexLink"/>
                <w:rtl w:val="true"/>
              </w:rPr>
              <w:t xml:space="preserve">: </w:t>
            </w:r>
            <w:r>
              <w:rPr>
                <w:rStyle w:val="IndexLink"/>
                <w:rtl w:val="true"/>
              </w:rPr>
              <w:t>في عليّ</w:t>
            </w:r>
            <w:r>
              <w:rPr>
                <w:rStyle w:val="IndexLink"/>
                <w:rtl w:val="true"/>
              </w:rPr>
              <w:tab/>
            </w:r>
            <w:r>
              <w:rPr>
                <w:rStyle w:val="IndexLink"/>
              </w:rPr>
              <w:t>402</w:t>
            </w:r>
          </w:hyperlink>
        </w:p>
        <w:p>
          <w:pPr>
            <w:pStyle w:val="Contents6"/>
            <w:tabs>
              <w:tab w:val="clear" w:pos="7609"/>
              <w:tab w:val="right" w:pos="9026" w:leader="dot"/>
            </w:tabs>
            <w:rPr/>
          </w:pPr>
          <w:hyperlink w:anchor="__RefHeading___Toc3770319_2870459653">
            <w:r>
              <w:rPr>
                <w:webHidden/>
                <w:rStyle w:val="IndexLink"/>
              </w:rPr>
              <w:t>41</w:t>
            </w:r>
            <w:r>
              <w:rPr>
                <w:rStyle w:val="IndexLink"/>
                <w:rtl w:val="true"/>
              </w:rPr>
              <w:t xml:space="preserve">- </w:t>
            </w:r>
            <w:r>
              <w:rPr>
                <w:rStyle w:val="IndexLink"/>
                <w:rtl w:val="true"/>
              </w:rPr>
              <w:t>عليّ بن السريّ الكرخيّ</w:t>
            </w:r>
            <w:r>
              <w:rPr>
                <w:rStyle w:val="IndexLink"/>
                <w:rtl w:val="true"/>
              </w:rPr>
              <w:tab/>
            </w:r>
            <w:r>
              <w:rPr>
                <w:rStyle w:val="IndexLink"/>
              </w:rPr>
              <w:t>402</w:t>
            </w:r>
          </w:hyperlink>
        </w:p>
        <w:p>
          <w:pPr>
            <w:pStyle w:val="Contents6"/>
            <w:tabs>
              <w:tab w:val="clear" w:pos="7609"/>
              <w:tab w:val="right" w:pos="9026" w:leader="dot"/>
            </w:tabs>
            <w:rPr/>
          </w:pPr>
          <w:hyperlink w:anchor="__RefHeading___Toc3770321_2870459653">
            <w:r>
              <w:rPr>
                <w:webHidden/>
                <w:rStyle w:val="IndexLink"/>
              </w:rPr>
              <w:t>42</w:t>
            </w:r>
            <w:r>
              <w:rPr>
                <w:rStyle w:val="IndexLink"/>
                <w:rtl w:val="true"/>
              </w:rPr>
              <w:t xml:space="preserve"> - </w:t>
            </w:r>
            <w:r>
              <w:rPr>
                <w:rStyle w:val="IndexLink"/>
                <w:rtl w:val="true"/>
              </w:rPr>
              <w:t>عليّ بن الحكم</w:t>
            </w:r>
            <w:r>
              <w:rPr>
                <w:rStyle w:val="IndexLink"/>
                <w:rtl w:val="true"/>
              </w:rPr>
              <w:tab/>
            </w:r>
            <w:r>
              <w:rPr>
                <w:rStyle w:val="IndexLink"/>
              </w:rPr>
              <w:t>403</w:t>
            </w:r>
          </w:hyperlink>
        </w:p>
        <w:p>
          <w:pPr>
            <w:pStyle w:val="Contents6"/>
            <w:tabs>
              <w:tab w:val="clear" w:pos="7609"/>
              <w:tab w:val="right" w:pos="9026" w:leader="dot"/>
            </w:tabs>
            <w:rPr/>
          </w:pPr>
          <w:hyperlink w:anchor="__RefHeading___Toc3770323_2870459653">
            <w:r>
              <w:rPr>
                <w:webHidden/>
                <w:rStyle w:val="IndexLink"/>
              </w:rPr>
              <w:t>43</w:t>
            </w:r>
            <w:r>
              <w:rPr>
                <w:rStyle w:val="IndexLink"/>
                <w:rtl w:val="true"/>
              </w:rPr>
              <w:t xml:space="preserve"> - </w:t>
            </w:r>
            <w:r>
              <w:rPr>
                <w:rStyle w:val="IndexLink"/>
                <w:rtl w:val="true"/>
              </w:rPr>
              <w:t>عليّ بن الحسين بن عبد الله</w:t>
            </w:r>
            <w:r>
              <w:rPr>
                <w:rStyle w:val="IndexLink"/>
                <w:rtl w:val="true"/>
              </w:rPr>
              <w:tab/>
            </w:r>
            <w:r>
              <w:rPr>
                <w:rStyle w:val="IndexLink"/>
              </w:rPr>
              <w:t>403</w:t>
            </w:r>
          </w:hyperlink>
        </w:p>
        <w:p>
          <w:pPr>
            <w:pStyle w:val="Contents6"/>
            <w:tabs>
              <w:tab w:val="clear" w:pos="7609"/>
              <w:tab w:val="right" w:pos="9026" w:leader="dot"/>
            </w:tabs>
            <w:rPr/>
          </w:pPr>
          <w:hyperlink w:anchor="__RefHeading___Toc3770325_2870459653">
            <w:r>
              <w:rPr>
                <w:webHidden/>
                <w:rStyle w:val="IndexLink"/>
              </w:rPr>
              <w:t>44</w:t>
            </w:r>
            <w:r>
              <w:rPr>
                <w:rStyle w:val="IndexLink"/>
                <w:rtl w:val="true"/>
              </w:rPr>
              <w:t xml:space="preserve"> - </w:t>
            </w:r>
            <w:r>
              <w:rPr>
                <w:rStyle w:val="IndexLink"/>
                <w:rtl w:val="true"/>
              </w:rPr>
              <w:t>عليّ بن سليمان بن الحسن</w:t>
            </w:r>
            <w:r>
              <w:rPr>
                <w:rStyle w:val="IndexLink"/>
                <w:rtl w:val="true"/>
              </w:rPr>
              <w:tab/>
            </w:r>
            <w:r>
              <w:rPr>
                <w:rStyle w:val="IndexLink"/>
              </w:rPr>
              <w:t>404</w:t>
            </w:r>
          </w:hyperlink>
        </w:p>
        <w:p>
          <w:pPr>
            <w:pStyle w:val="Contents6"/>
            <w:tabs>
              <w:tab w:val="clear" w:pos="7609"/>
              <w:tab w:val="right" w:pos="9026" w:leader="dot"/>
            </w:tabs>
            <w:rPr/>
          </w:pPr>
          <w:hyperlink w:anchor="__RefHeading___Toc3770327_2870459653">
            <w:r>
              <w:rPr>
                <w:webHidden/>
                <w:rStyle w:val="IndexLink"/>
                <w:rtl w:val="true"/>
              </w:rPr>
              <w:t>الباب الثاني</w:t>
            </w:r>
            <w:r>
              <w:rPr>
                <w:rStyle w:val="IndexLink"/>
                <w:rtl w:val="true"/>
              </w:rPr>
              <w:t xml:space="preserve">: </w:t>
            </w:r>
            <w:r>
              <w:rPr>
                <w:rStyle w:val="IndexLink"/>
                <w:rtl w:val="true"/>
              </w:rPr>
              <w:t>في عبد الله</w:t>
            </w:r>
            <w:r>
              <w:rPr>
                <w:rStyle w:val="IndexLink"/>
                <w:rtl w:val="true"/>
              </w:rPr>
              <w:tab/>
            </w:r>
            <w:r>
              <w:rPr>
                <w:rStyle w:val="IndexLink"/>
              </w:rPr>
              <w:t>405</w:t>
            </w:r>
          </w:hyperlink>
        </w:p>
        <w:p>
          <w:pPr>
            <w:pStyle w:val="Contents6"/>
            <w:tabs>
              <w:tab w:val="clear" w:pos="7609"/>
              <w:tab w:val="right" w:pos="9026" w:leader="dot"/>
            </w:tabs>
            <w:rPr/>
          </w:pPr>
          <w:hyperlink w:anchor="__RefHeading___Toc3770329_2870459653">
            <w:r>
              <w:rPr>
                <w:webHidden/>
                <w:rStyle w:val="IndexLink"/>
              </w:rPr>
              <w:t>45</w:t>
            </w:r>
            <w:r>
              <w:rPr>
                <w:rStyle w:val="IndexLink"/>
                <w:rtl w:val="true"/>
              </w:rPr>
              <w:t xml:space="preserve">- </w:t>
            </w:r>
            <w:r>
              <w:rPr>
                <w:rStyle w:val="IndexLink"/>
                <w:rtl w:val="true"/>
              </w:rPr>
              <w:t>عبد الله بن طاهر</w:t>
            </w:r>
            <w:r>
              <w:rPr>
                <w:rStyle w:val="IndexLink"/>
                <w:rtl w:val="true"/>
              </w:rPr>
              <w:tab/>
            </w:r>
            <w:r>
              <w:rPr>
                <w:rStyle w:val="IndexLink"/>
              </w:rPr>
              <w:t>405</w:t>
            </w:r>
          </w:hyperlink>
        </w:p>
        <w:p>
          <w:pPr>
            <w:pStyle w:val="Contents6"/>
            <w:tabs>
              <w:tab w:val="clear" w:pos="7609"/>
              <w:tab w:val="right" w:pos="9026" w:leader="dot"/>
            </w:tabs>
            <w:rPr/>
          </w:pPr>
          <w:hyperlink w:anchor="__RefHeading___Toc3770331_2870459653">
            <w:r>
              <w:rPr>
                <w:webHidden/>
                <w:rStyle w:val="IndexLink"/>
              </w:rPr>
              <w:t>46</w:t>
            </w:r>
            <w:r>
              <w:rPr>
                <w:rStyle w:val="IndexLink"/>
                <w:rtl w:val="true"/>
              </w:rPr>
              <w:t xml:space="preserve">- </w:t>
            </w:r>
            <w:r>
              <w:rPr>
                <w:rStyle w:val="IndexLink"/>
                <w:rtl w:val="true"/>
              </w:rPr>
              <w:t>عبد الله بن مسكان</w:t>
            </w:r>
            <w:r>
              <w:rPr>
                <w:rStyle w:val="IndexLink"/>
                <w:rtl w:val="true"/>
              </w:rPr>
              <w:tab/>
            </w:r>
            <w:r>
              <w:rPr>
                <w:rStyle w:val="IndexLink"/>
              </w:rPr>
              <w:t>406</w:t>
            </w:r>
          </w:hyperlink>
        </w:p>
        <w:p>
          <w:pPr>
            <w:pStyle w:val="Contents6"/>
            <w:tabs>
              <w:tab w:val="clear" w:pos="7609"/>
              <w:tab w:val="right" w:pos="9026" w:leader="dot"/>
            </w:tabs>
            <w:rPr/>
          </w:pPr>
          <w:hyperlink w:anchor="__RefHeading___Toc3770333_2870459653">
            <w:r>
              <w:rPr>
                <w:webHidden/>
                <w:rStyle w:val="IndexLink"/>
                <w:rtl w:val="true"/>
              </w:rPr>
              <w:t>الباب الرابع</w:t>
            </w:r>
            <w:r>
              <w:rPr>
                <w:rStyle w:val="IndexLink"/>
                <w:rtl w:val="true"/>
              </w:rPr>
              <w:t xml:space="preserve">: </w:t>
            </w:r>
            <w:r>
              <w:rPr>
                <w:rStyle w:val="IndexLink"/>
                <w:rtl w:val="true"/>
              </w:rPr>
              <w:t>في عبد الرحمن</w:t>
            </w:r>
            <w:r>
              <w:rPr>
                <w:rStyle w:val="IndexLink"/>
                <w:rtl w:val="true"/>
              </w:rPr>
              <w:tab/>
            </w:r>
            <w:r>
              <w:rPr>
                <w:rStyle w:val="IndexLink"/>
              </w:rPr>
              <w:t>406</w:t>
            </w:r>
          </w:hyperlink>
        </w:p>
        <w:p>
          <w:pPr>
            <w:pStyle w:val="Contents6"/>
            <w:tabs>
              <w:tab w:val="clear" w:pos="7609"/>
              <w:tab w:val="right" w:pos="9026" w:leader="dot"/>
            </w:tabs>
            <w:rPr/>
          </w:pPr>
          <w:hyperlink w:anchor="__RefHeading___Toc3770335_2870459653">
            <w:r>
              <w:rPr>
                <w:webHidden/>
                <w:rStyle w:val="IndexLink"/>
              </w:rPr>
              <w:t>47</w:t>
            </w:r>
            <w:r>
              <w:rPr>
                <w:rStyle w:val="IndexLink"/>
                <w:rtl w:val="true"/>
              </w:rPr>
              <w:t xml:space="preserve"> - </w:t>
            </w:r>
            <w:r>
              <w:rPr>
                <w:rStyle w:val="IndexLink"/>
                <w:rtl w:val="true"/>
              </w:rPr>
              <w:t>عبد الرحمن بن عبد ربّه</w:t>
            </w:r>
            <w:r>
              <w:rPr>
                <w:rStyle w:val="IndexLink"/>
                <w:rtl w:val="true"/>
              </w:rPr>
              <w:tab/>
            </w:r>
            <w:r>
              <w:rPr>
                <w:rStyle w:val="IndexLink"/>
              </w:rPr>
              <w:t>406</w:t>
            </w:r>
          </w:hyperlink>
        </w:p>
        <w:p>
          <w:pPr>
            <w:pStyle w:val="Contents6"/>
            <w:tabs>
              <w:tab w:val="clear" w:pos="7609"/>
              <w:tab w:val="right" w:pos="9026" w:leader="dot"/>
            </w:tabs>
            <w:rPr/>
          </w:pPr>
          <w:hyperlink w:anchor="__RefHeading___Toc3770337_2870459653">
            <w:r>
              <w:rPr>
                <w:webHidden/>
                <w:rStyle w:val="IndexLink"/>
              </w:rPr>
              <w:t>48</w:t>
            </w:r>
            <w:r>
              <w:rPr>
                <w:rStyle w:val="IndexLink"/>
                <w:rtl w:val="true"/>
              </w:rPr>
              <w:t xml:space="preserve"> - </w:t>
            </w:r>
            <w:r>
              <w:rPr>
                <w:rStyle w:val="IndexLink"/>
                <w:rtl w:val="true"/>
              </w:rPr>
              <w:t>عبد الرحمن بن محمّد بن أبي هاشم</w:t>
            </w:r>
            <w:r>
              <w:rPr>
                <w:rStyle w:val="IndexLink"/>
                <w:rtl w:val="true"/>
              </w:rPr>
              <w:tab/>
            </w:r>
            <w:r>
              <w:rPr>
                <w:rStyle w:val="IndexLink"/>
              </w:rPr>
              <w:t>407</w:t>
            </w:r>
          </w:hyperlink>
        </w:p>
        <w:p>
          <w:pPr>
            <w:pStyle w:val="Contents6"/>
            <w:tabs>
              <w:tab w:val="clear" w:pos="7609"/>
              <w:tab w:val="right" w:pos="9026" w:leader="dot"/>
            </w:tabs>
            <w:rPr/>
          </w:pPr>
          <w:hyperlink w:anchor="__RefHeading___Toc3770339_2870459653">
            <w:r>
              <w:rPr>
                <w:webHidden/>
                <w:rStyle w:val="IndexLink"/>
              </w:rPr>
              <w:t>49</w:t>
            </w:r>
            <w:r>
              <w:rPr>
                <w:rStyle w:val="IndexLink"/>
                <w:rtl w:val="true"/>
              </w:rPr>
              <w:t xml:space="preserve"> - </w:t>
            </w:r>
            <w:r>
              <w:rPr>
                <w:rStyle w:val="IndexLink"/>
                <w:rtl w:val="true"/>
              </w:rPr>
              <w:t>عبد الرحمن بن جبرويه</w:t>
            </w:r>
            <w:r>
              <w:rPr>
                <w:rStyle w:val="IndexLink"/>
                <w:rtl w:val="true"/>
              </w:rPr>
              <w:tab/>
            </w:r>
            <w:r>
              <w:rPr>
                <w:rStyle w:val="IndexLink"/>
              </w:rPr>
              <w:t>408</w:t>
            </w:r>
          </w:hyperlink>
        </w:p>
        <w:p>
          <w:pPr>
            <w:pStyle w:val="Contents6"/>
            <w:tabs>
              <w:tab w:val="clear" w:pos="7609"/>
              <w:tab w:val="right" w:pos="9026" w:leader="dot"/>
            </w:tabs>
            <w:rPr/>
          </w:pPr>
          <w:hyperlink w:anchor="__RefHeading___Toc3770341_2870459653">
            <w:r>
              <w:rPr>
                <w:webHidden/>
                <w:rStyle w:val="IndexLink"/>
              </w:rPr>
              <w:t>50</w:t>
            </w:r>
            <w:r>
              <w:rPr>
                <w:rStyle w:val="IndexLink"/>
                <w:rtl w:val="true"/>
              </w:rPr>
              <w:t xml:space="preserve"> - </w:t>
            </w:r>
            <w:r>
              <w:rPr>
                <w:rStyle w:val="IndexLink"/>
                <w:rtl w:val="true"/>
              </w:rPr>
              <w:t>عبد الرحمن بن محمّد بن عبيد الله</w:t>
            </w:r>
            <w:r>
              <w:rPr>
                <w:rStyle w:val="IndexLink"/>
                <w:rtl w:val="true"/>
              </w:rPr>
              <w:tab/>
            </w:r>
            <w:r>
              <w:rPr>
                <w:rStyle w:val="IndexLink"/>
              </w:rPr>
              <w:t>408</w:t>
            </w:r>
          </w:hyperlink>
        </w:p>
        <w:p>
          <w:pPr>
            <w:pStyle w:val="Contents6"/>
            <w:tabs>
              <w:tab w:val="clear" w:pos="7609"/>
              <w:tab w:val="right" w:pos="9026" w:leader="dot"/>
            </w:tabs>
            <w:rPr/>
          </w:pPr>
          <w:hyperlink w:anchor="__RefHeading___Toc3770343_2870459653">
            <w:r>
              <w:rPr>
                <w:webHidden/>
                <w:rStyle w:val="IndexLink"/>
              </w:rPr>
              <w:t>51</w:t>
            </w:r>
            <w:r>
              <w:rPr>
                <w:rStyle w:val="IndexLink"/>
                <w:rtl w:val="true"/>
              </w:rPr>
              <w:t xml:space="preserve"> - </w:t>
            </w:r>
            <w:r>
              <w:rPr>
                <w:rStyle w:val="IndexLink"/>
                <w:rtl w:val="true"/>
              </w:rPr>
              <w:t>عبد الملك بن عمرو</w:t>
            </w:r>
            <w:r>
              <w:rPr>
                <w:rStyle w:val="IndexLink"/>
                <w:rtl w:val="true"/>
              </w:rPr>
              <w:tab/>
            </w:r>
            <w:r>
              <w:rPr>
                <w:rStyle w:val="IndexLink"/>
              </w:rPr>
              <w:t>409</w:t>
            </w:r>
          </w:hyperlink>
        </w:p>
        <w:p>
          <w:pPr>
            <w:pStyle w:val="Contents6"/>
            <w:tabs>
              <w:tab w:val="clear" w:pos="7609"/>
              <w:tab w:val="right" w:pos="9026" w:leader="dot"/>
            </w:tabs>
            <w:rPr/>
          </w:pPr>
          <w:hyperlink w:anchor="__RefHeading___Toc3770345_2870459653">
            <w:r>
              <w:rPr>
                <w:webHidden/>
                <w:rStyle w:val="IndexLink"/>
                <w:rtl w:val="true"/>
              </w:rPr>
              <w:t>الباب السادس</w:t>
            </w:r>
            <w:r>
              <w:rPr>
                <w:rStyle w:val="IndexLink"/>
                <w:rtl w:val="true"/>
              </w:rPr>
              <w:t xml:space="preserve">: </w:t>
            </w:r>
            <w:r>
              <w:rPr>
                <w:rStyle w:val="IndexLink"/>
                <w:rtl w:val="true"/>
              </w:rPr>
              <w:t>في عبد الحميد</w:t>
            </w:r>
            <w:r>
              <w:rPr>
                <w:rStyle w:val="IndexLink"/>
                <w:rtl w:val="true"/>
              </w:rPr>
              <w:tab/>
            </w:r>
            <w:r>
              <w:rPr>
                <w:rStyle w:val="IndexLink"/>
              </w:rPr>
              <w:t>410</w:t>
            </w:r>
          </w:hyperlink>
        </w:p>
        <w:p>
          <w:pPr>
            <w:pStyle w:val="Contents6"/>
            <w:tabs>
              <w:tab w:val="clear" w:pos="7609"/>
              <w:tab w:val="right" w:pos="9026" w:leader="dot"/>
            </w:tabs>
            <w:rPr/>
          </w:pPr>
          <w:hyperlink w:anchor="__RefHeading___Toc3770347_2870459653">
            <w:r>
              <w:rPr>
                <w:webHidden/>
                <w:rStyle w:val="IndexLink"/>
              </w:rPr>
              <w:t>52</w:t>
            </w:r>
            <w:r>
              <w:rPr>
                <w:rStyle w:val="IndexLink"/>
                <w:rtl w:val="true"/>
              </w:rPr>
              <w:t xml:space="preserve"> - </w:t>
            </w:r>
            <w:r>
              <w:rPr>
                <w:rStyle w:val="IndexLink"/>
                <w:rtl w:val="true"/>
              </w:rPr>
              <w:t>عبد الحميد بن أبي العلاء</w:t>
            </w:r>
            <w:r>
              <w:rPr>
                <w:rStyle w:val="IndexLink"/>
                <w:rtl w:val="true"/>
              </w:rPr>
              <w:tab/>
            </w:r>
            <w:r>
              <w:rPr>
                <w:rStyle w:val="IndexLink"/>
              </w:rPr>
              <w:t>410</w:t>
            </w:r>
          </w:hyperlink>
        </w:p>
        <w:p>
          <w:pPr>
            <w:pStyle w:val="Contents6"/>
            <w:tabs>
              <w:tab w:val="clear" w:pos="7609"/>
              <w:tab w:val="right" w:pos="9026" w:leader="dot"/>
            </w:tabs>
            <w:rPr/>
          </w:pPr>
          <w:hyperlink w:anchor="__RefHeading___Toc3770349_2870459653">
            <w:r>
              <w:rPr>
                <w:webHidden/>
                <w:rStyle w:val="IndexLink"/>
                <w:rtl w:val="true"/>
              </w:rPr>
              <w:t>الباب السابع</w:t>
            </w:r>
            <w:r>
              <w:rPr>
                <w:rStyle w:val="IndexLink"/>
                <w:rtl w:val="true"/>
              </w:rPr>
              <w:t xml:space="preserve">: </w:t>
            </w:r>
            <w:r>
              <w:rPr>
                <w:rStyle w:val="IndexLink"/>
                <w:rtl w:val="true"/>
              </w:rPr>
              <w:t>في عبد العزيز</w:t>
            </w:r>
            <w:r>
              <w:rPr>
                <w:rStyle w:val="IndexLink"/>
                <w:rtl w:val="true"/>
              </w:rPr>
              <w:tab/>
            </w:r>
            <w:r>
              <w:rPr>
                <w:rStyle w:val="IndexLink"/>
              </w:rPr>
              <w:t>410</w:t>
            </w:r>
          </w:hyperlink>
        </w:p>
        <w:p>
          <w:pPr>
            <w:pStyle w:val="Contents6"/>
            <w:tabs>
              <w:tab w:val="clear" w:pos="7609"/>
              <w:tab w:val="right" w:pos="9026" w:leader="dot"/>
            </w:tabs>
            <w:rPr/>
          </w:pPr>
          <w:hyperlink w:anchor="__RefHeading___Toc3770351_2870459653">
            <w:r>
              <w:rPr>
                <w:webHidden/>
                <w:rStyle w:val="IndexLink"/>
              </w:rPr>
              <w:t>53</w:t>
            </w:r>
            <w:r>
              <w:rPr>
                <w:rStyle w:val="IndexLink"/>
                <w:rtl w:val="true"/>
              </w:rPr>
              <w:t xml:space="preserve"> - </w:t>
            </w:r>
            <w:r>
              <w:rPr>
                <w:rStyle w:val="IndexLink"/>
                <w:rtl w:val="true"/>
              </w:rPr>
              <w:t>عبد العزيز بن المهتدي</w:t>
            </w:r>
            <w:r>
              <w:rPr>
                <w:rStyle w:val="IndexLink"/>
                <w:rtl w:val="true"/>
              </w:rPr>
              <w:tab/>
            </w:r>
            <w:r>
              <w:rPr>
                <w:rStyle w:val="IndexLink"/>
              </w:rPr>
              <w:t>410</w:t>
            </w:r>
          </w:hyperlink>
        </w:p>
        <w:p>
          <w:pPr>
            <w:pStyle w:val="Contents6"/>
            <w:tabs>
              <w:tab w:val="clear" w:pos="7609"/>
              <w:tab w:val="right" w:pos="9026" w:leader="dot"/>
            </w:tabs>
            <w:rPr/>
          </w:pPr>
          <w:hyperlink w:anchor="__RefHeading___Toc3770353_2870459653">
            <w:r>
              <w:rPr>
                <w:webHidden/>
                <w:rStyle w:val="IndexLink"/>
                <w:rtl w:val="true"/>
              </w:rPr>
              <w:t>الباب الثامن</w:t>
            </w:r>
            <w:r>
              <w:rPr>
                <w:rStyle w:val="IndexLink"/>
                <w:rtl w:val="true"/>
              </w:rPr>
              <w:t xml:space="preserve">: </w:t>
            </w:r>
            <w:r>
              <w:rPr>
                <w:rStyle w:val="IndexLink"/>
                <w:rtl w:val="true"/>
              </w:rPr>
              <w:t>في عبد السلام</w:t>
            </w:r>
            <w:r>
              <w:rPr>
                <w:rStyle w:val="IndexLink"/>
                <w:rtl w:val="true"/>
              </w:rPr>
              <w:tab/>
            </w:r>
            <w:r>
              <w:rPr>
                <w:rStyle w:val="IndexLink"/>
              </w:rPr>
              <w:t>411</w:t>
            </w:r>
          </w:hyperlink>
        </w:p>
        <w:p>
          <w:pPr>
            <w:pStyle w:val="Contents6"/>
            <w:tabs>
              <w:tab w:val="clear" w:pos="7609"/>
              <w:tab w:val="right" w:pos="9026" w:leader="dot"/>
            </w:tabs>
            <w:rPr/>
          </w:pPr>
          <w:hyperlink w:anchor="__RefHeading___Toc3770355_2870459653">
            <w:r>
              <w:rPr>
                <w:webHidden/>
                <w:rStyle w:val="IndexLink"/>
              </w:rPr>
              <w:t>54</w:t>
            </w:r>
            <w:r>
              <w:rPr>
                <w:rStyle w:val="IndexLink"/>
                <w:rtl w:val="true"/>
              </w:rPr>
              <w:t xml:space="preserve"> - </w:t>
            </w:r>
            <w:r>
              <w:rPr>
                <w:rStyle w:val="IndexLink"/>
                <w:rtl w:val="true"/>
              </w:rPr>
              <w:t>عبد السلام بن عبد الرحمن</w:t>
            </w:r>
            <w:r>
              <w:rPr>
                <w:rStyle w:val="IndexLink"/>
                <w:rtl w:val="true"/>
              </w:rPr>
              <w:tab/>
            </w:r>
            <w:r>
              <w:rPr>
                <w:rStyle w:val="IndexLink"/>
              </w:rPr>
              <w:t>411</w:t>
            </w:r>
          </w:hyperlink>
        </w:p>
        <w:p>
          <w:pPr>
            <w:pStyle w:val="Contents6"/>
            <w:tabs>
              <w:tab w:val="clear" w:pos="7609"/>
              <w:tab w:val="right" w:pos="9026" w:leader="dot"/>
            </w:tabs>
            <w:rPr/>
          </w:pPr>
          <w:hyperlink w:anchor="__RefHeading___Toc3770357_2870459653">
            <w:r>
              <w:rPr>
                <w:webHidden/>
                <w:rStyle w:val="IndexLink"/>
              </w:rPr>
              <w:t>55</w:t>
            </w:r>
            <w:r>
              <w:rPr>
                <w:rStyle w:val="IndexLink"/>
                <w:rtl w:val="true"/>
              </w:rPr>
              <w:t xml:space="preserve"> - </w:t>
            </w:r>
            <w:r>
              <w:rPr>
                <w:rStyle w:val="IndexLink"/>
                <w:rtl w:val="true"/>
              </w:rPr>
              <w:t>عبد السلام بن صالح أبو الصلت</w:t>
            </w:r>
            <w:r>
              <w:rPr>
                <w:rStyle w:val="IndexLink"/>
                <w:rtl w:val="true"/>
              </w:rPr>
              <w:tab/>
            </w:r>
            <w:r>
              <w:rPr>
                <w:rStyle w:val="IndexLink"/>
              </w:rPr>
              <w:t>412</w:t>
            </w:r>
          </w:hyperlink>
        </w:p>
        <w:p>
          <w:pPr>
            <w:pStyle w:val="Contents6"/>
            <w:tabs>
              <w:tab w:val="clear" w:pos="7609"/>
              <w:tab w:val="right" w:pos="9026" w:leader="dot"/>
            </w:tabs>
            <w:rPr/>
          </w:pPr>
          <w:hyperlink w:anchor="__RefHeading___Toc3770359_2870459653">
            <w:r>
              <w:rPr>
                <w:webHidden/>
                <w:rStyle w:val="IndexLink"/>
                <w:rtl w:val="true"/>
              </w:rPr>
              <w:t>الباب الحادي عشر</w:t>
            </w:r>
            <w:r>
              <w:rPr>
                <w:rStyle w:val="IndexLink"/>
                <w:rtl w:val="true"/>
              </w:rPr>
              <w:t xml:space="preserve">: </w:t>
            </w:r>
            <w:r>
              <w:rPr>
                <w:rStyle w:val="IndexLink"/>
                <w:rtl w:val="true"/>
              </w:rPr>
              <w:t>في عمر</w:t>
            </w:r>
            <w:r>
              <w:rPr>
                <w:rStyle w:val="IndexLink"/>
                <w:rtl w:val="true"/>
              </w:rPr>
              <w:tab/>
            </w:r>
            <w:r>
              <w:rPr>
                <w:rStyle w:val="IndexLink"/>
              </w:rPr>
              <w:t>413</w:t>
            </w:r>
          </w:hyperlink>
        </w:p>
        <w:p>
          <w:pPr>
            <w:pStyle w:val="Contents6"/>
            <w:tabs>
              <w:tab w:val="clear" w:pos="7609"/>
              <w:tab w:val="right" w:pos="9026" w:leader="dot"/>
            </w:tabs>
            <w:rPr/>
          </w:pPr>
          <w:hyperlink w:anchor="__RefHeading___Toc3770361_2870459653">
            <w:r>
              <w:rPr>
                <w:webHidden/>
                <w:rStyle w:val="IndexLink"/>
              </w:rPr>
              <w:t>56</w:t>
            </w:r>
            <w:r>
              <w:rPr>
                <w:rStyle w:val="IndexLink"/>
                <w:rtl w:val="true"/>
              </w:rPr>
              <w:t xml:space="preserve"> - </w:t>
            </w:r>
            <w:r>
              <w:rPr>
                <w:rStyle w:val="IndexLink"/>
                <w:rtl w:val="true"/>
              </w:rPr>
              <w:t>عمر بن محمّد بن عبد الرحمن بن أذينة</w:t>
            </w:r>
            <w:r>
              <w:rPr>
                <w:rStyle w:val="IndexLink"/>
                <w:rtl w:val="true"/>
              </w:rPr>
              <w:tab/>
            </w:r>
            <w:r>
              <w:rPr>
                <w:rStyle w:val="IndexLink"/>
              </w:rPr>
              <w:t>413</w:t>
            </w:r>
          </w:hyperlink>
        </w:p>
        <w:p>
          <w:pPr>
            <w:pStyle w:val="Contents6"/>
            <w:tabs>
              <w:tab w:val="clear" w:pos="7609"/>
              <w:tab w:val="right" w:pos="9026" w:leader="dot"/>
            </w:tabs>
            <w:rPr/>
          </w:pPr>
          <w:hyperlink w:anchor="__RefHeading___Toc3770363_2870459653">
            <w:r>
              <w:rPr>
                <w:webHidden/>
                <w:rStyle w:val="IndexLink"/>
                <w:rtl w:val="true"/>
              </w:rPr>
              <w:t>الباب الثاني عشر</w:t>
            </w:r>
            <w:r>
              <w:rPr>
                <w:rStyle w:val="IndexLink"/>
                <w:rtl w:val="true"/>
              </w:rPr>
              <w:t xml:space="preserve">: </w:t>
            </w:r>
            <w:r>
              <w:rPr>
                <w:rStyle w:val="IndexLink"/>
                <w:rtl w:val="true"/>
              </w:rPr>
              <w:t>في عمرو</w:t>
            </w:r>
            <w:r>
              <w:rPr>
                <w:rStyle w:val="IndexLink"/>
                <w:rtl w:val="true"/>
              </w:rPr>
              <w:tab/>
            </w:r>
            <w:r>
              <w:rPr>
                <w:rStyle w:val="IndexLink"/>
              </w:rPr>
              <w:t>413</w:t>
            </w:r>
          </w:hyperlink>
        </w:p>
        <w:p>
          <w:pPr>
            <w:pStyle w:val="Contents6"/>
            <w:tabs>
              <w:tab w:val="clear" w:pos="7609"/>
              <w:tab w:val="right" w:pos="9026" w:leader="dot"/>
            </w:tabs>
            <w:rPr/>
          </w:pPr>
          <w:hyperlink w:anchor="__RefHeading___Toc3770365_2870459653">
            <w:r>
              <w:rPr>
                <w:webHidden/>
                <w:rStyle w:val="IndexLink"/>
              </w:rPr>
              <w:t>57</w:t>
            </w:r>
            <w:r>
              <w:rPr>
                <w:rStyle w:val="IndexLink"/>
                <w:rtl w:val="true"/>
              </w:rPr>
              <w:t xml:space="preserve"> - </w:t>
            </w:r>
            <w:r>
              <w:rPr>
                <w:rStyle w:val="IndexLink"/>
                <w:rtl w:val="true"/>
              </w:rPr>
              <w:t>عمرو بن إلياس بن عمرو بن إلياس البجليّ</w:t>
            </w:r>
            <w:r>
              <w:rPr>
                <w:rStyle w:val="IndexLink"/>
                <w:rtl w:val="true"/>
              </w:rPr>
              <w:tab/>
            </w:r>
            <w:r>
              <w:rPr>
                <w:rStyle w:val="IndexLink"/>
              </w:rPr>
              <w:t>413</w:t>
            </w:r>
          </w:hyperlink>
        </w:p>
        <w:p>
          <w:pPr>
            <w:pStyle w:val="Contents6"/>
            <w:tabs>
              <w:tab w:val="clear" w:pos="7609"/>
              <w:tab w:val="right" w:pos="9026" w:leader="dot"/>
            </w:tabs>
            <w:rPr/>
          </w:pPr>
          <w:hyperlink w:anchor="__RefHeading___Toc3770367_2870459653">
            <w:r>
              <w:rPr>
                <w:webHidden/>
                <w:rStyle w:val="IndexLink"/>
                <w:rtl w:val="true"/>
              </w:rPr>
              <w:t>الباب الثالث عشر</w:t>
            </w:r>
            <w:r>
              <w:rPr>
                <w:rStyle w:val="IndexLink"/>
                <w:rtl w:val="true"/>
              </w:rPr>
              <w:t xml:space="preserve">: </w:t>
            </w:r>
            <w:r>
              <w:rPr>
                <w:rStyle w:val="IndexLink"/>
                <w:rtl w:val="true"/>
              </w:rPr>
              <w:t>في عيسى</w:t>
            </w:r>
            <w:r>
              <w:rPr>
                <w:rStyle w:val="IndexLink"/>
                <w:rtl w:val="true"/>
              </w:rPr>
              <w:tab/>
            </w:r>
            <w:r>
              <w:rPr>
                <w:rStyle w:val="IndexLink"/>
              </w:rPr>
              <w:t>414</w:t>
            </w:r>
          </w:hyperlink>
        </w:p>
        <w:p>
          <w:pPr>
            <w:pStyle w:val="Contents6"/>
            <w:tabs>
              <w:tab w:val="clear" w:pos="7609"/>
              <w:tab w:val="right" w:pos="9026" w:leader="dot"/>
            </w:tabs>
            <w:rPr/>
          </w:pPr>
          <w:hyperlink w:anchor="__RefHeading___Toc3770369_2870459653">
            <w:r>
              <w:rPr>
                <w:webHidden/>
                <w:rStyle w:val="IndexLink"/>
              </w:rPr>
              <w:t>58</w:t>
            </w:r>
            <w:r>
              <w:rPr>
                <w:rStyle w:val="IndexLink"/>
                <w:rtl w:val="true"/>
              </w:rPr>
              <w:t xml:space="preserve"> - </w:t>
            </w:r>
            <w:r>
              <w:rPr>
                <w:rStyle w:val="IndexLink"/>
                <w:rtl w:val="true"/>
              </w:rPr>
              <w:t>عيسى ابن أبي منصور</w:t>
            </w:r>
            <w:r>
              <w:rPr>
                <w:rStyle w:val="IndexLink"/>
                <w:rtl w:val="true"/>
              </w:rPr>
              <w:tab/>
            </w:r>
            <w:r>
              <w:rPr>
                <w:rStyle w:val="IndexLink"/>
              </w:rPr>
              <w:t>414</w:t>
            </w:r>
          </w:hyperlink>
        </w:p>
        <w:p>
          <w:pPr>
            <w:pStyle w:val="Contents6"/>
            <w:tabs>
              <w:tab w:val="clear" w:pos="7609"/>
              <w:tab w:val="right" w:pos="9026" w:leader="dot"/>
            </w:tabs>
            <w:rPr/>
          </w:pPr>
          <w:hyperlink w:anchor="__RefHeading___Toc3770371_2870459653">
            <w:r>
              <w:rPr>
                <w:webHidden/>
                <w:rStyle w:val="IndexLink"/>
                <w:rtl w:val="true"/>
              </w:rPr>
              <w:t>الباب الخامس والعشرون</w:t>
            </w:r>
            <w:r>
              <w:rPr>
                <w:rStyle w:val="IndexLink"/>
                <w:rtl w:val="true"/>
              </w:rPr>
              <w:t xml:space="preserve">: </w:t>
            </w:r>
            <w:r>
              <w:rPr>
                <w:rStyle w:val="IndexLink"/>
                <w:rtl w:val="true"/>
              </w:rPr>
              <w:t>في الآحاد</w:t>
            </w:r>
            <w:r>
              <w:rPr>
                <w:rStyle w:val="IndexLink"/>
                <w:rtl w:val="true"/>
              </w:rPr>
              <w:tab/>
            </w:r>
            <w:r>
              <w:rPr>
                <w:rStyle w:val="IndexLink"/>
              </w:rPr>
              <w:t>415</w:t>
            </w:r>
          </w:hyperlink>
        </w:p>
        <w:p>
          <w:pPr>
            <w:pStyle w:val="Contents6"/>
            <w:tabs>
              <w:tab w:val="clear" w:pos="7609"/>
              <w:tab w:val="right" w:pos="9026" w:leader="dot"/>
            </w:tabs>
            <w:rPr/>
          </w:pPr>
          <w:hyperlink w:anchor="__RefHeading___Toc3770373_2870459653">
            <w:r>
              <w:rPr>
                <w:webHidden/>
                <w:rStyle w:val="IndexLink"/>
              </w:rPr>
              <w:t>59</w:t>
            </w:r>
            <w:r>
              <w:rPr>
                <w:rStyle w:val="IndexLink"/>
                <w:rtl w:val="true"/>
              </w:rPr>
              <w:t xml:space="preserve"> - </w:t>
            </w:r>
            <w:r>
              <w:rPr>
                <w:rStyle w:val="IndexLink"/>
                <w:rtl w:val="true"/>
              </w:rPr>
              <w:t>عبد المؤمن بن قيس بن قيس</w:t>
            </w:r>
            <w:r>
              <w:rPr>
                <w:rStyle w:val="IndexLink"/>
                <w:rtl w:val="true"/>
              </w:rPr>
              <w:tab/>
            </w:r>
            <w:r>
              <w:rPr>
                <w:rStyle w:val="IndexLink"/>
              </w:rPr>
              <w:t>415</w:t>
            </w:r>
          </w:hyperlink>
        </w:p>
        <w:p>
          <w:pPr>
            <w:pStyle w:val="Contents5"/>
            <w:tabs>
              <w:tab w:val="clear" w:pos="7892"/>
              <w:tab w:val="right" w:pos="9026" w:leader="dot"/>
            </w:tabs>
            <w:rPr/>
          </w:pPr>
          <w:hyperlink w:anchor="__RefHeading___Toc3770375_2870459653">
            <w:r>
              <w:rPr>
                <w:webHidden/>
                <w:rStyle w:val="IndexLink"/>
                <w:rtl w:val="true"/>
              </w:rPr>
              <w:t>الفصل الثالث والعشرون</w:t>
            </w:r>
            <w:r>
              <w:rPr>
                <w:rStyle w:val="IndexLink"/>
                <w:rtl w:val="true"/>
              </w:rPr>
              <w:t xml:space="preserve">: </w:t>
            </w:r>
            <w:r>
              <w:rPr>
                <w:rStyle w:val="IndexLink"/>
                <w:rtl w:val="true"/>
              </w:rPr>
              <w:t>في الميم</w:t>
            </w:r>
            <w:r>
              <w:rPr>
                <w:rStyle w:val="IndexLink"/>
                <w:rtl w:val="true"/>
              </w:rPr>
              <w:tab/>
            </w:r>
            <w:r>
              <w:rPr>
                <w:rStyle w:val="IndexLink"/>
              </w:rPr>
              <w:t>416</w:t>
            </w:r>
          </w:hyperlink>
        </w:p>
        <w:p>
          <w:pPr>
            <w:pStyle w:val="Contents6"/>
            <w:tabs>
              <w:tab w:val="clear" w:pos="7609"/>
              <w:tab w:val="right" w:pos="9026" w:leader="dot"/>
            </w:tabs>
            <w:rPr/>
          </w:pPr>
          <w:hyperlink w:anchor="__RefHeading___Toc3770377_2870459653">
            <w:r>
              <w:rPr>
                <w:webHidden/>
                <w:rStyle w:val="IndexLink"/>
                <w:rtl w:val="true"/>
              </w:rPr>
              <w:t>الباب الأوّل</w:t>
            </w:r>
            <w:r>
              <w:rPr>
                <w:rStyle w:val="IndexLink"/>
                <w:rtl w:val="true"/>
              </w:rPr>
              <w:t xml:space="preserve">: </w:t>
            </w:r>
            <w:r>
              <w:rPr>
                <w:rStyle w:val="IndexLink"/>
                <w:rtl w:val="true"/>
              </w:rPr>
              <w:t>في محمّد</w:t>
            </w:r>
            <w:r>
              <w:rPr>
                <w:rStyle w:val="IndexLink"/>
                <w:rtl w:val="true"/>
              </w:rPr>
              <w:tab/>
            </w:r>
            <w:r>
              <w:rPr>
                <w:rStyle w:val="IndexLink"/>
              </w:rPr>
              <w:t>416</w:t>
            </w:r>
          </w:hyperlink>
        </w:p>
        <w:p>
          <w:pPr>
            <w:pStyle w:val="Contents6"/>
            <w:tabs>
              <w:tab w:val="clear" w:pos="7609"/>
              <w:tab w:val="right" w:pos="9026" w:leader="dot"/>
            </w:tabs>
            <w:rPr/>
          </w:pPr>
          <w:hyperlink w:anchor="__RefHeading___Toc3770379_2870459653">
            <w:r>
              <w:rPr>
                <w:webHidden/>
                <w:rStyle w:val="IndexLink"/>
              </w:rPr>
              <w:t>60</w:t>
            </w:r>
            <w:r>
              <w:rPr>
                <w:rStyle w:val="IndexLink"/>
                <w:rtl w:val="true"/>
              </w:rPr>
              <w:t xml:space="preserve"> - </w:t>
            </w:r>
            <w:r>
              <w:rPr>
                <w:rStyle w:val="IndexLink"/>
                <w:rtl w:val="true"/>
              </w:rPr>
              <w:t>محمّد بن خالد بن عبد الرحمن</w:t>
            </w:r>
            <w:r>
              <w:rPr>
                <w:rStyle w:val="IndexLink"/>
                <w:rtl w:val="true"/>
              </w:rPr>
              <w:tab/>
            </w:r>
            <w:r>
              <w:rPr>
                <w:rStyle w:val="IndexLink"/>
              </w:rPr>
              <w:t>416</w:t>
            </w:r>
          </w:hyperlink>
        </w:p>
        <w:p>
          <w:pPr>
            <w:pStyle w:val="Contents6"/>
            <w:tabs>
              <w:tab w:val="clear" w:pos="7609"/>
              <w:tab w:val="right" w:pos="9026" w:leader="dot"/>
            </w:tabs>
            <w:rPr/>
          </w:pPr>
          <w:hyperlink w:anchor="__RefHeading___Toc3770381_2870459653">
            <w:r>
              <w:rPr>
                <w:webHidden/>
                <w:rStyle w:val="IndexLink"/>
              </w:rPr>
              <w:t>61</w:t>
            </w:r>
            <w:r>
              <w:rPr>
                <w:rStyle w:val="IndexLink"/>
                <w:rtl w:val="true"/>
              </w:rPr>
              <w:t xml:space="preserve"> - </w:t>
            </w:r>
            <w:r>
              <w:rPr>
                <w:rStyle w:val="IndexLink"/>
                <w:rtl w:val="true"/>
              </w:rPr>
              <w:t>محمّد بن إسماعيل بن بزيع</w:t>
            </w:r>
            <w:r>
              <w:rPr>
                <w:rStyle w:val="IndexLink"/>
                <w:rtl w:val="true"/>
              </w:rPr>
              <w:tab/>
            </w:r>
            <w:r>
              <w:rPr>
                <w:rStyle w:val="IndexLink"/>
              </w:rPr>
              <w:t>416</w:t>
            </w:r>
          </w:hyperlink>
        </w:p>
        <w:p>
          <w:pPr>
            <w:pStyle w:val="Contents6"/>
            <w:tabs>
              <w:tab w:val="clear" w:pos="7609"/>
              <w:tab w:val="right" w:pos="9026" w:leader="dot"/>
            </w:tabs>
            <w:rPr/>
          </w:pPr>
          <w:hyperlink w:anchor="__RefHeading___Toc3770383_2870459653">
            <w:r>
              <w:rPr>
                <w:webHidden/>
                <w:rStyle w:val="IndexLink"/>
              </w:rPr>
              <w:t>62</w:t>
            </w:r>
            <w:r>
              <w:rPr>
                <w:rStyle w:val="IndexLink"/>
                <w:rtl w:val="true"/>
              </w:rPr>
              <w:t xml:space="preserve"> - </w:t>
            </w:r>
            <w:r>
              <w:rPr>
                <w:rStyle w:val="IndexLink"/>
                <w:rtl w:val="true"/>
              </w:rPr>
              <w:t>محمّد بن قيس البجليّ</w:t>
            </w:r>
            <w:r>
              <w:rPr>
                <w:rStyle w:val="IndexLink"/>
                <w:rtl w:val="true"/>
              </w:rPr>
              <w:tab/>
            </w:r>
            <w:r>
              <w:rPr>
                <w:rStyle w:val="IndexLink"/>
              </w:rPr>
              <w:t>418</w:t>
            </w:r>
          </w:hyperlink>
        </w:p>
        <w:p>
          <w:pPr>
            <w:pStyle w:val="Contents6"/>
            <w:tabs>
              <w:tab w:val="clear" w:pos="7609"/>
              <w:tab w:val="right" w:pos="9026" w:leader="dot"/>
            </w:tabs>
            <w:rPr/>
          </w:pPr>
          <w:hyperlink w:anchor="__RefHeading___Toc3770385_2870459653">
            <w:r>
              <w:rPr>
                <w:webHidden/>
                <w:rStyle w:val="IndexLink"/>
              </w:rPr>
              <w:t>63</w:t>
            </w:r>
            <w:r>
              <w:rPr>
                <w:rStyle w:val="IndexLink"/>
                <w:rtl w:val="true"/>
              </w:rPr>
              <w:t xml:space="preserve"> - </w:t>
            </w:r>
            <w:r>
              <w:rPr>
                <w:rStyle w:val="IndexLink"/>
                <w:rtl w:val="true"/>
              </w:rPr>
              <w:t>محمّد بن إسحاق</w:t>
            </w:r>
            <w:r>
              <w:rPr>
                <w:rStyle w:val="IndexLink"/>
                <w:rtl w:val="true"/>
              </w:rPr>
              <w:tab/>
            </w:r>
            <w:r>
              <w:rPr>
                <w:rStyle w:val="IndexLink"/>
              </w:rPr>
              <w:t>418</w:t>
            </w:r>
          </w:hyperlink>
        </w:p>
        <w:p>
          <w:pPr>
            <w:pStyle w:val="Contents6"/>
            <w:tabs>
              <w:tab w:val="clear" w:pos="7609"/>
              <w:tab w:val="right" w:pos="9026" w:leader="dot"/>
            </w:tabs>
            <w:rPr/>
          </w:pPr>
          <w:hyperlink w:anchor="__RefHeading___Toc3770387_2870459653">
            <w:r>
              <w:rPr>
                <w:webHidden/>
                <w:rStyle w:val="IndexLink"/>
              </w:rPr>
              <w:t>64</w:t>
            </w:r>
            <w:r>
              <w:rPr>
                <w:rStyle w:val="IndexLink"/>
                <w:rtl w:val="true"/>
              </w:rPr>
              <w:t xml:space="preserve"> - </w:t>
            </w:r>
            <w:r>
              <w:rPr>
                <w:rStyle w:val="IndexLink"/>
                <w:rtl w:val="true"/>
              </w:rPr>
              <w:t>محمّد بن سليمان بن الحسن بن الجهم</w:t>
            </w:r>
            <w:r>
              <w:rPr>
                <w:rStyle w:val="IndexLink"/>
                <w:rtl w:val="true"/>
              </w:rPr>
              <w:tab/>
            </w:r>
            <w:r>
              <w:rPr>
                <w:rStyle w:val="IndexLink"/>
              </w:rPr>
              <w:t>419</w:t>
            </w:r>
          </w:hyperlink>
        </w:p>
        <w:p>
          <w:pPr>
            <w:pStyle w:val="Contents6"/>
            <w:tabs>
              <w:tab w:val="clear" w:pos="7609"/>
              <w:tab w:val="right" w:pos="9026" w:leader="dot"/>
            </w:tabs>
            <w:rPr/>
          </w:pPr>
          <w:hyperlink w:anchor="__RefHeading___Toc3770389_2870459653">
            <w:r>
              <w:rPr>
                <w:webHidden/>
                <w:rStyle w:val="IndexLink"/>
                <w:rtl w:val="true"/>
              </w:rPr>
              <w:t>الباب العاشر</w:t>
            </w:r>
            <w:r>
              <w:rPr>
                <w:rStyle w:val="IndexLink"/>
                <w:rtl w:val="true"/>
              </w:rPr>
              <w:t xml:space="preserve">: </w:t>
            </w:r>
            <w:r>
              <w:rPr>
                <w:rStyle w:val="IndexLink"/>
                <w:rtl w:val="true"/>
              </w:rPr>
              <w:t>في معمر</w:t>
            </w:r>
            <w:r>
              <w:rPr>
                <w:rStyle w:val="IndexLink"/>
                <w:rtl w:val="true"/>
              </w:rPr>
              <w:tab/>
            </w:r>
            <w:r>
              <w:rPr>
                <w:rStyle w:val="IndexLink"/>
              </w:rPr>
              <w:t>419</w:t>
            </w:r>
          </w:hyperlink>
        </w:p>
        <w:p>
          <w:pPr>
            <w:pStyle w:val="Contents6"/>
            <w:tabs>
              <w:tab w:val="clear" w:pos="7609"/>
              <w:tab w:val="right" w:pos="9026" w:leader="dot"/>
            </w:tabs>
            <w:rPr/>
          </w:pPr>
          <w:hyperlink w:anchor="__RefHeading___Toc3770391_2870459653">
            <w:r>
              <w:rPr>
                <w:webHidden/>
                <w:rStyle w:val="IndexLink"/>
              </w:rPr>
              <w:t>65</w:t>
            </w:r>
            <w:r>
              <w:rPr>
                <w:rStyle w:val="IndexLink"/>
                <w:rtl w:val="true"/>
              </w:rPr>
              <w:t xml:space="preserve"> - </w:t>
            </w:r>
            <w:r>
              <w:rPr>
                <w:rStyle w:val="IndexLink"/>
                <w:rtl w:val="true"/>
              </w:rPr>
              <w:t>معمر بن يحيى بن مسافر العجليّ الكوفيّ</w:t>
            </w:r>
            <w:r>
              <w:rPr>
                <w:rStyle w:val="IndexLink"/>
                <w:rtl w:val="true"/>
              </w:rPr>
              <w:tab/>
            </w:r>
            <w:r>
              <w:rPr>
                <w:rStyle w:val="IndexLink"/>
              </w:rPr>
              <w:t>419</w:t>
            </w:r>
          </w:hyperlink>
        </w:p>
        <w:p>
          <w:pPr>
            <w:pStyle w:val="Contents6"/>
            <w:tabs>
              <w:tab w:val="clear" w:pos="7609"/>
              <w:tab w:val="right" w:pos="9026" w:leader="dot"/>
            </w:tabs>
            <w:rPr/>
          </w:pPr>
          <w:hyperlink w:anchor="__RefHeading___Toc3770393_2870459653">
            <w:r>
              <w:rPr>
                <w:webHidden/>
                <w:rStyle w:val="IndexLink"/>
                <w:rtl w:val="true"/>
              </w:rPr>
              <w:t>الباب الحادي عشر</w:t>
            </w:r>
            <w:r>
              <w:rPr>
                <w:rStyle w:val="IndexLink"/>
                <w:rtl w:val="true"/>
              </w:rPr>
              <w:t xml:space="preserve">: </w:t>
            </w:r>
            <w:r>
              <w:rPr>
                <w:rStyle w:val="IndexLink"/>
                <w:rtl w:val="true"/>
              </w:rPr>
              <w:t>في الآحاد</w:t>
            </w:r>
            <w:r>
              <w:rPr>
                <w:rStyle w:val="IndexLink"/>
                <w:rtl w:val="true"/>
              </w:rPr>
              <w:tab/>
            </w:r>
            <w:r>
              <w:rPr>
                <w:rStyle w:val="IndexLink"/>
              </w:rPr>
              <w:t>420</w:t>
            </w:r>
          </w:hyperlink>
        </w:p>
        <w:p>
          <w:pPr>
            <w:pStyle w:val="Contents6"/>
            <w:tabs>
              <w:tab w:val="clear" w:pos="7609"/>
              <w:tab w:val="right" w:pos="9026" w:leader="dot"/>
            </w:tabs>
            <w:rPr/>
          </w:pPr>
          <w:hyperlink w:anchor="__RefHeading___Toc3770395_2870459653">
            <w:r>
              <w:rPr>
                <w:webHidden/>
                <w:rStyle w:val="IndexLink"/>
              </w:rPr>
              <w:t>66</w:t>
            </w:r>
            <w:r>
              <w:rPr>
                <w:rStyle w:val="IndexLink"/>
                <w:rtl w:val="true"/>
              </w:rPr>
              <w:t xml:space="preserve"> - </w:t>
            </w:r>
            <w:r>
              <w:rPr>
                <w:rStyle w:val="IndexLink"/>
                <w:rtl w:val="true"/>
              </w:rPr>
              <w:t>معروف بن خرّبوذ</w:t>
            </w:r>
            <w:r>
              <w:rPr>
                <w:rStyle w:val="IndexLink"/>
                <w:rtl w:val="true"/>
              </w:rPr>
              <w:tab/>
            </w:r>
            <w:r>
              <w:rPr>
                <w:rStyle w:val="IndexLink"/>
              </w:rPr>
              <w:t>420</w:t>
            </w:r>
          </w:hyperlink>
        </w:p>
        <w:p>
          <w:pPr>
            <w:pStyle w:val="Contents6"/>
            <w:tabs>
              <w:tab w:val="clear" w:pos="7609"/>
              <w:tab w:val="right" w:pos="9026" w:leader="dot"/>
            </w:tabs>
            <w:rPr/>
          </w:pPr>
          <w:hyperlink w:anchor="__RefHeading___Toc3770397_2870459653">
            <w:r>
              <w:rPr>
                <w:webHidden/>
                <w:rStyle w:val="IndexLink"/>
              </w:rPr>
              <w:t>67</w:t>
            </w:r>
            <w:r>
              <w:rPr>
                <w:rStyle w:val="IndexLink"/>
                <w:rtl w:val="true"/>
              </w:rPr>
              <w:t xml:space="preserve"> - </w:t>
            </w:r>
            <w:r>
              <w:rPr>
                <w:rStyle w:val="IndexLink"/>
                <w:rtl w:val="true"/>
              </w:rPr>
              <w:t>مسمع بن مالك</w:t>
            </w:r>
            <w:r>
              <w:rPr>
                <w:rStyle w:val="IndexLink"/>
                <w:rtl w:val="true"/>
              </w:rPr>
              <w:tab/>
            </w:r>
            <w:r>
              <w:rPr>
                <w:rStyle w:val="IndexLink"/>
              </w:rPr>
              <w:t>420</w:t>
            </w:r>
          </w:hyperlink>
        </w:p>
        <w:p>
          <w:pPr>
            <w:pStyle w:val="Contents6"/>
            <w:tabs>
              <w:tab w:val="clear" w:pos="7609"/>
              <w:tab w:val="right" w:pos="9026" w:leader="dot"/>
            </w:tabs>
            <w:rPr/>
          </w:pPr>
          <w:hyperlink w:anchor="__RefHeading___Toc3770399_2870459653">
            <w:r>
              <w:rPr>
                <w:webHidden/>
                <w:rStyle w:val="IndexLink"/>
              </w:rPr>
              <w:t>68</w:t>
            </w:r>
            <w:r>
              <w:rPr>
                <w:rStyle w:val="IndexLink"/>
                <w:rtl w:val="true"/>
              </w:rPr>
              <w:t xml:space="preserve"> - </w:t>
            </w:r>
            <w:r>
              <w:rPr>
                <w:rStyle w:val="IndexLink"/>
                <w:rtl w:val="true"/>
              </w:rPr>
              <w:t>مروان بن موسى</w:t>
            </w:r>
            <w:r>
              <w:rPr>
                <w:rStyle w:val="IndexLink"/>
                <w:rtl w:val="true"/>
              </w:rPr>
              <w:tab/>
            </w:r>
            <w:r>
              <w:rPr>
                <w:rStyle w:val="IndexLink"/>
              </w:rPr>
              <w:t>421</w:t>
            </w:r>
          </w:hyperlink>
        </w:p>
        <w:p>
          <w:pPr>
            <w:pStyle w:val="Contents5"/>
            <w:tabs>
              <w:tab w:val="clear" w:pos="7892"/>
              <w:tab w:val="right" w:pos="9026" w:leader="dot"/>
            </w:tabs>
            <w:rPr/>
          </w:pPr>
          <w:hyperlink w:anchor="__RefHeading___Toc3770401_2870459653">
            <w:r>
              <w:rPr>
                <w:webHidden/>
                <w:rStyle w:val="IndexLink"/>
                <w:rtl w:val="true"/>
              </w:rPr>
              <w:t>الفصل الرابع والعشرون</w:t>
            </w:r>
            <w:r>
              <w:rPr>
                <w:rStyle w:val="IndexLink"/>
                <w:rtl w:val="true"/>
              </w:rPr>
              <w:t xml:space="preserve">: </w:t>
            </w:r>
            <w:r>
              <w:rPr>
                <w:rStyle w:val="IndexLink"/>
                <w:rtl w:val="true"/>
              </w:rPr>
              <w:t>في النون</w:t>
            </w:r>
            <w:r>
              <w:rPr>
                <w:rStyle w:val="IndexLink"/>
                <w:rtl w:val="true"/>
              </w:rPr>
              <w:tab/>
            </w:r>
            <w:r>
              <w:rPr>
                <w:rStyle w:val="IndexLink"/>
              </w:rPr>
              <w:t>422</w:t>
            </w:r>
          </w:hyperlink>
        </w:p>
        <w:p>
          <w:pPr>
            <w:pStyle w:val="Contents6"/>
            <w:tabs>
              <w:tab w:val="clear" w:pos="7609"/>
              <w:tab w:val="right" w:pos="9026" w:leader="dot"/>
            </w:tabs>
            <w:rPr/>
          </w:pPr>
          <w:hyperlink w:anchor="__RefHeading___Toc3770403_2870459653">
            <w:r>
              <w:rPr>
                <w:webHidden/>
                <w:rStyle w:val="IndexLink"/>
                <w:rtl w:val="true"/>
              </w:rPr>
              <w:t>الباب الثالث</w:t>
            </w:r>
            <w:r>
              <w:rPr>
                <w:rStyle w:val="IndexLink"/>
                <w:rtl w:val="true"/>
              </w:rPr>
              <w:t xml:space="preserve">: </w:t>
            </w:r>
            <w:r>
              <w:rPr>
                <w:rStyle w:val="IndexLink"/>
                <w:rtl w:val="true"/>
              </w:rPr>
              <w:t>في نوح</w:t>
            </w:r>
            <w:r>
              <w:rPr>
                <w:rStyle w:val="IndexLink"/>
                <w:rtl w:val="true"/>
              </w:rPr>
              <w:tab/>
            </w:r>
            <w:r>
              <w:rPr>
                <w:rStyle w:val="IndexLink"/>
              </w:rPr>
              <w:t>422</w:t>
            </w:r>
          </w:hyperlink>
        </w:p>
        <w:p>
          <w:pPr>
            <w:pStyle w:val="Contents6"/>
            <w:tabs>
              <w:tab w:val="clear" w:pos="7609"/>
              <w:tab w:val="right" w:pos="9026" w:leader="dot"/>
            </w:tabs>
            <w:rPr/>
          </w:pPr>
          <w:hyperlink w:anchor="__RefHeading___Toc3770405_2870459653">
            <w:r>
              <w:rPr>
                <w:webHidden/>
                <w:rStyle w:val="IndexLink"/>
              </w:rPr>
              <w:t>69</w:t>
            </w:r>
            <w:r>
              <w:rPr>
                <w:rStyle w:val="IndexLink"/>
                <w:rtl w:val="true"/>
              </w:rPr>
              <w:t xml:space="preserve"> - </w:t>
            </w:r>
            <w:r>
              <w:rPr>
                <w:rStyle w:val="IndexLink"/>
                <w:rtl w:val="true"/>
              </w:rPr>
              <w:t>نوح بن شعيب</w:t>
            </w:r>
            <w:r>
              <w:rPr>
                <w:rStyle w:val="IndexLink"/>
                <w:rtl w:val="true"/>
              </w:rPr>
              <w:tab/>
            </w:r>
            <w:r>
              <w:rPr>
                <w:rStyle w:val="IndexLink"/>
              </w:rPr>
              <w:t>422</w:t>
            </w:r>
          </w:hyperlink>
        </w:p>
        <w:p>
          <w:pPr>
            <w:pStyle w:val="Contents5"/>
            <w:tabs>
              <w:tab w:val="clear" w:pos="7892"/>
              <w:tab w:val="right" w:pos="9026" w:leader="dot"/>
            </w:tabs>
            <w:rPr/>
          </w:pPr>
          <w:hyperlink w:anchor="__RefHeading___Toc3770407_2870459653">
            <w:r>
              <w:rPr>
                <w:webHidden/>
                <w:rStyle w:val="IndexLink"/>
                <w:rtl w:val="true"/>
              </w:rPr>
              <w:t>الفصل السادس والعشرون</w:t>
            </w:r>
            <w:r>
              <w:rPr>
                <w:rStyle w:val="IndexLink"/>
                <w:rtl w:val="true"/>
              </w:rPr>
              <w:t xml:space="preserve">: </w:t>
            </w:r>
            <w:r>
              <w:rPr>
                <w:rStyle w:val="IndexLink"/>
                <w:rtl w:val="true"/>
              </w:rPr>
              <w:t>في الهاء</w:t>
            </w:r>
            <w:r>
              <w:rPr>
                <w:rStyle w:val="IndexLink"/>
                <w:rtl w:val="true"/>
              </w:rPr>
              <w:tab/>
            </w:r>
            <w:r>
              <w:rPr>
                <w:rStyle w:val="IndexLink"/>
              </w:rPr>
              <w:t>423</w:t>
            </w:r>
          </w:hyperlink>
        </w:p>
        <w:p>
          <w:pPr>
            <w:pStyle w:val="Contents6"/>
            <w:tabs>
              <w:tab w:val="clear" w:pos="7609"/>
              <w:tab w:val="right" w:pos="9026" w:leader="dot"/>
            </w:tabs>
            <w:rPr/>
          </w:pPr>
          <w:hyperlink w:anchor="__RefHeading___Toc3770409_2870459653">
            <w:r>
              <w:rPr>
                <w:webHidden/>
                <w:rStyle w:val="IndexLink"/>
                <w:rtl w:val="true"/>
              </w:rPr>
              <w:t>الباب الأوّل</w:t>
            </w:r>
            <w:r>
              <w:rPr>
                <w:rStyle w:val="IndexLink"/>
                <w:rtl w:val="true"/>
              </w:rPr>
              <w:t xml:space="preserve">: </w:t>
            </w:r>
            <w:r>
              <w:rPr>
                <w:rStyle w:val="IndexLink"/>
                <w:rtl w:val="true"/>
              </w:rPr>
              <w:t>في هشام</w:t>
            </w:r>
            <w:r>
              <w:rPr>
                <w:rStyle w:val="IndexLink"/>
                <w:rtl w:val="true"/>
              </w:rPr>
              <w:tab/>
            </w:r>
            <w:r>
              <w:rPr>
                <w:rStyle w:val="IndexLink"/>
              </w:rPr>
              <w:t>423</w:t>
            </w:r>
          </w:hyperlink>
        </w:p>
        <w:p>
          <w:pPr>
            <w:pStyle w:val="Contents6"/>
            <w:tabs>
              <w:tab w:val="clear" w:pos="7609"/>
              <w:tab w:val="right" w:pos="9026" w:leader="dot"/>
            </w:tabs>
            <w:rPr/>
          </w:pPr>
          <w:hyperlink w:anchor="__RefHeading___Toc3770411_2870459653">
            <w:r>
              <w:rPr>
                <w:webHidden/>
                <w:rStyle w:val="IndexLink"/>
              </w:rPr>
              <w:t>70</w:t>
            </w:r>
            <w:r>
              <w:rPr>
                <w:rStyle w:val="IndexLink"/>
                <w:rtl w:val="true"/>
              </w:rPr>
              <w:t xml:space="preserve"> - </w:t>
            </w:r>
            <w:r>
              <w:rPr>
                <w:rStyle w:val="IndexLink"/>
                <w:rtl w:val="true"/>
              </w:rPr>
              <w:t>هشام بن محمّد بن السائب</w:t>
            </w:r>
            <w:r>
              <w:rPr>
                <w:rStyle w:val="IndexLink"/>
                <w:rtl w:val="true"/>
              </w:rPr>
              <w:tab/>
            </w:r>
            <w:r>
              <w:rPr>
                <w:rStyle w:val="IndexLink"/>
              </w:rPr>
              <w:t>423</w:t>
            </w:r>
          </w:hyperlink>
        </w:p>
        <w:p>
          <w:pPr>
            <w:pStyle w:val="Contents6"/>
            <w:tabs>
              <w:tab w:val="clear" w:pos="7609"/>
              <w:tab w:val="right" w:pos="9026" w:leader="dot"/>
            </w:tabs>
            <w:rPr/>
          </w:pPr>
          <w:hyperlink w:anchor="__RefHeading___Toc3770413_2870459653">
            <w:r>
              <w:rPr>
                <w:webHidden/>
                <w:rStyle w:val="IndexLink"/>
                <w:rtl w:val="true"/>
              </w:rPr>
              <w:t>الباب الرابع</w:t>
            </w:r>
            <w:r>
              <w:rPr>
                <w:rStyle w:val="IndexLink"/>
                <w:rtl w:val="true"/>
              </w:rPr>
              <w:t xml:space="preserve">: </w:t>
            </w:r>
            <w:r>
              <w:rPr>
                <w:rStyle w:val="IndexLink"/>
                <w:rtl w:val="true"/>
              </w:rPr>
              <w:t>في هارون</w:t>
            </w:r>
            <w:r>
              <w:rPr>
                <w:rStyle w:val="IndexLink"/>
                <w:rtl w:val="true"/>
              </w:rPr>
              <w:tab/>
            </w:r>
            <w:r>
              <w:rPr>
                <w:rStyle w:val="IndexLink"/>
              </w:rPr>
              <w:t>423</w:t>
            </w:r>
          </w:hyperlink>
        </w:p>
        <w:p>
          <w:pPr>
            <w:pStyle w:val="Contents6"/>
            <w:tabs>
              <w:tab w:val="clear" w:pos="7609"/>
              <w:tab w:val="right" w:pos="9026" w:leader="dot"/>
            </w:tabs>
            <w:rPr/>
          </w:pPr>
          <w:hyperlink w:anchor="__RefHeading___Toc3770415_2870459653">
            <w:r>
              <w:rPr>
                <w:webHidden/>
                <w:rStyle w:val="IndexLink"/>
              </w:rPr>
              <w:t>71</w:t>
            </w:r>
            <w:r>
              <w:rPr>
                <w:rStyle w:val="IndexLink"/>
                <w:rtl w:val="true"/>
              </w:rPr>
              <w:t xml:space="preserve"> - </w:t>
            </w:r>
            <w:r>
              <w:rPr>
                <w:rStyle w:val="IndexLink"/>
                <w:rtl w:val="true"/>
              </w:rPr>
              <w:t>هارون بن الجهم</w:t>
            </w:r>
            <w:r>
              <w:rPr>
                <w:rStyle w:val="IndexLink"/>
                <w:rtl w:val="true"/>
              </w:rPr>
              <w:tab/>
            </w:r>
            <w:r>
              <w:rPr>
                <w:rStyle w:val="IndexLink"/>
              </w:rPr>
              <w:t>423</w:t>
            </w:r>
          </w:hyperlink>
        </w:p>
        <w:p>
          <w:pPr>
            <w:pStyle w:val="Contents5"/>
            <w:tabs>
              <w:tab w:val="clear" w:pos="7892"/>
              <w:tab w:val="right" w:pos="9026" w:leader="dot"/>
            </w:tabs>
            <w:rPr/>
          </w:pPr>
          <w:hyperlink w:anchor="__RefHeading___Toc3770417_2870459653">
            <w:r>
              <w:rPr>
                <w:webHidden/>
                <w:rStyle w:val="IndexLink"/>
                <w:rtl w:val="true"/>
              </w:rPr>
              <w:t>الفصل السابع والعشرون</w:t>
            </w:r>
            <w:r>
              <w:rPr>
                <w:rStyle w:val="IndexLink"/>
                <w:rtl w:val="true"/>
              </w:rPr>
              <w:t xml:space="preserve">: </w:t>
            </w:r>
            <w:r>
              <w:rPr>
                <w:rStyle w:val="IndexLink"/>
                <w:rtl w:val="true"/>
              </w:rPr>
              <w:t>في الياء</w:t>
            </w:r>
            <w:r>
              <w:rPr>
                <w:rStyle w:val="IndexLink"/>
                <w:rtl w:val="true"/>
              </w:rPr>
              <w:tab/>
            </w:r>
            <w:r>
              <w:rPr>
                <w:rStyle w:val="IndexLink"/>
              </w:rPr>
              <w:t>424</w:t>
            </w:r>
          </w:hyperlink>
        </w:p>
        <w:p>
          <w:pPr>
            <w:pStyle w:val="Contents6"/>
            <w:tabs>
              <w:tab w:val="clear" w:pos="7609"/>
              <w:tab w:val="right" w:pos="9026" w:leader="dot"/>
            </w:tabs>
            <w:rPr/>
          </w:pPr>
          <w:hyperlink w:anchor="__RefHeading___Toc3770419_2870459653">
            <w:r>
              <w:rPr>
                <w:webHidden/>
                <w:rStyle w:val="IndexLink"/>
                <w:rtl w:val="true"/>
              </w:rPr>
              <w:t>الباب الثاني</w:t>
            </w:r>
            <w:r>
              <w:rPr>
                <w:rStyle w:val="IndexLink"/>
                <w:rtl w:val="true"/>
              </w:rPr>
              <w:t xml:space="preserve">: </w:t>
            </w:r>
            <w:r>
              <w:rPr>
                <w:rStyle w:val="IndexLink"/>
                <w:rtl w:val="true"/>
              </w:rPr>
              <w:t>في يزيد</w:t>
            </w:r>
            <w:r>
              <w:rPr>
                <w:rStyle w:val="IndexLink"/>
                <w:rtl w:val="true"/>
              </w:rPr>
              <w:tab/>
            </w:r>
            <w:r>
              <w:rPr>
                <w:rStyle w:val="IndexLink"/>
              </w:rPr>
              <w:t>424</w:t>
            </w:r>
          </w:hyperlink>
        </w:p>
        <w:p>
          <w:pPr>
            <w:pStyle w:val="Contents6"/>
            <w:tabs>
              <w:tab w:val="clear" w:pos="7609"/>
              <w:tab w:val="right" w:pos="9026" w:leader="dot"/>
            </w:tabs>
            <w:rPr/>
          </w:pPr>
          <w:hyperlink w:anchor="__RefHeading___Toc3770421_2870459653">
            <w:r>
              <w:rPr>
                <w:webHidden/>
                <w:rStyle w:val="IndexLink"/>
              </w:rPr>
              <w:t>72</w:t>
            </w:r>
            <w:r>
              <w:rPr>
                <w:rStyle w:val="IndexLink"/>
                <w:rtl w:val="true"/>
              </w:rPr>
              <w:t xml:space="preserve"> - </w:t>
            </w:r>
            <w:r>
              <w:rPr>
                <w:rStyle w:val="IndexLink"/>
                <w:rtl w:val="true"/>
              </w:rPr>
              <w:t>يزيد بن إسحاق شعر</w:t>
            </w:r>
            <w:r>
              <w:rPr>
                <w:rStyle w:val="IndexLink"/>
                <w:rtl w:val="true"/>
              </w:rPr>
              <w:tab/>
            </w:r>
            <w:r>
              <w:rPr>
                <w:rStyle w:val="IndexLink"/>
              </w:rPr>
              <w:t>424</w:t>
            </w:r>
          </w:hyperlink>
        </w:p>
        <w:p>
          <w:pPr>
            <w:pStyle w:val="Contents5"/>
            <w:tabs>
              <w:tab w:val="clear" w:pos="7892"/>
              <w:tab w:val="right" w:pos="9026" w:leader="dot"/>
            </w:tabs>
            <w:rPr/>
          </w:pPr>
          <w:hyperlink w:anchor="__RefHeading___Toc3770423_2870459653">
            <w:r>
              <w:rPr>
                <w:webHidden/>
                <w:rStyle w:val="IndexLink"/>
                <w:rtl w:val="true"/>
              </w:rPr>
              <w:t>الفصل الثامن والعشرون</w:t>
            </w:r>
            <w:r>
              <w:rPr>
                <w:rStyle w:val="IndexLink"/>
                <w:rtl w:val="true"/>
              </w:rPr>
              <w:t xml:space="preserve">: </w:t>
            </w:r>
            <w:r>
              <w:rPr>
                <w:rStyle w:val="IndexLink"/>
                <w:rtl w:val="true"/>
              </w:rPr>
              <w:t>في الكنى</w:t>
            </w:r>
            <w:r>
              <w:rPr>
                <w:rStyle w:val="IndexLink"/>
                <w:rtl w:val="true"/>
              </w:rPr>
              <w:tab/>
            </w:r>
            <w:r>
              <w:rPr>
                <w:rStyle w:val="IndexLink"/>
              </w:rPr>
              <w:t>426</w:t>
            </w:r>
          </w:hyperlink>
        </w:p>
        <w:p>
          <w:pPr>
            <w:pStyle w:val="Contents6"/>
            <w:tabs>
              <w:tab w:val="clear" w:pos="7609"/>
              <w:tab w:val="right" w:pos="9026" w:leader="dot"/>
            </w:tabs>
            <w:rPr/>
          </w:pPr>
          <w:hyperlink w:anchor="__RefHeading___Toc3770425_2870459653">
            <w:r>
              <w:rPr>
                <w:webHidden/>
                <w:rStyle w:val="IndexLink"/>
              </w:rPr>
              <w:t>73</w:t>
            </w:r>
            <w:r>
              <w:rPr>
                <w:rStyle w:val="IndexLink"/>
                <w:rtl w:val="true"/>
              </w:rPr>
              <w:t xml:space="preserve"> - </w:t>
            </w:r>
            <w:r>
              <w:rPr>
                <w:rStyle w:val="IndexLink"/>
                <w:rtl w:val="true"/>
              </w:rPr>
              <w:t>باب الكنى</w:t>
            </w:r>
            <w:r>
              <w:rPr>
                <w:rStyle w:val="IndexLink"/>
                <w:rtl w:val="true"/>
              </w:rPr>
              <w:tab/>
            </w:r>
            <w:r>
              <w:rPr>
                <w:rStyle w:val="IndexLink"/>
              </w:rPr>
              <w:t>426</w:t>
            </w:r>
          </w:hyperlink>
        </w:p>
        <w:p>
          <w:pPr>
            <w:pStyle w:val="Contents6"/>
            <w:tabs>
              <w:tab w:val="clear" w:pos="7609"/>
              <w:tab w:val="right" w:pos="9026" w:leader="dot"/>
            </w:tabs>
            <w:rPr/>
          </w:pPr>
          <w:hyperlink w:anchor="__RefHeading___Toc3770427_2870459653">
            <w:r>
              <w:rPr>
                <w:webHidden/>
                <w:rStyle w:val="IndexLink"/>
              </w:rPr>
              <w:t>74</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3770429_2870459653">
            <w:r>
              <w:rPr>
                <w:webHidden/>
                <w:rStyle w:val="IndexLink"/>
                <w:rtl w:val="true"/>
              </w:rPr>
              <w:t>القسم الثاني</w:t>
            </w:r>
            <w:r>
              <w:rPr>
                <w:rStyle w:val="IndexLink"/>
                <w:rtl w:val="true"/>
              </w:rPr>
              <w:tab/>
            </w:r>
            <w:r>
              <w:rPr>
                <w:rStyle w:val="IndexLink"/>
              </w:rPr>
              <w:t>427</w:t>
            </w:r>
          </w:hyperlink>
        </w:p>
        <w:p>
          <w:pPr>
            <w:pStyle w:val="Contents5"/>
            <w:tabs>
              <w:tab w:val="clear" w:pos="7892"/>
              <w:tab w:val="right" w:pos="9026" w:leader="dot"/>
            </w:tabs>
            <w:rPr/>
          </w:pPr>
          <w:hyperlink w:anchor="__RefHeading___Toc3770431_2870459653">
            <w:r>
              <w:rPr>
                <w:webHidden/>
                <w:rStyle w:val="IndexLink"/>
                <w:rtl w:val="true"/>
              </w:rPr>
              <w:t>الفصل الأوّل</w:t>
            </w:r>
            <w:r>
              <w:rPr>
                <w:rStyle w:val="IndexLink"/>
                <w:rtl w:val="true"/>
              </w:rPr>
              <w:tab/>
            </w:r>
            <w:r>
              <w:rPr>
                <w:rStyle w:val="IndexLink"/>
              </w:rPr>
              <w:t>427</w:t>
            </w:r>
          </w:hyperlink>
        </w:p>
        <w:p>
          <w:pPr>
            <w:pStyle w:val="Contents6"/>
            <w:tabs>
              <w:tab w:val="clear" w:pos="7609"/>
              <w:tab w:val="right" w:pos="9026" w:leader="dot"/>
            </w:tabs>
            <w:rPr/>
          </w:pPr>
          <w:hyperlink w:anchor="__RefHeading___Toc3770433_2870459653">
            <w:r>
              <w:rPr>
                <w:webHidden/>
                <w:rStyle w:val="IndexLink"/>
                <w:rtl w:val="true"/>
              </w:rPr>
              <w:t>الباب الأوّل</w:t>
            </w:r>
            <w:r>
              <w:rPr>
                <w:rStyle w:val="IndexLink"/>
                <w:rtl w:val="true"/>
              </w:rPr>
              <w:t xml:space="preserve">: </w:t>
            </w:r>
            <w:r>
              <w:rPr>
                <w:rStyle w:val="IndexLink"/>
                <w:rtl w:val="true"/>
              </w:rPr>
              <w:t>في إبراهيم</w:t>
            </w:r>
            <w:r>
              <w:rPr>
                <w:rStyle w:val="IndexLink"/>
                <w:rtl w:val="true"/>
              </w:rPr>
              <w:tab/>
            </w:r>
            <w:r>
              <w:rPr>
                <w:rStyle w:val="IndexLink"/>
              </w:rPr>
              <w:t>427</w:t>
            </w:r>
          </w:hyperlink>
        </w:p>
        <w:p>
          <w:pPr>
            <w:pStyle w:val="Contents6"/>
            <w:tabs>
              <w:tab w:val="clear" w:pos="7609"/>
              <w:tab w:val="right" w:pos="9026" w:leader="dot"/>
            </w:tabs>
            <w:rPr/>
          </w:pPr>
          <w:hyperlink w:anchor="__RefHeading___Toc3770435_2870459653">
            <w:r>
              <w:rPr>
                <w:webHidden/>
                <w:rStyle w:val="IndexLink"/>
              </w:rPr>
              <w:t>75</w:t>
            </w:r>
            <w:r>
              <w:rPr>
                <w:rStyle w:val="IndexLink"/>
                <w:rtl w:val="true"/>
              </w:rPr>
              <w:t xml:space="preserve"> - </w:t>
            </w:r>
            <w:r>
              <w:rPr>
                <w:rStyle w:val="IndexLink"/>
                <w:rtl w:val="true"/>
              </w:rPr>
              <w:t>إبراهيم بن إسحاق</w:t>
            </w:r>
            <w:r>
              <w:rPr>
                <w:rStyle w:val="IndexLink"/>
                <w:rtl w:val="true"/>
              </w:rPr>
              <w:tab/>
            </w:r>
            <w:r>
              <w:rPr>
                <w:rStyle w:val="IndexLink"/>
              </w:rPr>
              <w:t>427</w:t>
            </w:r>
          </w:hyperlink>
        </w:p>
        <w:p>
          <w:pPr>
            <w:pStyle w:val="Contents6"/>
            <w:tabs>
              <w:tab w:val="clear" w:pos="7609"/>
              <w:tab w:val="right" w:pos="9026" w:leader="dot"/>
            </w:tabs>
            <w:rPr/>
          </w:pPr>
          <w:hyperlink w:anchor="__RefHeading___Toc3770437_2870459653">
            <w:r>
              <w:rPr>
                <w:webHidden/>
                <w:rStyle w:val="IndexLink"/>
                <w:rtl w:val="true"/>
              </w:rPr>
              <w:t>الباب الرابع</w:t>
            </w:r>
            <w:r>
              <w:rPr>
                <w:rStyle w:val="IndexLink"/>
                <w:rtl w:val="true"/>
              </w:rPr>
              <w:t xml:space="preserve">: </w:t>
            </w:r>
            <w:r>
              <w:rPr>
                <w:rStyle w:val="IndexLink"/>
                <w:rtl w:val="true"/>
              </w:rPr>
              <w:t>في أحمد</w:t>
            </w:r>
            <w:r>
              <w:rPr>
                <w:rStyle w:val="IndexLink"/>
                <w:rtl w:val="true"/>
              </w:rPr>
              <w:tab/>
            </w:r>
            <w:r>
              <w:rPr>
                <w:rStyle w:val="IndexLink"/>
              </w:rPr>
              <w:t>428</w:t>
            </w:r>
          </w:hyperlink>
        </w:p>
        <w:p>
          <w:pPr>
            <w:pStyle w:val="Contents6"/>
            <w:tabs>
              <w:tab w:val="clear" w:pos="7609"/>
              <w:tab w:val="right" w:pos="9026" w:leader="dot"/>
            </w:tabs>
            <w:rPr/>
          </w:pPr>
          <w:hyperlink w:anchor="__RefHeading___Toc3770439_2870459653">
            <w:r>
              <w:rPr>
                <w:webHidden/>
                <w:rStyle w:val="IndexLink"/>
              </w:rPr>
              <w:t>76</w:t>
            </w:r>
            <w:r>
              <w:rPr>
                <w:rStyle w:val="IndexLink"/>
                <w:rtl w:val="true"/>
              </w:rPr>
              <w:t xml:space="preserve"> - </w:t>
            </w:r>
            <w:r>
              <w:rPr>
                <w:rStyle w:val="IndexLink"/>
                <w:rtl w:val="true"/>
              </w:rPr>
              <w:t>أحمد بن الحسن بن إسماعيل</w:t>
            </w:r>
            <w:r>
              <w:rPr>
                <w:rStyle w:val="IndexLink"/>
                <w:rtl w:val="true"/>
              </w:rPr>
              <w:t>.</w:t>
              <w:tab/>
            </w:r>
            <w:r>
              <w:rPr>
                <w:rStyle w:val="IndexLink"/>
              </w:rPr>
              <w:t>428</w:t>
            </w:r>
          </w:hyperlink>
        </w:p>
        <w:p>
          <w:pPr>
            <w:pStyle w:val="Contents6"/>
            <w:tabs>
              <w:tab w:val="clear" w:pos="7609"/>
              <w:tab w:val="right" w:pos="9026" w:leader="dot"/>
            </w:tabs>
            <w:rPr/>
          </w:pPr>
          <w:hyperlink w:anchor="__RefHeading___Toc3770441_2870459653">
            <w:r>
              <w:rPr>
                <w:webHidden/>
                <w:rStyle w:val="IndexLink"/>
              </w:rPr>
              <w:t>77</w:t>
            </w:r>
            <w:r>
              <w:rPr>
                <w:rStyle w:val="IndexLink"/>
                <w:rtl w:val="true"/>
              </w:rPr>
              <w:t xml:space="preserve"> - </w:t>
            </w:r>
            <w:r>
              <w:rPr>
                <w:rStyle w:val="IndexLink"/>
                <w:rtl w:val="true"/>
              </w:rPr>
              <w:t>أحمد بن بشير</w:t>
            </w:r>
            <w:r>
              <w:rPr>
                <w:rStyle w:val="IndexLink"/>
                <w:rtl w:val="true"/>
              </w:rPr>
              <w:t>.</w:t>
              <w:tab/>
            </w:r>
            <w:r>
              <w:rPr>
                <w:rStyle w:val="IndexLink"/>
              </w:rPr>
              <w:t>428</w:t>
            </w:r>
          </w:hyperlink>
        </w:p>
        <w:p>
          <w:pPr>
            <w:pStyle w:val="Contents5"/>
            <w:tabs>
              <w:tab w:val="clear" w:pos="7892"/>
              <w:tab w:val="right" w:pos="9026" w:leader="dot"/>
            </w:tabs>
            <w:rPr/>
          </w:pPr>
          <w:hyperlink w:anchor="__RefHeading___Toc3770443_2870459653">
            <w:r>
              <w:rPr>
                <w:webHidden/>
                <w:rStyle w:val="IndexLink"/>
                <w:rtl w:val="true"/>
              </w:rPr>
              <w:t>الفصل الخامس</w:t>
            </w:r>
            <w:r>
              <w:rPr>
                <w:rStyle w:val="IndexLink"/>
                <w:rtl w:val="true"/>
              </w:rPr>
              <w:t xml:space="preserve">: </w:t>
            </w:r>
            <w:r>
              <w:rPr>
                <w:rStyle w:val="IndexLink"/>
                <w:rtl w:val="true"/>
              </w:rPr>
              <w:t>في الجيم</w:t>
            </w:r>
            <w:r>
              <w:rPr>
                <w:rStyle w:val="IndexLink"/>
                <w:rtl w:val="true"/>
              </w:rPr>
              <w:tab/>
            </w:r>
            <w:r>
              <w:rPr>
                <w:rStyle w:val="IndexLink"/>
              </w:rPr>
              <w:t>429</w:t>
            </w:r>
          </w:hyperlink>
        </w:p>
        <w:p>
          <w:pPr>
            <w:pStyle w:val="Contents6"/>
            <w:tabs>
              <w:tab w:val="clear" w:pos="7609"/>
              <w:tab w:val="right" w:pos="9026" w:leader="dot"/>
            </w:tabs>
            <w:rPr/>
          </w:pPr>
          <w:hyperlink w:anchor="__RefHeading___Toc3770445_2870459653">
            <w:r>
              <w:rPr>
                <w:webHidden/>
                <w:rStyle w:val="IndexLink"/>
                <w:rtl w:val="true"/>
              </w:rPr>
              <w:t>الباب الأوّل</w:t>
            </w:r>
            <w:r>
              <w:rPr>
                <w:rStyle w:val="IndexLink"/>
                <w:rtl w:val="true"/>
              </w:rPr>
              <w:t xml:space="preserve">: </w:t>
            </w:r>
            <w:r>
              <w:rPr>
                <w:rStyle w:val="IndexLink"/>
                <w:rtl w:val="true"/>
              </w:rPr>
              <w:t>في جعفر</w:t>
            </w:r>
            <w:r>
              <w:rPr>
                <w:rStyle w:val="IndexLink"/>
                <w:rtl w:val="true"/>
              </w:rPr>
              <w:tab/>
            </w:r>
            <w:r>
              <w:rPr>
                <w:rStyle w:val="IndexLink"/>
              </w:rPr>
              <w:t>429</w:t>
            </w:r>
          </w:hyperlink>
        </w:p>
        <w:p>
          <w:pPr>
            <w:pStyle w:val="Contents6"/>
            <w:tabs>
              <w:tab w:val="clear" w:pos="7609"/>
              <w:tab w:val="right" w:pos="9026" w:leader="dot"/>
            </w:tabs>
            <w:rPr/>
          </w:pPr>
          <w:hyperlink w:anchor="__RefHeading___Toc3770447_2870459653">
            <w:r>
              <w:rPr>
                <w:webHidden/>
                <w:rStyle w:val="IndexLink"/>
              </w:rPr>
              <w:t>78</w:t>
            </w:r>
            <w:r>
              <w:rPr>
                <w:rStyle w:val="IndexLink"/>
                <w:rtl w:val="true"/>
              </w:rPr>
              <w:t xml:space="preserve"> - </w:t>
            </w:r>
            <w:r>
              <w:rPr>
                <w:rStyle w:val="IndexLink"/>
                <w:rtl w:val="true"/>
              </w:rPr>
              <w:t>جعفر بن محمّد بن مالك</w:t>
            </w:r>
            <w:r>
              <w:rPr>
                <w:rStyle w:val="IndexLink"/>
                <w:rtl w:val="true"/>
              </w:rPr>
              <w:t>.</w:t>
              <w:tab/>
            </w:r>
            <w:r>
              <w:rPr>
                <w:rStyle w:val="IndexLink"/>
              </w:rPr>
              <w:t>429</w:t>
            </w:r>
          </w:hyperlink>
        </w:p>
        <w:p>
          <w:pPr>
            <w:pStyle w:val="Contents5"/>
            <w:tabs>
              <w:tab w:val="clear" w:pos="7892"/>
              <w:tab w:val="right" w:pos="9026" w:leader="dot"/>
            </w:tabs>
            <w:rPr/>
          </w:pPr>
          <w:hyperlink w:anchor="__RefHeading___Toc3770449_2870459653">
            <w:r>
              <w:rPr>
                <w:webHidden/>
                <w:rStyle w:val="IndexLink"/>
                <w:rtl w:val="true"/>
              </w:rPr>
              <w:t>الفصل السادس</w:t>
            </w:r>
            <w:r>
              <w:rPr>
                <w:rStyle w:val="IndexLink"/>
                <w:rtl w:val="true"/>
              </w:rPr>
              <w:t xml:space="preserve">: </w:t>
            </w:r>
            <w:r>
              <w:rPr>
                <w:rStyle w:val="IndexLink"/>
                <w:rtl w:val="true"/>
              </w:rPr>
              <w:t>في الحاء</w:t>
            </w:r>
            <w:r>
              <w:rPr>
                <w:rStyle w:val="IndexLink"/>
                <w:rtl w:val="true"/>
              </w:rPr>
              <w:tab/>
            </w:r>
            <w:r>
              <w:rPr>
                <w:rStyle w:val="IndexLink"/>
              </w:rPr>
              <w:t>429</w:t>
            </w:r>
          </w:hyperlink>
        </w:p>
        <w:p>
          <w:pPr>
            <w:pStyle w:val="Contents6"/>
            <w:tabs>
              <w:tab w:val="clear" w:pos="7609"/>
              <w:tab w:val="right" w:pos="9026" w:leader="dot"/>
            </w:tabs>
            <w:rPr/>
          </w:pPr>
          <w:hyperlink w:anchor="__RefHeading___Toc3770451_2870459653">
            <w:r>
              <w:rPr>
                <w:webHidden/>
                <w:rStyle w:val="IndexLink"/>
                <w:rtl w:val="true"/>
              </w:rPr>
              <w:t>الباب الثاني</w:t>
            </w:r>
            <w:r>
              <w:rPr>
                <w:rStyle w:val="IndexLink"/>
                <w:rtl w:val="true"/>
              </w:rPr>
              <w:t xml:space="preserve">: </w:t>
            </w:r>
            <w:r>
              <w:rPr>
                <w:rStyle w:val="IndexLink"/>
                <w:rtl w:val="true"/>
              </w:rPr>
              <w:t>في الحسين</w:t>
            </w:r>
            <w:r>
              <w:rPr>
                <w:rStyle w:val="IndexLink"/>
                <w:rtl w:val="true"/>
              </w:rPr>
              <w:tab/>
            </w:r>
            <w:r>
              <w:rPr>
                <w:rStyle w:val="IndexLink"/>
              </w:rPr>
              <w:t>429</w:t>
            </w:r>
          </w:hyperlink>
        </w:p>
        <w:p>
          <w:pPr>
            <w:pStyle w:val="Contents6"/>
            <w:tabs>
              <w:tab w:val="clear" w:pos="7609"/>
              <w:tab w:val="right" w:pos="9026" w:leader="dot"/>
            </w:tabs>
            <w:rPr/>
          </w:pPr>
          <w:hyperlink w:anchor="__RefHeading___Toc3770453_2870459653">
            <w:r>
              <w:rPr>
                <w:webHidden/>
                <w:rStyle w:val="IndexLink"/>
              </w:rPr>
              <w:t>79</w:t>
            </w:r>
            <w:r>
              <w:rPr>
                <w:rStyle w:val="IndexLink"/>
                <w:rtl w:val="true"/>
              </w:rPr>
              <w:t xml:space="preserve"> - </w:t>
            </w:r>
            <w:r>
              <w:rPr>
                <w:rStyle w:val="IndexLink"/>
                <w:rtl w:val="true"/>
              </w:rPr>
              <w:t>الحسين بن مهران</w:t>
            </w:r>
            <w:r>
              <w:rPr>
                <w:rStyle w:val="IndexLink"/>
                <w:rtl w:val="true"/>
              </w:rPr>
              <w:tab/>
            </w:r>
            <w:r>
              <w:rPr>
                <w:rStyle w:val="IndexLink"/>
              </w:rPr>
              <w:t>429</w:t>
            </w:r>
          </w:hyperlink>
        </w:p>
        <w:p>
          <w:pPr>
            <w:pStyle w:val="Contents5"/>
            <w:tabs>
              <w:tab w:val="clear" w:pos="7892"/>
              <w:tab w:val="right" w:pos="9026" w:leader="dot"/>
            </w:tabs>
            <w:rPr/>
          </w:pPr>
          <w:hyperlink w:anchor="__RefHeading___Toc3770455_2870459653">
            <w:r>
              <w:rPr>
                <w:webHidden/>
                <w:rStyle w:val="IndexLink"/>
                <w:rtl w:val="true"/>
              </w:rPr>
              <w:t>الفصل الحادي عشر</w:t>
            </w:r>
            <w:r>
              <w:rPr>
                <w:rStyle w:val="IndexLink"/>
                <w:rtl w:val="true"/>
              </w:rPr>
              <w:t xml:space="preserve">: </w:t>
            </w:r>
            <w:r>
              <w:rPr>
                <w:rStyle w:val="IndexLink"/>
                <w:rtl w:val="true"/>
              </w:rPr>
              <w:t>في السين</w:t>
            </w:r>
            <w:r>
              <w:rPr>
                <w:rStyle w:val="IndexLink"/>
                <w:rtl w:val="true"/>
              </w:rPr>
              <w:tab/>
            </w:r>
            <w:r>
              <w:rPr>
                <w:rStyle w:val="IndexLink"/>
              </w:rPr>
              <w:t>430</w:t>
            </w:r>
          </w:hyperlink>
        </w:p>
        <w:p>
          <w:pPr>
            <w:pStyle w:val="Contents6"/>
            <w:tabs>
              <w:tab w:val="clear" w:pos="7609"/>
              <w:tab w:val="right" w:pos="9026" w:leader="dot"/>
            </w:tabs>
            <w:rPr/>
          </w:pPr>
          <w:hyperlink w:anchor="__RefHeading___Toc3770457_2870459653">
            <w:r>
              <w:rPr>
                <w:webHidden/>
                <w:rStyle w:val="IndexLink"/>
                <w:rtl w:val="true"/>
              </w:rPr>
              <w:t>الباب الأوّل</w:t>
            </w:r>
            <w:r>
              <w:rPr>
                <w:rStyle w:val="IndexLink"/>
                <w:rtl w:val="true"/>
              </w:rPr>
              <w:t xml:space="preserve">: </w:t>
            </w:r>
            <w:r>
              <w:rPr>
                <w:rStyle w:val="IndexLink"/>
                <w:rtl w:val="true"/>
              </w:rPr>
              <w:t>في سليمان</w:t>
            </w:r>
            <w:r>
              <w:rPr>
                <w:rStyle w:val="IndexLink"/>
                <w:rtl w:val="true"/>
              </w:rPr>
              <w:tab/>
            </w:r>
            <w:r>
              <w:rPr>
                <w:rStyle w:val="IndexLink"/>
              </w:rPr>
              <w:t>430</w:t>
            </w:r>
          </w:hyperlink>
        </w:p>
        <w:p>
          <w:pPr>
            <w:pStyle w:val="Contents6"/>
            <w:tabs>
              <w:tab w:val="clear" w:pos="7609"/>
              <w:tab w:val="right" w:pos="9026" w:leader="dot"/>
            </w:tabs>
            <w:rPr/>
          </w:pPr>
          <w:hyperlink w:anchor="__RefHeading___Toc3770459_2870459653">
            <w:r>
              <w:rPr>
                <w:webHidden/>
                <w:rStyle w:val="IndexLink"/>
              </w:rPr>
              <w:t>80</w:t>
            </w:r>
            <w:r>
              <w:rPr>
                <w:rStyle w:val="IndexLink"/>
                <w:rtl w:val="true"/>
              </w:rPr>
              <w:t xml:space="preserve"> - </w:t>
            </w:r>
            <w:r>
              <w:rPr>
                <w:rStyle w:val="IndexLink"/>
                <w:rtl w:val="true"/>
              </w:rPr>
              <w:t>سليمان النخعيّ</w:t>
            </w:r>
            <w:r>
              <w:rPr>
                <w:rStyle w:val="IndexLink"/>
                <w:rtl w:val="true"/>
              </w:rPr>
              <w:tab/>
            </w:r>
            <w:r>
              <w:rPr>
                <w:rStyle w:val="IndexLink"/>
              </w:rPr>
              <w:t>430</w:t>
            </w:r>
          </w:hyperlink>
        </w:p>
        <w:p>
          <w:pPr>
            <w:pStyle w:val="Contents5"/>
            <w:tabs>
              <w:tab w:val="clear" w:pos="7892"/>
              <w:tab w:val="right" w:pos="9026" w:leader="dot"/>
            </w:tabs>
            <w:rPr/>
          </w:pPr>
          <w:hyperlink w:anchor="__RefHeading___Toc3770461_2870459653">
            <w:r>
              <w:rPr>
                <w:webHidden/>
                <w:rStyle w:val="IndexLink"/>
                <w:rtl w:val="true"/>
              </w:rPr>
              <w:t>الفصل الثاني والعشرون</w:t>
            </w:r>
            <w:r>
              <w:rPr>
                <w:rStyle w:val="IndexLink"/>
                <w:rtl w:val="true"/>
              </w:rPr>
              <w:t xml:space="preserve">: </w:t>
            </w:r>
            <w:r>
              <w:rPr>
                <w:rStyle w:val="IndexLink"/>
                <w:rtl w:val="true"/>
              </w:rPr>
              <w:t>في الميم</w:t>
            </w:r>
            <w:r>
              <w:rPr>
                <w:rStyle w:val="IndexLink"/>
                <w:rtl w:val="true"/>
              </w:rPr>
              <w:tab/>
            </w:r>
            <w:r>
              <w:rPr>
                <w:rStyle w:val="IndexLink"/>
              </w:rPr>
              <w:t>431</w:t>
            </w:r>
          </w:hyperlink>
        </w:p>
        <w:p>
          <w:pPr>
            <w:pStyle w:val="Contents6"/>
            <w:tabs>
              <w:tab w:val="clear" w:pos="7609"/>
              <w:tab w:val="right" w:pos="9026" w:leader="dot"/>
            </w:tabs>
            <w:rPr/>
          </w:pPr>
          <w:hyperlink w:anchor="__RefHeading___Toc3770463_2870459653">
            <w:r>
              <w:rPr>
                <w:webHidden/>
                <w:rStyle w:val="IndexLink"/>
                <w:rtl w:val="true"/>
              </w:rPr>
              <w:t>الباب الأوّل</w:t>
            </w:r>
            <w:r>
              <w:rPr>
                <w:rStyle w:val="IndexLink"/>
                <w:rtl w:val="true"/>
              </w:rPr>
              <w:t xml:space="preserve">: </w:t>
            </w:r>
            <w:r>
              <w:rPr>
                <w:rStyle w:val="IndexLink"/>
                <w:rtl w:val="true"/>
              </w:rPr>
              <w:t>في محمّد</w:t>
            </w:r>
            <w:r>
              <w:rPr>
                <w:rStyle w:val="IndexLink"/>
                <w:rtl w:val="true"/>
              </w:rPr>
              <w:tab/>
            </w:r>
            <w:r>
              <w:rPr>
                <w:rStyle w:val="IndexLink"/>
              </w:rPr>
              <w:t>431</w:t>
            </w:r>
          </w:hyperlink>
        </w:p>
        <w:p>
          <w:pPr>
            <w:pStyle w:val="Contents6"/>
            <w:tabs>
              <w:tab w:val="clear" w:pos="7609"/>
              <w:tab w:val="right" w:pos="9026" w:leader="dot"/>
            </w:tabs>
            <w:rPr/>
          </w:pPr>
          <w:hyperlink w:anchor="__RefHeading___Toc3770465_2870459653">
            <w:r>
              <w:rPr>
                <w:webHidden/>
                <w:rStyle w:val="IndexLink"/>
              </w:rPr>
              <w:t>81</w:t>
            </w:r>
            <w:r>
              <w:rPr>
                <w:rStyle w:val="IndexLink"/>
                <w:rtl w:val="true"/>
              </w:rPr>
              <w:t xml:space="preserve"> - </w:t>
            </w:r>
            <w:r>
              <w:rPr>
                <w:rStyle w:val="IndexLink"/>
                <w:rtl w:val="true"/>
              </w:rPr>
              <w:t>محمّد بن سنان</w:t>
            </w:r>
            <w:r>
              <w:rPr>
                <w:rStyle w:val="IndexLink"/>
                <w:rtl w:val="true"/>
              </w:rPr>
              <w:tab/>
            </w:r>
            <w:r>
              <w:rPr>
                <w:rStyle w:val="IndexLink"/>
              </w:rPr>
              <w:t>431</w:t>
            </w:r>
          </w:hyperlink>
        </w:p>
        <w:p>
          <w:pPr>
            <w:pStyle w:val="Contents6"/>
            <w:tabs>
              <w:tab w:val="clear" w:pos="7609"/>
              <w:tab w:val="right" w:pos="9026" w:leader="dot"/>
            </w:tabs>
            <w:rPr/>
          </w:pPr>
          <w:hyperlink w:anchor="__RefHeading___Toc3770467_2870459653">
            <w:r>
              <w:rPr>
                <w:webHidden/>
                <w:rStyle w:val="IndexLink"/>
              </w:rPr>
              <w:t>82</w:t>
            </w:r>
            <w:r>
              <w:rPr>
                <w:rStyle w:val="IndexLink"/>
                <w:rtl w:val="true"/>
              </w:rPr>
              <w:t xml:space="preserve"> - </w:t>
            </w:r>
            <w:r>
              <w:rPr>
                <w:rStyle w:val="IndexLink"/>
                <w:rtl w:val="true"/>
              </w:rPr>
              <w:t>معلّى بن خنيس</w:t>
            </w:r>
            <w:r>
              <w:rPr>
                <w:rStyle w:val="IndexLink"/>
                <w:rtl w:val="true"/>
              </w:rPr>
              <w:tab/>
            </w:r>
            <w:r>
              <w:rPr>
                <w:rStyle w:val="IndexLink"/>
              </w:rPr>
              <w:t>431</w:t>
            </w:r>
          </w:hyperlink>
        </w:p>
        <w:p>
          <w:pPr>
            <w:pStyle w:val="Contents5"/>
            <w:tabs>
              <w:tab w:val="clear" w:pos="7892"/>
              <w:tab w:val="right" w:pos="9026" w:leader="dot"/>
            </w:tabs>
            <w:rPr/>
          </w:pPr>
          <w:hyperlink w:anchor="__RefHeading___Toc3770469_2870459653">
            <w:r>
              <w:rPr>
                <w:webHidden/>
                <w:rStyle w:val="IndexLink"/>
                <w:rtl w:val="true"/>
              </w:rPr>
              <w:t>الفصل السابع والعشرون</w:t>
            </w:r>
            <w:r>
              <w:rPr>
                <w:rStyle w:val="IndexLink"/>
                <w:rtl w:val="true"/>
              </w:rPr>
              <w:t xml:space="preserve">: </w:t>
            </w:r>
            <w:r>
              <w:rPr>
                <w:rStyle w:val="IndexLink"/>
                <w:rtl w:val="true"/>
              </w:rPr>
              <w:t>في الكنى</w:t>
            </w:r>
            <w:r>
              <w:rPr>
                <w:rStyle w:val="IndexLink"/>
                <w:rtl w:val="true"/>
              </w:rPr>
              <w:tab/>
            </w:r>
            <w:r>
              <w:rPr>
                <w:rStyle w:val="IndexLink"/>
              </w:rPr>
              <w:t>433</w:t>
            </w:r>
          </w:hyperlink>
        </w:p>
        <w:p>
          <w:pPr>
            <w:pStyle w:val="Contents6"/>
            <w:tabs>
              <w:tab w:val="clear" w:pos="7609"/>
              <w:tab w:val="right" w:pos="9026" w:leader="dot"/>
            </w:tabs>
            <w:rPr/>
          </w:pPr>
          <w:hyperlink w:anchor="__RefHeading___Toc3770471_2870459653">
            <w:r>
              <w:rPr>
                <w:webHidden/>
                <w:rStyle w:val="IndexLink"/>
              </w:rPr>
              <w:t>83</w:t>
            </w:r>
            <w:r>
              <w:rPr>
                <w:rStyle w:val="IndexLink"/>
                <w:rtl w:val="true"/>
              </w:rPr>
              <w:t xml:space="preserve"> - </w:t>
            </w:r>
            <w:r>
              <w:rPr>
                <w:rStyle w:val="IndexLink"/>
                <w:rtl w:val="true"/>
              </w:rPr>
              <w:t>أبو عليّ الأشعريّ</w:t>
            </w:r>
            <w:r>
              <w:rPr>
                <w:rStyle w:val="IndexLink"/>
                <w:rtl w:val="true"/>
              </w:rPr>
              <w:t>.</w:t>
              <w:tab/>
            </w:r>
            <w:r>
              <w:rPr>
                <w:rStyle w:val="IndexLink"/>
              </w:rPr>
              <w:t>433</w:t>
            </w:r>
          </w:hyperlink>
        </w:p>
        <w:p>
          <w:pPr>
            <w:pStyle w:val="Contents6"/>
            <w:tabs>
              <w:tab w:val="clear" w:pos="7609"/>
              <w:tab w:val="right" w:pos="9026" w:leader="dot"/>
            </w:tabs>
            <w:rPr/>
          </w:pPr>
          <w:hyperlink w:anchor="__RefHeading___Toc3770473_2870459653">
            <w:r>
              <w:rPr>
                <w:webHidden/>
                <w:rStyle w:val="IndexLink"/>
              </w:rPr>
              <w:t>84</w:t>
            </w:r>
            <w:r>
              <w:rPr>
                <w:rStyle w:val="IndexLink"/>
                <w:rtl w:val="true"/>
              </w:rPr>
              <w:t xml:space="preserve"> - </w:t>
            </w:r>
            <w:r>
              <w:rPr>
                <w:rStyle w:val="IndexLink"/>
                <w:rtl w:val="true"/>
              </w:rPr>
              <w:t>الفائدة الثامنة</w:t>
            </w:r>
            <w:r>
              <w:rPr>
                <w:rStyle w:val="IndexLink"/>
                <w:rtl w:val="true"/>
              </w:rPr>
              <w:tab/>
            </w:r>
            <w:r>
              <w:rPr>
                <w:rStyle w:val="IndexLink"/>
              </w:rPr>
              <w:t>433</w:t>
            </w:r>
          </w:hyperlink>
        </w:p>
        <w:p>
          <w:pPr>
            <w:pStyle w:val="Contents6"/>
            <w:tabs>
              <w:tab w:val="clear" w:pos="7609"/>
              <w:tab w:val="right" w:pos="9026" w:leader="dot"/>
            </w:tabs>
            <w:rPr/>
          </w:pPr>
          <w:hyperlink w:anchor="__RefHeading___Toc3770475_2870459653">
            <w:r>
              <w:rPr>
                <w:webHidden/>
                <w:rStyle w:val="IndexLink"/>
              </w:rPr>
              <w:t>85</w:t>
            </w:r>
            <w:r>
              <w:rPr>
                <w:rStyle w:val="IndexLink"/>
                <w:rtl w:val="true"/>
              </w:rPr>
              <w:t xml:space="preserve"> - </w:t>
            </w:r>
            <w:r>
              <w:rPr>
                <w:rStyle w:val="IndexLink"/>
                <w:rtl w:val="true"/>
              </w:rPr>
              <w:t>الفائدة العاشرة</w:t>
            </w:r>
            <w:r>
              <w:rPr>
                <w:rStyle w:val="IndexLink"/>
                <w:rtl w:val="true"/>
              </w:rPr>
              <w:tab/>
            </w:r>
            <w:r>
              <w:rPr>
                <w:rStyle w:val="IndexLink"/>
              </w:rPr>
              <w:t>433</w:t>
            </w:r>
          </w:hyperlink>
        </w:p>
        <w:p>
          <w:pPr>
            <w:pStyle w:val="Contents4"/>
            <w:tabs>
              <w:tab w:val="clear" w:pos="8176"/>
              <w:tab w:val="right" w:pos="9026" w:leader="dot"/>
            </w:tabs>
            <w:rPr/>
          </w:pPr>
          <w:hyperlink w:anchor="__RefHeading___Toc3770477_2870459653">
            <w:r>
              <w:rPr>
                <w:webHidden/>
                <w:rStyle w:val="IndexLink"/>
                <w:rtl w:val="true"/>
              </w:rPr>
              <w:t>مصادرالتحقيق</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7_80109"/>
      <w:bookmarkStart w:id="1" w:name="pg9167_80109"/>
      <w:bookmarkEnd w:id="1"/>
    </w:p>
    <w:p>
      <w:pPr>
        <w:pStyle w:val="Heading2"/>
        <w:numPr>
          <w:ilvl w:val="1"/>
          <w:numId w:val="1"/>
        </w:numPr>
        <w:rPr/>
      </w:pPr>
      <w:bookmarkStart w:id="2" w:name="pg9167_80109"/>
      <w:bookmarkStart w:id="3" w:name="__RefHeading___Toc3769757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الهيأة العلمية</w:t>
      </w:r>
    </w:p>
    <w:p>
      <w:pPr>
        <w:pStyle w:val="BookText"/>
        <w:rPr/>
      </w:pPr>
      <w:r>
        <w:rPr>
          <w:rFonts w:ascii="Amiri" w:hAnsi="Amiri" w:eastAsia="Amiri" w:cs="Amiri"/>
          <w:color w:val="111111"/>
          <w:sz w:val="28"/>
          <w:sz w:val="28"/>
          <w:szCs w:val="28"/>
          <w:rtl w:val="true"/>
          <w:lang w:bidi="ar-SA"/>
        </w:rPr>
        <w:t>نخبة من أساتذة الحوزة العلمية في النجف الأشرف</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السيد جواد الموسوي الغريفي</w:t>
      </w:r>
    </w:p>
    <w:p>
      <w:pPr>
        <w:pStyle w:val="BookText"/>
        <w:rPr/>
      </w:pPr>
      <w:r>
        <w:rPr>
          <w:rFonts w:ascii="Amiri" w:hAnsi="Amiri" w:eastAsia="Amiri" w:cs="Amiri"/>
          <w:color w:val="111111"/>
          <w:sz w:val="28"/>
          <w:sz w:val="28"/>
          <w:szCs w:val="28"/>
          <w:rtl w:val="true"/>
          <w:lang w:bidi="ar-SA"/>
        </w:rPr>
        <w:t>هيأة التحرير</w:t>
      </w:r>
    </w:p>
    <w:p>
      <w:pPr>
        <w:pStyle w:val="BookText"/>
        <w:rPr/>
      </w:pPr>
      <w:r>
        <w:rPr>
          <w:rFonts w:ascii="Amiri" w:hAnsi="Amiri" w:eastAsia="Amiri" w:cs="Amiri"/>
          <w:color w:val="111111"/>
          <w:sz w:val="28"/>
          <w:sz w:val="28"/>
          <w:szCs w:val="28"/>
          <w:rtl w:val="true"/>
          <w:lang w:bidi="ar-SA"/>
        </w:rPr>
        <w:t>الشيخ محمد الجعفري</w:t>
      </w:r>
    </w:p>
    <w:p>
      <w:pPr>
        <w:pStyle w:val="BookText"/>
        <w:rPr/>
      </w:pPr>
      <w:r>
        <w:rPr>
          <w:rFonts w:ascii="Amiri" w:hAnsi="Amiri" w:eastAsia="Amiri" w:cs="Amiri"/>
          <w:color w:val="111111"/>
          <w:sz w:val="28"/>
          <w:sz w:val="28"/>
          <w:szCs w:val="28"/>
          <w:rtl w:val="true"/>
          <w:lang w:bidi="ar-SA"/>
        </w:rPr>
        <w:t>الشيخ قاسم الطائي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العددان التاسع عشر والعشرون</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صورة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 من المخطوط المطبوع في هذا العدد بخط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 قدس سره</w:t>
      </w:r>
      <w:r>
        <w:rPr>
          <w:rFonts w:eastAsia="IRNazanin" w:cs="IRNazanin"/>
          <w:color w:val="111111"/>
          <w:sz w:val="28"/>
          <w:szCs w:val="28"/>
          <w:rtl w:val="true"/>
          <w:lang w:bidi="fa-IR"/>
        </w:rPr>
        <w:t>).</w:t>
      </w:r>
    </w:p>
    <w:p>
      <w:pPr>
        <w:pStyle w:val="Heading2"/>
        <w:numPr>
          <w:ilvl w:val="1"/>
          <w:numId w:val="1"/>
        </w:numPr>
        <w:rPr/>
      </w:pPr>
      <w:bookmarkStart w:id="5" w:name="__RefHeading___Toc376975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مجلة نصف سنونية تصدر عن المدرسة العلمية الاخون الصغرى في النجف الأشرف</w:t>
      </w:r>
    </w:p>
    <w:p>
      <w:pPr>
        <w:pStyle w:val="BookText"/>
        <w:rPr/>
      </w:pPr>
      <w:r>
        <w:rPr>
          <w:rFonts w:ascii="Amiri" w:hAnsi="Amiri" w:eastAsia="Amiri" w:cs="Amiri"/>
          <w:color w:val="111111"/>
          <w:sz w:val="28"/>
          <w:sz w:val="28"/>
          <w:szCs w:val="28"/>
          <w:rtl w:val="true"/>
          <w:lang w:bidi="ar-SA"/>
        </w:rPr>
        <w:t>تعنى بالابْحَاتِ التَّخَصُصِيَة في الحوزة العلمية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العددان التاسع عشر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167_80112"/>
    </w:p>
    <w:p>
      <w:pPr>
        <w:pStyle w:val="Heading2"/>
        <w:numPr>
          <w:ilvl w:val="1"/>
          <w:numId w:val="1"/>
        </w:numPr>
        <w:rPr/>
      </w:pPr>
      <w:bookmarkStart w:id="8" w:name="__RefHeading___Toc3769761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 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بخطٍّ متوسّط الحجم، 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البحث لمراجعة هيئة علميَّة 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وحدها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 ولا يُعبّر بالضرورة عن رأي المجلَّة</w:t>
      </w:r>
      <w:r>
        <w:rPr>
          <w:rFonts w:eastAsia="Amiri" w:cs="Amiri" w:ascii="Amiri" w:hAnsi="Amiri"/>
          <w:color w:val="111111"/>
          <w:sz w:val="28"/>
          <w:szCs w:val="28"/>
          <w:rtl w:val="true"/>
          <w:lang w:bidi="ar-SA"/>
        </w:rPr>
        <w:t xml:space="preserve">. </w:t>
      </w:r>
      <w:bookmarkStart w:id="10" w:name="pg9167_80113"/>
    </w:p>
    <w:p>
      <w:pPr>
        <w:pStyle w:val="Heading2"/>
        <w:numPr>
          <w:ilvl w:val="1"/>
          <w:numId w:val="1"/>
        </w:numPr>
        <w:rPr/>
      </w:pPr>
      <w:bookmarkStart w:id="11" w:name="__RefHeading___Toc3769763_2870459653"/>
      <w:bookmarkStart w:id="12" w:name="_Toc4"/>
      <w:bookmarkEnd w:id="10"/>
      <w:bookmarkEnd w:id="11"/>
      <w:r>
        <w:rPr>
          <w:rtl w:val="true"/>
        </w:rPr>
        <w:t>المحتوی</w:t>
      </w:r>
      <w:bookmarkEnd w:id="12"/>
    </w:p>
    <w:p>
      <w:pPr>
        <w:pStyle w:val="BookText"/>
        <w:rPr/>
      </w:pPr>
      <w:r>
        <w:rPr>
          <w:rFonts w:ascii="Amiri" w:hAnsi="Amiri" w:eastAsia="Amiri" w:cs="Amiri"/>
          <w:color w:val="111111"/>
          <w:sz w:val="28"/>
          <w:sz w:val="28"/>
          <w:szCs w:val="28"/>
          <w:rtl w:val="true"/>
          <w:lang w:bidi="ar-SA"/>
        </w:rPr>
        <w:t xml:space="preserve">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العددان التاسع عشر والعشرون</w:t>
      </w:r>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 xml:space="preserve">هيئة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وحدة أو تعدد سورتي الضحى والانشراح وسورتي الفيل وقريش</w:t>
      </w:r>
    </w:p>
    <w:p>
      <w:pPr>
        <w:pStyle w:val="BookText"/>
        <w:rPr/>
      </w:pPr>
      <w:r>
        <w:rPr>
          <w:rFonts w:ascii="Amiri" w:hAnsi="Amiri" w:eastAsia="Amiri" w:cs="Amiri"/>
          <w:color w:val="111111"/>
          <w:sz w:val="28"/>
          <w:sz w:val="28"/>
          <w:szCs w:val="28"/>
          <w:rtl w:val="true"/>
          <w:lang w:bidi="ar-SA"/>
        </w:rPr>
        <w:t xml:space="preserve">الشيخ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ملكية الدولة</w:t>
      </w:r>
    </w:p>
    <w:p>
      <w:pPr>
        <w:pStyle w:val="BookText"/>
        <w:rPr/>
      </w:pPr>
      <w:r>
        <w:rPr>
          <w:rFonts w:ascii="Amiri" w:hAnsi="Amiri" w:eastAsia="Amiri" w:cs="Amiri"/>
          <w:color w:val="111111"/>
          <w:sz w:val="28"/>
          <w:sz w:val="28"/>
          <w:szCs w:val="28"/>
          <w:rtl w:val="true"/>
          <w:lang w:bidi="ar-SA"/>
        </w:rPr>
        <w:t xml:space="preserve">الشيخ وليد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اجتماع العدد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الشيخ علاء آل شويجة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انقلاب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حميد 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دراسة في مصادر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حاشية الشيخ حسن ابن الشهيد الثاني على خلاصة الأقوال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حاشية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الخلاصة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67_80115"/>
      <w:bookmarkStart w:id="14" w:name="pg9167_80115"/>
      <w:bookmarkEnd w:id="14"/>
    </w:p>
    <w:p>
      <w:pPr>
        <w:pStyle w:val="Heading2"/>
        <w:numPr>
          <w:ilvl w:val="1"/>
          <w:numId w:val="1"/>
        </w:numPr>
        <w:rPr/>
      </w:pPr>
      <w:bookmarkStart w:id="15" w:name="pg9167_80115"/>
      <w:bookmarkStart w:id="16" w:name="__RefHeading___Toc3769765_2870459653"/>
      <w:bookmarkStart w:id="17" w:name="_Toc5"/>
      <w:bookmarkEnd w:id="15"/>
      <w:bookmarkEnd w:id="16"/>
      <w:r>
        <w:rPr>
          <w:rtl w:val="true"/>
        </w:rPr>
        <w:t>کلمة العدد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النبي الأمين محمد وآله الطاهرين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فكل شيء يزداد في الوجود عمراً يرجع إلى النقصان بعد الازدهار، إلا ما يرتبط بالعلم وشؤونه فإنّ مرور الزمان عليه لا يزيده إلا ازدهاراً ونمواً، وما خالط العلم والبحث عنه شيء إلا ناله من شرفه نور يرتفع به مثاله، وتبقى بعده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نستمد في المجلة الرغبة والشغف في العمل كلّما مضينا قدماً في ومن أعدادها، ودارت عجلة الصدور تطوي حثيثاً في السنوات، وقد تفرض علينا مناسبة المزامنة بين أوقات الإصدار أن ينتظم عددان في إصدار واحد كما في هذا الإصدار الذي ضم العددين التاسع عشر والعشرين و به اكتملت عشرون زهرة تفتحت منذ صدور المجلة، وفي النفوس آمال وتطلع لأن يكون في قرائح أهل الفضل والبحث والتأليف ما يساهم في انتشار مزيد من أزهار الأعداد الكامنة في أكمامها تنتظر ربيعها المؤاتي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الإصدار من المجلة يمضي على إثر أعدادها السابقة، ويتابع اختيار الموضوعات التي تهتم بها المجلة كونه من تخصصاتها ولو في جهة ما حتى لو بدا بعضها يعنى بموضوع لا يضرب في صميم علمي الفقه والأصول قدماً إلا طابعاً جانبياً في أحدهما، لكنه لا يشدّ عن كونه من كبريات المسائل الدينية كالأبحاث القرآنية، وعلم الحديث ودرايته، وما يرجع إلى العقائد ما دام البحث فيها يعتمد الأصول المعتبرة المقرّرة في الأبحاث العالية الإسلامية ضمن الركائز التي قامت عليها المدرسة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الرؤية مهدنا الطريق لعدة بحوث للظهور، منها بحث يتعرّض لمسألة اتحاد أو تعدد بعض السور القرآنية المدوّنة في مصاحف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 مستقلة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والانشراح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وقريش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مسألة قرآنية تدخل ضمن اهتمامات المجلة، مع إمكان أن تدخل في دائرة علم الفقه أيضاً بوقوعها موضوعاً لبعض مسائله، بناءً على وجوب قراءة المصلي لسورة كاملة بعد فاتحة الكتاب في الركعتين الأوليين من كل فريضة وعدم جواز الاكتفاء ببعض السورة، فإنّ ذلك الحكم يعني عدم كفاية الاقتصار على قراءة إحدى تينك السورتين على تقدير كونها سورة واحدة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بعيداً عن كلامنا في علاقة الموضوعات المتنوعة بمحور اهتمام المجلة دراسة أخرى وردت في هذا العدد حول مصادر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 بعض الأعلام أن بمراجعة المشيخة والطرق إلى الروايات المعتمدة في الكتاب التي عقد 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المشيخة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يتضح عدم شمول ودقة ما وعد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التزامه بعدم تصدير الرواية إلا باسم من أخذ الرواية من كتابه، فتكون نتيجة هذا البحث تحريراً لجملة من روايات </w:t>
      </w:r>
    </w:p>
    <w:p>
      <w:pPr>
        <w:pStyle w:val="BookText"/>
        <w:rPr/>
      </w:pPr>
      <w:r>
        <w:rPr>
          <w:rFonts w:ascii="IRNazanin" w:hAnsi="IRNazanin" w:eastAsia="IRNazanin"/>
          <w:color w:val="111111"/>
          <w:sz w:val="28"/>
          <w:sz w:val="28"/>
          <w:szCs w:val="28"/>
          <w:rtl w:val="true"/>
          <w:lang w:bidi="fa-IR"/>
        </w:rPr>
        <w:t>التهذيب من الارتباط في الأسانيد العامة التي تقيد بها في المشيخة ورتبها على وفق ترتیب ورود من تنتهي إليهم في الكتاب ومن هنا نكون قد فتحنا بمثل هذه البحوث باباً إلى تبني طرق جديدة لاعتبار أو عدم اعتبار تلك الروايات غير التفتيش في تلك الأسانيد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دخول نتائج هذا البحث وأمثاله في موضوع اهتمام المجلة من جهة تنقيح طرق اعتبار الروايات التي هي إحدى أهم الركائز الأساسية التي تقوم عليها العلوم الإسلامية النقلية، ولا يخلو بحث عال في جهة علمية من شؤون الإسلام يحتاج فيها إلى الإثبات النقلي من محاولة تبني أو تأسيس أو تكييف وسيلة إثباتية قوية تعتمد فيها بعض الروايات المتعرضة للمسألة الدينية بما يتناسب مع تطور وسائل</w:t>
      </w:r>
    </w:p>
    <w:p>
      <w:pPr>
        <w:pStyle w:val="BookText"/>
        <w:rPr/>
      </w:pPr>
      <w:r>
        <w:rPr>
          <w:rFonts w:ascii="Amiri" w:hAnsi="Amiri" w:eastAsia="Amiri" w:cs="Amiri"/>
          <w:color w:val="111111"/>
          <w:sz w:val="28"/>
          <w:sz w:val="28"/>
          <w:szCs w:val="28"/>
          <w:rtl w:val="true"/>
          <w:lang w:bidi="ar-SA"/>
        </w:rPr>
        <w:t>الإثبات والنقاش فيها، هذا في غير مسائل علمي الفقه والأصول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أصل مضمار مسائل هذين العلمين فقد وردت في هذا العدد جملة من البحوث الفقهية والأصولية المهمة، فعلى صعيد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مرت الإشارة إليه في مسألة اتحاد وتعدد بعض السور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بحثان آخران، أحدهما عن اجتماع العدد للمرأة لاجتماع أسبابها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كالطلاق والوفاة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فيبحث في الفقه عن تداخلها وعدمه، والآخر عن ملكية الدولة التي لا يكون على رأسها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وهذا بحث تتوقف عليه جملة من المعاملات والتبادلات المالية بين المسلم ومؤسسات الدولة الحديثة، وطبيعة المال العام الذي بيدها، وعلاقة الحاكم الشرعي به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صعيد الأصول فنطالع في هذا العدد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بحث أصولي بامتياز وذو فائدة مباشرة في الفقه؛ إذ على أساس نتيجة هذا البحث يحكم بوقوع التعارض بين الروايات أو بإمكان الجمع العرفي بينها في الجملة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كل عدد تحل مخطوطةٌ من التراث ضيفة يزينها عمل التحقيق ليكون جواز عبورها للنشر، وحيث يصل المطالع إلى هذه الزاوية من المجلة يكون قد تنفس عميقاً من تعب القراءة بنكهة المعاصرة لينتقل إلى لون آخر من آثار الخالدين ليقلب نظره في أثر من مؤلفات علمائنا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هذا الإصدار مخطوطة لحاشية الشيخ حسن ابن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حاشية والده الشهيد الثاني أيضاً، وهي فرصة لأهل الفضل يتعرفون من خلالها على ثاقب نظر مؤلّفها وخبرته في مجال نقد رجال الحديث وأسانيده التي تظهر جلية في باقي مؤلفات هذا العيلم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ختاماً نتمنى أن يُتلقى هذا العدد بالقبول كالأعداد السابقة، والشكر والعرفان موصول إلى الهيئة العلمية المتابعة لاستيفاء البحوث للضبط العلمي العام والأسس الرصينة للبحث، كما تقيم المجلة عالياً همم الباحثين في رفدهم المجلة بالبحوث المتنوعة، ونأمل ممن لم يسعفهم الوقت أو حالت بينهم وبين إكمال بحوثهم الا م الأحداث والموانع أن يحثوا الخطى لنرى بحوثهم في الأعداد القادمة للمجلة إن شاء الله تعالى، وما توفيقنا إلا بالله عليه نتوكل وإليه ننيب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التحرير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18" w:name="pg9167_80119"/>
    </w:p>
    <w:p>
      <w:pPr>
        <w:pStyle w:val="Heading2"/>
        <w:numPr>
          <w:ilvl w:val="1"/>
          <w:numId w:val="1"/>
        </w:numPr>
        <w:rPr/>
      </w:pPr>
      <w:bookmarkStart w:id="19" w:name="__RefHeading___Toc3769767_2870459653"/>
      <w:bookmarkStart w:id="20" w:name="_Toc6"/>
      <w:bookmarkEnd w:id="18"/>
      <w:bookmarkEnd w:id="19"/>
      <w:r>
        <w:rPr>
          <w:rtl w:val="true"/>
        </w:rPr>
        <w:t xml:space="preserve">وحدة أو تعدد سورتي الضحى والانشراح وسورتي الفيل وقريش </w:t>
      </w:r>
      <w:r>
        <w:rPr>
          <w:rtl w:val="true"/>
        </w:rPr>
        <w:t xml:space="preserve">- </w:t>
      </w:r>
      <w:r>
        <w:rPr>
          <w:rtl w:val="true"/>
        </w:rPr>
        <w:t xml:space="preserve">الشيخ محمد الجعفري </w:t>
      </w:r>
      <w:r>
        <w:rPr>
          <w:rtl w:val="true"/>
        </w:rPr>
        <w:t>(</w:t>
      </w:r>
      <w:r>
        <w:rPr>
          <w:rtl w:val="true"/>
        </w:rPr>
        <w:t>دام عزه</w:t>
      </w:r>
      <w:r>
        <w:rPr>
          <w:rtl w:val="true"/>
        </w:rPr>
        <w:t>)</w:t>
      </w:r>
      <w:bookmarkEnd w:id="20"/>
    </w:p>
    <w:p>
      <w:pPr>
        <w:pStyle w:val="Heading3"/>
        <w:numPr>
          <w:ilvl w:val="2"/>
          <w:numId w:val="1"/>
        </w:numPr>
        <w:rPr/>
      </w:pPr>
      <w:bookmarkStart w:id="21" w:name="__RefHeading___Toc3769769_2870459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قد اشتهر بين فقهائنا بل ادّعي عليه الإجماع أنَّ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فلا يجتزأ في الفريضة إلَّا بقراءة كليهما بناءً على وجوب قراءة سورة كاملة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هناك من قال إنَّ كُلَّ واحدة من السور الأربع سورة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فتكفي قراءة إحداها في الفريضة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يدي القارئ الكريم بحث يتناول هذه المسألة بالتفصيل في ضوء المدرستين</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المسائل الابتلائية الكثيرة الدوران مسألة وجوب قراءة سورة تامّة بعد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السور التي وقعت محلَّاً للخلاف هي سور الضحى والانشراح، والفيل ولإيلاف، فقد قيل إنَّ الأُولتين سورة واحدة وكذا الأخيرتين، وقيل بل كلٌّ منها سورة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أراد المكلّف أن يقرأ سورة الضحى فهل يُكتفى بها أم لا بُدَّ من أن يضمّ إليها سورة الانشراح، وكذا إذا أراد أن يقرأ سورة الفيل فهل يُكتفى بها أم لا بُدَّ أن يضمّ إليها سورة لإيلاف؟</w:t>
      </w:r>
    </w:p>
    <w:p>
      <w:pPr>
        <w:pStyle w:val="BookText"/>
        <w:rPr/>
      </w:pPr>
      <w:r>
        <w:rPr>
          <w:rFonts w:ascii="Amiri" w:hAnsi="Amiri" w:eastAsia="Amiri" w:cs="Amiri"/>
          <w:color w:val="111111"/>
          <w:sz w:val="28"/>
          <w:sz w:val="28"/>
          <w:szCs w:val="28"/>
          <w:rtl w:val="true"/>
          <w:lang w:bidi="ar-SA"/>
        </w:rPr>
        <w:t>وهذا البحث معقود لتنقيح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ونعقد البحث في محورين رئيسين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ملخّص البحث ونتيجته</w:t>
      </w:r>
      <w:r>
        <w:rPr>
          <w:rFonts w:eastAsia="Amiri" w:cs="Amiri" w:ascii="Amiri" w:hAnsi="Amiri"/>
          <w:color w:val="111111"/>
          <w:sz w:val="28"/>
          <w:szCs w:val="28"/>
          <w:rtl w:val="true"/>
          <w:lang w:bidi="ar-SA"/>
        </w:rPr>
        <w:t xml:space="preserve">. </w:t>
      </w:r>
      <w:bookmarkStart w:id="23" w:name="pg9167_80122"/>
    </w:p>
    <w:p>
      <w:pPr>
        <w:pStyle w:val="Heading3"/>
        <w:numPr>
          <w:ilvl w:val="2"/>
          <w:numId w:val="1"/>
        </w:numPr>
        <w:rPr/>
      </w:pPr>
      <w:bookmarkStart w:id="24" w:name="__RefHeading___Toc3769771_2870459653"/>
      <w:bookmarkStart w:id="25" w:name="_Toc8"/>
      <w:bookmarkEnd w:id="23"/>
      <w:bookmarkEnd w:id="24"/>
      <w:r>
        <w:rPr>
          <w:rtl w:val="true"/>
        </w:rPr>
        <w:t>المحور الأوّل</w:t>
      </w:r>
      <w:r>
        <w:rPr>
          <w:rtl w:val="true"/>
        </w:rPr>
        <w:t xml:space="preserve">: </w:t>
      </w:r>
      <w:r>
        <w:rPr>
          <w:rtl w:val="true"/>
        </w:rPr>
        <w:t>الأقوال في المسألة</w:t>
      </w:r>
      <w:bookmarkEnd w:id="25"/>
    </w:p>
    <w:p>
      <w:pPr>
        <w:pStyle w:val="Heading4"/>
        <w:numPr>
          <w:ilvl w:val="3"/>
          <w:numId w:val="1"/>
        </w:numPr>
        <w:rPr/>
      </w:pPr>
      <w:bookmarkStart w:id="26" w:name="__RefHeading___Toc3769773_2870459653"/>
      <w:bookmarkStart w:id="27" w:name="_Toc9"/>
      <w:bookmarkEnd w:id="26"/>
      <w:r>
        <w:rPr>
          <w:rtl w:val="true"/>
        </w:rPr>
        <w:t>أقوال أهل السنّة</w:t>
      </w:r>
      <w:bookmarkEnd w:id="27"/>
    </w:p>
    <w:p>
      <w:pPr>
        <w:pStyle w:val="Heading5"/>
        <w:numPr>
          <w:ilvl w:val="4"/>
          <w:numId w:val="1"/>
        </w:numPr>
        <w:rPr/>
      </w:pPr>
      <w:bookmarkStart w:id="28" w:name="__RefHeading___Toc3769775_2870459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قبل التعرّض لسرد أقوال علمائنا نعرض بإيجاز ما نقل من قول وفعل الصحابة والتابعين ومن بعدهم في هذا الشأن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تطرح هذه المسألة في الفقه لدى أهل السنّة صريحاً في موضعها المناسب، وهو حدود القراءة في الصلاة، ولكن ذكر في مجموع تراثهم أقوال وأفعال قد تتعلّق بالمقام، وهو يدور حول نقطتين</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769777_2870459653"/>
      <w:bookmarkStart w:id="31" w:name="_Toc11"/>
      <w:bookmarkEnd w:id="30"/>
      <w:r>
        <w:rPr>
          <w:rtl w:val="true"/>
        </w:rPr>
        <w:t>النقطة الأولى</w:t>
      </w:r>
      <w:r>
        <w:rPr>
          <w:rtl w:val="true"/>
        </w:rPr>
        <w:t xml:space="preserve">: </w:t>
      </w:r>
      <w:r>
        <w:rPr>
          <w:rtl w:val="true"/>
        </w:rPr>
        <w:t>الجمع بين السورتين في الصلاة</w:t>
      </w:r>
      <w:bookmarkEnd w:id="31"/>
    </w:p>
    <w:p>
      <w:pPr>
        <w:pStyle w:val="BookText"/>
        <w:rPr/>
      </w:pPr>
      <w:r>
        <w:rPr>
          <w:rFonts w:ascii="Amiri" w:hAnsi="Amiri" w:eastAsia="Amiri" w:cs="Amiri"/>
          <w:color w:val="111111"/>
          <w:sz w:val="28"/>
          <w:sz w:val="28"/>
          <w:szCs w:val="28"/>
          <w:rtl w:val="true"/>
          <w:lang w:bidi="ar-SA"/>
        </w:rPr>
        <w:t xml:space="preserve">حكي ذلك عن جمع، فقد نقل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جمع بين سورتي الفيل ولإيلاف في صلاة المغرب</w:t>
      </w:r>
      <w:r>
        <w:rPr>
          <w:rStyle w:val="FootnoteAnchor"/>
          <w:rtl w:val="true"/>
        </w:rPr>
        <w:footnoteReference w:id="3"/>
      </w:r>
      <w:r>
        <w:rPr>
          <w:rFonts w:ascii="Amiri" w:hAnsi="Amiri" w:eastAsia="Amiri" w:cs="Amiri"/>
          <w:color w:val="111111"/>
          <w:sz w:val="28"/>
          <w:sz w:val="28"/>
          <w:szCs w:val="28"/>
          <w:rtl w:val="true"/>
          <w:lang w:bidi="ar-SA"/>
        </w:rPr>
        <w:t>، ونقل عن أُبيّ</w:t>
      </w:r>
      <w:r>
        <w:rPr>
          <w:rStyle w:val="FootnoteAnchor"/>
          <w:rtl w:val="true"/>
        </w:rPr>
        <w:footnoteReference w:id="4"/>
      </w:r>
      <w:r>
        <w:rPr>
          <w:rFonts w:ascii="Amiri" w:hAnsi="Amiri" w:eastAsia="Amiri" w:cs="Amiri"/>
          <w:color w:val="111111"/>
          <w:sz w:val="28"/>
          <w:sz w:val="28"/>
          <w:szCs w:val="28"/>
          <w:rtl w:val="true"/>
          <w:lang w:bidi="ar-SA"/>
        </w:rPr>
        <w:t>أنَّه قد جمع بين الضحى وألم نشرح في المكتوبة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في صلاة المغرب الفيل ولإيلاف </w:t>
      </w:r>
      <w:bookmarkStart w:id="32" w:name="pg9167_80123"/>
    </w:p>
    <w:p>
      <w:pPr>
        <w:pStyle w:val="BookText"/>
        <w:rPr/>
      </w:pPr>
      <w:bookmarkEnd w:id="32"/>
      <w:r>
        <w:rPr>
          <w:rFonts w:ascii="Amiri" w:hAnsi="Amiri" w:eastAsia="Amiri" w:cs="Amiri"/>
          <w:color w:val="111111"/>
          <w:sz w:val="28"/>
          <w:sz w:val="28"/>
          <w:szCs w:val="28"/>
          <w:rtl w:val="true"/>
          <w:lang w:bidi="ar-SA"/>
        </w:rPr>
        <w:t>ولم يفصل بينهما بالبسملة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لنا إمام يقرأ بهما متّصلة سورة واحدة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الموقف قد يتخرّج على القِران بين السورتين، وذلك أمر منقول عن غير واحد من الصحابة وغيرهم</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769779_2870459653"/>
      <w:bookmarkStart w:id="34" w:name="_Toc12"/>
      <w:bookmarkEnd w:id="33"/>
      <w:r>
        <w:rPr>
          <w:rtl w:val="true"/>
        </w:rPr>
        <w:t>النقطة الثانية</w:t>
      </w:r>
      <w:r>
        <w:rPr>
          <w:rtl w:val="true"/>
        </w:rPr>
        <w:t xml:space="preserve">: </w:t>
      </w:r>
      <w:r>
        <w:rPr>
          <w:rtl w:val="true"/>
        </w:rPr>
        <w:t>التصريح بأنَّهما سورة واحدة، أو أنَّهما بمنزلة سورة واحدة، أو عدم الإتيان بالبسملة بينهما</w:t>
      </w:r>
      <w:bookmarkEnd w:id="34"/>
    </w:p>
    <w:p>
      <w:pPr>
        <w:pStyle w:val="BookText"/>
        <w:rPr/>
      </w:pPr>
      <w:r>
        <w:rPr>
          <w:rFonts w:ascii="Amiri" w:hAnsi="Amiri" w:eastAsia="Amiri" w:cs="Amiri"/>
          <w:color w:val="111111"/>
          <w:sz w:val="28"/>
          <w:sz w:val="28"/>
          <w:szCs w:val="28"/>
          <w:rtl w:val="true"/>
          <w:lang w:bidi="ar-SA"/>
        </w:rPr>
        <w:t xml:space="preserve">نقل عن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يقولان إنَّ سورتي الانشراح والضحى سورة واحدة، وكانا يقرآنهما ولا يفصلان بينهما بالبسملة</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في مصحف أُبيّ سورة واحدة بلا فصل، ويروى عن الكسائيّ ترك التسمية بينهما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السمرقنديّ عن بعض المتقدّمين أنَّ سورتي الانشراح والضحى بمنزلة سورة واحدة، وكذلك الفيل ولإيلاف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المجاشعيّ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لإيلاف قريش مكّيّة،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سورة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سورة واحدة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متّصلة بالتي قبلها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أصحاب الفيل لإيلاف قريش، أي لتأتلف، أو لتتّفق قريش، أو لكي تأمن قريش فتؤلّف رحلتيها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عدّ السورتين واحدة أُبيّ بن كعب، ولا فصل بينهما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إمام لا يفصل بينهما، ويقرأهما معاً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مقابل ذلك هناك بعض الرواة أثبت وجود البسملة بينهما في مصحف أُبيّ، كما سيأتي كلّ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نقل عن إبراهيم النخعيّ أنَّه قرأ في المغرب بإيلاف قريش وحدها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5" w:name="pg9167_80125"/>
    </w:p>
    <w:p>
      <w:pPr>
        <w:pStyle w:val="Heading4"/>
        <w:numPr>
          <w:ilvl w:val="3"/>
          <w:numId w:val="1"/>
        </w:numPr>
        <w:rPr/>
      </w:pPr>
      <w:bookmarkStart w:id="36" w:name="__RefHeading___Toc3769781_2870459653"/>
      <w:bookmarkStart w:id="37" w:name="_Toc13"/>
      <w:bookmarkEnd w:id="35"/>
      <w:bookmarkEnd w:id="36"/>
      <w:r>
        <w:rPr>
          <w:rtl w:val="true"/>
        </w:rPr>
        <w:t>أقوال فقهاء الطائفة</w:t>
      </w:r>
      <w:bookmarkEnd w:id="37"/>
    </w:p>
    <w:p>
      <w:pPr>
        <w:pStyle w:val="Heading5"/>
        <w:numPr>
          <w:ilvl w:val="4"/>
          <w:numId w:val="1"/>
        </w:numPr>
        <w:rPr/>
      </w:pPr>
      <w:bookmarkStart w:id="38" w:name="__RefHeading___Toc3769783_2870459653"/>
      <w:bookmarkStart w:id="39" w:name="_Toc14"/>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هذا، وأمّا كلمات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على الماضين منهم، وأدام الله ظلّ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في الوحدة وعدمها على أقوال</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769785_2870459653"/>
      <w:bookmarkStart w:id="41" w:name="_Toc15"/>
      <w:bookmarkEnd w:id="40"/>
      <w:r>
        <w:rPr>
          <w:rtl w:val="true"/>
        </w:rPr>
        <w:t>القول الأوَّل</w:t>
      </w:r>
      <w:r>
        <w:rPr>
          <w:rtl w:val="true"/>
        </w:rPr>
        <w:t xml:space="preserve">: </w:t>
      </w:r>
      <w:r>
        <w:rPr>
          <w:rtl w:val="true"/>
        </w:rPr>
        <w:t>أنَّهما سورة واحدة حقيقة ولا تعاد البسملة بينهما</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صريح صاحب كتاب 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تقرأ في صلاة الفريضة والضحى وألم نشرح، وألم ترَ كيف ولإيلاف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نهي عن قراءتهما في الفرائض؛ لأنَّه روي أنَّ والضحى وألم نشرح سورة واحدة، وكذلك ألم ترَ كيف ولإيلاف سورة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الصدوق في الفقيه،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كبّرت تكبيرة الافتتاح فاقرأ الحمد لله وسورة معها، موسّع عليك أيّ السور قرأتَ في فرائضك إلّا أربع سور، وهي سورة والضحى وألم نشرح؛ لأنَّهما جميعاً سورة واحدة، ولإيلاف وألم ترَ كيف؛ لأنَّهما جميعاً سورة واحدة، فإن قرأتهما كان قراءة الضحى وألم نشرح في ركعة واحدة، ولإيلاف وألم ترَ كيف في ركعة، ولا تنفرد بواحدة من هذه الأربع السور في ركعة فريضة</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والشيخ الطوسيّ والشيخ الطبرسيّ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سعيد والمحقّق البحرانيّ وكاشف الغطاء، وآخرين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2" w:name="pg9167_80126"/>
    </w:p>
    <w:p>
      <w:pPr>
        <w:pStyle w:val="Heading5"/>
        <w:numPr>
          <w:ilvl w:val="4"/>
          <w:numId w:val="1"/>
        </w:numPr>
        <w:rPr/>
      </w:pPr>
      <w:bookmarkStart w:id="43" w:name="__RefHeading___Toc3769787_2870459653"/>
      <w:bookmarkStart w:id="44" w:name="_Toc16"/>
      <w:bookmarkEnd w:id="42"/>
      <w:bookmarkEnd w:id="43"/>
      <w:r>
        <w:rPr>
          <w:rtl w:val="true"/>
        </w:rPr>
        <w:t>القول الثاني</w:t>
      </w:r>
      <w:r>
        <w:rPr>
          <w:rtl w:val="true"/>
        </w:rPr>
        <w:t xml:space="preserve">: </w:t>
      </w:r>
      <w:r>
        <w:rPr>
          <w:rtl w:val="true"/>
        </w:rPr>
        <w:t>أنَّهما سورة واحدة حقيقة وتعاد البسملة بينهما</w:t>
      </w:r>
      <w:bookmarkEnd w:id="44"/>
    </w:p>
    <w:p>
      <w:pPr>
        <w:pStyle w:val="BookText"/>
        <w:rPr/>
      </w:pPr>
      <w:r>
        <w:rPr>
          <w:rFonts w:ascii="Amiri" w:hAnsi="Amiri" w:eastAsia="Amiri" w:cs="Amiri"/>
          <w:color w:val="111111"/>
          <w:sz w:val="28"/>
          <w:sz w:val="28"/>
          <w:szCs w:val="28"/>
          <w:rtl w:val="true"/>
          <w:lang w:bidi="ar-SA"/>
        </w:rPr>
        <w:t>ذهب إلى هذا القول ابن إدريس والعلّامة في بعض كتبه، وكذلك الشهيد الأوَّل في اللمعة، وأيضاً المحقّق والشهيد الثانيان، والشيخ حسين بن عبد الصمد، والمحقّق الوحيد البهبهانيّ، والمحقّق القمّيّ، والمحقّق النراقيّ وآخرون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3769789_2870459653"/>
      <w:bookmarkStart w:id="46" w:name="_Toc17"/>
      <w:bookmarkEnd w:id="45"/>
      <w:r>
        <w:rPr>
          <w:rtl w:val="true"/>
        </w:rPr>
        <w:t>القول الثالث</w:t>
      </w:r>
      <w:r>
        <w:rPr>
          <w:rtl w:val="true"/>
        </w:rPr>
        <w:t xml:space="preserve">: </w:t>
      </w:r>
      <w:r>
        <w:rPr>
          <w:rtl w:val="true"/>
        </w:rPr>
        <w:t>أنَّهما سورتان حقيقة وإن عبّر بعضهم أنَّهما بحكم السورة الواحدة فتجب قراءتهما معاً مع البسملة بينهما</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ذهب إليه ابن إدريس في المنتخب من التبيان، ويظهر من المحقّق في المعتبر، والعلّامة في المنتهى، والشهيد الأوّل في الدروس، وابن أبي جمهور، </w:t>
      </w:r>
    </w:p>
    <w:p>
      <w:pPr>
        <w:pStyle w:val="BookText"/>
        <w:rPr/>
      </w:pPr>
      <w:r>
        <w:rPr>
          <w:rFonts w:ascii="Amiri" w:hAnsi="Amiri" w:eastAsia="Amiri" w:cs="Amiri"/>
          <w:color w:val="111111"/>
          <w:sz w:val="28"/>
          <w:sz w:val="28"/>
          <w:szCs w:val="28"/>
          <w:rtl w:val="true"/>
          <w:lang w:bidi="ar-SA"/>
        </w:rPr>
        <w:t>والمحقّق والشهيد الثانيين في بعض كتبهما، والسيّد الصائغ، والسيّد صاحب المدارك، والشيخ البهائيّ، وآخرين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أنَّهما بحكم السورة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معناه أنَّهما اثنتان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والمحقّق الكركيّ في بعض كتبهما، وآخرون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7" w:name="pg9167_80128"/>
    </w:p>
    <w:p>
      <w:pPr>
        <w:pStyle w:val="Heading5"/>
        <w:numPr>
          <w:ilvl w:val="4"/>
          <w:numId w:val="1"/>
        </w:numPr>
        <w:rPr/>
      </w:pPr>
      <w:bookmarkStart w:id="48" w:name="__RefHeading___Toc3769791_2870459653"/>
      <w:bookmarkStart w:id="49" w:name="_Toc18"/>
      <w:bookmarkEnd w:id="47"/>
      <w:bookmarkEnd w:id="48"/>
      <w:r>
        <w:rPr>
          <w:rtl w:val="true"/>
        </w:rPr>
        <w:t>القول الرابع</w:t>
      </w:r>
      <w:r>
        <w:rPr>
          <w:rtl w:val="true"/>
        </w:rPr>
        <w:t xml:space="preserve">: </w:t>
      </w:r>
      <w:r>
        <w:rPr>
          <w:rtl w:val="true"/>
        </w:rPr>
        <w:t>أنَّهما بحكم السورة الواحدة ولا تعاد البسملة بينهما</w:t>
      </w:r>
      <w:bookmarkEnd w:id="49"/>
    </w:p>
    <w:p>
      <w:pPr>
        <w:pStyle w:val="BookText"/>
        <w:rPr/>
      </w:pPr>
      <w:r>
        <w:rPr>
          <w:rFonts w:ascii="Amiri" w:hAnsi="Amiri" w:eastAsia="Amiri" w:cs="Amiri"/>
          <w:color w:val="111111"/>
          <w:sz w:val="28"/>
          <w:sz w:val="28"/>
          <w:szCs w:val="28"/>
          <w:rtl w:val="true"/>
          <w:lang w:bidi="ar-SA"/>
        </w:rPr>
        <w:t>نسبه الفاضل الآبيّ إلى الشيخ في التبيان والاستبصار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هذه النسبة تأمّلاً، حيث تقدّم في القول الأوّل أنَّ الشيخ اختار في الاستبصار أنَّهما سورة واحدة حقيقة لا حكماً، وأمّا في التبيان فقد نقل الرواية وعقّبها أنَّهما في المصحف سورتان فصل بينهما بالبسملة،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ألم نشرح والضحى سورة واحدة؛ لتعلّق بعضها ببعض، ولم يفصلوا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وأوجبوا قراءتهما في الفرائض في ركعة وألّا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قالوا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المصحف هما سورتان فصل بينهما ببسم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ذهب إلى هذا القول السيّد محمّد صادق الروحانيّ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769793_2870459653"/>
      <w:bookmarkStart w:id="51" w:name="_Toc19"/>
      <w:bookmarkEnd w:id="50"/>
      <w:r>
        <w:rPr>
          <w:rtl w:val="true"/>
        </w:rPr>
        <w:t>القول الخامس</w:t>
      </w:r>
      <w:r>
        <w:rPr>
          <w:rtl w:val="true"/>
        </w:rPr>
        <w:t xml:space="preserve">: </w:t>
      </w:r>
      <w:r>
        <w:rPr>
          <w:rtl w:val="true"/>
        </w:rPr>
        <w:t>يجب قراءتهما معاً</w:t>
      </w:r>
      <w:bookmarkEnd w:id="51"/>
    </w:p>
    <w:p>
      <w:pPr>
        <w:pStyle w:val="BookText"/>
        <w:rPr/>
      </w:pPr>
      <w:r>
        <w:rPr>
          <w:rFonts w:ascii="Amiri" w:hAnsi="Amiri" w:eastAsia="Amiri" w:cs="Amiri"/>
          <w:color w:val="111111"/>
          <w:sz w:val="28"/>
          <w:sz w:val="28"/>
          <w:szCs w:val="28"/>
          <w:rtl w:val="true"/>
          <w:lang w:bidi="ar-SA"/>
        </w:rPr>
        <w:t>وهذا القول صرّح به الفاضل الهنديّ وبعض الأعلام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3769795_2870459653"/>
      <w:bookmarkStart w:id="53" w:name="_Toc20"/>
      <w:bookmarkEnd w:id="52"/>
      <w:r>
        <w:rPr>
          <w:rtl w:val="true"/>
        </w:rPr>
        <w:t>القول السادس</w:t>
      </w:r>
      <w:r>
        <w:rPr>
          <w:rtl w:val="true"/>
        </w:rPr>
        <w:t xml:space="preserve">: </w:t>
      </w:r>
      <w:r>
        <w:rPr>
          <w:rtl w:val="true"/>
        </w:rPr>
        <w:t>يجب قراءتهما معاً وتعاد البسملة بينهما، لكن هل هما سورتان أم سورة واحدة؟ لم يظهر</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ذهب إليه الشهيد الثاني في بعض كتبه، والسيّد الخوئيّ في تقريرات </w:t>
      </w:r>
      <w:bookmarkStart w:id="54" w:name="pg9167_80129"/>
    </w:p>
    <w:p>
      <w:pPr>
        <w:pStyle w:val="BookText"/>
        <w:rPr/>
      </w:pPr>
      <w:bookmarkEnd w:id="54"/>
      <w:r>
        <w:rPr>
          <w:rFonts w:ascii="Amiri" w:hAnsi="Amiri" w:eastAsia="Amiri" w:cs="Amiri"/>
          <w:color w:val="111111"/>
          <w:sz w:val="28"/>
          <w:sz w:val="28"/>
          <w:szCs w:val="28"/>
          <w:rtl w:val="true"/>
          <w:lang w:bidi="ar-SA"/>
        </w:rPr>
        <w:t>بحثه الشريف، والسيّد محمّد سعيد الحكيم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3769797_2870459653"/>
      <w:bookmarkStart w:id="56" w:name="_Toc21"/>
      <w:bookmarkEnd w:id="55"/>
      <w:r>
        <w:rPr>
          <w:rtl w:val="true"/>
        </w:rPr>
        <w:t>القول السابع</w:t>
      </w:r>
      <w:r>
        <w:rPr>
          <w:rtl w:val="true"/>
        </w:rPr>
        <w:t xml:space="preserve">: </w:t>
      </w:r>
      <w:r>
        <w:rPr>
          <w:rtl w:val="true"/>
        </w:rPr>
        <w:t>تجوز قراءتهما معاً مع البسملة بينهما استثناءً من حرمة القِران، كما يجوز أن يكتفى بقراءة إحداهما</w:t>
      </w:r>
      <w:bookmarkEnd w:id="56"/>
    </w:p>
    <w:p>
      <w:pPr>
        <w:pStyle w:val="BookText"/>
        <w:rPr/>
      </w:pPr>
      <w:r>
        <w:rPr>
          <w:rFonts w:ascii="Amiri" w:hAnsi="Amiri" w:eastAsia="Amiri" w:cs="Amiri"/>
          <w:color w:val="111111"/>
          <w:sz w:val="28"/>
          <w:sz w:val="28"/>
          <w:szCs w:val="28"/>
          <w:rtl w:val="true"/>
          <w:lang w:bidi="ar-SA"/>
        </w:rPr>
        <w:t>وممّن صرّح أنَّهما متّحدتان حكماً</w:t>
      </w:r>
      <w:r>
        <w:rPr>
          <w:rStyle w:val="FootnoteAnchor"/>
          <w:rtl w:val="true"/>
        </w:rPr>
        <w:footnoteReference w:id="23"/>
      </w:r>
      <w:r>
        <w:rPr>
          <w:rFonts w:ascii="Amiri" w:hAnsi="Amiri" w:eastAsia="Amiri" w:cs="Amiri"/>
          <w:color w:val="111111"/>
          <w:sz w:val="28"/>
          <w:sz w:val="28"/>
          <w:szCs w:val="28"/>
          <w:rtl w:val="true"/>
          <w:lang w:bidi="ar-SA"/>
        </w:rPr>
        <w:t>شيخ الشريعة في تقريرات بحثه الشريف</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قال بأنَّهما مستثنيتان من حرمة القِران العلّامة في المختلف، والشيخ عبد الكريم الحائريّ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قال إنَّه يكتفى بقراءة إحداهما المحقّق الأردبيليّ، والشيخ البهائيّ، والفيض الكاشانيّ، والعلّامة المجلسيّ الثاني، وآخرون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3769799_2870459653"/>
      <w:bookmarkStart w:id="58" w:name="_Toc22"/>
      <w:bookmarkEnd w:id="57"/>
      <w:r>
        <w:rPr>
          <w:rtl w:val="true"/>
        </w:rPr>
        <w:t>القول الثامن</w:t>
      </w:r>
      <w:r>
        <w:rPr>
          <w:rtl w:val="true"/>
        </w:rPr>
        <w:t xml:space="preserve">: </w:t>
      </w:r>
      <w:r>
        <w:rPr>
          <w:rtl w:val="true"/>
        </w:rPr>
        <w:t>أنَّهما بحكم سورة واحدة، والاكتفاء بإحداهما خلاف الاحتياط</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ذهب إليه السيّد عبد الله الجزائريّ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9" w:name="pg9167_80130"/>
    </w:p>
    <w:p>
      <w:pPr>
        <w:pStyle w:val="Heading5"/>
        <w:numPr>
          <w:ilvl w:val="4"/>
          <w:numId w:val="1"/>
        </w:numPr>
        <w:rPr/>
      </w:pPr>
      <w:bookmarkStart w:id="60" w:name="__RefHeading___Toc3769801_2870459653"/>
      <w:bookmarkStart w:id="61" w:name="_Toc23"/>
      <w:bookmarkEnd w:id="59"/>
      <w:bookmarkEnd w:id="60"/>
      <w:r>
        <w:rPr>
          <w:rtl w:val="true"/>
        </w:rPr>
        <w:t>القول التاسع</w:t>
      </w:r>
      <w:r>
        <w:rPr>
          <w:rtl w:val="true"/>
        </w:rPr>
        <w:t xml:space="preserve">: </w:t>
      </w:r>
      <w:r>
        <w:rPr>
          <w:rtl w:val="true"/>
        </w:rPr>
        <w:t>من يظهر منه الاتّحاد والتوقّف في إعادة البسملة</w:t>
      </w:r>
      <w:bookmarkEnd w:id="61"/>
    </w:p>
    <w:p>
      <w:pPr>
        <w:pStyle w:val="BookText"/>
        <w:rPr/>
      </w:pPr>
      <w:r>
        <w:rPr>
          <w:rFonts w:ascii="Amiri" w:hAnsi="Amiri" w:eastAsia="Amiri" w:cs="Amiri"/>
          <w:color w:val="111111"/>
          <w:sz w:val="28"/>
          <w:sz w:val="28"/>
          <w:szCs w:val="28"/>
          <w:rtl w:val="true"/>
          <w:lang w:bidi="ar-SA"/>
        </w:rPr>
        <w:t>وهذا القول ذهب إليه صاحب الجواهر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3769803_2870459653"/>
      <w:bookmarkStart w:id="63" w:name="_Toc24"/>
      <w:bookmarkEnd w:id="62"/>
      <w:r>
        <w:rPr>
          <w:rtl w:val="true"/>
        </w:rPr>
        <w:t>القول العاشر</w:t>
      </w:r>
      <w:r>
        <w:rPr>
          <w:rtl w:val="true"/>
        </w:rPr>
        <w:t xml:space="preserve">: </w:t>
      </w:r>
      <w:r>
        <w:rPr>
          <w:rtl w:val="true"/>
        </w:rPr>
        <w:t>أنَّهما متّحدتان موضوعاً، وقراءة البسملة بينهما احتياطاً بنحو القربة المطلقة</w:t>
      </w:r>
      <w:bookmarkEnd w:id="63"/>
    </w:p>
    <w:p>
      <w:pPr>
        <w:pStyle w:val="BookText"/>
        <w:rPr/>
      </w:pPr>
      <w:r>
        <w:rPr>
          <w:rFonts w:ascii="Amiri" w:hAnsi="Amiri" w:eastAsia="Amiri" w:cs="Amiri"/>
          <w:color w:val="111111"/>
          <w:sz w:val="28"/>
          <w:sz w:val="28"/>
          <w:szCs w:val="28"/>
          <w:rtl w:val="true"/>
          <w:lang w:bidi="ar-SA"/>
        </w:rPr>
        <w:t>هذا القول ذهب إليه المحقّق النائينيّ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3769805_2870459653"/>
      <w:bookmarkStart w:id="65" w:name="_Toc25"/>
      <w:bookmarkEnd w:id="64"/>
      <w:r>
        <w:rPr>
          <w:rtl w:val="true"/>
        </w:rPr>
        <w:t>القول الحادي عشر</w:t>
      </w:r>
      <w:r>
        <w:rPr>
          <w:rtl w:val="true"/>
        </w:rPr>
        <w:t xml:space="preserve">: </w:t>
      </w:r>
      <w:r>
        <w:rPr>
          <w:rtl w:val="true"/>
        </w:rPr>
        <w:t>التوقّف في المسألة، وما يؤدّي مؤدّاه من الاحتياط الوجوبيّ</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ذهب إليه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الشهيد الصدر في تعليقته على منهاج 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6" w:name="pg9167_80131"/>
    </w:p>
    <w:p>
      <w:pPr>
        <w:pStyle w:val="Heading3"/>
        <w:numPr>
          <w:ilvl w:val="2"/>
          <w:numId w:val="1"/>
        </w:numPr>
        <w:rPr/>
      </w:pPr>
      <w:bookmarkStart w:id="67" w:name="__RefHeading___Toc3769807_2870459653"/>
      <w:bookmarkStart w:id="68" w:name="_Toc26"/>
      <w:bookmarkEnd w:id="66"/>
      <w:bookmarkEnd w:id="67"/>
      <w:r>
        <w:rPr>
          <w:rtl w:val="true"/>
        </w:rPr>
        <w:t>المحور الثاني</w:t>
      </w:r>
      <w:r>
        <w:rPr>
          <w:rtl w:val="true"/>
        </w:rPr>
        <w:t xml:space="preserve">: </w:t>
      </w:r>
      <w:r>
        <w:rPr>
          <w:rtl w:val="true"/>
        </w:rPr>
        <w:t>أدلّة القولين</w:t>
      </w:r>
      <w:bookmarkEnd w:id="68"/>
    </w:p>
    <w:p>
      <w:pPr>
        <w:pStyle w:val="Heading4"/>
        <w:numPr>
          <w:ilvl w:val="3"/>
          <w:numId w:val="1"/>
        </w:numPr>
        <w:rPr/>
      </w:pPr>
      <w:bookmarkStart w:id="69" w:name="__RefHeading___Toc3769809_2870459653"/>
      <w:bookmarkStart w:id="70" w:name="_Toc27"/>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نعرض في هذا المحور أدلّة القول بتعدّد السورتين حقيقة، وأدلّة القول بوحدتهما كذلك، ومنه يظهر الحال في الاستدلال لبقيّة الأقوال</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769811_2870459653"/>
      <w:bookmarkStart w:id="72" w:name="_Toc28"/>
      <w:bookmarkEnd w:id="71"/>
      <w:r>
        <w:rPr>
          <w:rtl w:val="true"/>
        </w:rPr>
        <w:t>أوّلاً</w:t>
      </w:r>
      <w:r>
        <w:rPr>
          <w:rtl w:val="true"/>
        </w:rPr>
        <w:t xml:space="preserve">: </w:t>
      </w:r>
      <w:r>
        <w:rPr>
          <w:rtl w:val="true"/>
        </w:rPr>
        <w:t>أدلّة القول بتعدّد السورتين حقيقةً</w:t>
      </w:r>
      <w:bookmarkEnd w:id="72"/>
    </w:p>
    <w:p>
      <w:pPr>
        <w:pStyle w:val="Heading5"/>
        <w:numPr>
          <w:ilvl w:val="4"/>
          <w:numId w:val="1"/>
        </w:numPr>
        <w:rPr/>
      </w:pPr>
      <w:bookmarkStart w:id="73" w:name="__RefHeading___Toc3769813_2870459653"/>
      <w:bookmarkStart w:id="74" w:name="_Toc29"/>
      <w:bookmarkEnd w:id="73"/>
      <w:r>
        <w:rPr>
          <w:rtl w:val="true"/>
        </w:rPr>
        <w:t>الدليل الأوّل</w:t>
      </w:r>
      <w:r>
        <w:rPr>
          <w:rtl w:val="true"/>
        </w:rPr>
        <w:t xml:space="preserve">: </w:t>
      </w:r>
      <w:r>
        <w:rPr>
          <w:rtl w:val="true"/>
        </w:rPr>
        <w:t>الفصل بين السورتين في المصحف بالبسملة</w:t>
      </w:r>
      <w:bookmarkEnd w:id="74"/>
    </w:p>
    <w:p>
      <w:pPr>
        <w:pStyle w:val="BookText"/>
        <w:rPr/>
      </w:pPr>
      <w:r>
        <w:rPr>
          <w:rFonts w:ascii="Amiri" w:hAnsi="Amiri" w:eastAsia="Amiri" w:cs="Amiri"/>
          <w:color w:val="111111"/>
          <w:sz w:val="28"/>
          <w:sz w:val="28"/>
          <w:szCs w:val="28"/>
          <w:rtl w:val="true"/>
          <w:lang w:bidi="ar-SA"/>
        </w:rPr>
        <w:t>فإنَّ الظاهر أنَّ مصاحف المسلمين منذ الأوّل كانت تشتمل على التفريق بينهما، كما يدلّ عليه أنَّهم ذكروا أنَّ مصحف أُبيّ كان لا يشتمل على ذلك، ممّا يدلّ على خصوصيّته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جمع المصاحف على مصحف واحد في زمان عثمان مع الفصل بين هذه السور بالبسملة كان باطّلاع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له موقف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لوصل إلينا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يستدلّ أيضاً بمصاحف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حكى الشيخ البهائيّ مشاهدته للمصاحف المنسوبة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تشرّفنا بمشاهدته في مشهد مولانا وإمامنا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المصاحف التي قد شاع وذاع في تلك الأقطار أنَّ بعضها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بخطّ آبائه الطاهرين سلام الله عليهم أجمعين يؤيّد ما قلناه من التعدّد، فإنَّ الفصل في تلك المصاحف بين </w:t>
      </w:r>
    </w:p>
    <w:p>
      <w:pPr>
        <w:pStyle w:val="BookText"/>
        <w:rPr/>
      </w:pPr>
      <w:r>
        <w:rPr>
          <w:rFonts w:ascii="Amiri" w:hAnsi="Amiri" w:eastAsia="Amiri" w:cs="Amiri"/>
          <w:color w:val="111111"/>
          <w:sz w:val="28"/>
          <w:sz w:val="28"/>
          <w:szCs w:val="28"/>
          <w:rtl w:val="true"/>
          <w:lang w:bidi="ar-SA"/>
        </w:rPr>
        <w:t>كلٍّ من تلك السور الأربع وصاحبتها على وتيرة الفصل بين البواقي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بكونهما سورة واحدة تعويلاً على أنَّ أُبيّ لم يفصل بينهما في مصحفه فتفصيل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عثرنا على تصريحه بذلك من علمائنا هو ما ذكره الشيخ الطبرسيّ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أُبيّ بن كعب لم يفصل بينهما في مصحفه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نقل ذلك بعض مفسّري العامّة في خصوص سورة الفيل والإيلاف، ونسرد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في مصحف أُبيّ سورة واحدة بلا فصل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السورة متّصلة في مصحف أُبيّ ابن كعب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فصل بينهما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متعلّقة بالقصة التي في السورة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أنّهما في مصحف أُبيّ بن كعب سورة واحدة</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ويجاب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ذلك بالفصل بينهما في باقي مصاحف الأمّة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الفصل في مصحف أُبيّ لعلّه سهو منه، مضافاً إلى أنَّه لا يصلح معارضاً لسائر مصاحف الأمّة، ثُمَّ ذكر ما تقدّم نقله عنه</w:t>
      </w:r>
      <w:r>
        <w:rPr>
          <w:rStyle w:val="FootnoteAnchor"/>
          <w:rtl w:val="true"/>
        </w:rPr>
        <w:footnoteReference w:id="38"/>
      </w:r>
      <w:r>
        <w:rPr>
          <w:rFonts w:ascii="IRNazanin" w:hAnsi="IRNazanin" w:eastAsia="IRNazanin"/>
          <w:color w:val="111111"/>
          <w:sz w:val="28"/>
          <w:sz w:val="28"/>
          <w:szCs w:val="28"/>
          <w:rtl w:val="true"/>
          <w:lang w:bidi="fa-IR"/>
        </w:rPr>
        <w:t xml:space="preserve">من مشاهدته للمصاحف الموجودة في 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جمعاً من الرواة أثبتوا وجود البسملة في مصحف أُبيّ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 مصحف أُبيّ، فإنَّه قد اشتمل على مخالفات كثيرة لمصاحف الصحابة قد ذكرت في مظانّها</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قِطَعًا مِّنَ اللَّيْلِ عامّة القرّاء قرأوها بفتح الطاء، وقرأه بعض متأخّري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الطاء، 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ويعتل لتصحيح قراءته ذلك كذلك أنَّه 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ويغشى وجوههم قطع من الليل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للطبريّ 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يُوَفِّيهِمُ اللَّهُ دِينَهُمُ الْحَقَّ،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يوفّيهم الله الحقّ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بُورِكَ مَن فِي النَّارِ وَمَنْ حَوْلَهَا،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بوركت النار 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حاتم الرازيّ 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هَٰذَانِ لَسَاحِرَانِ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إلَّا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أَتَسْتَبْدِلُونَ،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أتبدلون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تَشَابَهَ عَلَيْنَا،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الْحِجَارَةِ لَمَا يَتَفَجَّرُ مِنْهُ الْأَنْهَارُ،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الأنهار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أَحْرَصَ النَّاسِ عَلَىٰ حَيَاةٍ،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فِتْنَةٌ فَلَا تَكْفُرْ،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تكفر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كَانَ هُودًا أَوْ نَصَارَىٰ،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يهوديّاً أو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مَا كَانَ لَهُمْ أَن يَدْخُلُوهَا إِلَّا خَائِفِينَ،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تسلسل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 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وَيُشْهِدُ اللَّهَ عَلَىٰ مَا فِي قَلْبِهِ،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طَابَ لَكُم مِّنَ النِّسَاءِ،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الْمَعْزِ اثْنَيْنِ،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فَانْهَارَ بِهِ فِي نَارِ جَهَنَّمَ،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فانهارت به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الْغُلَامُ فَكَانَ أَبَوَاهُ مُؤْمِنَيْنِ فَخَشِينَا،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فخاف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جِئْنَا بِمِثْلِهِ مَدَدًا،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جئنا بمثله مداداً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السَّاعَةَ آتِيَةٌ أَكَادُ أُخْفِيهَا،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أكاد أُخفيها من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فَرَجَعْنَاكَ إِلَىٰ أُمِّكَ،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فرددناك 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تسلسل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وَوَصَّيْنَا الْإِنسَانَ بِوَالِدَيْهِ حُسْنًا،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 مَرَّ عمر بغلام وهو يقرأ في المصحف وفيه بعد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عمر الغلام بحكّها،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مصحف أُبيّ، فذهب عمر إليه يسأله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يلهيني القرآن، ويُلهيكَ الصفق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وَحُورٌ عِينٌ، وفي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وَكَفَّلَهَا زَكَرِيَّا في مصحف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 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167_80136"/>
      <w:bookmarkStart w:id="76" w:name="pg9167_80136"/>
      <w:bookmarkEnd w:id="76"/>
    </w:p>
    <w:p>
      <w:pPr>
        <w:pStyle w:val="Heading5"/>
        <w:numPr>
          <w:ilvl w:val="4"/>
          <w:numId w:val="1"/>
        </w:numPr>
        <w:rPr/>
      </w:pPr>
      <w:bookmarkStart w:id="77" w:name="pg9167_80136"/>
      <w:bookmarkStart w:id="78" w:name="__RefHeading___Toc3769815_2870459653"/>
      <w:bookmarkStart w:id="79" w:name="_Toc30"/>
      <w:bookmarkEnd w:id="77"/>
      <w:bookmarkEnd w:id="78"/>
      <w:r>
        <w:rPr>
          <w:rtl w:val="true"/>
        </w:rPr>
        <w:t>الدليل الثاني</w:t>
      </w:r>
      <w:r>
        <w:rPr>
          <w:rtl w:val="true"/>
        </w:rPr>
        <w:t xml:space="preserve">: </w:t>
      </w:r>
      <w:r>
        <w:rPr>
          <w:rtl w:val="true"/>
        </w:rPr>
        <w:t>أنَّ مقتضى تسمية كلّ سورة من السور الأربع باسمٍ خاصّ بها أن تكون سورة برأسها</w:t>
      </w:r>
      <w:bookmarkEnd w:id="79"/>
    </w:p>
    <w:p>
      <w:pPr>
        <w:pStyle w:val="Heading6"/>
        <w:numPr>
          <w:ilvl w:val="5"/>
          <w:numId w:val="1"/>
        </w:numPr>
        <w:rPr/>
      </w:pPr>
      <w:bookmarkStart w:id="80" w:name="__RefHeading___Toc3769817_2870459653"/>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ذلك أنَّ من المتعارف بين المسلمين تسمية كلّ سورة من السور الأربع باسمٍ خاصّ، فتسمّى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يقع أن تسمّى السورتان الأُولتان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ذيلها، ولا الأخيرتان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وتسمية كلٍّ من هذه السور باسم خاصّ مشهود حتّى في الروايات التي تضمّنت أنَّهما سورة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ذكرها</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وألم نشرح لك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تضمّن ذكرها معها، كما في خبر الصدوق بإسناده عن معاوية بن عمّار</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عليّ بن أبي حمزة البطائنيّ، وضعّفه كلٌّ من الحسن بن عليّ ابن فضّال، وحمدويه بن نصير، كما في معرفة اختيار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وابن الغضائريّ في كتاب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والنجاشيّ في فهرست أسماء مصنّفي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قراءة والشمس والليل إذا يغشى،</w:t>
      </w:r>
      <w:bookmarkStart w:id="82" w:name="pg9167_80137"/>
    </w:p>
    <w:p>
      <w:pPr>
        <w:pStyle w:val="BookText"/>
        <w:rPr/>
      </w:pPr>
      <w:bookmarkEnd w:id="82"/>
      <w:r>
        <w:rPr>
          <w:rFonts w:ascii="Amiri" w:hAnsi="Amiri" w:eastAsia="Amiri" w:cs="Amiri"/>
          <w:color w:val="111111"/>
          <w:sz w:val="28"/>
          <w:sz w:val="28"/>
          <w:szCs w:val="28"/>
          <w:rtl w:val="true"/>
          <w:lang w:bidi="ar-SA"/>
        </w:rPr>
        <w:t>والضحى وألم نشرح في يوم أو ليلة لم يبقَ شيء بحضرته إلّا شهد له يوم القيامة حتّى شعره وبشره ولحمه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موردان آخران</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769819_2870459653"/>
      <w:bookmarkStart w:id="84" w:name="_Toc32"/>
      <w:bookmarkEnd w:id="83"/>
      <w:r>
        <w:rPr>
          <w:rtl w:val="true"/>
        </w:rPr>
        <w:t>المورد الأوّل</w:t>
      </w:r>
      <w:bookmarkEnd w:id="84"/>
    </w:p>
    <w:p>
      <w:pPr>
        <w:pStyle w:val="BookText"/>
        <w:rPr/>
      </w:pPr>
      <w:r>
        <w:rPr>
          <w:rFonts w:ascii="Amiri" w:hAnsi="Amiri" w:eastAsia="Amiri" w:cs="Amiri"/>
          <w:color w:val="111111"/>
          <w:sz w:val="28"/>
          <w:sz w:val="28"/>
          <w:szCs w:val="28"/>
          <w:rtl w:val="true"/>
          <w:lang w:bidi="ar-SA"/>
        </w:rPr>
        <w:t xml:space="preserve">ما نقله السيّد رضي الدين ابن طاووس في سعد السعود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باسم ربّك، والضحى، وألم نشرح</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3769821_2870459653"/>
      <w:bookmarkStart w:id="86" w:name="_Toc33"/>
      <w:bookmarkEnd w:id="85"/>
      <w:r>
        <w:rPr>
          <w:rtl w:val="true"/>
        </w:rPr>
        <w:t>المورد الآخر</w:t>
      </w:r>
      <w:bookmarkEnd w:id="86"/>
    </w:p>
    <w:p>
      <w:pPr>
        <w:pStyle w:val="BookText"/>
        <w:rPr/>
      </w:pPr>
      <w:r>
        <w:rPr>
          <w:rFonts w:ascii="Amiri" w:hAnsi="Amiri" w:eastAsia="Amiri" w:cs="Amiri"/>
          <w:color w:val="111111"/>
          <w:sz w:val="28"/>
          <w:sz w:val="28"/>
          <w:szCs w:val="28"/>
          <w:rtl w:val="true"/>
          <w:lang w:bidi="ar-SA"/>
        </w:rPr>
        <w:t>ما نقله في موضع آخر من الكتاب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أنَّ سورة الماعون ثلاث آيات منها نزلت بمكّة وأربع آيات نزلت بالمدينة، واتّفقوا أنَّ ثمانية وسبعين سورة منها نزلت بمكّة، ثُمَّ ذلك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كلّها نزلت بمكّة،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نزلت بالمدينة، ثُمَّ ذلك أيضاً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كلّها بالمدينة،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منها نزلت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السورة التي نزلت كلّها بمكّة فهي تسع وأربعون سورة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وألم نشرح</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ذلك أن يكون كلٌّ منهما سورة برأسها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هذه التسمية هي مثل تسمية بعض الآيات أو مجموعة منها باسم </w:t>
      </w:r>
    </w:p>
    <w:p>
      <w:pPr>
        <w:pStyle w:val="BookText"/>
        <w:rPr/>
      </w:pPr>
      <w:r>
        <w:rPr>
          <w:rFonts w:ascii="Amiri" w:hAnsi="Amiri" w:eastAsia="Amiri" w:cs="Amiri"/>
          <w:color w:val="111111"/>
          <w:sz w:val="28"/>
          <w:sz w:val="28"/>
          <w:szCs w:val="28"/>
          <w:rtl w:val="true"/>
          <w:lang w:bidi="ar-SA"/>
        </w:rPr>
        <w:t>خاصّ مثل آية الكرسي، بعيدة؛ لأنَّها تقتضي عدم وجود اسم جامع لمجموع السورة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التسمية قد حدثت في زمان متأخّر عن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قد يبدو من مجموع القرائن هو أنَّ السور كانت مسمّاة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وتعرف لدى الصحابة بأسمائها في مقام الإشارة إليها، ونحن نذكر أسماء بعض السور التي كانت مسمّاة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فقد أخرج الطبريّ في تفسيره وعبّر عنه بأنَّه صحّ الخبر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أمّ القرآن، وهي فاتحة الكتاب، وهي السبع المثاني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 ابن أبي شيبة في مصنّفه في شأن غزوة حنين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عن بغلة كان عليها فجعل يصرخ بالناس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سورة البقرة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التسمية ممّا جرت عليها سيرة المسلمين بمرأى ومشهد أئمّة أهل </w:t>
      </w:r>
      <w:bookmarkStart w:id="87" w:name="pg9167_80139"/>
    </w:p>
    <w:p>
      <w:pPr>
        <w:pStyle w:val="BookText"/>
        <w:rPr/>
      </w:pPr>
      <w:bookmarkEnd w:id="87"/>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w:t>
      </w:r>
      <w:r>
        <w:rPr>
          <w:rFonts w:eastAsia="IRNazanin" w:cs="IRNazanin"/>
          <w:color w:val="111111"/>
          <w:sz w:val="28"/>
          <w:szCs w:val="28"/>
          <w:rtl w:val="true"/>
          <w:lang w:bidi="fa-IR"/>
        </w:rPr>
        <w:t>.</w:t>
      </w:r>
    </w:p>
    <w:p>
      <w:pPr>
        <w:pStyle w:val="Heading5"/>
        <w:numPr>
          <w:ilvl w:val="4"/>
          <w:numId w:val="1"/>
        </w:numPr>
        <w:rPr/>
      </w:pPr>
      <w:bookmarkStart w:id="88" w:name="__RefHeading___Toc3769823_2870459653"/>
      <w:bookmarkStart w:id="89" w:name="_Toc34"/>
      <w:bookmarkEnd w:id="88"/>
      <w:r>
        <w:rPr>
          <w:rtl w:val="true"/>
        </w:rPr>
        <w:t>الدليل الثالث</w:t>
      </w:r>
      <w:r>
        <w:rPr>
          <w:rtl w:val="true"/>
        </w:rPr>
        <w:t xml:space="preserve">: </w:t>
      </w:r>
      <w:r>
        <w:rPr>
          <w:rtl w:val="true"/>
        </w:rPr>
        <w:t>الروايات التي تضمّنت التعبير عن كلّ من هذه السور بعنوان السورة</w:t>
      </w:r>
      <w:bookmarkEnd w:id="89"/>
    </w:p>
    <w:p>
      <w:pPr>
        <w:pStyle w:val="BookText"/>
        <w:rPr/>
      </w:pPr>
      <w:r>
        <w:rPr>
          <w:rFonts w:ascii="Amiri" w:hAnsi="Amiri" w:eastAsia="Amiri" w:cs="Amiri"/>
          <w:color w:val="111111"/>
          <w:sz w:val="28"/>
          <w:sz w:val="28"/>
          <w:szCs w:val="28"/>
          <w:rtl w:val="true"/>
          <w:lang w:bidi="ar-SA"/>
        </w:rPr>
        <w:t>فيعبَّر عن سورة الضحى وحدها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والضحى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الفيل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قريش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أنَّ كلّ واحدة منها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ذلك كثيرة سوف نذكر بعضها في الأدلّة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سليمان في مناقب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سؤال مشركي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شقّ القمر نصفين، وكذلك الشجرة، ومحلّ الشاهد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وأنسئ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فانتظر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أيّام، ثُمَّ عشرين يوماً، ثُمَّ ثلاثين يوماً لم يأته، فقال مشركوا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كان يأتي محمّداً قد شنأه وقلاه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ليلة الأربعين لبس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حجّة لمن لبس في هذه الأمّة المسوح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إلى مصلّاه ودعا، فهبط عليه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أقرأه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تَقُولَنَّ لِشَيْءٍ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وَمَا قَلَى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3769825_2870459653"/>
      <w:bookmarkStart w:id="91" w:name="_Toc35"/>
      <w:bookmarkEnd w:id="90"/>
      <w:r>
        <w:rPr>
          <w:rtl w:val="true"/>
        </w:rPr>
        <w:t>الدليل الرابع</w:t>
      </w:r>
      <w:r>
        <w:rPr>
          <w:rtl w:val="true"/>
        </w:rPr>
        <w:t xml:space="preserve">: </w:t>
      </w:r>
      <w:r>
        <w:rPr>
          <w:rtl w:val="true"/>
        </w:rPr>
        <w:t>ما تضمّن التوصية بقراءة واحدة من هذه السور لوحدها</w:t>
      </w:r>
      <w:bookmarkEnd w:id="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ضمن الصلوات المستحبّة، كما في الروايات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الطبرسيّ في صلاة لوجع الصدر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ركعات،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وبعدها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مرّة،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ثلاث مرّات،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مرّة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السيّد رضي الدين ابن طاووس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صلّى في الليلة الثالثة والعشرين من رجب ركعتين بالحمد مرّة وسورة والضحى خمس مرّات، أعطاه الله بكلّ حرف</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السيّد ابن طاووس في الاستخارة،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عتيق فيه دعوات وروايات من طريق أصحابنا تغمّدهم الله جلّ جلاله بالرحمات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والضحى سبع مرّات</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مرسلة الكفعميّ، حيث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صلوات رجب فهي مأخوذة من كتاب مصباح الزائر للسيّد رضي الدين عليّ ابن طاووس قدّس الله سرّه، رواها سلمان الفارسيّ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ليلة من لياليه صلاة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الثالث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بالحمد والضحى خمساً أُعطي بكلّ حرف وبكلّ كافر وكافرة درجة في الجنّة وثواب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2" w:name="pg9167_80141"/>
    </w:p>
    <w:p>
      <w:pPr>
        <w:pStyle w:val="Heading5"/>
        <w:numPr>
          <w:ilvl w:val="4"/>
          <w:numId w:val="1"/>
        </w:numPr>
        <w:rPr/>
      </w:pPr>
      <w:bookmarkStart w:id="93" w:name="__RefHeading___Toc3769827_2870459653"/>
      <w:bookmarkStart w:id="94" w:name="_Toc36"/>
      <w:bookmarkEnd w:id="92"/>
      <w:bookmarkEnd w:id="93"/>
      <w:r>
        <w:rPr>
          <w:rtl w:val="true"/>
        </w:rPr>
        <w:t>الدليل الخامس</w:t>
      </w:r>
      <w:r>
        <w:rPr>
          <w:rtl w:val="true"/>
        </w:rPr>
        <w:t xml:space="preserve">: </w:t>
      </w:r>
      <w:r>
        <w:rPr>
          <w:rtl w:val="true"/>
        </w:rPr>
        <w:t>ما ورد من الثواب على قراءة إحدى هذه السور</w:t>
      </w:r>
      <w:bookmarkEnd w:id="94"/>
    </w:p>
    <w:p>
      <w:pPr>
        <w:pStyle w:val="BookText"/>
        <w:rPr/>
      </w:pP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من صلّى أربع ركعات يوم الفطر بعد صلاة الإمام،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الثالثة والضحى فله من الثواب كأنَّما أشبع جميع المساكين ودهنهم ونظّفهم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في جانب آخر من مضمونها، ولكنّه لم يعلّق على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لا صلاة في العيدين إلّا مع الإمام، فمن أحبّ أن يصلّي وحده فلا بأس، وتصديق ذلك ما حدّثني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الطبرسيّ، عن أُبيّ،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قرأ سورة والضحى كان ممّن يرضاه الله، ولمحمّد صلّى الله عليه وآله أن يشفع له، وله عشر حسنات بعدد كلّ يتيم 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9167_80142"/>
    </w:p>
    <w:p>
      <w:pPr>
        <w:pStyle w:val="BookText"/>
        <w:rPr/>
      </w:pPr>
      <w:bookmarkEnd w:id="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مرسلته الأخرى أيضاً عن أُبيّ،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ألم نشرح أعطي من الأجر كمن لقي محمّداً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مغتمّاً ففرّج عنه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مرسلته الثالثة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في الفريضة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فعل ربّك بأصحاب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له يوم القيامة كلّ سهل وجبل ومدر بأنَّه كان من المصلّين، وينادي يوم القيامة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على عبدي، قبلت شهادتكم له، أو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عبدي الجنّة، ولا تحاسبوه فإنَّه ممّن أحبّه، وأحبّ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أكثر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يوم القيامة على مركب من مراكب الجنّة حتّى يقعد على موائد النور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769829_2870459653"/>
      <w:bookmarkStart w:id="97" w:name="_Toc37"/>
      <w:bookmarkEnd w:id="96"/>
      <w:r>
        <w:rPr>
          <w:rtl w:val="true"/>
        </w:rPr>
        <w:t>الدليل السادس</w:t>
      </w:r>
      <w:r>
        <w:rPr>
          <w:rtl w:val="true"/>
        </w:rPr>
        <w:t xml:space="preserve">: </w:t>
      </w:r>
      <w:r>
        <w:rPr>
          <w:rtl w:val="true"/>
        </w:rPr>
        <w:t xml:space="preserve">ما دلّ على أنَّ الإمام </w:t>
      </w:r>
      <w:r>
        <w:rPr>
          <w:rtl w:val="true"/>
        </w:rPr>
        <w:t>(</w:t>
      </w:r>
      <w:r>
        <w:rPr>
          <w:rtl w:val="true"/>
        </w:rPr>
        <w:t>علیه السلام</w:t>
      </w:r>
      <w:r>
        <w:rPr>
          <w:rtl w:val="true"/>
        </w:rPr>
        <w:t xml:space="preserve">) </w:t>
      </w:r>
      <w:r>
        <w:rPr>
          <w:rtl w:val="true"/>
        </w:rPr>
        <w:t>قد قرأ إحدى السورتين في ركعة من الفريضة</w:t>
      </w:r>
      <w:bookmarkEnd w:id="97"/>
    </w:p>
    <w:p>
      <w:pPr>
        <w:pStyle w:val="BookText"/>
        <w:rPr/>
      </w:pPr>
      <w:r>
        <w:rPr>
          <w:rFonts w:ascii="Amiri" w:hAnsi="Amiri" w:eastAsia="Amiri" w:cs="Amiri"/>
          <w:color w:val="111111"/>
          <w:sz w:val="28"/>
          <w:sz w:val="28"/>
          <w:szCs w:val="28"/>
          <w:rtl w:val="true"/>
          <w:lang w:bidi="ar-SA"/>
        </w:rPr>
        <w:t>كما في مرسلة ابن أبي عمير عن زيد الشحّام، وسيأتي ذكرها والكلام فيها سنداً ومتناً مفصّلاً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3769831_2870459653"/>
      <w:bookmarkStart w:id="99" w:name="_Toc38"/>
      <w:bookmarkEnd w:id="98"/>
      <w:r>
        <w:rPr>
          <w:rtl w:val="true"/>
        </w:rPr>
        <w:t>الدليل السابع</w:t>
      </w:r>
      <w:r>
        <w:rPr>
          <w:rtl w:val="true"/>
        </w:rPr>
        <w:t xml:space="preserve">: </w:t>
      </w:r>
      <w:r>
        <w:rPr>
          <w:rtl w:val="true"/>
        </w:rPr>
        <w:t>دعوى سيرة المتشرّعة</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استنادها إلى قول المعصوم أو فعله أو تقريره، فلعلّها نشأت عمّا جرت عليه المصاحف المعروفة من اعتبارهما سورتين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من أدلّة القول بتعدّد السورتين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التامّ منها هو الدليل الأوَّل والثاني والسادس، وأمّا الثالث والرابع والخامس فهي وإن كان قد يناقش فيها ولكنّها بمجموعها تعضد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أنَّه إذا ثبت تعدّد السورتين كان مقتضى القاعدة الاجتزاء بكلّ واحدة منهما، وحرمة أو كراهة الجمع بينهما من جهة العمومات الفوقانيّة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يكون عموماً فوقانيّاً روايتان معتبرتان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يقرأ السورتين في الركعة؟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لكلّ سورة ركعة</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وفي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ركعة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يقرن بين السورتين في الركعة؟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سورة حقّاً، فأعطها حقّها من الركوع والسجود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معتبرة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في المكتوبة بأقلّ من سورة ولا بأكثر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وموثّقة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يكره أن يجمع بين السورتين في الفريضة، فأمّا النافلة فلا بأس</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بالكراهة هنا الحرمة، لا الكراهة المصطلحة التي هي من الأحكام التكليفيّة الخمسة، بقرينة المقابلة مع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الواردة في الروايات هي أعمّ من الكراهة التنزيهيّة والتحريميّة، ولا تحمل على إحداهما إلَّا بقرينة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ويعضده ما رواه الشيخ بإسناده عن الحسين بن سعيد، عن القرويّ، عن أبان،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سورتين في ركعة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كلّ سورة حقّها من الركوع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في الفريضة فأمّا في النافلة فليس به بأس</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00" w:name="pg9167_80145"/>
    </w:p>
    <w:p>
      <w:pPr>
        <w:pStyle w:val="Heading4"/>
        <w:numPr>
          <w:ilvl w:val="3"/>
          <w:numId w:val="1"/>
        </w:numPr>
        <w:rPr/>
      </w:pPr>
      <w:bookmarkStart w:id="101" w:name="__RefHeading___Toc3769833_2870459653"/>
      <w:bookmarkStart w:id="102" w:name="_Toc39"/>
      <w:bookmarkEnd w:id="100"/>
      <w:bookmarkEnd w:id="101"/>
      <w:r>
        <w:rPr>
          <w:rtl w:val="true"/>
        </w:rPr>
        <w:t>ثانياً</w:t>
      </w:r>
      <w:r>
        <w:rPr>
          <w:rtl w:val="true"/>
        </w:rPr>
        <w:t xml:space="preserve">: </w:t>
      </w:r>
      <w:r>
        <w:rPr>
          <w:rtl w:val="true"/>
        </w:rPr>
        <w:t>أدلّة القول بوحدة السورتين حقيقة</w:t>
      </w:r>
      <w:bookmarkEnd w:id="102"/>
    </w:p>
    <w:p>
      <w:pPr>
        <w:pStyle w:val="Heading5"/>
        <w:numPr>
          <w:ilvl w:val="4"/>
          <w:numId w:val="1"/>
        </w:numPr>
        <w:rPr/>
      </w:pPr>
      <w:bookmarkStart w:id="103" w:name="__RefHeading___Toc3769835_2870459653"/>
      <w:bookmarkStart w:id="104" w:name="_Toc40"/>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ونعرض عناوينها بإيجاز، ثُمَّ نتعرّض لتفصيلها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وما يؤدّي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769837_2870459653"/>
      <w:bookmarkStart w:id="106" w:name="_Toc41"/>
      <w:bookmarkEnd w:id="105"/>
      <w:r>
        <w:rPr>
          <w:rtl w:val="true"/>
        </w:rPr>
        <w:t>تفصيل الكلام في هذه الأدلّة</w:t>
      </w:r>
      <w:bookmarkEnd w:id="106"/>
    </w:p>
    <w:p>
      <w:pPr>
        <w:pStyle w:val="Heading6"/>
        <w:numPr>
          <w:ilvl w:val="5"/>
          <w:numId w:val="1"/>
        </w:numPr>
        <w:rPr/>
      </w:pPr>
      <w:bookmarkStart w:id="107" w:name="__RefHeading___Toc3769839_2870459653"/>
      <w:bookmarkStart w:id="108" w:name="_Toc42"/>
      <w:bookmarkEnd w:id="107"/>
      <w:r>
        <w:rPr>
          <w:rtl w:val="true"/>
        </w:rPr>
        <w:t>الدليل الأوّل</w:t>
      </w:r>
      <w:r>
        <w:rPr>
          <w:rtl w:val="true"/>
        </w:rPr>
        <w:t xml:space="preserve">: </w:t>
      </w:r>
      <w:r>
        <w:rPr>
          <w:rtl w:val="true"/>
        </w:rPr>
        <w:t>الإجماع وما يؤدّي مؤدّاه</w:t>
      </w:r>
      <w:bookmarkEnd w:id="108"/>
    </w:p>
    <w:p>
      <w:pPr>
        <w:pStyle w:val="BookText"/>
        <w:rPr/>
      </w:pPr>
      <w:r>
        <w:rPr>
          <w:rFonts w:ascii="IRNazanin" w:hAnsi="IRNazanin" w:eastAsia="IRNazanin"/>
          <w:color w:val="111111"/>
          <w:sz w:val="28"/>
          <w:sz w:val="28"/>
          <w:szCs w:val="28"/>
          <w:rtl w:val="true"/>
          <w:lang w:bidi="fa-IR"/>
        </w:rPr>
        <w:t xml:space="preserve">بتتبّع كلمات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المصادر المتاحة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أوَّل من ادّعى ما يؤدّي مؤدّى الإجماع هو الشيخ الصدوق في الاعتقادات،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وعندنا أنَّ الضحى وألم نشرح سورة واحدة، ولإيلاف وألم ترَ كيف سورة واحدة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ادّعى الإجماع صريحاً عندنا هو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ما انفردت به الإماميّة من وجوب سورة كاملة في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إفراد كلّ واحدة من سورة والضحى وألم نشرح عن صاحبتها، وكذلك إفراد سورة الفيل عن 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مع الإجماع المتردّد طريقة اليقين ببراءة الذمّة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وبعده جاء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ما يؤدّي مؤدّى الإجماع، قال في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هاتين السورتين سورة واحدة عند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وينبغي أن يقرأهما موضعاً واحداً، ولا يفصل بينهما ببسم الله الرحمن الرحيم في الفرائض</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أنَّه لا يجوز قراءة هاتين السورتين إلَّا في ركعة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واحدة عند أصحابنا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العلّامة في كتبه المختلفة، ففي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وكذلك في النهاية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الإجماع ليس بمحصَّل؛ لأنَّه لم تصلنا كلمات أرباب الفتاوى من القدماء كلّهم، فإنَّه لم تصلنا كلمات مثل ابن الجنيد وابن أبي عقيل والجعفيّ، ولا من قبلهم من الفقهاء في هذه المسألة مع عناية فقهائنا بنقل كلماتهم، كالمحقّق والعلّامة والشهيد الأوَّل الذين وصلت كتب القدماء إليهم، بل حتّى أنَّ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ينقل روايات المسألة، مع أنَّه في كتابه يسرد الروايات التي يعمل بها، والكتاب أُلِّف </w:t>
      </w:r>
      <w:bookmarkStart w:id="109" w:name="pg9167_80147"/>
    </w:p>
    <w:p>
      <w:pPr>
        <w:pStyle w:val="BookText"/>
        <w:rPr/>
      </w:pPr>
      <w:bookmarkEnd w:id="109"/>
      <w:r>
        <w:rPr>
          <w:rFonts w:ascii="Amiri" w:hAnsi="Amiri" w:eastAsia="Amiri" w:cs="Amiri"/>
          <w:color w:val="111111"/>
          <w:sz w:val="28"/>
          <w:sz w:val="28"/>
          <w:szCs w:val="28"/>
          <w:rtl w:val="true"/>
          <w:lang w:bidi="ar-SA"/>
        </w:rPr>
        <w:t>لكي يُعمل 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المدركيّة؛ لوجود روايات بمضمونه، فلا حجّة فيه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3769841_2870459653"/>
      <w:bookmarkStart w:id="111" w:name="_Toc43"/>
      <w:bookmarkEnd w:id="110"/>
      <w:r>
        <w:rPr>
          <w:rtl w:val="true"/>
        </w:rPr>
        <w:t>الدليل الثاني</w:t>
      </w:r>
      <w:r>
        <w:rPr>
          <w:rtl w:val="true"/>
        </w:rPr>
        <w:t xml:space="preserve">: </w:t>
      </w:r>
      <w:r>
        <w:rPr>
          <w:rtl w:val="true"/>
        </w:rPr>
        <w:t>الروايات الخاصّة</w:t>
      </w:r>
      <w:bookmarkEnd w:id="111"/>
    </w:p>
    <w:p>
      <w:pPr>
        <w:pStyle w:val="Heading6"/>
        <w:numPr>
          <w:ilvl w:val="5"/>
          <w:numId w:val="1"/>
        </w:numPr>
        <w:rPr/>
      </w:pPr>
      <w:bookmarkStart w:id="112" w:name="__RefHeading___Toc3769843_2870459653"/>
      <w:bookmarkStart w:id="113" w:name="_Toc4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وهي أهمّ أدلّة المسألة التي استند إليها كلٌّ بحسب ما فهمه منها،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التي وردت بنفس مضمون الطائفة الثانية من المسانيد، فهي عين المسانيد كما يظهر بالمقارنة بينهما، وسنذكرها في ذيل الطائفة الثانية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769845_2870459653"/>
      <w:bookmarkStart w:id="115" w:name="_Toc45"/>
      <w:bookmarkEnd w:id="114"/>
      <w:r>
        <w:rPr>
          <w:rtl w:val="true"/>
        </w:rPr>
        <w:t>الروايات المسندة</w:t>
      </w:r>
      <w:bookmarkEnd w:id="115"/>
    </w:p>
    <w:p>
      <w:pPr>
        <w:pStyle w:val="Heading6"/>
        <w:numPr>
          <w:ilvl w:val="5"/>
          <w:numId w:val="1"/>
        </w:numPr>
        <w:rPr/>
      </w:pPr>
      <w:bookmarkStart w:id="116" w:name="__RefHeading___Toc3769847_2870459653"/>
      <w:bookmarkStart w:id="117" w:name="_Toc46"/>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والروايات المسندة على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فالطائفة الأولى تتضمّن أنَّهما سورتان ولكن يجمع بينهما، والثانية صريحة في أنَّهما سورة واحدة، والثالثة تتضمّن حكاية التفريق بينهما</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3769849_2870459653"/>
      <w:bookmarkStart w:id="119" w:name="_Toc47"/>
      <w:bookmarkEnd w:id="118"/>
      <w:r>
        <w:rPr>
          <w:rtl w:val="true"/>
        </w:rPr>
        <w:t>الطائفة الأولى</w:t>
      </w:r>
      <w:r>
        <w:rPr>
          <w:rtl w:val="true"/>
        </w:rPr>
        <w:t xml:space="preserve">: </w:t>
      </w:r>
      <w:r>
        <w:rPr>
          <w:rtl w:val="true"/>
        </w:rPr>
        <w:t>أنَّهما سورتان ولكن يجمع بينهما</w:t>
      </w:r>
      <w:bookmarkEnd w:id="119"/>
    </w:p>
    <w:p>
      <w:pPr>
        <w:pStyle w:val="Heading6"/>
        <w:numPr>
          <w:ilvl w:val="5"/>
          <w:numId w:val="1"/>
        </w:numPr>
        <w:rPr/>
      </w:pPr>
      <w:bookmarkStart w:id="120" w:name="__RefHeading___Toc3769851_2870459653"/>
      <w:bookmarkStart w:id="121" w:name="_Toc48"/>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769853_2870459653"/>
      <w:bookmarkStart w:id="123" w:name="_Toc49"/>
      <w:bookmarkEnd w:id="122"/>
      <w:r>
        <w:rPr>
          <w:rtl w:val="true"/>
        </w:rPr>
        <w:t>الرواية الأولى</w:t>
      </w:r>
      <w:bookmarkEnd w:id="123"/>
    </w:p>
    <w:p>
      <w:pPr>
        <w:pStyle w:val="Heading6"/>
        <w:numPr>
          <w:ilvl w:val="5"/>
          <w:numId w:val="1"/>
        </w:numPr>
        <w:rPr/>
      </w:pPr>
      <w:bookmarkStart w:id="124" w:name="__RefHeading___Toc3769855_2870459653"/>
      <w:bookmarkStart w:id="125" w:name="_Toc50"/>
      <w:bookmarkEnd w:id="124"/>
      <w:r>
        <w:rPr>
          <w:rtl w:val="true"/>
        </w:rPr>
        <w:t>اشارة</w:t>
      </w:r>
      <w:bookmarkEnd w:id="1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المفضّل بن صالح أبي جميلة</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جامع أحمد بن محمّد بن أبي نصر البزنطيّ،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تجمع بين سورتين في ركعة واحدة إلَّا الضحى وألم نشرح، وسورة الفيل ولإيلاف قريش</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نقلها الشيخ الطبرسيّ عن تفسير العياشيّ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العياشيّ بإسناده، عن المفضّل بن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بين سورتين في ركعة واحدة إلَّا الضحى وألم نشرح، وألم ترَ كيف ولإيلاف قريش</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في الصدور والدلالة، ونقدّم الكلام في الدلالة؛ لأنَّه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صريحة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أنَّهما سورتان لا سورة واحدة؛ لأنَّ ظاهر الاستثناء هو الاستثناء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الجمع بين سورتين في ركعة واحدة إلَّا هذه السور، فتكون مستثناة من كراهة أو حرمة القِران بين السورتين، وأمّا وجوب قراءتهما معاً فيحتاج إلى قرينة، وهي مفقودة في المقام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الصدور فما حكاه الطبرسيّ عن تفسير العياشيّ مرسلٌ؛ للإرسال الواقع بين العياشيّ والمفضّل؛ إذ لا يعلم طريقه إليه، بالإضافة إلى الإشكال في المفضّل نفسه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6" w:name="pg9167_80149"/>
    </w:p>
    <w:p>
      <w:pPr>
        <w:pStyle w:val="BookText"/>
        <w:rPr/>
      </w:pPr>
      <w:bookmarkEnd w:id="126"/>
      <w:r>
        <w:rPr>
          <w:rFonts w:ascii="IRNazanin" w:hAnsi="IRNazanin" w:eastAsia="IRNazanin"/>
          <w:color w:val="111111"/>
          <w:sz w:val="28"/>
          <w:sz w:val="28"/>
          <w:szCs w:val="28"/>
          <w:rtl w:val="true"/>
          <w:lang w:bidi="fa-IR"/>
        </w:rPr>
        <w:t xml:space="preserve">وأمّا في السند إلى البزنطيّ فيمكن تصحيحه كما أفاده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قبساته بوجوه ثلاثة لم يرتضِ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الأوّلين منها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3769857_2870459653"/>
      <w:bookmarkStart w:id="128" w:name="_Toc51"/>
      <w:bookmarkEnd w:id="127"/>
      <w:r>
        <w:rPr>
          <w:rtl w:val="true"/>
        </w:rPr>
        <w:t>الوجه الأوّل</w:t>
      </w:r>
      <w:bookmarkEnd w:id="128"/>
    </w:p>
    <w:p>
      <w:pPr>
        <w:pStyle w:val="BookText"/>
        <w:rPr/>
      </w:pPr>
      <w:r>
        <w:rPr>
          <w:rFonts w:ascii="Amiri" w:hAnsi="Amiri" w:eastAsia="Amiri" w:cs="Amiri"/>
          <w:color w:val="111111"/>
          <w:sz w:val="28"/>
          <w:sz w:val="28"/>
          <w:szCs w:val="28"/>
          <w:rtl w:val="true"/>
          <w:lang w:bidi="ar-SA"/>
        </w:rPr>
        <w:t>أنَّ المحقّق له طريق صحيح إلى جميع مرويات الشيخ الطوسيّ، وللشيخ الطوسيّ طريق معتبر إلى كتاب الجامع للبزنطيّ ذكره في الفهرست، فبالإمكان البناء على صحّة طريق المحقّق إلى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ناقش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الوجه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قد مرّ مراراً أنَّ الطرق والأسانيد المذكورة في الفهارس هي في الغالب لعناوين الكتب والمصنّفات، وليست إلى نسخ معيّنة منها، فهي لا تجدي في تصحيح الكتب المستحصلة بالوجادة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الإجازات فالأمر فيها أوضح؛ فإنَّها شرفيّة بحتة إلّا في ما صرّح فيها بخلاف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فالوجه المذكور لا يفي بتصحيح الرواية المبحوث عنها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3769859_2870459653"/>
      <w:bookmarkStart w:id="130" w:name="_Toc52"/>
      <w:bookmarkEnd w:id="129"/>
      <w:r>
        <w:rPr>
          <w:rtl w:val="true"/>
        </w:rPr>
        <w:t>الوجه الثاني</w:t>
      </w:r>
      <w:bookmarkEnd w:id="1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كتاب الجامع للبزنطيّ كان من الكتب المعروفة المشهورة المتداولة بين الأصحاب قبل زمان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متأخّر، ونقل عنه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w:t>
      </w:r>
      <w:r>
        <w:rPr>
          <w:rStyle w:val="FootnoteAnchor"/>
          <w:rtl w:val="true"/>
        </w:rPr>
        <w:footnoteReference w:id="78"/>
      </w:r>
      <w:r>
        <w:rPr>
          <w:rFonts w:ascii="Amiri" w:hAnsi="Amiri" w:eastAsia="Amiri" w:cs="Amiri"/>
          <w:color w:val="111111"/>
          <w:sz w:val="28"/>
          <w:sz w:val="28"/>
          <w:szCs w:val="28"/>
          <w:rtl w:val="true"/>
          <w:lang w:bidi="ar-SA"/>
        </w:rPr>
        <w:t>، وأيضاً استطرف منه عدّة أحاديث في قسم المستطرفات</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وصلت نسخته إلى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عنه </w:t>
      </w:r>
      <w:bookmarkStart w:id="131" w:name="pg9167_80150"/>
    </w:p>
    <w:p>
      <w:pPr>
        <w:pStyle w:val="BookText"/>
        <w:rPr/>
      </w:pPr>
      <w:bookmarkEnd w:id="131"/>
      <w:r>
        <w:rPr>
          <w:rFonts w:ascii="Amiri" w:hAnsi="Amiri" w:eastAsia="Amiri" w:cs="Amiri"/>
          <w:color w:val="111111"/>
          <w:sz w:val="28"/>
          <w:sz w:val="28"/>
          <w:szCs w:val="28"/>
          <w:rtl w:val="true"/>
          <w:lang w:bidi="ar-SA"/>
        </w:rPr>
        <w:t>في مجموعته روايات كثيرة، بل إنَّ الكتاب كان موجوداً إلى عصر المجلسيّ الثاني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جامع البزنطيّ في ذلك العصر حال الكتب الأربعة ونحوها في العصور المتأخّرة، فلا حاجة إلى توفّر طريق إلى النسخة الواصلة منه إلى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حاجة في زماننا إلى وجود طريق إلى نسخة الكافي مثلاً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الطريق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يصعب الوثوق بأنَّ هذا الكتاب كان مشهوراً في عصر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الحدّ الذي يُستغنى به عن السند، والشواهد المذكورة ليست وافية بإثبات هذا المدّعى</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3769861_2870459653"/>
      <w:bookmarkStart w:id="133" w:name="_Toc53"/>
      <w:bookmarkEnd w:id="132"/>
      <w:r>
        <w:rPr>
          <w:rtl w:val="true"/>
        </w:rPr>
        <w:t>الوجه الثالث</w:t>
      </w:r>
      <w:bookmarkEnd w:id="133"/>
    </w:p>
    <w:p>
      <w:pPr>
        <w:pStyle w:val="BookText"/>
        <w:rPr/>
      </w:pPr>
      <w:r>
        <w:rPr>
          <w:rFonts w:ascii="Amiri" w:hAnsi="Amiri" w:eastAsia="Amiri" w:cs="Amiri"/>
          <w:color w:val="111111"/>
          <w:sz w:val="28"/>
          <w:sz w:val="28"/>
          <w:szCs w:val="28"/>
          <w:rtl w:val="true"/>
          <w:lang w:bidi="ar-SA"/>
        </w:rPr>
        <w:t xml:space="preserve">مقارنة ما أورده كلٌّ من المحقّق والشهيد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البزنطيّ بما ورد في الكتب الأربعة ونحوها عن أحمد بن أبي نصر، فإنَّه ممّا يقطع أنَّ كثيراً منه مستخرج من 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أهمّ وأشهر كتب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قد يحصل الوثوق بأنَّ النسخة التي وصلت إلى العلمَين كانت بالفعل هي نسخة كتاب الجامع للبزنطيّ، فيعتمد على الروايات التي أورداها منها لهذه الجهة، فليتأمّل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ويضاف وجه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يتوفّر في الناقل مواصفات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خبيراً في مجال معرفة الكتب، وتشخيص مؤلّفيها، وتمييز </w:t>
      </w:r>
      <w:bookmarkStart w:id="134" w:name="pg9167_80151"/>
    </w:p>
    <w:p>
      <w:pPr>
        <w:pStyle w:val="BookText"/>
        <w:rPr/>
      </w:pPr>
      <w:bookmarkEnd w:id="134"/>
      <w:r>
        <w:rPr>
          <w:rFonts w:ascii="Amiri" w:hAnsi="Amiri" w:eastAsia="Amiri" w:cs="Amiri"/>
          <w:color w:val="111111"/>
          <w:sz w:val="28"/>
          <w:sz w:val="28"/>
          <w:szCs w:val="28"/>
          <w:rtl w:val="true"/>
          <w:lang w:bidi="ar-SA"/>
        </w:rPr>
        <w:t>الصحيح من نسخها عن غيره، وأيضاً بأن يكون متثبّتاً في ما ينسبه من المؤلّفات إلى الأشخاص معتمداً في ذلك على القرائن الواضحة والشواهد الكافية دون الأمور الظنّيّة التي لا تُغني عن الحقّ شيئاً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السمات متوفّرة في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الرواية معتبرة إلى ابن أبي نصر البزنطيّ، لكن يبقى الإشكال في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ويلحق بما رواه المحقّق عن جامع البزنطيّ مرسلة العلّامة الطبرسيّ، وهي 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بين سورتين في ركعة إلَّا الضحى وألم نشرح، وألم ترَ كيف ولإيلاف قريش</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ومضمون هذه المرسلة هو نفس ما نقله المحقّق عن جامع البزنطيّ من رواية المفضّل بن صالح المتقدّمة، والكلام في دلالة هذه الرواية هو الكلام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 ما استظهرناه في تلك الرواية من أنَّها مستثناة من كراهة أو حرمة القِران بين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الدلالة الإشكال السنديّ بالإرسال</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3769863_2870459653"/>
      <w:bookmarkStart w:id="136" w:name="_Toc54"/>
      <w:bookmarkEnd w:id="135"/>
      <w:r>
        <w:rPr>
          <w:rtl w:val="true"/>
        </w:rPr>
        <w:t>الطائفة الثانية</w:t>
      </w:r>
      <w:r>
        <w:rPr>
          <w:rtl w:val="true"/>
        </w:rPr>
        <w:t xml:space="preserve">: </w:t>
      </w:r>
      <w:r>
        <w:rPr>
          <w:rtl w:val="true"/>
        </w:rPr>
        <w:t>ما ورد فيها أنَّهما سورة واحدة</w:t>
      </w:r>
      <w:bookmarkEnd w:id="136"/>
    </w:p>
    <w:p>
      <w:pPr>
        <w:pStyle w:val="Heading6"/>
        <w:numPr>
          <w:ilvl w:val="5"/>
          <w:numId w:val="1"/>
        </w:numPr>
        <w:rPr/>
      </w:pPr>
      <w:bookmarkStart w:id="137" w:name="__RefHeading___Toc3769865_2870459653"/>
      <w:bookmarkStart w:id="138" w:name="_Toc55"/>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وهي روايات ثلاث</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769867_2870459653"/>
      <w:bookmarkStart w:id="140" w:name="_Toc56"/>
      <w:bookmarkEnd w:id="139"/>
      <w:r>
        <w:rPr>
          <w:rtl w:val="true"/>
        </w:rPr>
        <w:t>الأولى</w:t>
      </w:r>
      <w:bookmarkEnd w:id="1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شجرة النبّال، وهو ما رواه السيّاريّ، عن البرقيّ، عن القاسم بن </w:t>
      </w:r>
      <w:bookmarkStart w:id="141" w:name="pg9167_80152"/>
    </w:p>
    <w:p>
      <w:pPr>
        <w:pStyle w:val="BookText"/>
        <w:rPr/>
      </w:pPr>
      <w:bookmarkEnd w:id="141"/>
      <w:r>
        <w:rPr>
          <w:rFonts w:ascii="Amiri" w:hAnsi="Amiri" w:eastAsia="Amiri" w:cs="Amiri"/>
          <w:color w:val="111111"/>
          <w:sz w:val="28"/>
          <w:sz w:val="28"/>
          <w:szCs w:val="28"/>
          <w:rtl w:val="true"/>
          <w:lang w:bidi="ar-SA"/>
        </w:rPr>
        <w:t>عروة</w:t>
      </w:r>
      <w:r>
        <w:rPr>
          <w:rStyle w:val="FootnoteAnchor"/>
          <w:rtl w:val="true"/>
        </w:rPr>
        <w:footnoteReference w:id="86"/>
      </w:r>
      <w:r>
        <w:rPr>
          <w:rFonts w:ascii="Amiri" w:hAnsi="Amiri" w:eastAsia="Amiri" w:cs="Amiri"/>
          <w:color w:val="111111"/>
          <w:sz w:val="28"/>
          <w:sz w:val="28"/>
          <w:szCs w:val="28"/>
          <w:rtl w:val="true"/>
          <w:lang w:bidi="ar-SA"/>
        </w:rPr>
        <w:t>، عن شجرة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وقال الشيخ في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بن ميمون، أبي أراكة النبّال الوابشيّ، مولاهم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ولإيلاف سورة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3769869_2870459653"/>
      <w:bookmarkStart w:id="143" w:name="_Toc57"/>
      <w:bookmarkEnd w:id="142"/>
      <w:r>
        <w:rPr>
          <w:rtl w:val="true"/>
        </w:rPr>
        <w:t>الثانية</w:t>
      </w:r>
      <w:bookmarkEnd w:id="1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المفضّل بن صالح أبي جميلة، وهو ما رواه السيّاريّ</w:t>
      </w:r>
      <w:r>
        <w:rPr>
          <w:rStyle w:val="FootnoteAnchor"/>
          <w:rtl w:val="true"/>
        </w:rPr>
        <w:footnoteReference w:id="8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عن أبي جميلة،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 وألم نشرح لك سورة واحدة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44" w:name="pg9167_80153"/>
    </w:p>
    <w:p>
      <w:pPr>
        <w:pStyle w:val="Heading6"/>
        <w:numPr>
          <w:ilvl w:val="5"/>
          <w:numId w:val="1"/>
        </w:numPr>
        <w:rPr/>
      </w:pPr>
      <w:bookmarkStart w:id="145" w:name="__RefHeading___Toc3769871_2870459653"/>
      <w:bookmarkStart w:id="146" w:name="_Toc58"/>
      <w:bookmarkEnd w:id="144"/>
      <w:bookmarkEnd w:id="145"/>
      <w:r>
        <w:rPr>
          <w:rtl w:val="true"/>
        </w:rPr>
        <w:t>الثالثة</w:t>
      </w:r>
      <w:bookmarkEnd w:id="146"/>
    </w:p>
    <w:p>
      <w:pPr>
        <w:pStyle w:val="BookText"/>
        <w:rPr/>
      </w:pPr>
      <w:r>
        <w:rPr>
          <w:rFonts w:ascii="Amiri" w:hAnsi="Amiri" w:eastAsia="Amiri" w:cs="Amiri"/>
          <w:color w:val="111111"/>
          <w:sz w:val="28"/>
          <w:sz w:val="28"/>
          <w:szCs w:val="28"/>
          <w:rtl w:val="true"/>
          <w:lang w:bidi="ar-SA"/>
        </w:rPr>
        <w:t>رواية أبي العبّاس البقباق، وهو ما رواه السيّاريّ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القاسم بن عروة، عن أبي العبّاس</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عبد الملك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والمتن عين رواية المفضّل بن صالح أبي جميلة المتقدّمة؛ لذكر السيّاريّ إسنادهما معاً بمتن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ويلحق برواية البقباق هذه مرسلة الشيخ الطبرسيّ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أبي العبّاس،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كيف فعل ربّك ولإيلاف قريش سورة واحدة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الروايات تصريح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وألم نشرح لك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ولإيلاف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هل هما واقعاً كذلك؟ بمعنى أنَّ الله سبحانه وتعالى أنزلهما كذلك، والناس فرّقوا بينهما وجعلوهما سورتين، أم هما سورة واحدة في القراءة في الفريضة؟ القدر المتيقّن هو الثاني، والأوَّل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الروايات جميعاً غير نقيّة السند؛ لوجود السيّاريّ، والقاسم بن عروة على بعض المباني</w:t>
      </w:r>
      <w:r>
        <w:rPr>
          <w:rStyle w:val="FootnoteAnchor"/>
          <w:rtl w:val="true"/>
        </w:rPr>
        <w:footnoteReference w:id="93"/>
      </w:r>
      <w:r>
        <w:rPr>
          <w:rFonts w:ascii="Amiri" w:hAnsi="Amiri" w:eastAsia="Amiri" w:cs="Amiri"/>
          <w:color w:val="111111"/>
          <w:sz w:val="28"/>
          <w:sz w:val="28"/>
          <w:szCs w:val="28"/>
          <w:rtl w:val="true"/>
          <w:lang w:bidi="ar-SA"/>
        </w:rPr>
        <w:t>، وأبي سمينة، والمفضّل بين صالح، والإرسال</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769873_2870459653"/>
      <w:bookmarkStart w:id="148" w:name="_Toc59"/>
      <w:bookmarkEnd w:id="147"/>
      <w:r>
        <w:rPr>
          <w:rtl w:val="true"/>
        </w:rPr>
        <w:t>الروايات المرسلة</w:t>
      </w:r>
      <w:bookmarkEnd w:id="148"/>
    </w:p>
    <w:p>
      <w:pPr>
        <w:pStyle w:val="Heading6"/>
        <w:numPr>
          <w:ilvl w:val="5"/>
          <w:numId w:val="1"/>
        </w:numPr>
        <w:rPr/>
      </w:pPr>
      <w:bookmarkStart w:id="149" w:name="__RefHeading___Toc3769875_2870459653"/>
      <w:bookmarkStart w:id="150" w:name="_Toc60"/>
      <w:bookmarkEnd w:id="149"/>
      <w:r>
        <w:rPr>
          <w:rtl w:val="true"/>
        </w:rPr>
        <w:t>اشارة</w:t>
      </w:r>
      <w:bookmarkEnd w:id="1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أنَّها تعبير آخر عن الروايات السابقة، وهي كالتالي</w:t>
      </w:r>
      <w:r>
        <w:rPr>
          <w:rFonts w:eastAsia="Amiri" w:cs="Amiri" w:ascii="Amiri" w:hAnsi="Amiri"/>
          <w:color w:val="111111"/>
          <w:sz w:val="28"/>
          <w:szCs w:val="28"/>
          <w:rtl w:val="true"/>
          <w:lang w:bidi="ar-SA"/>
        </w:rPr>
        <w:t xml:space="preserve">: </w:t>
      </w:r>
      <w:bookmarkStart w:id="151" w:name="pg9167_80154"/>
    </w:p>
    <w:p>
      <w:pPr>
        <w:pStyle w:val="Heading6"/>
        <w:numPr>
          <w:ilvl w:val="5"/>
          <w:numId w:val="1"/>
        </w:numPr>
        <w:rPr/>
      </w:pPr>
      <w:bookmarkStart w:id="152" w:name="__RefHeading___Toc3769877_2870459653"/>
      <w:bookmarkStart w:id="153" w:name="_Toc61"/>
      <w:bookmarkEnd w:id="151"/>
      <w:bookmarkEnd w:id="152"/>
      <w:r>
        <w:rPr>
          <w:rtl w:val="true"/>
        </w:rPr>
        <w:t>الرواية الأولى</w:t>
      </w:r>
      <w:bookmarkEnd w:id="153"/>
    </w:p>
    <w:p>
      <w:pPr>
        <w:pStyle w:val="BookText"/>
        <w:rPr/>
      </w:pPr>
      <w:r>
        <w:rPr>
          <w:rFonts w:ascii="Amiri" w:hAnsi="Amiri" w:eastAsia="Amiri" w:cs="Amiri"/>
          <w:color w:val="111111"/>
          <w:sz w:val="28"/>
          <w:sz w:val="28"/>
          <w:szCs w:val="28"/>
          <w:rtl w:val="true"/>
          <w:lang w:bidi="ar-SA"/>
        </w:rPr>
        <w:t>مرسلة فقه الرضا التي تقدّم نقلها في القول الأوّل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3769879_2870459653"/>
      <w:bookmarkStart w:id="155" w:name="_Toc62"/>
      <w:bookmarkEnd w:id="154"/>
      <w:r>
        <w:rPr>
          <w:rtl w:val="true"/>
        </w:rPr>
        <w:t>الرواية الثانية</w:t>
      </w:r>
      <w:bookmarkEnd w:id="155"/>
    </w:p>
    <w:p>
      <w:pPr>
        <w:pStyle w:val="BookText"/>
        <w:rPr/>
      </w:pPr>
      <w:r>
        <w:rPr>
          <w:rFonts w:ascii="Amiri" w:hAnsi="Amiri" w:eastAsia="Amiri" w:cs="Amiri"/>
          <w:color w:val="111111"/>
          <w:sz w:val="28"/>
          <w:sz w:val="28"/>
          <w:szCs w:val="28"/>
          <w:rtl w:val="true"/>
          <w:lang w:bidi="ar-SA"/>
        </w:rPr>
        <w:t>مرسلة الشيخ في التبيان،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ألم نشرح والضحى سورة واحدة؛ لتعلّق بعضها ببعض، ولم يفصلوا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وأوجبوا قراءتهما في الفرائض في ركعة وألّا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قالوا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المصحف هما سورتان فصل بينهما ببسم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المرسلة معلّلة، ويظهر أنَّ هذا التعليل من الشيخ، فالرواية تنتهي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عن الأصحاب أنَّهم أوجبوا قراءتهما معاً بدون الفصل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المقطع الثاني من الرواية فقد نسبه الشيخ إلى القيل وليس إلى الرواية، وفي نهاية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والإيلاف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سورتان في المصحف فُصل بينهما بالبسملة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769881_2870459653"/>
      <w:bookmarkStart w:id="157" w:name="_Toc63"/>
      <w:bookmarkEnd w:id="156"/>
      <w:r>
        <w:rPr>
          <w:rtl w:val="true"/>
        </w:rPr>
        <w:t>الرواية الثالثة</w:t>
      </w:r>
      <w:bookmarkEnd w:id="157"/>
    </w:p>
    <w:p>
      <w:pPr>
        <w:pStyle w:val="BookText"/>
        <w:rPr/>
      </w:pPr>
      <w:r>
        <w:rPr>
          <w:rFonts w:ascii="Amiri" w:hAnsi="Amiri" w:eastAsia="Amiri" w:cs="Amiri"/>
          <w:color w:val="111111"/>
          <w:sz w:val="28"/>
          <w:sz w:val="28"/>
          <w:szCs w:val="28"/>
          <w:rtl w:val="true"/>
          <w:lang w:bidi="ar-SA"/>
        </w:rPr>
        <w:t>مرسلة الشيخ الطبرسيّ 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أصحابنا أنَّ الضحى وألم نشرح سورة واحدة؛ لتعلّق إحداهما بالأخرى، ولم يفصلوا بينهما ببسم الله الرحمن الرحيم، وجمعوا بينهما في الركعة الواحدة في الفريضة، وكذلك القول في سورة ألم ترَ كيف ولإيلاف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يدلّ على ذلك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ومضمون هذه المرسلة نفس مضمون مرسلة التبيان، لكنّ الشيخ قال</w:t>
      </w:r>
      <w:r>
        <w:rPr>
          <w:rFonts w:eastAsia="Amiri" w:cs="Amiri" w:ascii="Amiri" w:hAnsi="Amiri"/>
          <w:color w:val="111111"/>
          <w:sz w:val="28"/>
          <w:szCs w:val="28"/>
          <w:rtl w:val="true"/>
          <w:lang w:bidi="ar-SA"/>
        </w:rPr>
        <w:t xml:space="preserve">: </w:t>
      </w:r>
      <w:bookmarkStart w:id="158" w:name="pg9167_80155"/>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الطبرسيّ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لا يدلّ على وجوب قراءتهما معاً بخلاف ما نقله الشيخ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من المحتمل أن يكون أحدهما مصحّفاً عن الآخر؛ لقرب رسم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الشيخ الطبرسيّ قرينة السياق دليلاً على الوحدة، وهو نفس ما ذكره الشيخ من تعلّق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في الأخيرتين أنَّهما سورتان في المصحف فُصل بينهما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قلنا باتّحاد الروايتين فلا يحرز أنَّ الوارد فيها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فلا يمكن الاستدلال بها في المقام على أنَّ السورتين الأُولتين المبحوث عنهما واحدة، وكذا الأخيرتين</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769883_2870459653"/>
      <w:bookmarkStart w:id="160" w:name="_Toc64"/>
      <w:bookmarkEnd w:id="159"/>
      <w:r>
        <w:rPr>
          <w:rtl w:val="true"/>
        </w:rPr>
        <w:t>الرواية الرابعة</w:t>
      </w:r>
      <w:bookmarkEnd w:id="160"/>
    </w:p>
    <w:p>
      <w:pPr>
        <w:pStyle w:val="BookText"/>
        <w:rPr/>
      </w:pPr>
      <w:r>
        <w:rPr>
          <w:rFonts w:ascii="IRNazanin" w:hAnsi="IRNazanin" w:eastAsia="IRNazanin"/>
          <w:color w:val="111111"/>
          <w:sz w:val="28"/>
          <w:sz w:val="28"/>
          <w:szCs w:val="28"/>
          <w:rtl w:val="true"/>
          <w:lang w:bidi="fa-IR"/>
        </w:rPr>
        <w:t>مرسلة الطبرسيّ في تفسير جوامع الجامع،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واحدة، وكذلك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واحدة</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المرسلة قد جمعت بين روايات البقباق، والمفضّل بن صالح، وشجرة، ويأتي فيها نفس الكلام في تلك الروايات</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769885_2870459653"/>
      <w:bookmarkStart w:id="162" w:name="_Toc65"/>
      <w:bookmarkEnd w:id="161"/>
      <w:r>
        <w:rPr>
          <w:rtl w:val="true"/>
        </w:rPr>
        <w:t>الرواية الخامسة</w:t>
      </w:r>
      <w:bookmarkEnd w:id="1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المحقّق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أصحابنا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إفراد إحداهما من صاحبتها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إلى البسملة بينهما، على الأظهر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63" w:name="pg9167_80156"/>
    </w:p>
    <w:p>
      <w:pPr>
        <w:pStyle w:val="BookText"/>
        <w:rPr/>
      </w:pPr>
      <w:bookmarkEnd w:id="163"/>
      <w:r>
        <w:rPr>
          <w:rFonts w:ascii="Amiri" w:hAnsi="Amiri" w:eastAsia="Amiri" w:cs="Amiri"/>
          <w:color w:val="111111"/>
          <w:sz w:val="28"/>
          <w:sz w:val="28"/>
          <w:szCs w:val="28"/>
          <w:rtl w:val="true"/>
          <w:lang w:bidi="ar-SA"/>
        </w:rPr>
        <w:t>والظاهر أنَّها ليست رواية جديدة غير ما أرسله الشيخ في تبيانه، فالرواية تنتهي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تبدأ 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إفراد إحداهما من صاحبتها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إلى البسملة بينهما،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إليها الإشكال السنديّ بالإرسال</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3769887_2870459653"/>
      <w:bookmarkStart w:id="165" w:name="_Toc66"/>
      <w:bookmarkEnd w:id="164"/>
      <w:r>
        <w:rPr>
          <w:rtl w:val="true"/>
        </w:rPr>
        <w:t>الطائفة الثالثة</w:t>
      </w:r>
      <w:r>
        <w:rPr>
          <w:rtl w:val="true"/>
        </w:rPr>
        <w:t xml:space="preserve">: </w:t>
      </w:r>
      <w:r>
        <w:rPr>
          <w:rtl w:val="true"/>
        </w:rPr>
        <w:t>ما تضمّنت التفريق بينهما</w:t>
      </w:r>
      <w:bookmarkEnd w:id="165"/>
    </w:p>
    <w:p>
      <w:pPr>
        <w:pStyle w:val="Heading6"/>
        <w:numPr>
          <w:ilvl w:val="5"/>
          <w:numId w:val="1"/>
        </w:numPr>
        <w:rPr/>
      </w:pPr>
      <w:bookmarkStart w:id="166" w:name="__RefHeading___Toc3769889_2870459653"/>
      <w:bookmarkStart w:id="167" w:name="_Toc6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وهي روايات</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769891_2870459653"/>
      <w:bookmarkStart w:id="169" w:name="_Toc68"/>
      <w:bookmarkEnd w:id="168"/>
      <w:r>
        <w:rPr>
          <w:rtl w:val="true"/>
        </w:rPr>
        <w:t>الأولى</w:t>
      </w:r>
      <w:r>
        <w:rPr>
          <w:rtl w:val="true"/>
        </w:rPr>
        <w:t xml:space="preserve">: </w:t>
      </w:r>
      <w:r>
        <w:rPr>
          <w:rtl w:val="true"/>
        </w:rPr>
        <w:t>رواية داود الرقّيّ</w:t>
      </w:r>
      <w:bookmarkEnd w:id="169"/>
    </w:p>
    <w:p>
      <w:pPr>
        <w:pStyle w:val="BookText"/>
        <w:rPr/>
      </w:pPr>
      <w:r>
        <w:rPr>
          <w:rFonts w:ascii="IRNazanin" w:hAnsi="IRNazanin" w:eastAsia="IRNazanin"/>
          <w:color w:val="111111"/>
          <w:sz w:val="28"/>
          <w:sz w:val="28"/>
          <w:szCs w:val="28"/>
          <w:rtl w:val="true"/>
          <w:lang w:bidi="fa-IR"/>
        </w:rPr>
        <w:t xml:space="preserve">وهو ما رواه قطب الدين الراونديّ مرسلاً عن داود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طلع الفجر،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وأقام، وأقامني عن يمينه، وقرأ في أوَّل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الثانية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قنت، ثُمَّ سلَّم وجلس</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ضعيفة السند بالإرسال وبداود الرقّيّ، ولكن دلالتها تامّة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في صلاة فريضة الفجر سورة الضحى فقط، ومعنى ذلك جواز إفرادها عن سورة الانشراح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جزم المحقّق التستريّ بسقوط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bookmarkStart w:id="170" w:name="pg9167_80157"/>
    </w:p>
    <w:p>
      <w:pPr>
        <w:pStyle w:val="BookText"/>
        <w:rPr/>
      </w:pPr>
      <w:bookmarkEnd w:id="170"/>
      <w:r>
        <w:rPr>
          <w:rFonts w:ascii="Amiri" w:hAnsi="Amiri" w:eastAsia="Amiri" w:cs="Amiri"/>
          <w:color w:val="111111"/>
          <w:sz w:val="28"/>
          <w:sz w:val="28"/>
          <w:szCs w:val="28"/>
          <w:rtl w:val="true"/>
          <w:lang w:bidi="ar-SA"/>
        </w:rPr>
        <w:t>جمعاً بين هذه الرواية وبين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السقط في النسخ كثير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جزم به محلّ تأمّل لا يخفى</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3769893_2870459653"/>
      <w:bookmarkStart w:id="172" w:name="_Toc69"/>
      <w:bookmarkEnd w:id="171"/>
      <w:r>
        <w:rPr>
          <w:rtl w:val="true"/>
        </w:rPr>
        <w:t>الرواية الثانية</w:t>
      </w:r>
      <w:r>
        <w:rPr>
          <w:rtl w:val="true"/>
        </w:rPr>
        <w:t xml:space="preserve">: </w:t>
      </w:r>
      <w:r>
        <w:rPr>
          <w:rtl w:val="true"/>
        </w:rPr>
        <w:t>رواية زيد الشحّام</w:t>
      </w:r>
      <w:bookmarkEnd w:id="172"/>
    </w:p>
    <w:p>
      <w:pPr>
        <w:pStyle w:val="Heading6"/>
        <w:numPr>
          <w:ilvl w:val="5"/>
          <w:numId w:val="1"/>
        </w:numPr>
        <w:rPr/>
      </w:pPr>
      <w:bookmarkStart w:id="173" w:name="__RefHeading___Toc3769895_2870459653"/>
      <w:bookmarkStart w:id="174" w:name="_Toc70"/>
      <w:bookmarkEnd w:id="173"/>
      <w:r>
        <w:rPr>
          <w:rtl w:val="true"/>
        </w:rPr>
        <w:t>اشارة</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رويت بصور ثلاث</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769897_2870459653"/>
      <w:bookmarkStart w:id="176" w:name="_Toc71"/>
      <w:bookmarkEnd w:id="175"/>
      <w:r>
        <w:rPr>
          <w:rtl w:val="true"/>
        </w:rPr>
        <w:t>الصورة الأولى</w:t>
      </w:r>
      <w:bookmarkEnd w:id="176"/>
    </w:p>
    <w:p>
      <w:pPr>
        <w:pStyle w:val="BookText"/>
        <w:rPr/>
      </w:pPr>
      <w:r>
        <w:rPr>
          <w:rFonts w:ascii="Amiri" w:hAnsi="Amiri" w:eastAsia="Amiri" w:cs="Amiri"/>
          <w:color w:val="111111"/>
          <w:sz w:val="28"/>
          <w:sz w:val="28"/>
          <w:szCs w:val="28"/>
          <w:rtl w:val="true"/>
          <w:lang w:bidi="ar-SA"/>
        </w:rPr>
        <w:t>ما رواه الشيخ بإسناده عن الحسين بن سعيد</w:t>
      </w:r>
      <w:r>
        <w:rPr>
          <w:rStyle w:val="FootnoteAnchor"/>
          <w:rtl w:val="true"/>
        </w:rPr>
        <w:footnoteReference w:id="101"/>
      </w:r>
      <w:r>
        <w:rPr>
          <w:rFonts w:ascii="Amiri" w:hAnsi="Amiri" w:eastAsia="Amiri" w:cs="Amiri"/>
          <w:color w:val="111111"/>
          <w:sz w:val="28"/>
          <w:sz w:val="28"/>
          <w:szCs w:val="28"/>
          <w:rtl w:val="true"/>
          <w:lang w:bidi="ar-SA"/>
        </w:rPr>
        <w:t>عن فضالة</w:t>
      </w:r>
      <w:r>
        <w:rPr>
          <w:rStyle w:val="FootnoteAnchor"/>
          <w:rtl w:val="true"/>
        </w:rPr>
        <w:footnoteReference w:id="102"/>
      </w:r>
      <w:r>
        <w:rPr>
          <w:rFonts w:ascii="Amiri" w:hAnsi="Amiri" w:eastAsia="Amiri" w:cs="Amiri"/>
          <w:color w:val="111111"/>
          <w:sz w:val="28"/>
          <w:sz w:val="28"/>
          <w:szCs w:val="28"/>
          <w:rtl w:val="true"/>
          <w:lang w:bidi="ar-SA"/>
        </w:rPr>
        <w:t xml:space="preserve">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w:t>
      </w:r>
      <w:r>
        <w:rPr>
          <w:rStyle w:val="FootnoteAnchor"/>
          <w:rtl w:val="true"/>
        </w:rPr>
        <w:footnoteReference w:id="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بنا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فقرأ والضحى وألم نشرح في ركعة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هذه الصورة من الرواية معتبر كما تبيّن آنفاً</w:t>
      </w:r>
      <w:r>
        <w:rPr>
          <w:rFonts w:eastAsia="Amiri" w:cs="Amiri" w:ascii="Amiri" w:hAnsi="Amiri"/>
          <w:color w:val="111111"/>
          <w:sz w:val="28"/>
          <w:szCs w:val="28"/>
          <w:rtl w:val="true"/>
          <w:lang w:bidi="ar-SA"/>
        </w:rPr>
        <w:t xml:space="preserve">. </w:t>
      </w:r>
      <w:bookmarkStart w:id="177" w:name="pg9167_80158"/>
    </w:p>
    <w:p>
      <w:pPr>
        <w:pStyle w:val="BookText"/>
        <w:rPr/>
      </w:pPr>
      <w:bookmarkEnd w:id="177"/>
      <w:r>
        <w:rPr>
          <w:rFonts w:ascii="IRNazanin" w:hAnsi="IRNazanin" w:eastAsia="IRNazanin"/>
          <w:color w:val="111111"/>
          <w:sz w:val="28"/>
          <w:sz w:val="28"/>
          <w:szCs w:val="28"/>
          <w:rtl w:val="true"/>
          <w:lang w:bidi="fa-IR"/>
        </w:rPr>
        <w:t xml:space="preserve">وأمّا الدلالة فإنَّ غاية ما تدلّ عليه الرواية الأولى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بين السورتين في صلاة الفجر، وهذا فعل يدلّ على الجواز، وهو أعمّ من الوجوب، فهو لرفع الحظر عن كراهة أو حرمة القِران بين السورتين، وأمّا الوجوب فيحتاج إلى قرينة، وهي مفقودة في المقام</w:t>
      </w:r>
      <w:r>
        <w:rPr>
          <w:rFonts w:eastAsia="IRNazanin" w:cs="IRNazanin"/>
          <w:color w:val="111111"/>
          <w:sz w:val="28"/>
          <w:szCs w:val="28"/>
          <w:rtl w:val="true"/>
          <w:lang w:bidi="fa-IR"/>
        </w:rPr>
        <w:t>.</w:t>
      </w:r>
    </w:p>
    <w:p>
      <w:pPr>
        <w:pStyle w:val="Heading6"/>
        <w:numPr>
          <w:ilvl w:val="5"/>
          <w:numId w:val="1"/>
        </w:numPr>
        <w:rPr/>
      </w:pPr>
      <w:bookmarkStart w:id="178" w:name="__RefHeading___Toc3769899_2870459653"/>
      <w:bookmarkStart w:id="179" w:name="_Toc72"/>
      <w:bookmarkEnd w:id="178"/>
      <w:r>
        <w:rPr>
          <w:rtl w:val="true"/>
        </w:rPr>
        <w:t>الصورة الثانية</w:t>
      </w:r>
      <w:bookmarkEnd w:id="179"/>
    </w:p>
    <w:p>
      <w:pPr>
        <w:pStyle w:val="BookText"/>
        <w:rPr/>
      </w:pPr>
      <w:r>
        <w:rPr>
          <w:rFonts w:ascii="IRNazanin" w:hAnsi="IRNazanin" w:eastAsia="IRNazanin"/>
          <w:color w:val="111111"/>
          <w:sz w:val="28"/>
          <w:sz w:val="28"/>
          <w:szCs w:val="28"/>
          <w:rtl w:val="true"/>
          <w:lang w:bidi="fa-IR"/>
        </w:rPr>
        <w:t xml:space="preserve">هو ما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عقيب الرواية المتقدّمة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هذا الحديث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أبي عمير، عن بعض أصحابنا،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في الأولى والضحى، وفي الثانية ألم نشرح لك صدرك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على هذا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الرواية تضمّنت أنَّه قرأهما في الركعتين، إلّا أنَّه ليس في الخبر أنَّه قرأهما في النافلة أو الفريضة، وإذا احتمل ذلك حملناه على النافلة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هذه الرواية تارةً في السند، وأخرى في المتن، وثالثةً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فهو تامّ إلى ابن أبي عمير، وتبقى الواسطة بينه وبين زيد الشحّام، فإذا قيل بكبرى أنَّ المشايخ الثلاثة لا يروون ولا يرسلون إلَّا عن ثقة فالسند تامّ، وأمّا إذا لم يبنَ على هذه الكبرى فلا يكون تامّاً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حصول الاطمئنان بمعرفة الواسطة بين ابن أبي عمير وزيد الشحّام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بقرينة الأسانيد الأخرى، فقد توسّط بين ابن أبي عمير وزيد الشحّام في الكتب الحديثيّة كلٌّ من سيف بن عميرة</w:t>
      </w:r>
      <w:r>
        <w:rPr>
          <w:rStyle w:val="FootnoteAnchor"/>
          <w:rtl w:val="true"/>
        </w:rPr>
        <w:footnoteReference w:id="106"/>
      </w:r>
      <w:r>
        <w:rPr>
          <w:rFonts w:ascii="Amiri" w:hAnsi="Amiri" w:eastAsia="Amiri" w:cs="Amiri"/>
          <w:color w:val="111111"/>
          <w:sz w:val="28"/>
          <w:sz w:val="28"/>
          <w:szCs w:val="28"/>
          <w:rtl w:val="true"/>
          <w:lang w:bidi="ar-SA"/>
        </w:rPr>
        <w:t>، حميد بن المثنّى أبي المغرا</w:t>
      </w:r>
      <w:r>
        <w:rPr>
          <w:rStyle w:val="FootnoteAnchor"/>
          <w:rtl w:val="true"/>
        </w:rPr>
        <w:footnoteReference w:id="107"/>
      </w:r>
      <w:r>
        <w:rPr>
          <w:rFonts w:ascii="Amiri" w:hAnsi="Amiri" w:eastAsia="Amiri" w:cs="Amiri"/>
          <w:color w:val="111111"/>
          <w:sz w:val="28"/>
          <w:sz w:val="28"/>
          <w:szCs w:val="28"/>
          <w:rtl w:val="true"/>
          <w:lang w:bidi="ar-SA"/>
        </w:rPr>
        <w:t>، إبراهيم بن عبد الحميد</w:t>
      </w:r>
      <w:r>
        <w:rPr>
          <w:rStyle w:val="FootnoteAnchor"/>
          <w:rtl w:val="true"/>
        </w:rPr>
        <w:footnoteReference w:id="108"/>
      </w:r>
      <w:r>
        <w:rPr>
          <w:rFonts w:ascii="IRNazanin" w:hAnsi="IRNazanin" w:eastAsia="IRNazanin"/>
          <w:color w:val="111111"/>
          <w:sz w:val="28"/>
          <w:sz w:val="28"/>
          <w:szCs w:val="28"/>
          <w:rtl w:val="true"/>
          <w:lang w:bidi="fa-IR"/>
        </w:rPr>
        <w:t>، عمّار بن مروان</w:t>
      </w:r>
      <w:r>
        <w:rPr>
          <w:rStyle w:val="FootnoteAnchor"/>
          <w:rtl w:val="true"/>
        </w:rPr>
        <w:footnoteReference w:id="109"/>
      </w:r>
      <w:r>
        <w:rPr>
          <w:rFonts w:ascii="IRNazanin" w:hAnsi="IRNazanin" w:eastAsia="IRNazanin"/>
          <w:color w:val="111111"/>
          <w:sz w:val="28"/>
          <w:sz w:val="28"/>
          <w:szCs w:val="28"/>
          <w:rtl w:val="true"/>
          <w:lang w:bidi="fa-IR"/>
        </w:rPr>
        <w:t>، هشام بن سالم</w:t>
      </w:r>
      <w:r>
        <w:rPr>
          <w:rStyle w:val="FootnoteAnchor"/>
          <w:rtl w:val="true"/>
        </w:rPr>
        <w:footnoteReference w:id="110"/>
      </w:r>
      <w:r>
        <w:rPr>
          <w:rFonts w:ascii="Amiri" w:hAnsi="Amiri" w:eastAsia="Amiri" w:cs="Amiri"/>
          <w:color w:val="111111"/>
          <w:sz w:val="28"/>
          <w:sz w:val="28"/>
          <w:szCs w:val="28"/>
          <w:rtl w:val="true"/>
          <w:lang w:bidi="ar-SA"/>
        </w:rPr>
        <w:t>، عمر بن أذينة</w:t>
      </w:r>
      <w:r>
        <w:rPr>
          <w:rStyle w:val="FootnoteAnchor"/>
          <w:rtl w:val="true"/>
        </w:rPr>
        <w:footnoteReference w:id="111"/>
      </w:r>
      <w:r>
        <w:rPr>
          <w:rFonts w:ascii="Amiri" w:hAnsi="Amiri" w:eastAsia="Amiri" w:cs="Amiri"/>
          <w:color w:val="111111"/>
          <w:sz w:val="28"/>
          <w:sz w:val="28"/>
          <w:szCs w:val="28"/>
          <w:rtl w:val="true"/>
          <w:lang w:bidi="ar-SA"/>
        </w:rPr>
        <w:t>، عليّ بن إسماعيل</w:t>
      </w:r>
      <w:r>
        <w:rPr>
          <w:rStyle w:val="FootnoteAnchor"/>
          <w:rtl w:val="true"/>
        </w:rPr>
        <w:footnoteReference w:id="112"/>
      </w:r>
      <w:r>
        <w:rPr>
          <w:rFonts w:ascii="Amiri" w:hAnsi="Amiri" w:eastAsia="Amiri" w:cs="Amiri"/>
          <w:color w:val="111111"/>
          <w:sz w:val="28"/>
          <w:sz w:val="28"/>
          <w:szCs w:val="28"/>
          <w:rtl w:val="true"/>
          <w:lang w:bidi="ar-SA"/>
        </w:rPr>
        <w:t xml:space="preserve">، أبي أيّوب </w:t>
      </w:r>
    </w:p>
    <w:p>
      <w:pPr>
        <w:pStyle w:val="BookText"/>
        <w:rPr/>
      </w:pP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معاوية بن عمّار</w:t>
      </w:r>
      <w:r>
        <w:rPr>
          <w:rStyle w:val="FootnoteAnchor"/>
          <w:rtl w:val="true"/>
        </w:rPr>
        <w:footnoteReference w:id="114"/>
      </w:r>
      <w:r>
        <w:rPr>
          <w:rFonts w:ascii="IRNazanin" w:hAnsi="IRNazanin" w:eastAsia="IRNazanin"/>
          <w:color w:val="111111"/>
          <w:sz w:val="28"/>
          <w:sz w:val="28"/>
          <w:szCs w:val="28"/>
          <w:rtl w:val="true"/>
          <w:lang w:bidi="fa-IR"/>
        </w:rPr>
        <w:t>، محمّد بن مروان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العرض يحصل الاطمئنان بكون الواسطة أحد هؤلاء، ولا قدح في أيّ واحد منهم، وعليه 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متن الرواية ففيه كلام؛ وذلك لأنَّ الموجود في المطبوع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ونقلها بعضهم عنه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ذلك خطأ؛ وذلك بقرينة أنَّ الشيخ حملها على النافلة، بينما لم يحمل الصورة الأخرى التي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نسخة الأصل من التهذيب لم تكن تشتمل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مصدر الشيخ لم يكن يشتمل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الموجود في المطبوع من الاستبصار وكذلك جملة من المصادر الناقلة عن </w:t>
      </w:r>
      <w:bookmarkStart w:id="180" w:name="pg9167_80161"/>
    </w:p>
    <w:p>
      <w:pPr>
        <w:pStyle w:val="BookText"/>
        <w:rPr/>
      </w:pPr>
      <w:bookmarkEnd w:id="180"/>
      <w:r>
        <w:rPr>
          <w:rFonts w:ascii="Amiri" w:hAnsi="Amiri" w:eastAsia="Amiri" w:cs="Amiri"/>
          <w:color w:val="111111"/>
          <w:sz w:val="28"/>
          <w:sz w:val="28"/>
          <w:szCs w:val="28"/>
          <w:rtl w:val="true"/>
          <w:lang w:bidi="ar-SA"/>
        </w:rPr>
        <w:t>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ولكنَّه أيضاً خطأ؛ لأنَّ الشيخ أيضاً حمل الرواية فيه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الرواية ناظرة إلى الفريضة، ومن دون وجودها يكون الفعل مجملاً، فيحتمل أن يكون الفعل المحكيّ فريضة، ويحتمل أن يكون نافلة، ولذلك لا يكون فيها غير حكم الفريضة إذا احتمل اختلافهما في المسألة كما بنى عليه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أنَّه بوجود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الصلاة التي صلّاها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لا نافلة، ومن المعلوم أنَّه لا جماعة في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على ذلك بعض الأعلام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دلالة الرواية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الصحيح من خلوّها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مجملة؛ إذ يحتمل أن تكون الصلاة نافلة، ويكون الإتيان بكلٍّ من السورتين في ركعة من باب الاجتزاء في النافلة ببعض السورة، ومن ثَمَّ لا يمكن التعدّي منها إلى الفريضة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769901_2870459653"/>
      <w:bookmarkStart w:id="182" w:name="_Toc73"/>
      <w:bookmarkEnd w:id="181"/>
      <w:r>
        <w:rPr>
          <w:rtl w:val="true"/>
        </w:rPr>
        <w:t>الصورة الثالثة</w:t>
      </w:r>
      <w:bookmarkEnd w:id="1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رواه الشيخ بإسناده عن محمّد بن عليّ بن محبوب</w:t>
      </w:r>
      <w:r>
        <w:rPr>
          <w:rStyle w:val="FootnoteAnchor"/>
          <w:rtl w:val="true"/>
        </w:rPr>
        <w:footnoteReference w:id="118"/>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فضالة،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عن زيد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بنا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بنا بالضحى وألم نشرح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 هذا الخبر أنَّه قرأهما في ركعة أو ركعتين، وعندنا أنَّه لا يجوز قراءة هاتين السورتين إلّا في ركعة، وإذا لم يجز ذلك حملناه على أنَّه قرأهما في ركعة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 هذا الخبر في الاستبصار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ليس في هذا الخبر أنَّه قرأهما في ركعة أو ركعتين، فإذا كان هذا الراوي بعينه قد روى هذا الحكم بعينه وبيَّن أنَّه قرأهما في ركعة واحدة فحمل هذه الرواية المطلقة على ما يطابق ذلك أولى</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هذه الرواية تارةً في السند، وأخرى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فالرواية معتبرة لا غبار عليها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الدلالة فما ذكره الشيخ في التهذيب من إجمال الرواية يبتني على 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الرواية دلالة على أنَّه قرأهما في ركعة أو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يشير إلى إجماع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هاتين السورتين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أنَّه قرأهما في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الاستبصار فقال بحمل هذه الصورة المجملة من الرواية على الرواية المبيَّنة لوقوع ذلك في ركعتين، كما مرّ في الصورة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مع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تارة في ما ذكره في التهذيب، وأخرى في ما ذكره في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ما ذكره في التهذيب فيمكن المناقشة فيه بأنَّ المقدّمة الأولى غير تامّة؛ وذلك لاقتصار الراوي في ذكر السور التي قرأها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قراءته لهاتين السورتين، فلو كان قد قرأ السورتين في ركعة واحدة لذكر ما قرأه في الركعة الأخرى، ومقتضى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في كلّ ركعة مع الحمد إحدى السورتين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لما اخترناه في هذه المعتبرة رواية صابر مولى بسّام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الصيرفيّ مولى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المغرب فقرأ المعوّذتين،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القرآن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أنَّ الراوي قال قرأ في صلاة المغرب المعوّذتين، 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في كلّ ركعة سورة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كون الراوي بصدد الإجمال في أنَّه فعل ذلك في ركعة أو ركعتين،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فالمفهوم أنَّه قرأ ذلك في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الاستبصار من حمل هذه الرواية للراوي على روايته الأخرى التي تضمّنت أنَّه أتى بهما في ركعة واحدة حملاً للمجمل على المبيَّن فيمكن المناقشة فيه بما تقدّم</w:t>
      </w:r>
      <w:r>
        <w:rPr>
          <w:rStyle w:val="FootnoteAnchor"/>
          <w:rtl w:val="true"/>
        </w:rPr>
        <w:footnoteReference w:id="123"/>
      </w:r>
      <w:r>
        <w:rPr>
          <w:rFonts w:ascii="Amiri" w:hAnsi="Amiri" w:eastAsia="Amiri" w:cs="Amiri"/>
          <w:color w:val="111111"/>
          <w:sz w:val="28"/>
          <w:sz w:val="28"/>
          <w:szCs w:val="28"/>
          <w:rtl w:val="true"/>
          <w:lang w:bidi="ar-SA"/>
        </w:rPr>
        <w:t>من عدم إجمال الرواية، بل ظاهرها قراءة كلٍّ من السورتين في ركعة، وروايته التي تتضمّن أنَّه قرأهما في ركعة تحتمل التصحيف كما سيأتي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 ثلاث لرواية زيد الشحّام، والكلام يقع في أنَّه هل هذه الروايات هي واقعة واحدة أم متعدّدة؟ وإذا كانت واقعة واحدة فما هي الصورة الراجحة منها؟</w:t>
      </w:r>
    </w:p>
    <w:p>
      <w:pPr>
        <w:pStyle w:val="BookText"/>
        <w:rPr/>
      </w:pPr>
      <w:r>
        <w:rPr>
          <w:rFonts w:ascii="Amiri" w:hAnsi="Amiri" w:eastAsia="Amiri" w:cs="Amiri"/>
          <w:color w:val="111111"/>
          <w:sz w:val="28"/>
          <w:sz w:val="28"/>
          <w:szCs w:val="28"/>
          <w:rtl w:val="true"/>
          <w:lang w:bidi="ar-SA"/>
        </w:rPr>
        <w:t>فهنا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إنَّها جميعاً تحكي واقعة واحدة، ولكن اختلفت تفاصيل نقلها إمّا من قبل الرواة عن الشحّام، أو مَن بعدهم مِن أصحاب الأصول، إلَّا أنَّه يمكن الترجيح بينها بحسب القرائن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اختلاف الروايات في 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فالراجح أنَّ الرواية تشتمل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موجودة في نقلين، فتكون صلاة فريضة، وذكر في إحدى الصور أنَّها الفجر، وهو المناسب مع البقيّة من حيث نقل الحادثة؛ إذ لم يذكر </w:t>
      </w:r>
    </w:p>
    <w:p>
      <w:pPr>
        <w:pStyle w:val="BookText"/>
        <w:rPr/>
      </w:pPr>
      <w:r>
        <w:rPr>
          <w:rFonts w:ascii="Amiri" w:hAnsi="Amiri" w:eastAsia="Amiri" w:cs="Amiri"/>
          <w:color w:val="111111"/>
          <w:sz w:val="28"/>
          <w:sz w:val="28"/>
          <w:szCs w:val="28"/>
          <w:rtl w:val="true"/>
          <w:lang w:bidi="ar-SA"/>
        </w:rPr>
        <w:t>فيها أنَّه صلّى فيها ثالثة أو 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هل قرأهما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ركعة أو ركعتين؟</w:t>
      </w:r>
    </w:p>
    <w:p>
      <w:pPr>
        <w:pStyle w:val="BookText"/>
        <w:rPr/>
      </w:pPr>
      <w:r>
        <w:rPr>
          <w:rFonts w:ascii="Amiri" w:hAnsi="Amiri" w:eastAsia="Amiri" w:cs="Amiri"/>
          <w:color w:val="111111"/>
          <w:sz w:val="28"/>
          <w:sz w:val="28"/>
          <w:szCs w:val="28"/>
          <w:rtl w:val="true"/>
          <w:lang w:bidi="ar-SA"/>
        </w:rPr>
        <w:t xml:space="preserve">ففي إحدى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عن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في ركعة، 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قرأهما في ركعتين، وفي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حكاية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أنَّه قرأهما في ركعتين؛ لأنَّ رواية ابن أبي عمير واضحة في ذلك، ولا يحتمل التحريف؛ فإنَّه جاء فيها أنَّه قرأ في الأولى كذا، وفي الثانية قرأ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العلاء فيحتمل تصحيف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بتقدّم الزمن وعدم وضوح الخطّ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ذلك إضافة من بعض الرواة؛ لأنَّه فهم ذلك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رواية ابن مسكان فاعتمد على وضوح أنَّه قرأهما في ركعتين؛ لأنَّه هو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العلاء ومرسلة ابن أبي عمير روايتان</w:t>
      </w:r>
      <w:r>
        <w:rPr>
          <w:rStyle w:val="FootnoteAnchor"/>
          <w:rtl w:val="true"/>
        </w:rPr>
        <w:footnoteReference w:id="125"/>
      </w:r>
      <w:r>
        <w:rPr>
          <w:rFonts w:ascii="Amiri" w:hAnsi="Amiri" w:eastAsia="Amiri" w:cs="Amiri"/>
          <w:color w:val="111111"/>
          <w:sz w:val="28"/>
          <w:sz w:val="28"/>
          <w:szCs w:val="28"/>
          <w:rtl w:val="true"/>
          <w:lang w:bidi="ar-SA"/>
        </w:rPr>
        <w:t>تحكي حادثة واحدة على وجهين مختلفين، فيسقطان بالمعارضة؛ لاستقرار التعارض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ما جاء في هذه الروايات واقعتين أو ثلاثاً حصلت لزيد الشحّام 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البعيد اتّفاق ثلاث صلوات متفرّقة لنفس الفريضة لزيد الشحّام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فيه؛ لجواز أن يكون الشحّام قد صحب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حصل لبعض الرواة</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على هذه الأنحاء وأراد بها أن يبيّن لشيعته أنَّ الجمع بين هذه السور ليس على نحو اللزوم والحتم، ومن ثَمَّ جمع بين السورتين تارة وأفرد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من هذه الاحتمالات الثلاثة هو الأوّل، فيكون الواقع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بالسورتين في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يبقى أنَّه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يتعيّن أن تحمل هذه الرواية التي تتمثّل بمرسلة ابن أبي عمير عن زيد الشحّام على التقيّة، جمعاً بينها وبين ما دلّ على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السورتين من الطائفتين الأوّلتين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الطرح غير وارد في نفسه؛ لوضوح أنَّ الجمع بين سورتين في ركعة يناسب مذاق العامّة، ولا يحتمل حمل التفريق على التقيّة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السورتين في الفريضة قد صدر من كبار الصحابة عندهم والتابعين، وننقل نماذج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 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 وألم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 في المكتوبة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جريج عن عطاء أنَّه كان لا يرى بجمع السور في الركعة بأساً،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طاووس يجمع ثلاث سور في 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الثوريّ عن عاصم عن محمّد بن سيرين عن ابن عمر أنَّه كان يقرأ بعشر سور في ركعة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عمر صلاة المغرب فقرأ في الركعة الأولى بالتين والزيتون، وفي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 ولإيلاف قريش</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أيضاً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يقرن السور في الركعة من رخّص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ابن عمر أنَّه كان يقرأ في الركعة بعشر سور وأكثر وأقلّ، وأنَّه كان يقرن بين السورتين في ركعة من الصلاة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عطاء في الرجل يصلّي المكتوبة فيقرأ بسورتين في ركعة أو بسورة في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سعيد بن جبير أنَّه كان يجمع بين سورتين في كلّ ركعة في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علقمة أنَّه كان يقرأ في الفجر في الركعة الأولى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الدخان والطور والحشر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ويقرأ في الثانية بآخر البقرة وآخر آل عمران وبالسورة القصيرة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فافتتح </w:t>
      </w:r>
    </w:p>
    <w:p>
      <w:pPr>
        <w:pStyle w:val="BookText"/>
        <w:rPr/>
      </w:pPr>
      <w:r>
        <w:rPr>
          <w:rFonts w:ascii="Amiri" w:hAnsi="Amiri" w:eastAsia="Amiri" w:cs="Amiri"/>
          <w:color w:val="111111"/>
          <w:sz w:val="28"/>
          <w:sz w:val="28"/>
          <w:szCs w:val="28"/>
          <w:rtl w:val="true"/>
          <w:lang w:bidi="ar-SA"/>
        </w:rPr>
        <w:t>البقرة، فقلت يختمها فيركع بها، ثُمَّ افتتح آل عمران، فقلت يختمها فيركع بها، ثُمَّ افتتح النساء فقلت يركع بها فقرأ حتّى ختمها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جرير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إبراهيم</w:t>
      </w:r>
      <w:r>
        <w:rPr>
          <w:rStyle w:val="FootnoteAnchor"/>
          <w:rtl w:val="true"/>
        </w:rPr>
        <w:footnoteReference w:id="130"/>
      </w:r>
      <w:r>
        <w:rPr>
          <w:rFonts w:ascii="Amiri" w:hAnsi="Amiri" w:eastAsia="Amiri" w:cs="Amiri"/>
          <w:color w:val="111111"/>
          <w:sz w:val="28"/>
          <w:sz w:val="28"/>
          <w:szCs w:val="28"/>
          <w:rtl w:val="true"/>
          <w:lang w:bidi="ar-SA"/>
        </w:rPr>
        <w:t>فقرأ في صلاة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ختمها وصل بخاتمتها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بينهما ببسم الله الرحمن الرحيم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بعض المتقدّمين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والأنفال بمنزلة سورة واحدة، وسورة ألم نشرح لك والضحى بمنزلة سورة واحدة، وسورة لإيلاف قريش وألم ترَ كيف بمنزلة سورة واحدة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الأوديّ</w:t>
      </w:r>
      <w:r>
        <w:rPr>
          <w:rStyle w:val="FootnoteAnchor"/>
          <w:rtl w:val="true"/>
        </w:rPr>
        <w:footnoteReference w:id="13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المغرب خلف عمر بن الخطّاب فقرأ في الأُولى والتين والزيتون، وفي الثانية ألم ترَ ولإيلاف قريش</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نفس الرواية التي رواها الطبرسيّ في تفسيره، والمطمأنّ به أنَّه قد أخذها من مصادر الجمهور، لكن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مجمع البيان تصحيفٌ، فإنَّ لقب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مصادر العامّة التي ذكرته الحديثيّة وغيرها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عن طاووس وعمر بن عبد العزيز أنَّهما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وسورة الضحى سورة واحدة، وكانا يقرآنهما في الركعة الواحدة، وما كانا يفصلان بينهما ببسم الله الرحمن الرحيم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متّصلة بالتي قبلها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أصحاب الفيل لإيلاف قريش، أي لتأتلف، أو لتتّفق قريش، أو لكي تأمن قريش فتؤلّف رحلتيها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عدّ السورتين واحدة أُبيّ بن كعب، ولا فصل بينهما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إمام لا يفصل بينهما، ويقرأهما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ميمون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يظهر بذلك أنَّ الجمع بين السورتين بل حتّى أكثر من سورتين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bookmarkStart w:id="183" w:name="pg9167_80170"/>
    </w:p>
    <w:p>
      <w:pPr>
        <w:pStyle w:val="BookText"/>
        <w:rPr/>
      </w:pPr>
      <w:bookmarkEnd w:id="183"/>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متعارفاً لدى العامّة، فلا يمكن أن يقال إنَّ التفريق بين السورتين قد صدر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رواية الجمع بين السورتين</w:t>
      </w:r>
      <w:r>
        <w:rPr>
          <w:rStyle w:val="FootnoteAnchor"/>
          <w:rtl w:val="true"/>
        </w:rPr>
        <w:footnoteReference w:id="139"/>
      </w:r>
      <w:r>
        <w:rPr>
          <w:rFonts w:ascii="Amiri" w:hAnsi="Amiri" w:eastAsia="Amiri" w:cs="Amiri"/>
          <w:color w:val="111111"/>
          <w:sz w:val="28"/>
          <w:sz w:val="28"/>
          <w:szCs w:val="28"/>
          <w:rtl w:val="true"/>
          <w:lang w:bidi="ar-SA"/>
        </w:rPr>
        <w:t>قد صدرت تقيّة مجاراة للعامّة؛ فإنَّ كبراء صحابتهم وتابعيهم كانوا يفعلونه في الفريضة، كما تقدّم تفصيله آنفاً</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769903_2870459653"/>
      <w:bookmarkStart w:id="185" w:name="_Toc74"/>
      <w:bookmarkEnd w:id="184"/>
      <w:r>
        <w:rPr>
          <w:rtl w:val="true"/>
        </w:rPr>
        <w:t>الدليل الثالث</w:t>
      </w:r>
      <w:r>
        <w:rPr>
          <w:rtl w:val="true"/>
        </w:rPr>
        <w:t xml:space="preserve">: </w:t>
      </w:r>
      <w:r>
        <w:rPr>
          <w:rtl w:val="true"/>
        </w:rPr>
        <w:t>وحدة النزول</w:t>
      </w:r>
      <w:bookmarkEnd w:id="185"/>
    </w:p>
    <w:p>
      <w:pPr>
        <w:pStyle w:val="BookText"/>
        <w:rPr/>
      </w:pPr>
      <w:r>
        <w:rPr>
          <w:rFonts w:ascii="IRNazanin" w:hAnsi="IRNazanin" w:eastAsia="IRNazanin"/>
          <w:color w:val="111111"/>
          <w:sz w:val="28"/>
          <w:sz w:val="28"/>
          <w:szCs w:val="28"/>
          <w:rtl w:val="true"/>
          <w:lang w:bidi="fa-IR"/>
        </w:rPr>
        <w:t xml:space="preserve">فقد جاء في تفسير مقاتل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مشركي مكّة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ودّعه ربّه وقلاه، فلمّا نزل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ما جئت حتّى اشتقت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إليك كنت أشدّ شوقاً، ونزل في قولهم </w:t>
      </w:r>
      <w:r>
        <w:rPr>
          <w:rFonts w:ascii="Amiri" w:hAnsi="Amiri" w:eastAsia="Amiri" w:cs="Amiri"/>
          <w:color w:val="111111"/>
          <w:sz w:val="28"/>
          <w:sz w:val="28"/>
          <w:szCs w:val="28"/>
          <w:rtl w:val="true"/>
          <w:lang w:bidi="ar-SA"/>
        </w:rPr>
        <w:t>وَالضُّحَىٰ وَاللَّيْلِ إِذَا سَجَىٰ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أَلَمْ نَشْرَحْ لَكَ جميعاً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طاووس وعمر ابن عبد العزيز أنَّهما كانا يقولان أنَّ سورتي الانشراح والضحى سورة واحدة، وكانا يقرآنهما في ركعة واحدة، وما كانا يفصلان بينهما ببسم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دعاهما إلى ذلك هو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كالعطف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أنَّه لا دليل على وحدة النزول؛ إذ لا حجّة في قول مقاتل، بل اختلاف مضمون السورتين قد يشير إلى نزولهما في حالتين مختلفتين، كما قال الفخر الرازيّ في ردّ دعوى وحدة النزول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كذلك؛ لأنَّ الأوَّل كان نزوله حال </w:t>
      </w:r>
      <w:bookmarkStart w:id="186" w:name="pg9167_80171"/>
    </w:p>
    <w:p>
      <w:pPr>
        <w:pStyle w:val="BookText"/>
        <w:rPr/>
      </w:pPr>
      <w:bookmarkEnd w:id="186"/>
      <w:r>
        <w:rPr>
          <w:rFonts w:ascii="Amiri" w:hAnsi="Amiri" w:eastAsia="Amiri" w:cs="Amiri"/>
          <w:color w:val="111111"/>
          <w:sz w:val="28"/>
          <w:sz w:val="28"/>
          <w:szCs w:val="28"/>
          <w:rtl w:val="true"/>
          <w:lang w:bidi="ar-SA"/>
        </w:rPr>
        <w:t xml:space="preserve">اغتمام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إيذاء الكفّار فكانت حال محنة وضيق صدر،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حال النزول منشرح الصدر طيّب القلب، فأنّى يجتمعان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3769905_2870459653"/>
      <w:bookmarkStart w:id="188" w:name="_Toc75"/>
      <w:bookmarkEnd w:id="187"/>
      <w:r>
        <w:rPr>
          <w:rtl w:val="true"/>
        </w:rPr>
        <w:t>الدليل الرابع</w:t>
      </w:r>
      <w:r>
        <w:rPr>
          <w:rtl w:val="true"/>
        </w:rPr>
        <w:t xml:space="preserve">: </w:t>
      </w:r>
      <w:r>
        <w:rPr>
          <w:rtl w:val="true"/>
        </w:rPr>
        <w:t>وحدة السياق</w:t>
      </w:r>
      <w:bookmarkEnd w:id="188"/>
    </w:p>
    <w:p>
      <w:pPr>
        <w:pStyle w:val="BookText"/>
        <w:rPr/>
      </w:pPr>
      <w:r>
        <w:rPr>
          <w:rFonts w:ascii="Amiri" w:hAnsi="Amiri" w:eastAsia="Amiri" w:cs="Amiri"/>
          <w:color w:val="111111"/>
          <w:sz w:val="28"/>
          <w:sz w:val="28"/>
          <w:szCs w:val="28"/>
          <w:rtl w:val="true"/>
          <w:lang w:bidi="ar-SA"/>
        </w:rPr>
        <w:t xml:space="preserve">وهو ما ذكره العلّامة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لرواية الأصحاب بأنَّ الضحى والانشراح سورة واحدة، وكذلك الفيل والإيلاف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لتعلّق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يدلّ على ذلك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السمرقنديّ في شأن سورتي الفيل والإيلاف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إِيلَافِهِمْ قرأ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مختلسة الكسر، والباقون بياء قبلها همزة، ومعناهما واحد، وهذا موصول بما قبله،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أهلك أصحاب الفيل؛ لِإِيلَافِ قُرَيْشٍ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 قريش بالحرم ويجاورون البيت،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لِإِيلَافِ قُرَيْشٍ يعني فعل ذلك ليؤلّف قريشاً بهاتين الخصلتين الرحلتين اللتين بهما عيشهم ومقامهم بمكّة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أيضاً موجود في كلمات القوم، ولكنْ بعضهم عمّمه للسور الأربع، وثانٍ خصّه بسورتي الفيل والإيلاف، وثالث خصّه بسورتي الضحى والانشراح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كلٍّ منهما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القول في سورتي الضحى وألم نشرح فقد قال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w:t>
      </w:r>
      <w:r>
        <w:rPr>
          <w:rFonts w:ascii="IRNazanin" w:hAnsi="IRNazanin" w:eastAsia="IRNazanin"/>
          <w:color w:val="111111"/>
          <w:sz w:val="28"/>
          <w:sz w:val="28"/>
          <w:szCs w:val="28"/>
          <w:rtl w:val="true"/>
          <w:lang w:bidi="fa-IR"/>
        </w:rPr>
        <w:t xml:space="preserve"> معطوف على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مسألة ووددت أنّي لم أسألها قطّ، فقلت اتّخذت إبراهيم خليلاً، وكلّمت موسى تكليماً،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وَوَجَدَكَ ضَالًّا فَهَدَىٰ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وَوَجَدَكَ عَائِلًا فَأَغْنَىٰ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نَشْرَحْ لَكَ صَدْرَكَ الآية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سورة الانشراح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شديدة الاتّصال بسورة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ما روي عن طاووس وعمر بن عبد العزيز، ثُمَّ عقّب الرواية بكلام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آنفاً</w:t>
      </w:r>
      <w:r>
        <w:rPr>
          <w:rStyle w:val="FootnoteAnchor"/>
          <w:rtl w:val="true"/>
        </w:rPr>
        <w:footnoteReference w:id="145"/>
      </w:r>
      <w:r>
        <w:rPr>
          <w:rFonts w:ascii="IRNazanin" w:hAnsi="IRNazanin" w:eastAsia="IRNazanin"/>
          <w:color w:val="111111"/>
          <w:sz w:val="28"/>
          <w:sz w:val="28"/>
          <w:szCs w:val="28"/>
          <w:rtl w:val="true"/>
          <w:lang w:bidi="fa-IR"/>
        </w:rPr>
        <w:t xml:space="preserve">، من أنَّ نزول السورة الأولى كان حال اغتمام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ونزول الثانية كان حال انشراح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وتنظّر فيه،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أنَّ مدار مثل ذلك الرواية لا الدراية، والمتواتر كونهما سورتين والفصل بينهما بالبسملة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متّصلتان معنى جدّاً، ويدلّ عليه ما في حديث الإسراء</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سورتي الفيل وقريش فقد ذكر وحدة سياقهما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سورة 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بالسورة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سورة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ذكَّر أهل مكّة عظيم نعمته عليهم في ما فعل </w:t>
      </w:r>
    </w:p>
    <w:p>
      <w:pPr>
        <w:pStyle w:val="BookText"/>
        <w:rPr/>
      </w:pPr>
      <w:r>
        <w:rPr>
          <w:rFonts w:ascii="Amiri" w:hAnsi="Amiri" w:eastAsia="Amiri" w:cs="Amiri"/>
          <w:color w:val="111111"/>
          <w:sz w:val="28"/>
          <w:sz w:val="28"/>
          <w:szCs w:val="28"/>
          <w:rtl w:val="true"/>
          <w:lang w:bidi="ar-SA"/>
        </w:rPr>
        <w:t>بالحبشة،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 أي فعلنا ذلك بأصحاب الفيل نعمة منّا على قريش</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الموجود في كتاب معاني القرآن للفرّاء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فنسبه إلى غيره وليس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موصلة بألم ترَ كيف فعل ربُّك، وذلك أَنَّهُ ذكَّر أهل مكَّة عظيم النعمة عليهم في ما صنع بالحبشة،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 أيضاً،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نعمته عليهم في رحلة الشتاء والصيف،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إلى نعمة، ونعمة لنعمة سواء في المعنى</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تقدّم نقل قول السمرقنديّ في شأن سورتي الفيل والإيلاف</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 الفخر الرازيّ الكلام في ذلك حيث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فيها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متعلّقة بالسورة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الشاهد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متعلّقة بالآية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متعلّقة بما قبلها، ولا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على الوجه الأوَّل، وفيه احتمالات ثلاثة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الزجّاج وأبي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لإلف قريش؛ أي أهلك الله أصحاب الفيل لتبقى قريش، وما قد ألفوا من رحلة </w:t>
      </w:r>
    </w:p>
    <w:p>
      <w:pPr>
        <w:pStyle w:val="BookText"/>
        <w:rPr/>
      </w:pPr>
      <w:r>
        <w:rPr>
          <w:rFonts w:ascii="Amiri" w:hAnsi="Amiri" w:eastAsia="Amiri" w:cs="Amiri"/>
          <w:color w:val="111111"/>
          <w:sz w:val="28"/>
          <w:sz w:val="28"/>
          <w:szCs w:val="28"/>
          <w:rtl w:val="true"/>
          <w:lang w:bidi="ar-SA"/>
        </w:rPr>
        <w:t>الشتاء والصيف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 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فعلنا بهم فقد فعلناه لإيلاف قريش، فإنَّه تعالى جعل كيدهم في تضليل، وأرسل عليهم طيراً أبابيل، حتّى صاروا كعصف مأكول، فكلّ ذلك إنَّما كان لأجل إيلاف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كلّ ما فعلنا في السورة المتقدّمة أضفناه إلى نعمة أخرى عليهم وهي إيلافهم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الشتاء والصيف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احتمالات في تعلّق هذه السورة بالسورة التي قبلها، وللمفسّرين قولان على تقدير تعليق اللام بالسورة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سورة واحدة؛ وذلك لوجوه، أوّلها اعتباري والأخيران نقليان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كلّ سورة لا بُدَّ أن تكون مستقلّة بنفسها، ولمّا كان مطلع هذه السورة متعلّقاً بما قبله، فمن ثَمَّ لا يكونان سورتين، بل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أوّل هذه السورة بما قبلها ليس بحجّة؛ لأنَّ القرآن كلّه كالسورة الواحدة وكالآية الواحدة يصدّق بعضها بعضاً، ويبيّن بعضها معنى بعض، ألا ترى أنَّ الآيات الدالّة على الوعيد مطلقة، ثُمَّ إنَّها متعلّقة بآيات التوبة وبآيات العفو عنه،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قبله من ذكر القرآن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ليس بتامّ؛ لأنَّ المدّعى هو اتّحاد موضوع السورتين، ومن ثَمَّ </w:t>
      </w:r>
    </w:p>
    <w:p>
      <w:pPr>
        <w:pStyle w:val="BookText"/>
        <w:rPr/>
      </w:pPr>
      <w:r>
        <w:rPr>
          <w:rFonts w:ascii="Amiri" w:hAnsi="Amiri" w:eastAsia="Amiri" w:cs="Amiri"/>
          <w:color w:val="111111"/>
          <w:sz w:val="28"/>
          <w:sz w:val="28"/>
          <w:szCs w:val="28"/>
          <w:rtl w:val="true"/>
          <w:lang w:bidi="ar-SA"/>
        </w:rPr>
        <w:t>صارا سورة واحدة، أو كالسورة الواحدة، لا أنَّ القرآن يفسِّر بعضه بعضاً الذي لا خلاف فيه، ولو بني على ما ذكره الفخر لزم جعل القرآن كلّه سورة واحدة، أو آية واحدة، ومن ذا يمكن أن يتفوّه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جعلهما في مصحفه سورة واحدة، ولم يفصل بينهما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بإطباق الكلّ على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على ذلك ما نقله الآلوسيّ من أنَّه نُقل وجود البسملة في مصحفه بينهما</w:t>
      </w:r>
      <w:r>
        <w:rPr>
          <w:rStyle w:val="FootnoteAnchor"/>
          <w:rtl w:val="true"/>
        </w:rPr>
        <w:footnoteReference w:id="150"/>
      </w:r>
      <w:r>
        <w:rPr>
          <w:rFonts w:ascii="Amiri" w:hAnsi="Amiri" w:eastAsia="Amiri" w:cs="Amiri"/>
          <w:color w:val="111111"/>
          <w:sz w:val="28"/>
          <w:sz w:val="28"/>
          <w:szCs w:val="28"/>
          <w:rtl w:val="true"/>
          <w:lang w:bidi="ar-SA"/>
        </w:rPr>
        <w:t>، مضافاً إلى ما سردناه من مخالفات أُبيّ الكثيرة لما عند الصحابة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عمر قرأ في ثانية المغرب ألم ترَ ولإيلاف قريش معاً، من غير فصل بينهما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للإمام أن يقرأ سورتين في ركعة، ولا دلالة في ذلك على أنَّهما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فعندهم مطلق القِران يجوز بين أي سورتين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المشهور المستفيض، كما عبّر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السورة منفصلة عن سورة الفيل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الارتباط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هاتين السورتين سورة واحدة بعد ما تقدّم من تسمية كلّ سورة باسم خاصّ </w:t>
      </w:r>
    </w:p>
    <w:p>
      <w:pPr>
        <w:pStyle w:val="BookText"/>
        <w:rPr/>
      </w:pPr>
      <w:r>
        <w:rPr>
          <w:rFonts w:ascii="Amiri" w:hAnsi="Amiri" w:eastAsia="Amiri" w:cs="Amiri"/>
          <w:color w:val="111111"/>
          <w:sz w:val="28"/>
          <w:sz w:val="28"/>
          <w:szCs w:val="28"/>
          <w:rtl w:val="true"/>
          <w:lang w:bidi="ar-SA"/>
        </w:rPr>
        <w:t>مميّزة عن اسم الأخرى، ووحدة السورة وتعدّدها توقيفيّ، واختلاف الاسم يدلّ على التعدّد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ما ذكره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رؤيته للمصاحف التي بخطّ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وبخطّ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89" w:name="pg9167_80177"/>
    </w:p>
    <w:p>
      <w:pPr>
        <w:pStyle w:val="Heading3"/>
        <w:numPr>
          <w:ilvl w:val="2"/>
          <w:numId w:val="1"/>
        </w:numPr>
        <w:rPr/>
      </w:pPr>
      <w:bookmarkStart w:id="190" w:name="__RefHeading___Toc3769907_2870459653"/>
      <w:bookmarkStart w:id="191" w:name="_Toc76"/>
      <w:bookmarkEnd w:id="189"/>
      <w:bookmarkEnd w:id="190"/>
      <w:r>
        <w:rPr>
          <w:rtl w:val="true"/>
        </w:rPr>
        <w:t>نتيجة البحث</w:t>
      </w:r>
      <w:bookmarkEnd w:id="191"/>
    </w:p>
    <w:p>
      <w:pPr>
        <w:pStyle w:val="BookText"/>
        <w:rPr/>
      </w:pPr>
      <w:r>
        <w:rPr>
          <w:rFonts w:ascii="Amiri" w:hAnsi="Amiri" w:eastAsia="Amiri" w:cs="Amiri"/>
          <w:color w:val="111111"/>
          <w:sz w:val="28"/>
          <w:sz w:val="28"/>
          <w:szCs w:val="28"/>
          <w:rtl w:val="true"/>
          <w:lang w:bidi="ar-SA"/>
        </w:rPr>
        <w:t>والحاصل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البناء على تعدّد السورتين والاكتفاء بقراءة واحدة منهما في الفريضة وفاقاً لجمع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قراءتهما معاً استثناءً من حرمة أو كراهة القِران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كلّه مبنيّ على وجوب قراءة سورة كاملة في الفريضة، وإلَّا إذا لم يُبنَ على ذلك فالأمر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الاحتياط غير خفيّ</w:t>
      </w:r>
      <w:r>
        <w:rPr>
          <w:rFonts w:eastAsia="Amiri" w:cs="Amiri" w:ascii="Amiri" w:hAnsi="Amiri"/>
          <w:color w:val="111111"/>
          <w:sz w:val="28"/>
          <w:szCs w:val="28"/>
          <w:rtl w:val="true"/>
          <w:lang w:bidi="ar-SA"/>
        </w:rPr>
        <w:t xml:space="preserve">. </w:t>
      </w:r>
      <w:bookmarkStart w:id="192" w:name="pg9167_80178"/>
    </w:p>
    <w:p>
      <w:pPr>
        <w:pStyle w:val="Heading3"/>
        <w:numPr>
          <w:ilvl w:val="2"/>
          <w:numId w:val="1"/>
        </w:numPr>
        <w:rPr/>
      </w:pPr>
      <w:bookmarkStart w:id="193" w:name="__RefHeading___Toc3769909_2870459653"/>
      <w:bookmarkStart w:id="194" w:name="_Toc77"/>
      <w:bookmarkEnd w:id="192"/>
      <w:bookmarkEnd w:id="193"/>
      <w:r>
        <w:rPr>
          <w:rtl w:val="true"/>
        </w:rPr>
        <w:t>الخاتمة</w:t>
      </w:r>
      <w:r>
        <w:rPr>
          <w:rtl w:val="true"/>
        </w:rPr>
        <w:t xml:space="preserve">: </w:t>
      </w:r>
      <w:r>
        <w:rPr>
          <w:rtl w:val="true"/>
        </w:rPr>
        <w:t>في ملخّص البحث ونتيجته</w:t>
      </w:r>
      <w:bookmarkEnd w:id="194"/>
    </w:p>
    <w:p>
      <w:pPr>
        <w:pStyle w:val="BookText"/>
        <w:rPr/>
      </w:pPr>
      <w:r>
        <w:rPr>
          <w:rFonts w:ascii="Amiri" w:hAnsi="Amiri" w:eastAsia="Amiri" w:cs="Amiri"/>
          <w:color w:val="111111"/>
          <w:sz w:val="28"/>
          <w:sz w:val="28"/>
          <w:szCs w:val="28"/>
          <w:rtl w:val="true"/>
          <w:lang w:bidi="ar-SA"/>
        </w:rPr>
        <w:t>عقدنا البحث في محورين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الأقوال في المسألة، وفي ضمن هذا المحور تطرّقنا بإيجاز إلى أقوال العامّة، ثُمَّ بسطنا القول في استقصاء أقوال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على الماضين منهم وأدام ظلّ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هناك قولان رئيسان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ضمن القول الأوّل الرئيس اختلفت آراء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درجات الماضين في الجنان وحفظ الباقين بحفظه الذي لا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الوحدة، هل أنَّهما سورة واحدة حقيقة، أو حكماً، أو أنَّهما متّحدتان حكماً لا موضوعاً، أو أنَّهما متّحدتان موضوعاً، أو التوقّف في المسألة؟ وأيضاً اختلفت آراؤهم في وجوب إعادة البسملة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الرئيس كان هو المشهور بين المتقدّمين، بل ادّعي عليه الإجماع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الرئيس فأوّل من ذهب إليه ابن إدريس في المنتخب من التبيان، ثُمَّ المحقّق في المعتبر، وهلمّ جرّاً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ضمن هذا القول من أوجب قراءة السورتين معاً وإعادة البسملة، كابن إدريس والمحقّق والشهيد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قال يُكتفى بقراءة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وقفنا على تصريحه بذلك هو المحقّق الأردبيليّ، ثُمَّ الشيخ البهائيّ، ثُمَّ الفيض الكاشانيّ،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المحور الثاني فعرضنا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بتعدّد السورتين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السورتين في المصحف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تسمية كلّ سورة من السور الأربع باسمٍ خاصّ بها أن تكون سورة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التعبير به عن كلّ من هذه السور في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ألم 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والضحى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لإيلاف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التوصية بقراءة واحدة من هذه السور في الصلوات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الثواب على قراءة إحدى هذه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والدليل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 إحدى السورتين في ركعة من الفريضة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بوحدة السورتين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الدليل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وما يؤدّي مؤدّاه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نتيجة البحث أنَّه لا يبعد البناء على تعدّد السورتين والاكتفاء بواحدة منهما في الفريضة وفاقاً لجمع من الأعلام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bookmarkStart w:id="195" w:name="pg9167_80181"/>
    </w:p>
    <w:p>
      <w:pPr>
        <w:pStyle w:val="Heading3"/>
        <w:numPr>
          <w:ilvl w:val="2"/>
          <w:numId w:val="1"/>
        </w:numPr>
        <w:rPr/>
      </w:pPr>
      <w:bookmarkStart w:id="196" w:name="__RefHeading___Toc3769911_2870459653"/>
      <w:bookmarkStart w:id="197" w:name="_Toc78"/>
      <w:bookmarkEnd w:id="195"/>
      <w:bookmarkEnd w:id="196"/>
      <w:r>
        <w:rPr>
          <w:rtl w:val="true"/>
        </w:rPr>
        <w:t>المصادر</w:t>
      </w:r>
      <w:bookmarkEnd w:id="19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الاثنا عشرية في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الحسين الحارثيّ الهمدانيّ،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ت</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أحكام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تقرير بحث شيخ الشريعة الأصفهانيّ 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أصفهان،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نصّه وخرّج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عليّ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الأحكام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الفاضل اللنكرانيّ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الثالث المير داماد محمَّد باقر الحسينيّ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ابن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عبد الله محمّد بن محمّد بن النعمان العكبريّ البغداديّ،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 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التراث،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 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بن موسى ابن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بالأعمال الحسنة فيما يعمل مرّة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ابن جعفر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الأصفهانيّ،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الأقطاب الفقهيّة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إبراهيم الأحسائيّ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 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بن موسى 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بالشريف المرتضى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التنزيل وأسرار التأويل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الدين أبو الخير عبد الله بن عمر بن محمّد الشيرازيّ الشافعيّ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المرعشليّ،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نصر بن إبراهيم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فقهيّة حول الذبح بغير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والدرع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سراي ارديبهشت،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أفست مروي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جمال الدين أبو منصور الحسن بن يوسف بن المطهَّر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 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في النجف الأشرف، الطبعة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السنيّة في شرح النخبة المحسنيّة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عبد الله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خطّيّة في مكتبة الآستانة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جمال الدين أبو منصور الحسن بن يوسف بن المطهَّر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 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الرحمن بن محمَّد بن إدريس الرازيّ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فريد،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نهض بمشروعه الشيخ عليّ الآخونديّ، الطبعة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وضبط نصّه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ابن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بن الحسين الكركيّ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الثاني ت</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المطبعة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يحيى بن سعيد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ت</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الفضلاء،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حسن النجفيّ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 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ﻫ، مطبعة خورشيد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الأولى على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الكركيّ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ت</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نكارش،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محمّد بن الحسين بن عبد الصمد الحارثيّ الهمدانيّ العامليّ الجبعيّ،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البهائيّ 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 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مكّيّ الجزينيّ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بن محمّد مؤمن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السبزواريّ 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الحسين بن عبيد الله بن إبراهيم أبي الحسين الواسطيّ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الثقافيّة، قم، إيران،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بن عبد العالي الكركيّ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جمال الدين أبو العبّاس أحمد بن محمّد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المرعشيّ النجفيّ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محمود بن عبد الله الحسينيّ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أوفست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تقي ابن المولى عليّ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المجلسيّ الأوَّل 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الاشتهارديّ،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فرهنك إسلاميّ حاجّ محمّد حسين كوشانپور، المطبعة العلميّة بقم المقدّسة، الطبعة الأولى،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المسائل في بيان أحكام الشرع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منصور بن أحمد بن إدريس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 الثانية،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أبو القاسم عليّ بن موسى بن جعفر بن محمّد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نجم الدين جعفر بن الحسن الهذليّ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 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البقّال،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الألفيّة للشيخ 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إبراهيم ابن المغيرة بن بردزبة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بالأوفست عن طبعة دار الطباعة العامرة باستانبول،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المحشّاة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ابن بابويه القمّيّ المعروف </w:t>
      </w:r>
    </w:p>
    <w:p>
      <w:pPr>
        <w:pStyle w:val="BookText"/>
        <w:rPr/>
      </w:pPr>
      <w:r>
        <w:rPr>
          <w:rFonts w:ascii="Amiri" w:hAnsi="Amiri" w:eastAsia="Amiri" w:cs="Amiri"/>
          <w:color w:val="111111"/>
          <w:sz w:val="28"/>
          <w:sz w:val="28"/>
          <w:szCs w:val="28"/>
          <w:rtl w:val="true"/>
          <w:lang w:bidi="ar-SA"/>
        </w:rPr>
        <w:t xml:space="preserve">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غنائم الأيّام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تبريزيان، المساعدان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الحليم الحلّيّ، السيّد جواد الحسينيّ،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الأبواب بين ذوي الألباب وبين ربّ الأرباب في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عليّ بن موسى ابن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حامد الخفّاف،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أحمد بن عليّ بن محمَّد ابن محمَّد بن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الروحانيّ،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الروحانيّ، الطبعة الثالثة، المطبعة العلميّة،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المقدّسة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w:t>
      </w:r>
    </w:p>
    <w:p>
      <w:pPr>
        <w:pStyle w:val="BookText"/>
        <w:rPr/>
      </w:pPr>
      <w:r>
        <w:rPr>
          <w:rFonts w:ascii="Amiri" w:hAnsi="Amiri" w:eastAsia="Amiri" w:cs="Amiri"/>
          <w:color w:val="111111"/>
          <w:sz w:val="28"/>
          <w:sz w:val="28"/>
          <w:szCs w:val="28"/>
          <w:rtl w:val="true"/>
          <w:lang w:bidi="ar-SA"/>
        </w:rPr>
        <w:t>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المطّلبيّ، مركز الأبحاث والدراسات الإسلاميّة، قسم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السيّد محمَّد رضا السيستانيّ، جمعها ونظّمها السيّد محمَّد البكّاء،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نهض بمشروعه الشيخ 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مرتضى آخونديّ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بحث السيّد المحقّق الداماد 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الجواديّ الطبريّ الآمليّ،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الميرزا المحقّق محمّد حسين الغرويّ النائينيّ 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دفتر تبليغات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القراءات أو 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أتيان كولبرغ ومحمَّد عليّ أمير معزي،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بريل للنشر في ليدن وبوسطن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زياد بن عبد الله بن منظور الديلميّ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يوسف نجاتيّ، محمّد عليّ النجّار،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الهيأة المصريّة العامّة للكتاب، طبع في القاهرة، الطبعة الثانية،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بمصر عبّاس ومحمَّد محمود الحلبيّ وشركاؤهم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الطبعة الأخيرة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الرموز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زين الدين أبو عليّ الحسن بن أبي طالب ابن أبي المجد اليوسفيّ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الآبي ت</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الاشتهارديّ، الشيخ حسين اليزديّ،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تبريزيان، الشيخ محمّد رضا الذاكريّ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عبد الحليم الحلّيّ،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والإبهام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محمّد بن الحسن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 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 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الطبعة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مكّيّ الجزينيّ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حسين بن محمّد بن محمّد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الحسينيّ ت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الفائدة والبرهان في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مجتبى العراقيّ والحاجّ شيخ عليّ پناه الاشتهارديّ والحاجّ آقا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 بنشره وتصحيحه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المشتهر بالمحدّث،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محمّد عبد الحقّ بن غالب بن عطيّة الأندلسيّ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الشافي محمّد،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نجم الدين جعفر بن الحسن الهذليّ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 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ابن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البركات عبد الله بن أحمد بن محمود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الشهيد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العلم، الطبعة النجفيّة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وبهامشه منتخب كنز العمال في سنن الأقوال والأفعال،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مشرق الشمسين وإكسير السعادتين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محمّد بن الحسين بن عبد الصمد الحارثيّ الهمدانيّ العامليّ الجبعيّ،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ت</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ابن أبي شيبة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الله بن محمّد بن أبي شيبة إبراهيم بن عثمان ابن أبي بسكر بن أبي شيبة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حبيب الرحمن الأعظميّ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القاسم نجم الدين جعفر بن الحسن الحلّيّ، المعروف بالمحقّق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وصحّحه عدّة من الأفاضل،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مكارم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محمّد محسن الفيض الكاشانيّ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الفيض الكاشانيّ 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العليّة في شرح 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أبو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السادسة،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ابن بابويه القمّيّ </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سليمان الكوفيّ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حدود</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المحموديّ،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تفسير القرآن والنكت المستخرجة من كتاب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جعفر محمّد بن منصور بن أحمد بن إدريس الحلّيّ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إدريس ت</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المرعشيّ النجفيّ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الثامنة والعشرون،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الألفين،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الحسينيّ الروحانيّ،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سماحة الشيخ محمَّد إسحاق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 أمير،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وحيد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السيستانيّ،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كتابفروشي صدوق،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 طبع 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في القرآن الكريم في معاني القرآن الكريم وإعرابه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فضّال المجاشعيّ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منشورات محمّد عليّ بيضون،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للطباعة والنشر والتوزيع،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نهاية التقرير في مباحث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السيّد حسين الطباطبائيّ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الفاضل اللنكرانيّ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الواثقيّ،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المحقّقة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الموسويّ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لطف الله الصافي الگلپايگانيّ،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المحدّث محمّد محسن الفيض الكاشانيّ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الفيض الكاشانيّ 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ضياء الدين الحسينيّ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أوفست نشاط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محمّد بن الحسن الحرّ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الرحيم الربّانيّ،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المحدّث محمّد بن الحسن الحرّ العامليّ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الحرّ 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النجاة مع تعاليق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وسيلة النجاة مع تعاليق السيّد محمّد رضا الموسويّ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مطبعة مهر استوار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9167_80201"/>
      <w:bookmarkStart w:id="199" w:name="pg9167_80201"/>
      <w:bookmarkEnd w:id="199"/>
    </w:p>
    <w:p>
      <w:pPr>
        <w:pStyle w:val="Heading2"/>
        <w:numPr>
          <w:ilvl w:val="1"/>
          <w:numId w:val="1"/>
        </w:numPr>
        <w:rPr/>
      </w:pPr>
      <w:bookmarkStart w:id="200" w:name="pg9167_80201"/>
      <w:bookmarkStart w:id="201" w:name="__RefHeading___Toc3769913_2870459653"/>
      <w:bookmarkStart w:id="202" w:name="_Toc79"/>
      <w:bookmarkEnd w:id="200"/>
      <w:bookmarkEnd w:id="201"/>
      <w:r>
        <w:rPr>
          <w:rtl w:val="true"/>
        </w:rPr>
        <w:t xml:space="preserve">ملكية الدولة </w:t>
      </w:r>
      <w:r>
        <w:rPr>
          <w:rtl w:val="true"/>
        </w:rPr>
        <w:t xml:space="preserve">- </w:t>
      </w:r>
      <w:r>
        <w:rPr>
          <w:rtl w:val="true"/>
        </w:rPr>
        <w:t xml:space="preserve">الشيخ وليد العامري </w:t>
      </w:r>
      <w:r>
        <w:rPr>
          <w:rtl w:val="true"/>
        </w:rPr>
        <w:t>(</w:t>
      </w:r>
      <w:r>
        <w:rPr>
          <w:rtl w:val="true"/>
        </w:rPr>
        <w:t>دام عزه</w:t>
      </w:r>
      <w:r>
        <w:rPr>
          <w:rtl w:val="true"/>
        </w:rPr>
        <w:t>)</w:t>
      </w:r>
      <w:bookmarkEnd w:id="202"/>
    </w:p>
    <w:p>
      <w:pPr>
        <w:pStyle w:val="Heading3"/>
        <w:numPr>
          <w:ilvl w:val="2"/>
          <w:numId w:val="1"/>
        </w:numPr>
        <w:rPr/>
      </w:pPr>
      <w:bookmarkStart w:id="203" w:name="__RefHeading___Toc3769915_2870459653"/>
      <w:bookmarkStart w:id="204" w:name="_Toc80"/>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ملكيّة الدولة من العناوين التي لم تعنون في كتب الفقهاء 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ذكرت في كلمات جملة من فقهاء العصر المتأخّر، وكانت محلَّاً للخلاف بينهم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هذه المسألة لا تخفى بعد شيوع الابتلاء بجملة من الفروع المترتّبة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لتسليط الضوء على إثبات أصل ملكيّة الدولة من دون التعرّض لسعة دائرة تلك الملكيّة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ملكيّة الدولة من العناوين التي لم تعنون في كتب الفقهاء المتقدّمين والمتأخّرين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هناك بعض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قد يلزم منها القول بملكيّة الدولة إثباتاً أو نفياً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 في كلمات البعض، كما في مسألة كون الخمس ملكاً شخصيّاً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أنَّه ملك للمنصب على ما سيأتي توضيحه إن شاء الله تعالى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ذُكرت ملكيّة الدولة في كلمات جملة من فقهاء العصر المتأخّر وكانت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محلَّاً للخلاف بينهم، فقد انكرها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بل يمكن نسبته لكلّ من حكم بمجهوليّة المالك بالنسبة لأموال </w:t>
      </w:r>
    </w:p>
    <w:p>
      <w:pPr>
        <w:pStyle w:val="BookText"/>
        <w:rPr/>
      </w:pPr>
      <w:r>
        <w:rPr>
          <w:rFonts w:ascii="Amiri" w:hAnsi="Amiri" w:eastAsia="Amiri" w:cs="Amiri"/>
          <w:color w:val="111111"/>
          <w:sz w:val="28"/>
          <w:sz w:val="28"/>
          <w:szCs w:val="28"/>
          <w:rtl w:val="true"/>
          <w:lang w:bidi="ar-SA"/>
        </w:rPr>
        <w:t xml:space="preserve">الدولة، في حين ذهب غير واحد إلى القول بثبوتها، منهم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الخلاف لا يكمن في إمكان تملّك الدولة من عدمه بعد كونها جهة غير واعية، بل هي شخصيّة حقوقيّة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اصطلاح القوانين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قالوا بملكيّة بعض الجهات كملكيّة عنوان المسجد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التعرّض لذلك</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منشأ الخلاف هو في قيام الدليل على ذلك بعد عدم ذكر عنوان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ملكيّتها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الآيات والروايات إلَّا في موارد قليلة جدّاً، فقد ذُكرت الدولة في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وجّهتك إلى بلاد قد جرت عليها دول قبلك من عدل وجور</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وكذا ذكرت 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وأمّا ملكيّتها فلم تذكر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البحث سنحاول تسليط الضوء على إثبات أصل ملكيّة الدولة من دون التعرّض لسعة دائرة تلك الملكيّة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الدولة لمّا كانت من مصاديق الجهات المعنويّة غير الواعية، أو ما تسمّى بالشخصيّة الحقوقيّة، كان المناسب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ملكيّة الجهة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يشترط في المالك أن يكون إنساناً واعياً، أم لا يشترط ذلك، فيجوز أن يكون المالك جهة اعتباريّة؟</w:t>
      </w:r>
    </w:p>
    <w:p>
      <w:pPr>
        <w:pStyle w:val="BookText"/>
        <w:rPr/>
      </w:pPr>
      <w:r>
        <w:rPr>
          <w:rFonts w:ascii="Amiri" w:hAnsi="Amiri" w:eastAsia="Amiri" w:cs="Amiri"/>
          <w:color w:val="111111"/>
          <w:sz w:val="28"/>
          <w:sz w:val="28"/>
          <w:szCs w:val="28"/>
          <w:rtl w:val="true"/>
          <w:lang w:bidi="ar-SA"/>
        </w:rPr>
        <w:t>ولا كلام في إمكان ذلك بل وقوعه؛ إذ قام الدليل على ملكيّة الجهة في جملة من الموارد،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ملك للجامع بين الطوائف الثمانية من المستحقّين، وبعض تلك الطوائف حيثيّة معنويّة صرفة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فالمالك للزكاة هو نفس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الفرد من الإنسان الواعي، والذي يكون مصداقاً لذلك العنوان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المالك هو ذلك العنوان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المعنويّة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لمعنونات تلك الطوائف، فهي ملك لنفس الفقير والذي هو إنسان واعٍ، وإنَّما ذكرت تلك العناوين كطرق مشيرة إلى تلك الأفراد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يعني جعل تلك الأفراد مالكة للزكاة ملكاً شخصيّاً، ولازمه أنَّ كلّ فقير يستحقّ من الزكاة مقداراً معيّناً لا تفاوت فيه بين أفراد المستحقّين، ولا يمكن سلبه عنه، وعدم إيصاله إليه، ففي كلّ زكاة يكون لكلّ فرد من المستحقّين مقداراً معيّناً يكون مالكاً له ملكاً شخصيّاً لا يحقّ لمن كان قيّماً على تنظيم أمر الزكاة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ولا قائل به من عندنا، ممّا يعني أنَّ الملكيّة للجامع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الملكيّة في 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العلماء أو الفقراء أو المسلمين، فإنَّ المالك لها هو عنوان العلماء أو عنوان الفقراء أو عنوان المسلمين، وعليه إن قلنا إنَّ مفاد الوقف هو تمليك العين يصبح ذلك العنوان وتلك الجهة مالكة للعين، وإن قلنا إنَّ الوقف هو تحبيس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تمليك الثمرة والمنفعة،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المنفعة مملوكة لتلك الجهة ولذلك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فيه ما تقدّم من شبهة مالكيّة المعنونات بالملك الشخصيّ مع جوابه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ملكيّة الأراضي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ملك للمسلمين سواء قلنا بأنَّ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المسلم بنحو صرف الوجود، بحيث يكون كلّ فرد في الخارج مصداقاً للمالك لا نفس المالك،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الإسلاميّة بمجموعها شخصيّةٌ واحدة، نسبتها إلى زيد وعمرو كنسبة زيد إلى أذنه وعينه وأنفه، وهذه الشخصيّة المعنويّة الواحدة هي المالكة الحقيقيّة، وهذان النحوان يرجعان إلى ملكيّة الجهة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ملكيّة عنوان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مالكٌ لما يوقف عليه، وكذا مالكٌ للبناء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المسجد هو المكان لا البناء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نفس البناء هو المسجد لما صحّ بيع ما يخرب من بناء المسجد، بقرينة أنَّ وقفيّة المسجد هي عبارة عن تحرير الرقبة، فلا تصحّ المعاوضة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جميعه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على أنَّه ملك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إمام؛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للمقام والمنصب، لا أنَّها ملك شخصيّ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ونصف الخمس الآخر للعنوان الجامع بين الفقراء والمساكين وابن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للأنفال، بناءً على أنَّها ملك للمنصب والمقام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قيام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ملكيّة الجهة في جملة من الموارد يأتي الكلام في تعميم ملكيّة الجهة للجهات والشخصيّات الحقوقيّة التي لم يقم الدليل الخاصّ على ثبوت ملكيّتها، كالبنوك والشركات التي يكون المالك لأموالها نفس البنك ونفس الشركة لا أصحاب الأسهم فيها، ومنها الدولة، وهو ما سيتناوله البحث التالي</w:t>
      </w:r>
      <w:r>
        <w:rPr>
          <w:rFonts w:eastAsia="Amiri" w:cs="Amiri" w:ascii="Amiri" w:hAnsi="Amiri"/>
          <w:color w:val="111111"/>
          <w:sz w:val="28"/>
          <w:szCs w:val="28"/>
          <w:rtl w:val="true"/>
          <w:lang w:bidi="ar-SA"/>
        </w:rPr>
        <w:t xml:space="preserve">. </w:t>
      </w:r>
      <w:bookmarkStart w:id="205" w:name="pg9167_80208"/>
    </w:p>
    <w:p>
      <w:pPr>
        <w:pStyle w:val="Heading3"/>
        <w:numPr>
          <w:ilvl w:val="2"/>
          <w:numId w:val="1"/>
        </w:numPr>
        <w:rPr/>
      </w:pPr>
      <w:bookmarkStart w:id="206" w:name="__RefHeading___Toc3769917_2870459653"/>
      <w:bookmarkStart w:id="207" w:name="_Toc81"/>
      <w:bookmarkEnd w:id="205"/>
      <w:bookmarkEnd w:id="206"/>
      <w:r>
        <w:rPr>
          <w:rtl w:val="true"/>
        </w:rPr>
        <w:t>أدلّة ملكيّة الدولة</w:t>
      </w:r>
      <w:bookmarkEnd w:id="207"/>
    </w:p>
    <w:p>
      <w:pPr>
        <w:pStyle w:val="Heading4"/>
        <w:numPr>
          <w:ilvl w:val="3"/>
          <w:numId w:val="1"/>
        </w:numPr>
        <w:rPr/>
      </w:pPr>
      <w:bookmarkStart w:id="208" w:name="__RefHeading___Toc3769919_2870459653"/>
      <w:bookmarkStart w:id="209" w:name="_Toc82"/>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المناسب أن تجعل الأدلّة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w:t>
      </w:r>
    </w:p>
    <w:p>
      <w:pPr>
        <w:pStyle w:val="BookText"/>
        <w:rPr/>
      </w:pPr>
      <w:r>
        <w:rPr>
          <w:rFonts w:ascii="Amiri" w:hAnsi="Amiri" w:eastAsia="Amiri" w:cs="Amiri"/>
          <w:color w:val="111111"/>
          <w:sz w:val="28"/>
          <w:sz w:val="28"/>
          <w:szCs w:val="28"/>
          <w:rtl w:val="true"/>
          <w:lang w:bidi="ar-SA"/>
        </w:rPr>
        <w:t xml:space="preserve">والتي يستدلّ بها على ملكيّة الجهات والشخصيّات الحقوقيّة التي لم يقم عليها دليل خاصّ، فإنَّ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لإثبات ملكيّة الدولة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769921_2870459653"/>
      <w:bookmarkStart w:id="211" w:name="_Toc83"/>
      <w:bookmarkEnd w:id="210"/>
      <w:r>
        <w:rPr>
          <w:rtl w:val="true"/>
        </w:rPr>
        <w:t>المقام الأوّل</w:t>
      </w:r>
      <w:r>
        <w:rPr>
          <w:rtl w:val="true"/>
        </w:rPr>
        <w:t xml:space="preserve">: </w:t>
      </w:r>
      <w:r>
        <w:rPr>
          <w:rtl w:val="true"/>
        </w:rPr>
        <w:t>الأدلّة العامّة</w:t>
      </w:r>
      <w:bookmarkEnd w:id="211"/>
    </w:p>
    <w:p>
      <w:pPr>
        <w:pStyle w:val="Heading5"/>
        <w:numPr>
          <w:ilvl w:val="4"/>
          <w:numId w:val="1"/>
        </w:numPr>
        <w:rPr/>
      </w:pPr>
      <w:bookmarkStart w:id="212" w:name="__RefHeading___Toc3769923_2870459653"/>
      <w:bookmarkStart w:id="213" w:name="_Toc84"/>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قد طرحت في الاستدلال على ملكيّة الدولة عدّة أدلّة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769925_2870459653"/>
      <w:bookmarkStart w:id="215" w:name="_Toc85"/>
      <w:bookmarkEnd w:id="214"/>
      <w:r>
        <w:rPr>
          <w:rtl w:val="true"/>
        </w:rPr>
        <w:t>الدليل الأوّل</w:t>
      </w:r>
      <w:r>
        <w:rPr>
          <w:rtl w:val="true"/>
        </w:rPr>
        <w:t xml:space="preserve">: </w:t>
      </w:r>
      <w:r>
        <w:rPr>
          <w:rtl w:val="true"/>
        </w:rPr>
        <w:t>السيرة والارتكاز العقلائيّ</w:t>
      </w:r>
      <w:bookmarkEnd w:id="2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سيرة قائمة على ملكيّة جملة غير قليلة من الجهات الاعتباريّة، والشارع قد اعتبر تلك السيرة ليس بالإمضاء وعدم الردع فقط، بل بالأدلّة الخاصّة والصريحة كما في المصاديق المتقدّمة، فإذا أضفنا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إمضاء الشارع للسيرة إنَّما هو إمضاء للنكتة والارتكاز القائمة عليها تلك السيرة، لا أنَّه إمضاء لخصوص الفعل الخارجيّ، 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للمصاديق </w:t>
      </w:r>
    </w:p>
    <w:p>
      <w:pPr>
        <w:pStyle w:val="BookText"/>
        <w:rPr/>
      </w:pPr>
      <w:r>
        <w:rPr>
          <w:rFonts w:ascii="Amiri" w:hAnsi="Amiri" w:eastAsia="Amiri" w:cs="Amiri"/>
          <w:color w:val="111111"/>
          <w:sz w:val="28"/>
          <w:sz w:val="28"/>
          <w:szCs w:val="28"/>
          <w:rtl w:val="true"/>
          <w:lang w:bidi="ar-SA"/>
        </w:rPr>
        <w:t xml:space="preserve">المندرجة تحت ذلك الارتكاز والتي استحدثت ووجدت بعد زمن الإمضاء من الشارع؛ فإنَّ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دائرة من الفعل الخارجيّ المعمول به في زمن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ومسألتنا من هذا القبيل؛ فإنَّ السيرة تكشف عن كون ملكيّة الجهات الاعتباريّة من الأمور الارتكازيّة والتي قد أمضاها الشارع، وبالتالي ملكيّة الجهات الاعتباريّة المستحدثة، كمالكيّة نفس الشركات الأهليّة، فإنَّه لمّا كانت مصداقاً لذلك الارتكاز فهي ممضاة ومعتبرة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يتمّ فيما إذا وجد مصداق حقيقيّ جديد لذلك الارتكاز، ولا يتمّ فيما إذا لم يكن المتحقّق مصداقاً حقيقيّاً جديداً، وإنَّما كان هناك توسّع من قبل العقلاء والذي يتمثّل بإحدى حالتين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 من العقلاء في الحكم، كما لو وسّع العقلاء في الحكم بالملكيّة، فحكموا بحصولها بالحيازة والبيع، وحكموا أيضاً بحصولها من خلال وقوع ضوء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الشيء المباح، فهذا مرجعه إلى إيجاد حكم جديد للعقلاء لم يكن مستبطناً في الارتكاز السابق؛ لأنَّ حقيقة الاعتبار العقلائيّ هو التوسّع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سراية الحكم الممضى لهذه الحالة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إيجاد العقلاء لفرد اعتباريّ جديد لذلك الموضوع، كما لو اعتبر العقلاء أنَّ وقوعَ ضوء المصباح على ذلك الشيء المباح مصداقٌ للحيازة، فهكذا اعتبار لا يوجِد فرداً ومصداقاً حقيقيّاً، وإنَّما مرجعه إلى التوسّع في الحكم، فيرجع إلى الحالة السابقة</w:t>
      </w:r>
      <w:r>
        <w:rPr>
          <w:rFonts w:eastAsia="Amiri" w:cs="Amiri" w:ascii="Amiri" w:hAnsi="Amiri"/>
          <w:color w:val="111111"/>
          <w:sz w:val="28"/>
          <w:szCs w:val="28"/>
          <w:rtl w:val="true"/>
          <w:lang w:bidi="ar-SA"/>
        </w:rPr>
        <w:t>.</w:t>
      </w:r>
      <w:bookmarkStart w:id="216" w:name="pg9167_80210"/>
    </w:p>
    <w:p>
      <w:pPr>
        <w:pStyle w:val="BookText"/>
        <w:rPr/>
      </w:pPr>
      <w:bookmarkEnd w:id="216"/>
      <w:r>
        <w:rPr>
          <w:rFonts w:ascii="IRNazanin" w:hAnsi="IRNazanin" w:eastAsia="IRNazanin"/>
          <w:color w:val="111111"/>
          <w:sz w:val="28"/>
          <w:sz w:val="28"/>
          <w:szCs w:val="28"/>
          <w:rtl w:val="true"/>
          <w:lang w:bidi="fa-IR"/>
        </w:rPr>
        <w:t xml:space="preserve">ومسألتنا من هذا القبيل،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الملكيّة أو الذمّة أو المعاملة التي يراد إثباتها بالارتكاز هي الحكم، وموضوعها الموجود في 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عبارة عن الشخص الحقيقيّ وبعض الشخصيّات الحقوقيّة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مثل شخصيّة الشركة القانونيّة أو الجمعيّة أو المؤسّسة التي لم تكن اعتبرت وقتئذٍ شخصيّة حقوقيّة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تكن خاطرة على البال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فاعتبارها في يومنا هذا شخصيّة حقوقيّة يرجع بروحه إلى توسيع جديد لدائرة الحكم والارتكاز</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التشكيك في أصل وجود هكذا ارتكاز في 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نحتمل أنَّ الارتكاز الثابت في هذا اليوم يكون أحد أجزاء العامل المكوّن له تطوّر الحياة وتجدّد الحاجة إلى هذه الشخصيّات، فلنفترض أنَّه لو كان هذا التطوّر في الحياة ثابتاً في زمن المعصوم وكانت الحاجة الفعليّة ثابتة وقتئذٍ لحصل هذا الارتكاز آنذاك، ولكنّ المفروض أنَّ هذا التطوّر وهذه الحاجة لم يكونا وقتئذٍ، فلا دليل على ثبوت هذا الارتكاز آنذاك</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أنَّ السيرة والارتكاز لا يتمّان</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769927_2870459653"/>
      <w:bookmarkStart w:id="218" w:name="_Toc86"/>
      <w:bookmarkEnd w:id="217"/>
      <w:r>
        <w:rPr>
          <w:rtl w:val="true"/>
        </w:rPr>
        <w:t>الدليل الثاني</w:t>
      </w:r>
      <w:r>
        <w:rPr>
          <w:rtl w:val="true"/>
        </w:rPr>
        <w:t xml:space="preserve">: </w:t>
      </w:r>
      <w:r>
        <w:rPr>
          <w:rtl w:val="true"/>
        </w:rPr>
        <w:t>التمسّك بإطلاقات البيع والتجارة</w:t>
      </w:r>
      <w:bookmarkEnd w:id="218"/>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حصلت المبادلة والبيع بين الشخصيّة الحقوقيّة وطرف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 xml:space="preserve">أكان شخصيّة حقوقيّة أيضاً أم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صحّتها من عدمه يتمسّك بإطلاقأَحَلَّ اللَّهُ الْبَيْعَ لتصحيح تلك المعاملة، وبذلك تثبت ملكيّة تلك الشخصيّة الحقوقيّة؛ لأنَّ صحّة البيع متوقّفة على ملكيّة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بالإطلاق فرع إحراز الموضوع مع الشكّ في شموله لجميع أفراد البيع، وفي المقام الموضوع غير محرز، فالمبادلة بين تلك الشخصيّة الحقوقيّة وغيرها من أفراد أو شخصيّات حقوقيّة أُخر لا بُدَّ أن يصدق عليها البيع حتّى يتمسّك بإطلاق أَحَلَّ اللَّهُ الْبَيْعَ لتصحيحها، والحال أنَّنا نشكّ في تحقّق موضوع البيع وصدقه في المقام، فلا يمكن التمسّك بتلك المطلقات لتصحيح هكذا معاملة؛ فإنَّه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نمنع من صدق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 الذي يكون أحد طرفيه أو كلاهما جهة حقوقيّة معنويّة؛ وذلك للشكّ في ملكيّتها، فإنَّ ملكيّة الجهة وبالتالي وقوعها طرفاً في معاملة لا يحرز كونها حالة موجودة في حياة العقلاء وأهل العرف في عصر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العصور المتأخّرة وجدت هذه الحالة في حياة بعض أهل العرف فقالوا بمالكيّتها وصدق البيع عليها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فإنَّ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عدم احتمال مخالفة الشرع للعرف، فلا يكفي مجرّد الصدق العرفيّ المتأخّر للتمسّك بالإطلاق، وشرعاً نحتمل عدم صدق البيع؛ لأنَّ البيع الشرعيّ هو ما تحقّقت فيه الشروط الشرعيّة ومنها ملكيّة الطرفين، وملكيّة الجهة المعنويّة غير معلومة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إحراز كونه بيعاً عرفاً والشكّ في كونه كذلك شرعاً فيمكن التمسّك بالإطلاق المقاميّ لإثبات كونه بيعاً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في المقام هو بيع عرفي، فلو كان الشارع لم يرتضِ ذلك وكان يرى هكذا شخصيّة حقوقيّة لا تملك، وبالتالي لا يكون هذا البيع شرعيّاً لكان عليه البيان، وبما أنَّه لم يبيِّن ذلك فيكون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لا يزيد على البيع في نظر العرف، فيحرز بذلك موضوع تلك المطلقات، ويتمّ التمسّك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التمسّك بالإطلاق المقاميّ في المقام إنَّما يتمّ بلحاظ نظر العرف المعاصر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بُدَّ من إحراز أنَّه كان يرى ملكيّة هكذا شخصيّة حقوقيّة، وأنَّ البيع معها صحيح، ولإثبات ذلك لا بُدَّ من الرجوع إلى الدليل الأوّل وإثبات سعة دائرة الارتكاز في 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عدم تماميّته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باقي المطلقات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Style w:val="FootnoteAnchor"/>
          <w:rtl w:val="true"/>
        </w:rPr>
        <w:footnoteReference w:id="168"/>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تِجَارَةً عَن تَرَاضٍ</w:t>
      </w:r>
      <w:r>
        <w:rPr>
          <w:rStyle w:val="FootnoteAnchor"/>
          <w:rtl w:val="true"/>
        </w:rPr>
        <w:footnoteReference w:id="169"/>
      </w:r>
      <w:r>
        <w:rPr>
          <w:rFonts w:ascii="Amiri" w:hAnsi="Amiri" w:eastAsia="Amiri" w:cs="Amiri"/>
          <w:color w:val="111111"/>
          <w:sz w:val="28"/>
          <w:sz w:val="28"/>
          <w:szCs w:val="28"/>
          <w:rtl w:val="true"/>
          <w:lang w:bidi="ar-SA"/>
        </w:rPr>
        <w:t>، فإنَّ التمسّك بها من التمسّك بالعامّ في الشبهة المصداقيّة؛ للشكّ في صدق العقد أو التجارة إذا كان أحد الطرفين أو كلاهما جهة حقوقيّة معنويّة بعد الشكّ في ملكيّتها</w:t>
      </w:r>
      <w:r>
        <w:rPr>
          <w:rFonts w:eastAsia="Amiri" w:cs="Amiri" w:ascii="Amiri" w:hAnsi="Amiri"/>
          <w:color w:val="111111"/>
          <w:sz w:val="28"/>
          <w:szCs w:val="28"/>
          <w:rtl w:val="true"/>
          <w:lang w:bidi="ar-SA"/>
        </w:rPr>
        <w:t xml:space="preserve">. </w:t>
      </w:r>
      <w:bookmarkStart w:id="219" w:name="pg9167_80213"/>
    </w:p>
    <w:p>
      <w:pPr>
        <w:pStyle w:val="Heading5"/>
        <w:numPr>
          <w:ilvl w:val="4"/>
          <w:numId w:val="1"/>
        </w:numPr>
        <w:rPr/>
      </w:pPr>
      <w:bookmarkStart w:id="220" w:name="__RefHeading___Toc3769929_2870459653"/>
      <w:bookmarkStart w:id="221" w:name="_Toc87"/>
      <w:bookmarkEnd w:id="219"/>
      <w:bookmarkEnd w:id="220"/>
      <w:r>
        <w:rPr>
          <w:rtl w:val="true"/>
        </w:rPr>
        <w:t>الدليل الثالث</w:t>
      </w:r>
      <w:r>
        <w:rPr>
          <w:rtl w:val="true"/>
        </w:rPr>
        <w:t xml:space="preserve">: </w:t>
      </w:r>
      <w:r>
        <w:rPr>
          <w:rtl w:val="true"/>
        </w:rPr>
        <w:t>التمسّك بولاية الفقيه</w:t>
      </w:r>
      <w:bookmarkEnd w:id="221"/>
    </w:p>
    <w:p>
      <w:pPr>
        <w:pStyle w:val="Heading6"/>
        <w:numPr>
          <w:ilvl w:val="5"/>
          <w:numId w:val="1"/>
        </w:numPr>
        <w:rPr/>
      </w:pPr>
      <w:bookmarkStart w:id="222" w:name="__RefHeading___Toc3769931_2870459653"/>
      <w:bookmarkStart w:id="223" w:name="_Toc88"/>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ونذكر لذلك وجهين</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769933_2870459653"/>
      <w:bookmarkStart w:id="225" w:name="_Toc89"/>
      <w:bookmarkEnd w:id="224"/>
      <w:r>
        <w:rPr>
          <w:rtl w:val="true"/>
        </w:rPr>
        <w:t>الوجه الأوّل</w:t>
      </w:r>
      <w:bookmarkEnd w:id="225"/>
    </w:p>
    <w:p>
      <w:pPr>
        <w:pStyle w:val="BookText"/>
        <w:rPr/>
      </w:pPr>
      <w:r>
        <w:rPr>
          <w:rFonts w:ascii="Amiri" w:hAnsi="Amiri" w:eastAsia="Amiri" w:cs="Amiri"/>
          <w:color w:val="111111"/>
          <w:sz w:val="28"/>
          <w:sz w:val="28"/>
          <w:szCs w:val="28"/>
          <w:rtl w:val="true"/>
          <w:lang w:bidi="ar-SA"/>
        </w:rPr>
        <w:t>التمسّك بالولاية العامّة للفقيه، بدعوى أنَّه من صلاحية الولي الفقيه إمضاء الملكيّة لهكذا شخصيّات حقوقيّة إذا رأى أنَّ المصلحة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وتماميّة هذا الوجه تتوقّف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بالولاية العامّة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سعة دائرة ولاية الفقيه لهكذا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بأنَّها محدودة بما لا يكون خروجاً عمّا هو ثابت في الشريعة فحينئذٍ لا يتمّ هذا الوجه، فإنَّه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الشخصيّة الحقوقيّة للشركة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ذاتها غير ثابتة في الشريعة لبطلان الوجه الأوّل والثاني الماضيين لتصحيحها، فولاية الفقيه عاجزة عن تصحيحها؛ فإنَّ ولاية الفقيه على المجتمع أو على أصحاب الشركة إنَّما تدلّ على أنَّه يحلّ محلّهم في التصرّف، ويكون أولى بالتصرّف منهم، فلو كان أمر إيجاد الشخصيّة الحقوقيّة بيدهم ثبت بذلك أنَّه من حقّه إيجادها بالولاية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ذلك بيدهم، وكانت الشخصيّة الحقوقيّة في ذاتها منفيّة شرعاً، فإيجاد الفقيه لها خروج على نظام الإسلام، وهذا غير صحيح، والشكّ في ذلك كافٍ في عدم الثبوت</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للفقيه إعمال الولاية بلحاظ الآثار العمليّة لتلك الشخصيّات الحقوقيّة حتّى مع عدم ثبوت تلك الشخصيّات الحقوقيّة؛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بأن يلحظ الفقيه </w:t>
      </w:r>
      <w:bookmarkStart w:id="226" w:name="pg9167_80214"/>
    </w:p>
    <w:p>
      <w:pPr>
        <w:pStyle w:val="BookText"/>
        <w:rPr/>
      </w:pPr>
      <w:bookmarkEnd w:id="226"/>
      <w:r>
        <w:rPr>
          <w:rFonts w:ascii="Amiri" w:hAnsi="Amiri" w:eastAsia="Amiri" w:cs="Amiri"/>
          <w:color w:val="111111"/>
          <w:sz w:val="28"/>
          <w:sz w:val="28"/>
          <w:szCs w:val="28"/>
          <w:rtl w:val="true"/>
          <w:lang w:bidi="ar-SA"/>
        </w:rPr>
        <w:t xml:space="preserve">الآثار العمليّة المترتّبة على فرض الشخصيّة الحقوقيّة، ويأمر بها إذا رأى المصلحة الاجتماعيّة في ذلك من دون خلق هذه الشخصيّة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فرضنا أنَّها لا تخلق ابتداءً بولاية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بالقدر الذي لا يتنافى مع نظام الإسلام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3769935_2870459653"/>
      <w:bookmarkStart w:id="228" w:name="_Toc90"/>
      <w:bookmarkEnd w:id="227"/>
      <w:r>
        <w:rPr>
          <w:rtl w:val="true"/>
        </w:rPr>
        <w:t>الوجه الثاني</w:t>
      </w:r>
      <w:bookmarkEnd w:id="228"/>
    </w:p>
    <w:p>
      <w:pPr>
        <w:pStyle w:val="BookText"/>
        <w:rPr/>
      </w:pPr>
      <w:r>
        <w:rPr>
          <w:rFonts w:ascii="Amiri" w:hAnsi="Amiri" w:eastAsia="Amiri" w:cs="Amiri"/>
          <w:color w:val="111111"/>
          <w:sz w:val="28"/>
          <w:sz w:val="28"/>
          <w:szCs w:val="28"/>
          <w:rtl w:val="true"/>
          <w:lang w:bidi="ar-SA"/>
        </w:rPr>
        <w:t>إعمال الفقيه لولايته من باب الحسبة، وهذا ما سيأتي توضيحه عند ذكر دليل الحسبة على ملكيّة الدولة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دخول العنوان تحت الأمور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يرضى الشارع بتفويتها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لكونه من الأمور الشرعيّة، فلا يرد عليها الإشكال المتقدّم من أنَّ إعمال الفقيه لولايته محدود بالأمور الثابتة في الشريعة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29" w:name="pg9167_80215"/>
    </w:p>
    <w:p>
      <w:pPr>
        <w:pStyle w:val="Heading4"/>
        <w:numPr>
          <w:ilvl w:val="3"/>
          <w:numId w:val="1"/>
        </w:numPr>
        <w:rPr/>
      </w:pPr>
      <w:bookmarkStart w:id="230" w:name="__RefHeading___Toc3769937_2870459653"/>
      <w:bookmarkStart w:id="231" w:name="_Toc91"/>
      <w:bookmarkEnd w:id="229"/>
      <w:bookmarkEnd w:id="230"/>
      <w:r>
        <w:rPr>
          <w:rtl w:val="true"/>
        </w:rPr>
        <w:t>المقام الثاني</w:t>
      </w:r>
      <w:r>
        <w:rPr>
          <w:rtl w:val="true"/>
        </w:rPr>
        <w:t xml:space="preserve">: </w:t>
      </w:r>
      <w:r>
        <w:rPr>
          <w:rtl w:val="true"/>
        </w:rPr>
        <w:t>الأدلّة الخاصّة</w:t>
      </w:r>
      <w:bookmarkEnd w:id="231"/>
    </w:p>
    <w:p>
      <w:pPr>
        <w:pStyle w:val="Heading5"/>
        <w:numPr>
          <w:ilvl w:val="4"/>
          <w:numId w:val="1"/>
        </w:numPr>
        <w:rPr/>
      </w:pPr>
      <w:bookmarkStart w:id="232" w:name="__RefHeading___Toc3769939_2870459653"/>
      <w:bookmarkStart w:id="233" w:name="_Toc92"/>
      <w:bookmarkEnd w:id="232"/>
      <w:r>
        <w:rPr>
          <w:rtl w:val="true"/>
        </w:rPr>
        <w:t>الدليل الأوّل</w:t>
      </w:r>
      <w:bookmarkEnd w:id="233"/>
    </w:p>
    <w:p>
      <w:pPr>
        <w:pStyle w:val="Heading6"/>
        <w:numPr>
          <w:ilvl w:val="5"/>
          <w:numId w:val="1"/>
        </w:numPr>
        <w:rPr/>
      </w:pPr>
      <w:bookmarkStart w:id="234" w:name="__RefHeading___Toc3769941_2870459653"/>
      <w:bookmarkStart w:id="235" w:name="_Toc93"/>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قيام الدليل على ثبوت الملكيّة في جملة من المصاديق والتي أدرجها بعض</w:t>
      </w:r>
      <w:r>
        <w:rPr>
          <w:rStyle w:val="FootnoteAnchor"/>
          <w:rtl w:val="true"/>
        </w:rPr>
        <w:footnoteReference w:id="174"/>
      </w:r>
      <w:r>
        <w:rPr>
          <w:rFonts w:ascii="Amiri" w:hAnsi="Amiri" w:eastAsia="Amiri" w:cs="Amiri"/>
          <w:color w:val="111111"/>
          <w:sz w:val="28"/>
          <w:sz w:val="28"/>
          <w:szCs w:val="28"/>
          <w:rtl w:val="true"/>
          <w:lang w:bidi="ar-SA"/>
        </w:rPr>
        <w:t>تحت عنوان ملكيّة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في تلك المصاديق يستحسن الإشارة إلى مقدّمة، وحاصلها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ملكيّة الأموال في بيت المال على نحوين</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769943_2870459653"/>
      <w:bookmarkStart w:id="237" w:name="_Toc94"/>
      <w:bookmarkEnd w:id="236"/>
      <w:r>
        <w:rPr>
          <w:rtl w:val="true"/>
        </w:rPr>
        <w:t>النحو الأوّل</w:t>
      </w:r>
      <w:bookmarkEnd w:id="237"/>
    </w:p>
    <w:p>
      <w:pPr>
        <w:pStyle w:val="BookText"/>
        <w:rPr/>
      </w:pPr>
      <w:r>
        <w:rPr>
          <w:rFonts w:ascii="Amiri" w:hAnsi="Amiri" w:eastAsia="Amiri" w:cs="Amiri"/>
          <w:color w:val="111111"/>
          <w:sz w:val="28"/>
          <w:sz w:val="28"/>
          <w:szCs w:val="28"/>
          <w:rtl w:val="true"/>
          <w:lang w:bidi="ar-SA"/>
        </w:rPr>
        <w:t>ملكيّة عامّة؛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جهة عامّة جامعة لطائفة أو طوائف من أفراد المجتمع وليست لعموم المسلمين، كملكيّة الفقراء للزكاة، أو من قبيل كونها ملكيّة للمسلمين عامّة كملكيّة الأراضي الخراجيّة، وغيرها من مصاديق ملكيّة الجهة التي تقدّم ذكرها</w:t>
      </w:r>
      <w:r>
        <w:rPr>
          <w:rStyle w:val="FootnoteAnchor"/>
          <w:rtl w:val="true"/>
        </w:rPr>
        <w:footnoteReference w:id="175"/>
      </w:r>
      <w:r>
        <w:rPr>
          <w:rFonts w:ascii="Amiri" w:hAnsi="Amiri" w:eastAsia="Amiri" w:cs="Amiri"/>
          <w:color w:val="111111"/>
          <w:sz w:val="28"/>
          <w:sz w:val="28"/>
          <w:szCs w:val="28"/>
          <w:rtl w:val="true"/>
          <w:lang w:bidi="ar-SA"/>
        </w:rPr>
        <w:t>، والتي قام الدليل على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عليها بالأموال العامّة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769945_2870459653"/>
      <w:bookmarkStart w:id="239" w:name="_Toc95"/>
      <w:bookmarkEnd w:id="238"/>
      <w:r>
        <w:rPr>
          <w:rtl w:val="true"/>
        </w:rPr>
        <w:t>النحو الثاني</w:t>
      </w:r>
      <w:bookmarkEnd w:id="239"/>
    </w:p>
    <w:p>
      <w:pPr>
        <w:pStyle w:val="Heading6"/>
        <w:numPr>
          <w:ilvl w:val="5"/>
          <w:numId w:val="1"/>
        </w:numPr>
        <w:rPr/>
      </w:pPr>
      <w:bookmarkStart w:id="240" w:name="__RefHeading___Toc3769947_2870459653"/>
      <w:bookmarkStart w:id="241" w:name="_Toc96"/>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ملكيّة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إمام،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التي تعود ملكيّتها لمنصب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يصطلح عليه بملكيّة الدولة، كالخمس بناءً على أنَّه ملك لمنصب الإمامة، وهي تندرج أيضاً تحت عنوان الأموال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فالبحث في ثبوت ملكيّة الدولة يجب أن ينصبّ على المصاديق التي تندرج تحت عنوان ملكيّة المنصب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الدخول في البحث عن تلك المصاديق لابأس بالإشارة إلى أهمّ الفوارق بين ملكيّة عامّة المسلمين وملكيّة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ونكتفي في ذلك بما </w:t>
      </w:r>
    </w:p>
    <w:p>
      <w:pPr>
        <w:pStyle w:val="BookText"/>
        <w:rPr/>
      </w:pPr>
      <w:r>
        <w:rPr>
          <w:rFonts w:ascii="Amiri" w:hAnsi="Amiri" w:eastAsia="Amiri" w:cs="Amiri"/>
          <w:color w:val="111111"/>
          <w:sz w:val="28"/>
          <w:sz w:val="28"/>
          <w:szCs w:val="28"/>
          <w:rtl w:val="true"/>
          <w:lang w:bidi="ar-SA"/>
        </w:rPr>
        <w:t xml:space="preserve">ذكره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وهاتان الملكيّتان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العامّة للأمّة، وملكيّة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اتفقتا في المغزى الاجتماعي إلّا أنَّهما يعتبران شكلين تشريعيّين مختلفين؛ لأنَّ المالك في أحد الشكلين هو الأمّة، والمالك في الشكل الآخر هو المنصب، الذي يباشر حكم تلك الأمّة من 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وينعكس الفرق بين الشكلين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استثمار كلّ من المِلكيّتين والدور الذي تؤدّيه للمساهمة في بناء المجتمع الإسلاميّ، فالأراضي والثروات التي تُمْلَك ملكيّة عامّة لمجموع الأمّة يجب على وليّ الأمر استثمارها للمساهمة في إشباع حاجات مجموع الأمّة، وتحقيق مصالحها العامّة التي ترتبط بها ككلّ، نحو إنشاء المستشفيات، وتوفير وتهيئة مستلزمات التعليم، وغير ذلك من المؤسّسات الاجتماعيّة العامّة التي تخدم مجموع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استخدام الملكيّة العامّة لمصلحة جزء معيّن من الأمّة ما لم ترتبط مصلحته بمصلحة المجموع، فلا يسمح بإيجاد رؤوس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الفقراء من ثمار تلك الملكيّة ما لم يصبح ذلك مصلحة وحاجة لمجموع الأمّة، كما إذا توقّف حفظ التوازن الاجتماعيّ على الاستفادة من الملكيّة العامّة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يسمح بالصرف من ريع الملكيّة العامّة للأمّة على النواحي التي يعتبر وليّ الأمر مسؤولاً عنها من حياة المواطنين الذين في المجتمع الإسلاميّ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أملاك الدولة فهي كما يمكن أن تستثمر في مجال المصالح العامّة لمجموع الأمّة كذلك يمكن استثمارها لمصلحة معيّنة مشروعة، كإيجاد رؤوس أموال منها لمن هو بحاجة إلى ذلك من أفراد المجتمع الإسلاميّ، أو أيّ مصلحة أخرى من المصالح </w:t>
      </w:r>
    </w:p>
    <w:p>
      <w:pPr>
        <w:pStyle w:val="BookText"/>
        <w:rPr/>
      </w:pPr>
      <w:r>
        <w:rPr>
          <w:rFonts w:ascii="Amiri" w:hAnsi="Amiri" w:eastAsia="Amiri" w:cs="Amiri"/>
          <w:color w:val="111111"/>
          <w:sz w:val="28"/>
          <w:sz w:val="28"/>
          <w:szCs w:val="28"/>
          <w:rtl w:val="true"/>
          <w:lang w:bidi="ar-SA"/>
        </w:rPr>
        <w:t>التي يعتبر وليّ الأمر مسؤولاً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العامّة لا تسمح بظهور حقّ خاصّ للفرد، فقد رأينا في ما سبق أنَّ الأرض المفتوحة عنوة والتي تعود ملكيّتها للأمّة لا يكسب الفرد فيها حقّاً خاصّاً ولو مارس عليها عملية الإحياء، خلافاً لملك الدولة فإنَّ الفرد قد يكتسب في ممتلكاتها حقّاً خاصّاً على أساس العمل بالقدر الذي تأذن به الدولة، فمن يُحيي أرضاً مَيتَة للدولة بإذن من الإمام يكتسب حقّاً خاصّاً فيها وإن لم يملك رقبتها، وإنّما هو حقّ يجعله أولى من الآخرين بها مع بقاء رقبتها ملكاً للدولة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يدخل في نطاق الملكيّة العامّة للأمّة لا يجوز لوليّ الأمر بوصفه وليّاً للأمر نقل ملكيّته إلى الأفراد ببيع أو هبة ونحو ذلك، خلافاً لما يدخل في نطاق ملكيّة الدولة فإنَّه يجوز فيه ذلك وفقاً لما يقدّره الإمام من المصلحة العامّة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الفارق بين المِلكِيَّتين يقرّب هذين المصطلحين الفقهيّين نحو مصطلحي الأموال الخاصّة للدولة والأموال العامّة لها في لغة القانون الحديث، فما نطلق عليه اسم ملكيّة الدولة يوازي من هذه الناحية ما يعبّر عنه قانونيّاً بالأموال الخاصّة للدولة، بينما يناظر الملكيّة العامّة للأمّة ما يطلق عليه القانون اسم الأموال العامّة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مصطلح الملكيّة العامّة للأمّة يتميّز عن مصطلح الأموال العامّة للدولة بأنَّه يستبطن النصّ على أنّ الأموال العامّة التي يشملها هي ملك الأمّة، ودور الدولة فيها دور الحارس الأمين، بينما ينسجم التعبير القانونيّ بالأموال العامّة للدولة مع هذا، كما ينسجم مع كونها ملكاً للدولة نفسها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42" w:name="pg9167_80218"/>
    </w:p>
    <w:p>
      <w:pPr>
        <w:pStyle w:val="BookText"/>
        <w:rPr/>
      </w:pPr>
      <w:bookmarkEnd w:id="242"/>
      <w:r>
        <w:rPr>
          <w:rFonts w:ascii="Amiri" w:hAnsi="Amiri" w:eastAsia="Amiri" w:cs="Amiri"/>
          <w:color w:val="111111"/>
          <w:sz w:val="28"/>
          <w:sz w:val="28"/>
          <w:szCs w:val="28"/>
          <w:rtl w:val="true"/>
          <w:lang w:bidi="ar-SA"/>
        </w:rPr>
        <w:t>وبعد اتّضاح هذه المقدّمة، يقع الكلام في بيان أهمّ المصاديق التي يمكن اندراجها تحت ملكيّة الدولة، والبحث يقع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الحضور، وزمن الغيبة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3769949_2870459653"/>
      <w:bookmarkStart w:id="244" w:name="_Toc97"/>
      <w:bookmarkEnd w:id="243"/>
      <w:r>
        <w:rPr>
          <w:rtl w:val="true"/>
        </w:rPr>
        <w:t>المرحلة الأولى</w:t>
      </w:r>
      <w:r>
        <w:rPr>
          <w:rtl w:val="true"/>
        </w:rPr>
        <w:t xml:space="preserve">: </w:t>
      </w:r>
      <w:r>
        <w:rPr>
          <w:rtl w:val="true"/>
        </w:rPr>
        <w:t>ثبوت مصاديق لملكيّة الدولة في زمن الحضور</w:t>
      </w:r>
      <w:bookmarkEnd w:id="244"/>
    </w:p>
    <w:p>
      <w:pPr>
        <w:pStyle w:val="Heading6"/>
        <w:numPr>
          <w:ilvl w:val="5"/>
          <w:numId w:val="1"/>
        </w:numPr>
        <w:rPr/>
      </w:pPr>
      <w:bookmarkStart w:id="245" w:name="__RefHeading___Toc3769951_2870459653"/>
      <w:bookmarkStart w:id="246" w:name="_Toc98"/>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وأهمّ تلك المصاديق هي</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769953_2870459653"/>
      <w:bookmarkStart w:id="248" w:name="_Toc99"/>
      <w:bookmarkEnd w:id="247"/>
      <w:r>
        <w:rPr>
          <w:rtl w:val="true"/>
        </w:rPr>
        <w:t>المصداق الأوّل</w:t>
      </w:r>
      <w:r>
        <w:rPr>
          <w:rtl w:val="true"/>
        </w:rPr>
        <w:t xml:space="preserve">: </w:t>
      </w:r>
      <w:r>
        <w:rPr>
          <w:rtl w:val="true"/>
        </w:rPr>
        <w:t>الخمس</w:t>
      </w:r>
      <w:bookmarkEnd w:id="248"/>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177"/>
      </w:r>
      <w:r>
        <w:rPr>
          <w:rFonts w:ascii="IRNazanin" w:hAnsi="IRNazanin" w:eastAsia="IRNazanin"/>
          <w:color w:val="111111"/>
          <w:sz w:val="28"/>
          <w:sz w:val="28"/>
          <w:szCs w:val="28"/>
          <w:rtl w:val="true"/>
          <w:lang w:bidi="fa-IR"/>
        </w:rPr>
        <w:t>أنَّه يقسّم إلى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ونصف لبني هاشم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في نصف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ملك شخصيّ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 مختار جملة من المحقّقين</w:t>
      </w:r>
      <w:r>
        <w:rPr>
          <w:rStyle w:val="FootnoteAnchor"/>
          <w:rtl w:val="true"/>
        </w:rPr>
        <w:footnoteReference w:id="178"/>
      </w:r>
      <w:r>
        <w:rPr>
          <w:rFonts w:ascii="IRNazanin" w:hAnsi="IRNazanin" w:eastAsia="IRNazanin"/>
          <w:color w:val="111111"/>
          <w:sz w:val="28"/>
          <w:sz w:val="28"/>
          <w:szCs w:val="28"/>
          <w:rtl w:val="true"/>
          <w:lang w:bidi="fa-IR"/>
        </w:rPr>
        <w:t xml:space="preserve">، ومعه لا يكون الخمس مصداقاً لملكيّة الدولة، أم أنَّه ملك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إمام؛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لمنصب الإمامة، والذي اختاره جملة من المتأخّرين</w:t>
      </w:r>
      <w:r>
        <w:rPr>
          <w:rStyle w:val="FootnoteAnchor"/>
          <w:rtl w:val="true"/>
        </w:rPr>
        <w:footnoteReference w:id="179"/>
      </w:r>
      <w:r>
        <w:rPr>
          <w:rFonts w:ascii="Amiri" w:hAnsi="Amiri" w:eastAsia="Amiri" w:cs="Amiri"/>
          <w:color w:val="111111"/>
          <w:sz w:val="28"/>
          <w:sz w:val="28"/>
          <w:szCs w:val="28"/>
          <w:rtl w:val="true"/>
          <w:lang w:bidi="ar-SA"/>
        </w:rPr>
        <w:t xml:space="preserve">، فالإمام بما هو إمام ورئيس للدولة يتصرّف في الخمس بما يراه مناسباً لإدارة شؤون الدولة، </w:t>
      </w:r>
    </w:p>
    <w:p>
      <w:pPr>
        <w:pStyle w:val="BookText"/>
        <w:rPr/>
      </w:pPr>
      <w:r>
        <w:rPr>
          <w:rFonts w:ascii="Amiri" w:hAnsi="Amiri" w:eastAsia="Amiri" w:cs="Amiri"/>
          <w:color w:val="111111"/>
          <w:sz w:val="28"/>
          <w:sz w:val="28"/>
          <w:szCs w:val="28"/>
          <w:rtl w:val="true"/>
          <w:lang w:bidi="ar-SA"/>
        </w:rPr>
        <w:t>ومعه يكون الخمس مصداقاً شرعيّاً لملكيّة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أنَّ الإمام بما هو إمام مالك للمنصب ببعض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الخمس،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تعقّل الملكيّة الاعتباريّة لله سبحانه وتعالى؛ فإنَّ ملكيّته تعالى للأشياء ملكيّة حقيقيّة فلا معنى لجعلها ثانياً بالاعتبار، وعليه فكون الخمس مملوكاً لله تعالى لا بُدَّ أن يرجع لجهة ثابتة له تعالى، والجهة المناسبة لذلك هي جهة ولايته المطلقة وحاكميّته على شؤون الناس، فالمالك للخمس هو منصب الولاية والحاكميّة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المعنى من المالكيّة يكون ثابتاً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العطف في الآية، بل إنَّ نفس عطف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ذي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فسّر في الروايات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مؤيّداً إن لم يكن دليلاً على ذلك؛ فإنَّ الجهة المشتركة بين المعطوف والمعطوف عليه هي الولاية والحاكميّة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على نحو الطوليّة لا العرضيّة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ويؤكّد ذلك أيضاً ورود هذا السياق في آية الأنفال</w:t>
      </w:r>
      <w:r>
        <w:rPr>
          <w:rStyle w:val="FootnoteAnchor"/>
          <w:rtl w:val="true"/>
        </w:rPr>
        <w:footnoteReference w:id="182"/>
      </w:r>
      <w:r>
        <w:rPr>
          <w:rFonts w:ascii="Amiri" w:hAnsi="Amiri" w:eastAsia="Amiri" w:cs="Amiri"/>
          <w:color w:val="111111"/>
          <w:sz w:val="28"/>
          <w:sz w:val="28"/>
          <w:szCs w:val="28"/>
          <w:rtl w:val="true"/>
          <w:lang w:bidi="ar-SA"/>
        </w:rPr>
        <w:t>وآية الفيء</w:t>
      </w:r>
      <w:r>
        <w:rPr>
          <w:rStyle w:val="FootnoteAnchor"/>
          <w:rtl w:val="true"/>
        </w:rPr>
        <w:footnoteReference w:id="183"/>
      </w:r>
      <w:r>
        <w:rPr>
          <w:rFonts w:ascii="Amiri" w:hAnsi="Amiri" w:eastAsia="Amiri" w:cs="Amiri"/>
          <w:color w:val="111111"/>
          <w:sz w:val="28"/>
          <w:sz w:val="28"/>
          <w:szCs w:val="28"/>
          <w:rtl w:val="true"/>
          <w:lang w:bidi="ar-SA"/>
        </w:rPr>
        <w:t>مع وضوح أنَّهما ملك للمنصب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أيضاً بالروايات التي قد يدّعى ظهورها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عليّ ابن راشد، عن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نؤتى بالشيء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كان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فكيف نصنع؟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الإمامة فهو لي، وما كان غير ذلك فهو ميراث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دلّت على أنَّ ما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الإمامة فهو ليس إرثاً، ممّا يعني أنَّه لم يكن ملكاً شخصيّاً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الإمامة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يدفع ما قد يقال من أنَّ حيثيّة الإمامة هنا مردّدة بين كونها تعليليّة أو </w:t>
      </w:r>
    </w:p>
    <w:p>
      <w:pPr>
        <w:pStyle w:val="BookText"/>
        <w:rPr/>
      </w:pPr>
      <w:r>
        <w:rPr>
          <w:rFonts w:ascii="Amiri" w:hAnsi="Amiri" w:eastAsia="Amiri" w:cs="Amiri"/>
          <w:color w:val="111111"/>
          <w:sz w:val="28"/>
          <w:sz w:val="28"/>
          <w:szCs w:val="28"/>
          <w:rtl w:val="true"/>
          <w:lang w:bidi="ar-SA"/>
        </w:rPr>
        <w:t>تقييديّة، فإذا كانت تعليليّة فمعنى ذلك أنَّ الإمامة سبب لملكه وإن كان الملك ملكاً شخصيّاً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ونفيه الإرث عن المال الذي يملكه بسبب الإمامة ظاهر وبوضوح في نفي كونه ملكاً شخصيّاً، فحتّى إن قلنا إنَّ الحيثيّة هنا تعليليّة فمع ذلك يثبت أنَّه مملوك للمنصب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يسأله أن يجعله في حلّ من مأكله ومشربه من الخمس؟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شيء من حقّي فهو في حلّ</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الظاهر هو سؤال السائل عن تحليل تمام الخمس لا خصوص نصفه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جعلته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سئل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لله فلمن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إن كان صنف من الأصناف أكثر وصنف أقلّ، ما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إلى الإمام، أرأيت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أليس إنَّما كان يعطي على ما يرى؟ كذلك الإمام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49" w:name="pg9167_80222"/>
    </w:p>
    <w:p>
      <w:pPr>
        <w:pStyle w:val="BookText"/>
        <w:rPr/>
      </w:pPr>
      <w:bookmarkEnd w:id="24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جعلته لعنوان الحجّة في زمانه، وهي مرفوعة أحمد بن محمّد،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للرسول هو لذي القربى، والحجّة في زمانه فالنصف له خاصّة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جعلته لعنوان أولي الأمر، كمرسلة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فسهم الله وسهم رسول الله لأولي الأمر من بعد رسول الله وراثة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أبواب الأنفال وما يختصّ بالإمام، باب أنَّ الأنفال كلّ ما يصطفيه من الغنيمة، وكلّ أرض ملكت بغير قتال،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باب إباحة حصّة الإمام من الخمس للشيعة مع تعذّر إيصالها إليه، وعدم احتياج السادات،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3769955_2870459653"/>
      <w:bookmarkStart w:id="251" w:name="_Toc100"/>
      <w:bookmarkEnd w:id="250"/>
      <w:r>
        <w:rPr>
          <w:rtl w:val="true"/>
        </w:rPr>
        <w:t>المصداق الثاني</w:t>
      </w:r>
      <w:r>
        <w:rPr>
          <w:rtl w:val="true"/>
        </w:rPr>
        <w:t xml:space="preserve">: </w:t>
      </w:r>
      <w:r>
        <w:rPr>
          <w:rtl w:val="true"/>
        </w:rPr>
        <w:t>الفيء والأنفال</w:t>
      </w:r>
      <w:bookmarkEnd w:id="251"/>
    </w:p>
    <w:p>
      <w:pPr>
        <w:pStyle w:val="BookText"/>
        <w:rPr/>
      </w:pPr>
      <w:r>
        <w:rPr>
          <w:rFonts w:ascii="Amiri" w:hAnsi="Amiri" w:eastAsia="Amiri" w:cs="Amiri"/>
          <w:color w:val="111111"/>
          <w:sz w:val="28"/>
          <w:sz w:val="28"/>
          <w:szCs w:val="28"/>
          <w:rtl w:val="true"/>
          <w:lang w:bidi="ar-SA"/>
        </w:rPr>
        <w:t>لا إشكال في كون الفيء ملك لمنصب الإمامة، وكذا بعض مصاديق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لذلك بالآيات والروايات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فقوله تعالى في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بنفس البيان المتقدّم في آية الخمس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ما لم يوجف عليه بخيل ولا ركاب، أو قوم صالحوا، أو قوم أعطوا بأيديهم، وكلّ أرض خربة، وبطون الأودية، فهو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للإمام من بعده يضعه حيث يشاء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تكاد تكون صريحة في إرادة منصب الإمامة؛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يفرض حصول أنفال في زمن الإمام، وإنَّما فرض أنَّ نفس الأنفال التي كانت باليد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للإمام من بعده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يكون إلَّا مع فرض كون الأنفال </w:t>
      </w:r>
    </w:p>
    <w:p>
      <w:pPr>
        <w:pStyle w:val="BookText"/>
        <w:rPr/>
      </w:pPr>
      <w:r>
        <w:rPr>
          <w:rFonts w:ascii="IRNazanin" w:hAnsi="IRNazanin" w:eastAsia="IRNazanin"/>
          <w:color w:val="111111"/>
          <w:sz w:val="28"/>
          <w:sz w:val="28"/>
          <w:szCs w:val="28"/>
          <w:rtl w:val="true"/>
          <w:lang w:bidi="fa-IR"/>
        </w:rPr>
        <w:t xml:space="preserve">لمنصب الإمامة؛ إذ لو كانت لشخص الرسول لانتقلت بوفاة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الورثة لا إلى الإمام من بعده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عليّ ابن راشد المتقدّمة وبنفس البيان المتقدّم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قتل رجلاً مسلماً، فلم يكن للمقتول أولياء من المسلمين إلّا أولياء من أهل الذمّة من قرابته؟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الإمام أن يعرض على قرابته من أهل بيته الإسلام، فمن أسلم منهم فهو وليّه يدفع القاتل إليه، فإن شاء قتل، وإن شاء عفا، وإن شاء أخذ الدية، فإن لم يسلم أحد كان الإمام وليّ أمره، فإن شاء قتل، وإن شاء أخذ الدية فجعلها في بيت مال المسلمين؛ لأنَّ جناية المقتول كانت على الإمام فكذلك تكون ديته لإمام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عنه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حقّ جميع المسلمين، وإنَّما على الإمام أن يقتل أو يأخذ الدية، وليس له أن يعفو</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من لا وارث له أحد مصاديق الأنفال، والتي هي ملك للإمام بما هو إمام، لا أنَّها ملك شخصيّ له، وإلَّا لكان له العفو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فجعلها في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يراد منه كونه ملكاً للمسلمين حتّى يقسّم بينهم مثلاً؛ لتصريحه بأنَّه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منها أنَّ الإمام يصرفه بما يكون في صالح المسلمين، فإنَّ ذلك من شؤون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ونحوها غير واحدة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بالإضافة إلى الروايات التي صرّحت بأنَّ الأنفال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كمعتبرة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أرض خربة أو شيء يكون للملوك فهو خالص للإمام، وليس للناس فيها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البحرين لم يوجف عليها بخيل ولا ركاب</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وسئل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قرية يهلك أهلها، أو يجلون عنها، فهي نفل لله عزّ وجلّ، نصفها يقسّم بين الناس، ونصفها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بقيّة روايات الباب، فإنَّها ظاهرة في كونها ملكاً للمنصب</w:t>
      </w:r>
      <w:r>
        <w:rPr>
          <w:rFonts w:eastAsia="Amiri" w:cs="Amiri" w:ascii="Amiri" w:hAnsi="Amiri"/>
          <w:color w:val="111111"/>
          <w:sz w:val="28"/>
          <w:szCs w:val="28"/>
          <w:rtl w:val="true"/>
          <w:lang w:bidi="ar-SA"/>
        </w:rPr>
        <w:t xml:space="preserve">. </w:t>
      </w:r>
      <w:bookmarkStart w:id="252" w:name="pg9167_80226"/>
    </w:p>
    <w:p>
      <w:pPr>
        <w:pStyle w:val="Heading6"/>
        <w:numPr>
          <w:ilvl w:val="5"/>
          <w:numId w:val="1"/>
        </w:numPr>
        <w:rPr/>
      </w:pPr>
      <w:bookmarkStart w:id="253" w:name="__RefHeading___Toc3769957_2870459653"/>
      <w:bookmarkStart w:id="254" w:name="_Toc101"/>
      <w:bookmarkEnd w:id="252"/>
      <w:bookmarkEnd w:id="253"/>
      <w:r>
        <w:rPr>
          <w:rtl w:val="true"/>
        </w:rPr>
        <w:t>المرحلة الثانية</w:t>
      </w:r>
      <w:r>
        <w:rPr>
          <w:rtl w:val="true"/>
        </w:rPr>
        <w:t xml:space="preserve">: </w:t>
      </w:r>
      <w:r>
        <w:rPr>
          <w:rtl w:val="true"/>
        </w:rPr>
        <w:t>أيْ ثبوت ملكيّة الدولة في زمن الغيبة</w:t>
      </w:r>
      <w:bookmarkEnd w:id="254"/>
    </w:p>
    <w:p>
      <w:pPr>
        <w:pStyle w:val="Heading6"/>
        <w:numPr>
          <w:ilvl w:val="5"/>
          <w:numId w:val="1"/>
        </w:numPr>
        <w:rPr/>
      </w:pPr>
      <w:bookmarkStart w:id="255" w:name="__RefHeading___Toc3769959_2870459653"/>
      <w:bookmarkStart w:id="256" w:name="_Toc10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ولإثبات ذلك من عدمه نذكر جهتين</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769961_2870459653"/>
      <w:bookmarkStart w:id="258" w:name="_Toc103"/>
      <w:bookmarkEnd w:id="257"/>
      <w:r>
        <w:rPr>
          <w:rtl w:val="true"/>
        </w:rPr>
        <w:t>الجهة الأولى</w:t>
      </w:r>
      <w:r>
        <w:rPr>
          <w:rtl w:val="true"/>
        </w:rPr>
        <w:t xml:space="preserve">: </w:t>
      </w:r>
      <w:r>
        <w:rPr>
          <w:rtl w:val="true"/>
        </w:rPr>
        <w:t>التمسّك بالولاية العامّة للفقيه</w:t>
      </w:r>
      <w:bookmarkEnd w:id="258"/>
    </w:p>
    <w:p>
      <w:pPr>
        <w:pStyle w:val="Heading6"/>
        <w:numPr>
          <w:ilvl w:val="5"/>
          <w:numId w:val="1"/>
        </w:numPr>
        <w:rPr/>
      </w:pPr>
      <w:bookmarkStart w:id="259" w:name="__RefHeading___Toc3769963_2870459653"/>
      <w:bookmarkStart w:id="260" w:name="_Toc104"/>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مختلفون من جهة ثبوت الولاية للفقيه، ومقدار نيابته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فيمكن للقائل بأنَّ الخمس ملك لمنصب الإمامة أن ينكر تنصيب الإمام لقيّم على الخمس ينوب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يعني أنَّه يقول بمالكيّة الدولة مع عدم وجود القيّم الشرعيّ على ذلك المال في زمن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توجد أربعة احتمالات في مسألتنا من هذه الجهة</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769965_2870459653"/>
      <w:bookmarkStart w:id="262" w:name="_Toc105"/>
      <w:bookmarkEnd w:id="261"/>
      <w:r>
        <w:rPr>
          <w:rtl w:val="true"/>
        </w:rPr>
        <w:t>الاحتمال الأوّل</w:t>
      </w:r>
      <w:bookmarkEnd w:id="262"/>
    </w:p>
    <w:p>
      <w:pPr>
        <w:pStyle w:val="BookText"/>
        <w:rPr/>
      </w:pPr>
      <w:r>
        <w:rPr>
          <w:rFonts w:ascii="Amiri" w:hAnsi="Amiri" w:eastAsia="Amiri" w:cs="Amiri"/>
          <w:color w:val="111111"/>
          <w:sz w:val="28"/>
          <w:sz w:val="28"/>
          <w:szCs w:val="28"/>
          <w:rtl w:val="true"/>
          <w:lang w:bidi="ar-SA"/>
        </w:rPr>
        <w:t>القول بأنَّ الخمس ملك لمنصب الإمامة، والقول أيضاً بثبوت الولاية للفقيه، ونتيجة ذلك هو القول بملكيّة الدولة مع وجود القيّم الشرعيّ في زمن الغيبة</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769967_2870459653"/>
      <w:bookmarkStart w:id="264" w:name="_Toc106"/>
      <w:bookmarkEnd w:id="263"/>
      <w:r>
        <w:rPr>
          <w:rtl w:val="true"/>
        </w:rPr>
        <w:t>الاحتمال الثاني</w:t>
      </w:r>
      <w:bookmarkEnd w:id="264"/>
    </w:p>
    <w:p>
      <w:pPr>
        <w:pStyle w:val="BookText"/>
        <w:rPr/>
      </w:pPr>
      <w:r>
        <w:rPr>
          <w:rFonts w:ascii="Amiri" w:hAnsi="Amiri" w:eastAsia="Amiri" w:cs="Amiri"/>
          <w:color w:val="111111"/>
          <w:sz w:val="28"/>
          <w:sz w:val="28"/>
          <w:szCs w:val="28"/>
          <w:rtl w:val="true"/>
          <w:lang w:bidi="ar-SA"/>
        </w:rPr>
        <w:t>القول بأنَّ الخمس ملك لمنصب الإمامة مع إنكار ثبوت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المنكرين لثبوت الولاية العامّة للفقيه يقولون بثبوت ولاية للفقيه على الأمور العامّة من باب الحسبة والتي من مصاديقها محلّ الكلام، فتكون النتيجة على ضوء ذلك نفس نتيجة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ينكر ثبوت حتّى هكذا ولاية للفقيه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بملكيّة الدولة مع عدم وجود القيّم الشرعيّ في زمن الغيبة</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769969_2870459653"/>
      <w:bookmarkStart w:id="266" w:name="_Toc107"/>
      <w:bookmarkEnd w:id="265"/>
      <w:r>
        <w:rPr>
          <w:rtl w:val="true"/>
        </w:rPr>
        <w:t>الاحتمال الثالث</w:t>
      </w:r>
      <w:bookmarkEnd w:id="2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بأنَّ الخمس ملك شخصيّ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القول بثبوت </w:t>
      </w:r>
      <w:bookmarkStart w:id="267" w:name="pg9167_80227"/>
    </w:p>
    <w:p>
      <w:pPr>
        <w:pStyle w:val="BookText"/>
        <w:rPr/>
      </w:pPr>
      <w:bookmarkEnd w:id="267"/>
      <w:r>
        <w:rPr>
          <w:rFonts w:ascii="IRNazanin" w:hAnsi="IRNazanin" w:eastAsia="IRNazanin"/>
          <w:color w:val="111111"/>
          <w:sz w:val="28"/>
          <w:sz w:val="28"/>
          <w:szCs w:val="28"/>
          <w:rtl w:val="true"/>
          <w:lang w:bidi="fa-IR"/>
        </w:rPr>
        <w:t>الولاية العامّة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كون الخمس ملكاً شخصيّاً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يلازم عدم ثبوت ملكيّة الدولة بهذا الطريق</w:t>
      </w:r>
      <w:r>
        <w:rPr>
          <w:rFonts w:eastAsia="IRNazanin" w:cs="IRNazanin"/>
          <w:color w:val="111111"/>
          <w:sz w:val="28"/>
          <w:szCs w:val="28"/>
          <w:rtl w:val="true"/>
          <w:lang w:bidi="fa-IR"/>
        </w:rPr>
        <w:t>.</w:t>
      </w:r>
    </w:p>
    <w:p>
      <w:pPr>
        <w:pStyle w:val="Heading6"/>
        <w:numPr>
          <w:ilvl w:val="5"/>
          <w:numId w:val="1"/>
        </w:numPr>
        <w:rPr/>
      </w:pPr>
      <w:bookmarkStart w:id="268" w:name="__RefHeading___Toc3769971_2870459653"/>
      <w:bookmarkStart w:id="269" w:name="_Toc108"/>
      <w:bookmarkEnd w:id="268"/>
      <w:r>
        <w:rPr>
          <w:rtl w:val="true"/>
        </w:rPr>
        <w:t>الاحتمال الرابع</w:t>
      </w:r>
      <w:bookmarkEnd w:id="269"/>
    </w:p>
    <w:p>
      <w:pPr>
        <w:pStyle w:val="BookText"/>
        <w:rPr/>
      </w:pPr>
      <w:r>
        <w:rPr>
          <w:rFonts w:ascii="IRNazanin" w:hAnsi="IRNazanin" w:eastAsia="IRNazanin"/>
          <w:color w:val="111111"/>
          <w:sz w:val="28"/>
          <w:sz w:val="28"/>
          <w:szCs w:val="28"/>
          <w:rtl w:val="true"/>
          <w:lang w:bidi="fa-IR"/>
        </w:rPr>
        <w:t xml:space="preserve">القول بأنَّ الخمس ملك شخصيّ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إنكار الولاية العامّة للفقيه، وحكمه يتّضح من الاحتمال السابق</w:t>
      </w:r>
      <w:r>
        <w:rPr>
          <w:rFonts w:eastAsia="IRNazanin" w:cs="IRNazanin"/>
          <w:color w:val="111111"/>
          <w:sz w:val="28"/>
          <w:szCs w:val="28"/>
          <w:rtl w:val="true"/>
          <w:lang w:bidi="fa-IR"/>
        </w:rPr>
        <w:t>.</w:t>
      </w:r>
    </w:p>
    <w:p>
      <w:pPr>
        <w:pStyle w:val="Heading6"/>
        <w:numPr>
          <w:ilvl w:val="5"/>
          <w:numId w:val="1"/>
        </w:numPr>
        <w:rPr/>
      </w:pPr>
      <w:bookmarkStart w:id="270" w:name="__RefHeading___Toc3769973_2870459653"/>
      <w:bookmarkStart w:id="271" w:name="_Toc109"/>
      <w:bookmarkEnd w:id="270"/>
      <w:r>
        <w:rPr>
          <w:rtl w:val="true"/>
        </w:rPr>
        <w:t>الجهة الثانية</w:t>
      </w:r>
      <w:r>
        <w:rPr>
          <w:rtl w:val="true"/>
        </w:rPr>
        <w:t xml:space="preserve">: </w:t>
      </w:r>
      <w:r>
        <w:rPr>
          <w:rtl w:val="true"/>
        </w:rPr>
        <w:t>التمسّك بالحسبة</w:t>
      </w:r>
      <w:bookmarkEnd w:id="271"/>
    </w:p>
    <w:p>
      <w:pPr>
        <w:pStyle w:val="Heading6"/>
        <w:numPr>
          <w:ilvl w:val="5"/>
          <w:numId w:val="1"/>
        </w:numPr>
        <w:rPr/>
      </w:pPr>
      <w:bookmarkStart w:id="272" w:name="__RefHeading___Toc3769975_2870459653"/>
      <w:bookmarkStart w:id="273" w:name="_Toc110"/>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مالكيّة الدولة أو بعض مصاديقها من باب اندراجها في الأمور الحسبيّة والتي تكون تحت يد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ذلك نحتاج لتوضيح نظرية الحسبة أوّلاً، وإمكان تطبيقها في المقام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توضيح النظرية فنكتفي بما جاء في كلمات 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المصالح المطلوبة للشارع غير المأخوذة على شخص معيّن، المعبّر عنها بالأمور الحسبيّة، وهي التي علم من الشرع العمل بها وعدم جواز تركها، وأنَّ التكليف بها لم يتوجّه إلى شخص معيّن، ولا تكون من الواجب الكفائيّ لتكون مطلوبة على كلّ أحد، كالتصرّف في أموال القصّر من الذين ليس لهم أولياء، والموقوفات العامّة التي لم يعيّن المتولّي لها من قبل الواقفين، أو قام الدليل على كونها بيد وليّ أمر المسلمين، والحاكمين، كإقامة الحدود والتعزيرات، والتصدّي لجمع الحقوق الشرعيّة وصرفها لمواردها، والتصدّي لتنظيم أمر جوامع المسلمين وبلادهم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المتصدّي لأمور المسلمين إن كان صالحاً للتصدّي </w:t>
      </w:r>
    </w:p>
    <w:p>
      <w:pPr>
        <w:pStyle w:val="BookText"/>
        <w:rPr/>
      </w:pPr>
      <w:r>
        <w:rPr>
          <w:rFonts w:ascii="Amiri" w:hAnsi="Amiri" w:eastAsia="Amiri" w:cs="Amiri"/>
          <w:color w:val="111111"/>
          <w:sz w:val="28"/>
          <w:sz w:val="28"/>
          <w:szCs w:val="28"/>
          <w:rtl w:val="true"/>
          <w:lang w:bidi="ar-SA"/>
        </w:rPr>
        <w:t xml:space="preserve">لتنظيم أمورهم ورعاية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توقّف تأمين نظام البلاد على تحصيل المال كالزكاة، حيث يجوز صرفها على تحصيل الأمن ونظام البلاد، وجب إيصالها إليه مع احتياجه ومطالبته بها، بل لو طالب المال تبرّعاً في صورة احتياجه وجب على الناس الاستجابة، كلّ ذلك تمكيناً للمتصدّي من المال اللازم لتهيئة أمن البلاد، وتأمين الحوائج العامّة التي تصدّى لتأمينها، كما أنَّ للمتصدّي تحصيل المال بإخراج المعادن من الأراضي المباحة، ووضع اليد على الغابات ونحوها، وتكون كلّ هذه الأموال ملكاً للحكومة الإسلاميّة، نظير ملك المال للعناوين، ولا تدخل في ملك شخص المتصدّي، غاية الأمر يكون للمتصدّي الولاية في التصرّف في تلك الأموال ليصرفها في الموارد التي يتوقّف عليها نظام البلاد، وتأمين حوائج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 تصرّف لا يخرج عن حدود التحفّظ على حوزة الإسلام والمسلمين نافذ من المتصدّي لأمور المسلمين فيما إذا كان مقتضى الأدلّة الأوّليّة جوازه، كهيئة مراكز الثقافة لنشر العلوم وبسط الرفاه الاجتماعيّ، وأنَّ كلّ تصرّف يكون مقتضى الأدلّة عدم جوازه كالتصرّف في بعض أموال آحاد الناس وقهراً عليهم وأمثال ذلك فلا يدخل في ولاية المتصدّي</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ولنأخذ كمثال ومصداق للأمور الحسبيّة مسألة البنوك، فالبنوك أمر لا يمكن الاستغناء عنه في ضمن التعاملات الاقتصاديّة والقضايا الماليّة للمجتمعات المعاصرة، فكثير من المعاملات البنكيّة تُوجِد نوعاً من التسهيلات العمليّة للأفراد بحيث يكون المقابل لها أمراً بدائيّاً مرغوباً عنه</w:t>
      </w:r>
      <w:r>
        <w:rPr>
          <w:rFonts w:eastAsia="Amiri" w:cs="Amiri" w:ascii="Amiri" w:hAnsi="Amiri"/>
          <w:color w:val="111111"/>
          <w:sz w:val="28"/>
          <w:szCs w:val="28"/>
          <w:rtl w:val="true"/>
          <w:lang w:bidi="ar-SA"/>
        </w:rPr>
        <w:t xml:space="preserve">. </w:t>
      </w:r>
      <w:bookmarkStart w:id="274" w:name="pg9167_80229"/>
    </w:p>
    <w:p>
      <w:pPr>
        <w:pStyle w:val="BookText"/>
        <w:rPr/>
      </w:pPr>
      <w:bookmarkEnd w:id="274"/>
      <w:r>
        <w:rPr>
          <w:rFonts w:ascii="Amiri" w:hAnsi="Amiri" w:eastAsia="Amiri" w:cs="Amiri"/>
          <w:color w:val="111111"/>
          <w:sz w:val="28"/>
          <w:sz w:val="28"/>
          <w:szCs w:val="28"/>
          <w:rtl w:val="true"/>
          <w:lang w:bidi="ar-SA"/>
        </w:rPr>
        <w:t xml:space="preserve">فعلى سبيل المثال مسألة نقل الأموال من بلد إلى بلد، فإنَّ في مقابل نقلها عن طريق البنوك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تتضمّنه من تسهيلات وسرعة نقل وأمان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نقلها عن طريق الشخص نفسه أو من ينوب عنه من بلد إلى بلد، ولا يخفى ما تكتنفه هذه الطريقة من مخاطر وتعقيدات، وعليه فمن البعيد جدّاً أن يرفض الشارع الطريقة الأولى، بل إنَّ رفض جملة من عمليات البنوك قد يترتّب عليه جملة ليست باليسيرة من المعوّقات لمصالح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فتأسيس البنوك من الأمور التي قد يُطمأن بأنَّ الشارع يرى العمل بها، وعدم جواز تركها، فتدخل في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أموال البنوك الحكوميّة ليست مملوكة للدولة وإنَّما هي مجهولة المالك يلزم منه جملة من اللوازم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3769977_2870459653"/>
      <w:bookmarkStart w:id="276" w:name="_Toc111"/>
      <w:bookmarkEnd w:id="275"/>
      <w:r>
        <w:rPr>
          <w:rtl w:val="true"/>
        </w:rPr>
        <w:t>اللازم الأوّل</w:t>
      </w:r>
      <w:bookmarkEnd w:id="276"/>
    </w:p>
    <w:p>
      <w:pPr>
        <w:pStyle w:val="BookText"/>
        <w:rPr/>
      </w:pPr>
      <w:r>
        <w:rPr>
          <w:rFonts w:ascii="Amiri" w:hAnsi="Amiri" w:eastAsia="Amiri" w:cs="Amiri"/>
          <w:color w:val="111111"/>
          <w:sz w:val="28"/>
          <w:sz w:val="28"/>
          <w:szCs w:val="28"/>
          <w:rtl w:val="true"/>
          <w:lang w:bidi="ar-SA"/>
        </w:rPr>
        <w:t>أنَّ المودع لأمواله في البنك يكون بمثابة المتلف لها شرعاً؛ وذلك لأنَّ الإيداع لدى البنك إن كان بعنوان الإقراض فهو متوقّف على تملّك البنك لذلك القرض، وإن كان بعنوان المضاربة أو الجعالة فهو أيضاً متوقّف على قابلية البنك للتملّك حتّى يتملّك حصّته من الربح أو العوض المعلوم، وهكذا، فدفع المال إلى طرف غير قابل للتملّك يكون بمثابة الإتلاف له، ولذا رتّب بعض الفقهاء على ذلك الخمس بمجرّد الإيداع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يجوز الإيداع في البنوك الحكوميّة بمعنى إقراضها مع اشتراط الحصول على الزيادة، فإنَّه ربا، بل إعطاء المال إليها ولو من </w:t>
      </w:r>
      <w:bookmarkStart w:id="277" w:name="pg9167_80230"/>
    </w:p>
    <w:p>
      <w:pPr>
        <w:pStyle w:val="BookText"/>
        <w:rPr/>
      </w:pPr>
      <w:bookmarkEnd w:id="277"/>
      <w:r>
        <w:rPr>
          <w:rFonts w:ascii="Amiri" w:hAnsi="Amiri" w:eastAsia="Amiri" w:cs="Amiri"/>
          <w:color w:val="111111"/>
          <w:sz w:val="28"/>
          <w:sz w:val="28"/>
          <w:szCs w:val="28"/>
          <w:rtl w:val="true"/>
          <w:lang w:bidi="ar-SA"/>
        </w:rPr>
        <w:t>دون شرط الزيادة بمنزلة الإتلاف له شرعاً؛ لأنَّ ما يمكن استرجاعه من البنك ليس هو مال البنك، بل من المال المجهول مالكه، وعلى ذلك يشكل إيداع الأرباح والفوائد التي يجنيها الشخص أثناء سنته في البنوك الحكوميّة قبل إخراج الخمس منها؛ لأنَّه مأذون في صرفه في مؤونته، وليس مأذوناً في إتلافه، فلو أتلفه ضمنه لأصحابه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3769979_2870459653"/>
      <w:bookmarkStart w:id="279" w:name="_Toc112"/>
      <w:bookmarkEnd w:id="278"/>
      <w:r>
        <w:rPr>
          <w:rtl w:val="true"/>
        </w:rPr>
        <w:t>اللازم الثاني</w:t>
      </w:r>
      <w:bookmarkEnd w:id="279"/>
    </w:p>
    <w:p>
      <w:pPr>
        <w:pStyle w:val="BookText"/>
        <w:rPr/>
      </w:pPr>
      <w:r>
        <w:rPr>
          <w:rFonts w:ascii="Amiri" w:hAnsi="Amiri" w:eastAsia="Amiri" w:cs="Amiri"/>
          <w:color w:val="111111"/>
          <w:sz w:val="28"/>
          <w:sz w:val="28"/>
          <w:szCs w:val="28"/>
          <w:rtl w:val="true"/>
          <w:lang w:bidi="ar-SA"/>
        </w:rPr>
        <w:t>أنَّ الأموال التي يسحبها المودع لدى البنك لن تكون ملكاً له، بل تكون مجهولة المالك؛ لأنَّ الأموال التي أودعها في البنك قد أتلفها شرعاً، فما يسحبه من البنك لا يترتّب عليه عنوان ماله الأوّل، وما قبضه من أموال قبضه من جهة غير مالكة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عدم جواز التصرّف في تلك الأموال من قبل القابض إن لم يكن مستحقّاً؛ بناءً على اشتراط التصدّق على الفقير بجميع المال في مصرف مجهول المالك، بل بطلان كثير من معاملات الاستيراد والتصدير وغيرها، والتي يتمّ تحويل الأموال إلى البائع أو المشتري عن طريق البنوك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يظهر أنَّ إعطاء إذنٍ من الفقيه في جواز التصرّف فيها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على عدم اشتراط أن يكون المتصدَّق عليه فقيراً، أو إعمال الفقيه لولايته على تقدير قوله بها ولو من باب الحسبة مع تحقّق موضوعها خارجاً، أو من باب كون الحاكم الشرعيّ وكيلاً عن الفقير في القبض والتصرّف كما اختاره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bookmarkStart w:id="280" w:name="pg9167_80231"/>
    </w:p>
    <w:p>
      <w:pPr>
        <w:pStyle w:val="BookText"/>
        <w:rPr/>
      </w:pPr>
      <w:bookmarkEnd w:id="280"/>
      <w:r>
        <w:rPr>
          <w:rFonts w:ascii="IRNazanin" w:hAnsi="IRNazanin" w:eastAsia="IRNazanin"/>
          <w:color w:val="111111"/>
          <w:sz w:val="28"/>
          <w:sz w:val="28"/>
          <w:szCs w:val="28"/>
          <w:rtl w:val="true"/>
          <w:lang w:bidi="fa-IR"/>
        </w:rPr>
        <w:t xml:space="preserve">جاء في موقع مكتبه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صدر من سماحتكم إذنٌ عامّ لجميع من قلّدكم في قبض مجهول المالك أو الإذن خاصّ لمن يطلب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أذِنّا لإخواننا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 لمراضيه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يستلمونه من المؤسّسات الحكوميّة، أو المشتركة بالطرق القانونيّة أن يقبضوه من قبل موكّلينا من الفقراء بنيّة التصدّق عليهم، ثُمَّ يتملّكوه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الرواتب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الفوائد المصرفيّة وشبهها فقد أذِنّا لهم في تملّك النصف منها بالطريقة المذكورة بشرط التصدّق بالنصف الآخر على الفقراء المتديِّنين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1" w:name="__RefHeading___Toc3769981_2870459653"/>
      <w:bookmarkStart w:id="282" w:name="_Toc113"/>
      <w:bookmarkEnd w:id="281"/>
      <w:r>
        <w:rPr>
          <w:rtl w:val="true"/>
        </w:rPr>
        <w:t>اللازم الثالث</w:t>
      </w:r>
      <w:bookmarkEnd w:id="282"/>
    </w:p>
    <w:p>
      <w:pPr>
        <w:pStyle w:val="BookText"/>
        <w:rPr/>
      </w:pPr>
      <w:r>
        <w:rPr>
          <w:rFonts w:ascii="Amiri" w:hAnsi="Amiri" w:eastAsia="Amiri" w:cs="Amiri"/>
          <w:color w:val="111111"/>
          <w:sz w:val="28"/>
          <w:sz w:val="28"/>
          <w:szCs w:val="28"/>
          <w:rtl w:val="true"/>
          <w:lang w:bidi="ar-SA"/>
        </w:rPr>
        <w:t>كلّ مال يقبضه من البنك يلزم تخميسه بعد مضيّ الحول؛ لأنَّه مال جديد دخل في ملكه، وهكذا إذا أودعه من جديد فيلزم تخميسه بمجرّد إيداعه، وتخميسه بعد مضيّ الحول على قبضه</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769983_2870459653"/>
      <w:bookmarkStart w:id="284" w:name="_Toc114"/>
      <w:bookmarkEnd w:id="283"/>
      <w:r>
        <w:rPr>
          <w:rtl w:val="true"/>
        </w:rPr>
        <w:t>اللازم الرابع</w:t>
      </w:r>
      <w:bookmarkEnd w:id="284"/>
    </w:p>
    <w:p>
      <w:pPr>
        <w:pStyle w:val="BookText"/>
        <w:rPr/>
      </w:pPr>
      <w:r>
        <w:rPr>
          <w:rFonts w:ascii="Amiri" w:hAnsi="Amiri" w:eastAsia="Amiri" w:cs="Amiri"/>
          <w:color w:val="111111"/>
          <w:sz w:val="28"/>
          <w:sz w:val="28"/>
          <w:szCs w:val="28"/>
          <w:rtl w:val="true"/>
          <w:lang w:bidi="ar-SA"/>
        </w:rPr>
        <w:t>عدم وجوب الخمس على مَن كان يتعامل بالصكوك وبطاقات الائتمان ولا يستلم بيده من البنك، كما هو حال الكثير من التجّار وغيرهم، بل هو الحالة الغالبة في كثير من البلدان؛ فإنَّ مجهول المالك لا يُملَك إلَّا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وسّعنا مفهوم القبض، وقلنا بصدقه على الحالة المذكورة فحينئذٍ ينتفي اللازم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769985_2870459653"/>
      <w:bookmarkStart w:id="286" w:name="_Toc115"/>
      <w:bookmarkEnd w:id="285"/>
      <w:r>
        <w:rPr>
          <w:rtl w:val="true"/>
        </w:rPr>
        <w:t>اللازم الخامس</w:t>
      </w:r>
      <w:bookmarkEnd w:id="2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أموال الخمس والزكاة وغيرها من الحقوق الشرعيّة التي يتمّ تحويلها من بلد إلى بلد عن طريق البنك سينتفي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ذلك الحقّ، وتتعنون بعنوان مجهول المالك</w:t>
      </w:r>
      <w:r>
        <w:rPr>
          <w:rFonts w:eastAsia="Amiri" w:cs="Amiri" w:ascii="Amiri" w:hAnsi="Amiri"/>
          <w:color w:val="111111"/>
          <w:sz w:val="28"/>
          <w:szCs w:val="28"/>
          <w:rtl w:val="true"/>
          <w:lang w:bidi="ar-SA"/>
        </w:rPr>
        <w:t xml:space="preserve">. </w:t>
      </w:r>
      <w:bookmarkStart w:id="287" w:name="pg9167_80232"/>
    </w:p>
    <w:p>
      <w:pPr>
        <w:pStyle w:val="Heading6"/>
        <w:numPr>
          <w:ilvl w:val="5"/>
          <w:numId w:val="1"/>
        </w:numPr>
        <w:rPr/>
      </w:pPr>
      <w:bookmarkStart w:id="288" w:name="__RefHeading___Toc3769987_2870459653"/>
      <w:bookmarkStart w:id="289" w:name="_Toc116"/>
      <w:bookmarkEnd w:id="287"/>
      <w:bookmarkEnd w:id="288"/>
      <w:r>
        <w:rPr>
          <w:rtl w:val="true"/>
        </w:rPr>
        <w:t>اللازم السادس</w:t>
      </w:r>
      <w:bookmarkEnd w:id="289"/>
    </w:p>
    <w:p>
      <w:pPr>
        <w:pStyle w:val="BookText"/>
        <w:rPr/>
      </w:pPr>
      <w:r>
        <w:rPr>
          <w:rFonts w:ascii="Amiri" w:hAnsi="Amiri" w:eastAsia="Amiri" w:cs="Amiri"/>
          <w:color w:val="111111"/>
          <w:sz w:val="28"/>
          <w:sz w:val="28"/>
          <w:szCs w:val="28"/>
          <w:rtl w:val="true"/>
          <w:lang w:bidi="ar-SA"/>
        </w:rPr>
        <w:t>باستطاعة أيّ شخص سحب أموال الآخرين إن كان مورداً لمصرف مجهول المالك، خصوصاً إذا لم نشترط إذن الحاكم الشرعيّ في التصرّف</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769989_2870459653"/>
      <w:bookmarkStart w:id="291" w:name="_Toc117"/>
      <w:bookmarkEnd w:id="290"/>
      <w:r>
        <w:rPr>
          <w:rtl w:val="true"/>
        </w:rPr>
        <w:t>اللازم السابع</w:t>
      </w:r>
      <w:bookmarkEnd w:id="291"/>
    </w:p>
    <w:p>
      <w:pPr>
        <w:pStyle w:val="BookText"/>
        <w:rPr/>
      </w:pPr>
      <w:r>
        <w:rPr>
          <w:rFonts w:ascii="Amiri" w:hAnsi="Amiri" w:eastAsia="Amiri" w:cs="Amiri"/>
          <w:color w:val="111111"/>
          <w:sz w:val="28"/>
          <w:sz w:val="28"/>
          <w:szCs w:val="28"/>
          <w:rtl w:val="true"/>
          <w:lang w:bidi="ar-SA"/>
        </w:rPr>
        <w:t xml:space="preserve">التصدّق بقيمة التصرّف في الأشياء من المرافق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جلس في محطّة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مجهولة المالك؛ فيلزمه التصدّق بقيمة ذلك التصرّف كما أفتى بذلك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اللوازم التي تترتّب على القول بعدم ملكيّة الدولة، وكون الأموال التي تحت تصرّفها مجهولة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الالتزام بها، أو إيجاد مخارج فقهيّة لها، وذلك يقوّي القول بمالكيّة البنك أو الدولة من باب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الاكتفاء لتحصيل الغرض المدّعى بتأسيس البنوك الأهليّة المملوكة للأفراد والتي لا إشكال في ملكيّتهم لها، وذلك بخلاف تأسيس البنوك الحكوميّة والتي قد يستشكل فيها من جهة المحذور الإثباتيّ، وعدم قيام الدليل على ثبوت الملكيّة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البنوك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الدول المتقدّمة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تمثّل عصب الحياة الاقتصاديّة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البديل الشرعيّ لا تندرج مسألتنا تحت الأمور الحسبيّة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الخارجيّ لعلّه على خلاف ذلك، فحتّى في تلك الدول هناك ما </w:t>
      </w:r>
      <w:bookmarkStart w:id="292" w:name="pg9167_80233"/>
    </w:p>
    <w:p>
      <w:pPr>
        <w:pStyle w:val="BookText"/>
        <w:rPr/>
      </w:pPr>
      <w:bookmarkEnd w:id="292"/>
      <w:r>
        <w:rPr>
          <w:rFonts w:ascii="Amiri" w:hAnsi="Amiri" w:eastAsia="Amiri" w:cs="Amiri"/>
          <w:color w:val="111111"/>
          <w:sz w:val="28"/>
          <w:sz w:val="28"/>
          <w:szCs w:val="28"/>
          <w:rtl w:val="true"/>
          <w:lang w:bidi="ar-SA"/>
        </w:rPr>
        <w:t>يسمّى بخزينة الدولة، أو البنك المركزيّ، تكون جملة من المعاملات والتسهيلات البنكيّة راجعة إليه، وبالتالي المنظومة الاقتصاديّة لأيّ بلد لا تستغني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كون كثير من تلك البنوك المالك لها نفس عنوان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خلاله إثبات ملكيّة الدولة الوضعيّة إن رأى الفقيه انطباق عنوان الحسبة عليها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769991_2870459653"/>
      <w:bookmarkStart w:id="294" w:name="_Toc118"/>
      <w:bookmarkEnd w:id="293"/>
      <w:r>
        <w:rPr>
          <w:rtl w:val="true"/>
        </w:rPr>
        <w:t>الدليل الثاني</w:t>
      </w:r>
      <w:r>
        <w:rPr>
          <w:rtl w:val="true"/>
        </w:rPr>
        <w:t xml:space="preserve">: </w:t>
      </w:r>
      <w:r>
        <w:rPr>
          <w:rtl w:val="true"/>
        </w:rPr>
        <w:t>السيرة والارتكاز العقلائيّ الممضى من الشارع</w:t>
      </w:r>
      <w:bookmarkEnd w:id="294"/>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العقلاء قائمة على وجود مؤسّسات لكلّ دولة تقوم بوظيفة إدارة شؤون المجتمع، وتلك المؤسّسات مرتبطة في جوانبها الماليّة بخزينة الدولة، أو بيت المال والتي كان العقلاء يتعاملون معها كعنوان اعتباريّ مالك لأموال تلك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هذه السيرة كان معمولاً بها في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يتمّ الردع عنها، مع كثرة ابتلاء المؤمنين بالتعامل بأموال الدولة من جهة البيع أو الشراء أو العطاء وغيرها، ممّا يعني أنَّ الردع لو كان موجوداً لانعكس علينا بوضوح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السيرة قائمة على مالكيّة بيت المال لأموال الدولة عهدتها على مدّعيها، واحتمال أنَّ جملة من الملوك والسلاطين كانوا يتعاملون مع تلك الأموال كملك شخصيّ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العطاء من بيت المال كان جارياً وثابتاً ولم يكن مختصّاً بموظّفي الدولة، بل يشمل قطّاعات من المجتمع تختلف دائرتها سعةً وضيقاً باختلاف الحكّام، لكن ذلك لا يتعارض مع ادّعائهم للملكيّة الشخصيّة؛ لإدراكهم أنَّ بقاء دولهم ودوام سلطانهم لا يتمّ إلَّا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يكفينا التشكيك في أصل قيام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قيام السيرة فدعوى إمضائها المستكشف من إمضاء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الكلام، بل هو على خلاف الواقع؛ لصدور جملة من الروايات الدالّة على أنَّ الحكّام في عصرهم لا يملكون، وأنَّ العطاء الذي يؤخذ من بيت المال لمن يعمل تحت ولايتهم بحاجة إلى إذنٍ وإجازة، كما في موثّقة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أعمال السلطان يخرج فيه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يقدر على شيء يأكل ولا يشرب ولا يقدر على حيلة، فإن فعل فصار في يده شيء فليبعث بخمسه إلى أهل البيت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شيئاً أصابه من أعمال الظالمين فهو له حلال، وما حرّمناه من ذلك فهو له حرام</w:t>
      </w:r>
      <w:r>
        <w:rPr>
          <w:rFonts w:eastAsia="IRNazanin" w:cs="IRNazanin"/>
          <w:color w:val="111111"/>
          <w:sz w:val="28"/>
          <w:szCs w:val="28"/>
          <w:rtl w:val="true"/>
          <w:lang w:bidi="fa-IR"/>
        </w:rPr>
        <w:t>)</w:t>
      </w:r>
      <w:r>
        <w:rPr>
          <w:rStyle w:val="FootnoteAnchor"/>
          <w:rtl w:val="true"/>
        </w:rPr>
        <w:footnoteReference w:id="2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المهنأ وعليه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كصحيحة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يلي أعمال السلطان ليس له مكسب إلّا من أعمالهم، وأنا أمرّ به فأنزل عليه فيضيّفني ويحسن إليّ، وربّما أمر لي بالدرهم والكسوة، وقد ضاق صدري من ذلك؟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وخذ منه، فلك المهنأ، وعليه الوزر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95" w:name="pg9167_80235"/>
    </w:p>
    <w:p>
      <w:pPr>
        <w:pStyle w:val="BookText"/>
        <w:rPr/>
      </w:pPr>
      <w:bookmarkEnd w:id="295"/>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هذه الروايات هو عدم مشروعيّة القيّم على أموال الدولة، لا أنَّ المنشأ هو عدم ملكيّة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شرعيّة القيّم على أموال الدولة باعتبار أنَّه سلب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القيّم والمالك لما يجبى لبيت المال، ولكنّ ملكيّته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يحتمل أن تكون ملكيّة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مختار جملة من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لشرعيّة القيّمين فعلاً في زمانهم، وهي غير دالّة على ملكيّة الدولة</w:t>
      </w:r>
      <w:r>
        <w:rPr>
          <w:rFonts w:eastAsia="IRNazanin" w:cs="IRNazanin"/>
          <w:color w:val="111111"/>
          <w:sz w:val="28"/>
          <w:szCs w:val="28"/>
          <w:rtl w:val="true"/>
          <w:lang w:bidi="fa-IR"/>
        </w:rPr>
        <w:t>.</w:t>
      </w:r>
    </w:p>
    <w:p>
      <w:pPr>
        <w:pStyle w:val="Heading5"/>
        <w:numPr>
          <w:ilvl w:val="4"/>
          <w:numId w:val="1"/>
        </w:numPr>
        <w:rPr/>
      </w:pPr>
      <w:bookmarkStart w:id="296" w:name="__RefHeading___Toc3769993_2870459653"/>
      <w:bookmarkStart w:id="297" w:name="_Toc119"/>
      <w:bookmarkEnd w:id="296"/>
      <w:r>
        <w:rPr>
          <w:rtl w:val="true"/>
        </w:rPr>
        <w:t>الدليل الثالث</w:t>
      </w:r>
      <w:bookmarkEnd w:id="297"/>
    </w:p>
    <w:p>
      <w:pPr>
        <w:pStyle w:val="Heading6"/>
        <w:numPr>
          <w:ilvl w:val="5"/>
          <w:numId w:val="1"/>
        </w:numPr>
        <w:rPr/>
      </w:pPr>
      <w:bookmarkStart w:id="298" w:name="__RefHeading___Toc3769995_2870459653"/>
      <w:bookmarkStart w:id="299" w:name="_Toc120"/>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الدلیل الثالث</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يستدلّ به على ملكيّة الدولة حتّى إذا كانت الدولة وضعيّة، وكان القيّم عليها غير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غير واحدة من طوائف الروايات في ذلك، والمهمّ منها طائفتان</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769997_2870459653"/>
      <w:bookmarkStart w:id="301" w:name="_Toc121"/>
      <w:bookmarkEnd w:id="300"/>
      <w:r>
        <w:rPr>
          <w:rtl w:val="true"/>
        </w:rPr>
        <w:t>الطائفة الأولى</w:t>
      </w:r>
      <w:r>
        <w:rPr>
          <w:rtl w:val="true"/>
        </w:rPr>
        <w:t xml:space="preserve">: </w:t>
      </w:r>
      <w:r>
        <w:rPr>
          <w:rtl w:val="true"/>
        </w:rPr>
        <w:t>الروايات الدالّة على جواز الولاية من قبل الحاكم الجائر</w:t>
      </w:r>
      <w:bookmarkEnd w:id="301"/>
    </w:p>
    <w:p>
      <w:pPr>
        <w:pStyle w:val="BookText"/>
        <w:rPr/>
      </w:pPr>
      <w:r>
        <w:rPr>
          <w:rFonts w:ascii="Amiri" w:hAnsi="Amiri" w:eastAsia="Amiri" w:cs="Amiri"/>
          <w:color w:val="111111"/>
          <w:sz w:val="28"/>
          <w:sz w:val="28"/>
          <w:szCs w:val="28"/>
          <w:rtl w:val="true"/>
          <w:lang w:bidi="ar-SA"/>
        </w:rPr>
        <w:t>وهي روايات عديدة مذكورة في الوسائل، أبواب ما يكتسب به،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باب جواز الولاية من قبل الجائر لنفع المؤمنين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أمراً من أمور الناس فعدل وفتح بابه ورفع ستره ونظر في أمور الناس كان حقّاً على الله عزّ وجلّ أن يؤمن روعته يوم القيامة، ويدخله الجنّة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رجل من هذه العصابة قد ولي ولاية،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صنيعه إلى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عنده خير،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يدخلون في ما لا ينبغي لهم، ولا يصنعون إلى إخوانهم خيراً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الجواز التكليفيّ بتولّي المؤمن لمنصب من قبل الكافر لازمه الجواز الوضعيّ؛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جميع المعاملات الماليّة التي يقوم بها، وإلَّا فلا معنى لتولّيه ذلك المنصب ومباشرته، خصوصاً أنَّ بعض تلك الروايات ظاهرة في أنَّ هذا الجواز هو للتسهيل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فصحّة معاملته بما هو والٍ وتابع للحكومة الجائرة كاشف عن صحّة المعاملات الماليّة التي تقوم بها نفس الحكومة غير الشرعيّة، وبالتالي ملكيّتها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 هذه الروايات على أكثر من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تولّي ذلك المنصب، فإذا قلنا بما تقدّم من أنَّ أموال الدولة مملوكة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ملكيّة منصب،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القيّم على بقيّة أموال بيت مال المسلمين ممّا لا يدخل تحت عنوان ملكيّة الدولة،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الإذن إذناً خاصّاً من المالك والقيّم الشرعيّ، وبالتالي صحّة المعاملات الصادرة منه، ولا يلزم من ذلك صحّة معاملات غير القيّم الشرعيّ الذي لم يصدر له إذن خاصّ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ويؤيّد ذلك بروايات التحليل؛ فإنَّ بعضها عامّة لمطلق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 لي الفروج؟ ففزع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يسألك أن يعترض الطريق، إنَّما يسألك خادماً يشتريها، أو امرأة يتزوّجها، أو ميراثاً يصيبه، أو تجارة أو شيئاً أُعطيَه،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لشيعتنا حلال الشاهد منهم والغائب، والميّت منهم والحيّ، وما يولد منهم إلى يوم القيامة فهو لهم حلال، أما والله لا يحلّ إلّا لمن أحللنا له، ولا والله ما أعطينا أحداً ذمّة، وما عندنا لأحد عهد، ولا لأحد عندنا ميثاق</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المهنأ وعليه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صحيحة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يلي أعمال السلطان ليس له مكسب إلّا من أعمالهم، وأنا أمرّ به فأنزل عليه فيضيّفني ويحسن إليّ، وربّما أمر لي بالدرهم والكسوة، وقد ضاق صدري من ذلك؟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وخذ منه، فلك المهنأ، وعليه الوزر</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إن لم تكن ظاهرة، فلا أقلّ من احتمال أن يكون التحليل والتجويز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يمثّل ملكيّة الدولة كما تقدمّ</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عليه من أحكام وضعيّة من النقل والانتقال مختصّ بالمؤمنين دون أهل الخلاف</w:t>
      </w:r>
      <w:r>
        <w:rPr>
          <w:rFonts w:eastAsia="Amiri" w:cs="Amiri" w:ascii="Amiri" w:hAnsi="Amiri"/>
          <w:color w:val="111111"/>
          <w:sz w:val="28"/>
          <w:szCs w:val="28"/>
          <w:rtl w:val="true"/>
          <w:lang w:bidi="ar-SA"/>
        </w:rPr>
        <w:t xml:space="preserve">. </w:t>
      </w:r>
      <w:bookmarkStart w:id="302" w:name="pg9167_80238"/>
    </w:p>
    <w:p>
      <w:pPr>
        <w:pStyle w:val="Heading6"/>
        <w:numPr>
          <w:ilvl w:val="5"/>
          <w:numId w:val="1"/>
        </w:numPr>
        <w:rPr/>
      </w:pPr>
      <w:bookmarkStart w:id="303" w:name="__RefHeading___Toc3769999_2870459653"/>
      <w:bookmarkStart w:id="304" w:name="_Toc122"/>
      <w:bookmarkEnd w:id="302"/>
      <w:bookmarkEnd w:id="303"/>
      <w:r>
        <w:rPr>
          <w:rtl w:val="true"/>
        </w:rPr>
        <w:t>الطائفة الثانية</w:t>
      </w:r>
      <w:r>
        <w:rPr>
          <w:rtl w:val="true"/>
        </w:rPr>
        <w:t xml:space="preserve">: </w:t>
      </w:r>
      <w:r>
        <w:rPr>
          <w:rtl w:val="true"/>
        </w:rPr>
        <w:t>الروايات الدالّة على قبول هدايا السلطان</w:t>
      </w:r>
      <w:bookmarkEnd w:id="304"/>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تجويز التعاطي مع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يمثّل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الهدية فتجويز غيره من المعاملات المشتملة على العوض كالبيع ونحوه إن لم يكن أولى فهو مساوٍ للمعاملة المجانيّة، وصحّة المعاملات مع الدولة فرع تملّك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روايات هذه الطائفة قد وردت في الوسائل، أبواب ما يكتسب به،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باب أنَّ جوائز الظالم وطعامه حلال وإن لم يكن له،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إسماعيل ابنه،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 ابن أبي السمّال أن يخرج شباب الشيعة فيكفونه ما يكفيه الناس، ويعطيهم ما يعطي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تركت عطاءك؟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على ديني،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 ابن أبي السمّال أن يبعث إليك بعطائك؟ أما علم أنَّ لك في بيت المال نصيباً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المغرا،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بالعامل فيجيزني بالدرهم آخذها؟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ذلك جائز للمؤمنين دون غيرهم، فيرد عليها ما تقدّم في الطائفة الأولى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وبنفس الوجه يجاب عن بقيّة الروايات التي قد يدّعى دلالتها على ملكيّة الدولة، كالروايات المجوّزة لشراء المقاسمة والخراج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عدم تماميّة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الأدلّة التي يمكن أن تذكر لإثبات ملكيّة الدولة شرعاً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مجموع ما تقدّم ظهر إمكان إثبات ملكيّة الدولة استناداً إلى الدليل الأوّل، والله العالم</w:t>
      </w:r>
      <w:r>
        <w:rPr>
          <w:rFonts w:eastAsia="Amiri" w:cs="Amiri" w:ascii="Amiri" w:hAnsi="Amiri"/>
          <w:color w:val="111111"/>
          <w:sz w:val="28"/>
          <w:szCs w:val="28"/>
          <w:rtl w:val="true"/>
          <w:lang w:bidi="ar-SA"/>
        </w:rPr>
        <w:t xml:space="preserve">. </w:t>
      </w:r>
      <w:bookmarkStart w:id="305" w:name="pg9167_80240"/>
    </w:p>
    <w:p>
      <w:pPr>
        <w:pStyle w:val="Heading3"/>
        <w:numPr>
          <w:ilvl w:val="2"/>
          <w:numId w:val="1"/>
        </w:numPr>
        <w:rPr/>
      </w:pPr>
      <w:bookmarkStart w:id="306" w:name="__RefHeading___Toc3770001_2870459653"/>
      <w:bookmarkStart w:id="307" w:name="_Toc123"/>
      <w:bookmarkEnd w:id="305"/>
      <w:bookmarkEnd w:id="306"/>
      <w:r>
        <w:rPr>
          <w:rtl w:val="true"/>
        </w:rPr>
        <w:t>خلاصة البحث</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كان منعقداً لإثبات أصل ملكيّة الدولة بعد كونها جهة معنويّة غير واعية، من دون التعرّض لسعة دائرة وتطبيقات تلك الملكيّة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التي يمكن أن تطرح لإثبات ملكيّة الدولة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يستدلّ بها على ملكيّة مطلق الجهات المعنويّة غير الواعية والتي منها الدولة، وتتمثّل هذه الأدلّة بالسيرة، وإطلاقات البيع والتجارة، والتمسّك بولاية الفقيه، سواء كان على نحو الولاية العامّة، أو على نحو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عدم تماميّة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وتمثّلت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ملكيّة منصب الإمامة للخمس والأنفال والفيء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تماميّة هذا الدليل في عصر الحضور، وأمّا في عصر الغيبة فلا بُدَّ من إثبات أنَّ هذا الحقّ للفقيه، وذلك إمّا بناءً على القول بولاية الفقيه العامّة، أو بناءً على الحسبة، وبناءً عليه لا تثبت الملكيّة للدولة إلَّا مع إذن الفقيه، والذي يكون قيّماً على 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عدم تماميّته للتشكيك في انعقاد تلك السيرة وذلك الارتكاز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الروايات، استدلّ بها على ملكيّة الدولة حتّى إذا كانت </w:t>
      </w:r>
    </w:p>
    <w:p>
      <w:pPr>
        <w:pStyle w:val="BookText"/>
        <w:rPr/>
      </w:pPr>
      <w:r>
        <w:rPr>
          <w:rFonts w:ascii="Amiri" w:hAnsi="Amiri" w:eastAsia="Amiri" w:cs="Amiri"/>
          <w:color w:val="111111"/>
          <w:sz w:val="28"/>
          <w:sz w:val="28"/>
          <w:szCs w:val="28"/>
          <w:rtl w:val="true"/>
          <w:lang w:bidi="ar-SA"/>
        </w:rPr>
        <w:t>وضعيّة، وكان القيّم عليها غير عادل، كروايات جواز الولاية من قبل الحاكم الجائر بدعوى أنَّ لازمها الجواز الوضعيّ في إنفاذ جميع المعاملات المادّيّة التي يقوم بها الحاكم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وكروايات قبول هدية السلطان بدعوى أنَّ لازمه بالأولويّة جواز المعاملات المشتملة على العوض مع ذلك السلطان، ممّا يعني ملكه بما هو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ظهر عدم دلالتها على المدّعى؛ لعدم دلالتها على أكثر من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تولّي المنصب، أو قبول الهدايا للمؤمنين دون غيرهم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 وآله الطاهرين</w:t>
      </w:r>
      <w:r>
        <w:rPr>
          <w:rFonts w:eastAsia="Amiri" w:cs="Amiri" w:ascii="Amiri" w:hAnsi="Amiri"/>
          <w:color w:val="111111"/>
          <w:sz w:val="28"/>
          <w:szCs w:val="28"/>
          <w:rtl w:val="true"/>
          <w:lang w:bidi="ar-SA"/>
        </w:rPr>
        <w:t>.</w:t>
      </w:r>
      <w:bookmarkStart w:id="308" w:name="pg9167_80242"/>
    </w:p>
    <w:p>
      <w:pPr>
        <w:pStyle w:val="Heading3"/>
        <w:numPr>
          <w:ilvl w:val="2"/>
          <w:numId w:val="1"/>
        </w:numPr>
        <w:rPr/>
      </w:pPr>
      <w:bookmarkStart w:id="309" w:name="__RefHeading___Toc3770003_2870459653"/>
      <w:bookmarkStart w:id="310" w:name="_Toc124"/>
      <w:bookmarkEnd w:id="308"/>
      <w:bookmarkEnd w:id="309"/>
      <w:r>
        <w:rPr>
          <w:rtl w:val="true"/>
        </w:rPr>
        <w:t>المصادر</w:t>
      </w:r>
      <w:bookmarkEnd w:id="31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الطالب في شرح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الصدّيقة الشهيدة </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التخصّصيّة للشهيد الصدر،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الاقتصاد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حبّ الله،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الانتشار العربيّ، الطبعة الأولى،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طبعة حجريّة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النجاة في أجوبة الاستفتاءات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برگزيده،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الشيخ محمّد باقر الإيروانيّ،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أحمد الإحسائيّ،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الحسينيّ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عليّ المنتظريّ،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فتاوى في الأموال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الحسينيّ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التفسير،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بن عليّ بن الحسن الطوسيّ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ملكية الدولة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الشيخ محمّد السند،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الحكيم والشيخ أحمد الماحوزيّ،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علي الحسينيّ السيستانيّ، الطبعة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مصحّحة ومنقّحة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ودار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9167_80245"/>
      <w:bookmarkStart w:id="312" w:name="pg9167_80245"/>
      <w:bookmarkEnd w:id="312"/>
    </w:p>
    <w:p>
      <w:pPr>
        <w:pStyle w:val="Heading2"/>
        <w:numPr>
          <w:ilvl w:val="1"/>
          <w:numId w:val="1"/>
        </w:numPr>
        <w:rPr/>
      </w:pPr>
      <w:bookmarkStart w:id="313" w:name="pg9167_80245"/>
      <w:bookmarkStart w:id="314" w:name="__RefHeading___Toc3770005_2870459653"/>
      <w:bookmarkStart w:id="315" w:name="_Toc125"/>
      <w:bookmarkEnd w:id="313"/>
      <w:bookmarkEnd w:id="314"/>
      <w:r>
        <w:rPr>
          <w:rtl w:val="true"/>
        </w:rPr>
        <w:t xml:space="preserve">اجتماع العدد </w:t>
      </w:r>
      <w:r>
        <w:rPr>
          <w:rtl w:val="true"/>
        </w:rPr>
        <w:t>(</w:t>
      </w:r>
      <w:r>
        <w:rPr>
          <w:rtl w:val="true"/>
        </w:rPr>
        <w:t>الحلقة الأولى</w:t>
      </w:r>
      <w:r>
        <w:rPr>
          <w:rtl w:val="true"/>
        </w:rPr>
        <w:t xml:space="preserve">) - </w:t>
      </w:r>
      <w:r>
        <w:rPr>
          <w:rtl w:val="true"/>
        </w:rPr>
        <w:t xml:space="preserve">الشيخ علاء آل شويجة </w:t>
      </w:r>
      <w:r>
        <w:rPr>
          <w:rtl w:val="true"/>
        </w:rPr>
        <w:t>(</w:t>
      </w:r>
      <w:r>
        <w:rPr>
          <w:rtl w:val="true"/>
        </w:rPr>
        <w:t>دام عزه</w:t>
      </w:r>
      <w:r>
        <w:rPr>
          <w:rtl w:val="true"/>
        </w:rPr>
        <w:t>)</w:t>
      </w:r>
      <w:bookmarkEnd w:id="315"/>
    </w:p>
    <w:p>
      <w:pPr>
        <w:pStyle w:val="Heading3"/>
        <w:numPr>
          <w:ilvl w:val="2"/>
          <w:numId w:val="1"/>
        </w:numPr>
        <w:rPr/>
      </w:pPr>
      <w:bookmarkStart w:id="316" w:name="__RefHeading___Toc3770007_2870459653"/>
      <w:bookmarkStart w:id="317" w:name="_Toc126"/>
      <w:bookmarkEnd w:id="316"/>
      <w:r>
        <w:rPr>
          <w:rtl w:val="true"/>
        </w:rPr>
        <w:t>اشارة</w:t>
      </w:r>
      <w:bookmarkEnd w:id="3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يكتسب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في مسائل ذات خصوصيّة كالتي تُعنى بالروابط الاجتماعيّة؛ لما لها من تأثير في تنظيم العلاقة بين فردين أو أكثر، وممّا كثر الكلام فيه بين الفقهاء الحكم بالتداخل وعدمه في موضوع المسألة الماثلة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اجتماع عدّتين أو أكثر على المرأة، وقد عُني هذا البحث بتتبّع الأقوال، ومحاولة التدقيق في نسبتها إلى أصحابها والتماس الدليل لكلٍّ منها</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9167_80247"/>
      <w:bookmarkStart w:id="319" w:name="pg9167_80247"/>
      <w:bookmarkEnd w:id="319"/>
    </w:p>
    <w:p>
      <w:pPr>
        <w:pStyle w:val="Heading3"/>
        <w:numPr>
          <w:ilvl w:val="2"/>
          <w:numId w:val="1"/>
        </w:numPr>
        <w:rPr/>
      </w:pPr>
      <w:bookmarkStart w:id="320" w:name="pg9167_80247"/>
      <w:bookmarkStart w:id="321" w:name="__RefHeading___Toc3770009_2870459653"/>
      <w:bookmarkStart w:id="322" w:name="_Toc127"/>
      <w:bookmarkEnd w:id="320"/>
      <w:bookmarkEnd w:id="321"/>
      <w:r>
        <w:rPr>
          <w:rtl w:val="true"/>
        </w:rPr>
        <w:t>المقدّمة</w:t>
      </w:r>
      <w:bookmarkEnd w:id="3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الكتاب الكريم على وجوب العدّة للطلاق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Style w:val="FootnoteAnchor"/>
          <w:rtl w:val="true"/>
        </w:rPr>
        <w:footnoteReference w:id="218"/>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 وَ أَحْصُوا الْعِدَّةَ</w:t>
      </w:r>
      <w:r>
        <w:rPr>
          <w:rStyle w:val="FootnoteAnchor"/>
          <w:rtl w:val="true"/>
        </w:rPr>
        <w:footnoteReference w:id="219"/>
      </w:r>
      <w:r>
        <w:rPr>
          <w:rFonts w:ascii="Amiri" w:hAnsi="Amiri" w:eastAsia="Amiri" w:cs="Amiri"/>
          <w:color w:val="111111"/>
          <w:sz w:val="28"/>
          <w:sz w:val="28"/>
          <w:szCs w:val="28"/>
          <w:rtl w:val="true"/>
          <w:lang w:bidi="ar-SA"/>
        </w:rPr>
        <w:t>، وللوفاة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Style w:val="FootnoteAnchor"/>
          <w:rtl w:val="true"/>
        </w:rPr>
        <w:footnoteReference w:id="220"/>
      </w:r>
      <w:r>
        <w:rPr>
          <w:rFonts w:ascii="Amiri" w:hAnsi="Amiri" w:eastAsia="Amiri" w:cs="Amiri"/>
          <w:color w:val="111111"/>
          <w:sz w:val="28"/>
          <w:sz w:val="28"/>
          <w:szCs w:val="28"/>
          <w:rtl w:val="true"/>
          <w:lang w:bidi="ar-SA"/>
        </w:rPr>
        <w:t>، كما دلّت الأخبار الواردة</w:t>
      </w:r>
      <w:r>
        <w:rPr>
          <w:rStyle w:val="FootnoteAnchor"/>
          <w:rtl w:val="true"/>
        </w:rPr>
        <w:footnoteReference w:id="221"/>
      </w:r>
      <w:r>
        <w:rPr>
          <w:rFonts w:ascii="Amiri" w:hAnsi="Amiri" w:eastAsia="Amiri" w:cs="Amiri"/>
          <w:color w:val="111111"/>
          <w:sz w:val="28"/>
          <w:sz w:val="28"/>
          <w:szCs w:val="28"/>
          <w:rtl w:val="true"/>
          <w:lang w:bidi="ar-SA"/>
        </w:rPr>
        <w:t>على ثبوت العدّة للوطء الحاصل من الشبهة</w:t>
      </w:r>
      <w:r>
        <w:rPr>
          <w:rFonts w:eastAsia="Amiri" w:cs="Amiri" w:ascii="Amiri" w:hAnsi="Amiri"/>
          <w:color w:val="111111"/>
          <w:sz w:val="28"/>
          <w:szCs w:val="28"/>
          <w:rtl w:val="true"/>
          <w:lang w:bidi="ar-SA"/>
        </w:rPr>
        <w:t xml:space="preserve">. </w:t>
      </w:r>
      <w:bookmarkStart w:id="323" w:name="pg9167_80248"/>
    </w:p>
    <w:p>
      <w:pPr>
        <w:pStyle w:val="BookText"/>
        <w:rPr/>
      </w:pPr>
      <w:bookmarkEnd w:id="323"/>
      <w:r>
        <w:rPr>
          <w:rFonts w:ascii="Amiri" w:hAnsi="Amiri" w:eastAsia="Amiri" w:cs="Amiri"/>
          <w:color w:val="111111"/>
          <w:sz w:val="28"/>
          <w:sz w:val="28"/>
          <w:szCs w:val="28"/>
          <w:rtl w:val="true"/>
          <w:lang w:bidi="ar-SA"/>
        </w:rPr>
        <w:t>وقد يتّفق للمرأة أن تكون في حال يجتمع عليها عدّتان أو أكثر، كما لو انضمّت إلى عدّة الطلاق أو الوفاة عدّةٌ أو أكثر من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فتاوى الخاصّة والعامّة الخلاف في تداخل هذه العدد أو تعدّدها نظراً لاختلاف الأدلّة في ذلك، والغاية من هذا البحث تسليط الضوء على أقوال الفقهاء، وكيفيّة استفادتهم من الأدلّة المتباينة، وما يكتنفها من ملابسات، وتفصيل الأدلّة وما يمكن أن يُركن إليه منها، وبه نستعين</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770011_2870459653"/>
      <w:bookmarkStart w:id="325" w:name="_Toc128"/>
      <w:bookmarkEnd w:id="324"/>
      <w:r>
        <w:rPr>
          <w:rtl w:val="true"/>
        </w:rPr>
        <w:t>في المراد من تداخل العدد</w:t>
      </w:r>
      <w:bookmarkEnd w:id="325"/>
    </w:p>
    <w:p>
      <w:pPr>
        <w:pStyle w:val="BookText"/>
        <w:rPr/>
      </w:pPr>
      <w:r>
        <w:rPr>
          <w:rFonts w:ascii="Amiri" w:hAnsi="Amiri" w:eastAsia="Amiri" w:cs="Amiri"/>
          <w:color w:val="111111"/>
          <w:sz w:val="28"/>
          <w:sz w:val="28"/>
          <w:szCs w:val="28"/>
          <w:rtl w:val="true"/>
          <w:lang w:bidi="ar-SA"/>
        </w:rPr>
        <w:t>إذا اجتمع على المرأة سببان لثبوت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اتّحد أو تقارب زمان الابتداء بالعدّتين على فرض تداخلهما، كما إذا وطِئت شبهةً فطلّقها زوجها مباشرةً أو علمت بموته كذلك، فلا إشكال في أنّ المراد من التداخل حينئذٍ الاكتفاء بمضيّ زمن عدّة واحدة في الاجتزاء عن كلتا العدّتين إذا كانتا متساويتين في المقدار، وبمُضيّ أطولهما إذا لم تتساويا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اختلفتا في زمان الابتداء وتقدّمت الأطول وكان انقضاؤها متزامناً مع انقضاء العدّة الأقصر أو بعده، كما إذا وطِئت مَن تعتدّ بالشهور شبهة قبل انقضاء عدّتها من الوفاة بثلاثة أشهر أو أكثر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اختلفتا في زمان الابتداء في غير الفرع المتقدّم، بأن كان انقضاء المتأخّرة متأخّراً عن انقضاء الأُولى، سواء أكانتا متّحدتين في المقدار أم مختلفتين، كما لو طلّقها زوجها أو بلغها خبر موته أثناء عدّتها من وطء الشبهة، فللتداخل في هذا الفرض </w:t>
      </w:r>
    </w:p>
    <w:p>
      <w:pPr>
        <w:pStyle w:val="BookText"/>
        <w:rPr/>
      </w:pPr>
      <w:r>
        <w:rPr>
          <w:rFonts w:ascii="Amiri" w:hAnsi="Amiri" w:eastAsia="Amiri" w:cs="Amiri"/>
          <w:color w:val="111111"/>
          <w:sz w:val="28"/>
          <w:sz w:val="28"/>
          <w:szCs w:val="28"/>
          <w:rtl w:val="true"/>
          <w:lang w:bidi="ar-SA"/>
        </w:rPr>
        <w:t>معنيان متصوّران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بمراعاة مضيّ خصوص العدّة الأُولى وكفايتها عن العدّة الواقعة في أثنائها، فإذا شرعت بعدّة الطلاق ووطِئت شبهة بعد مضيّ ثلثيها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للحكم بخلوّها من مطلق العدّة سوى مراعاة الثلث الباقي من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بمراعاة مضيّ تمام العدّة المتأخّرة، ودخول ما بقي من العدّة المتقدّمة فيها، فيجب عليها في المثال المتقدّم مراعاة عدّةٍ كاملة لوطء الشبهة، ويكون ثلثها الأوّل مُتمّماً لما بقي من العدّة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إرادة المعنى الأوّل من كلام الفاضل المقداد في التنقيح،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الاكتفاء بواحدة فلا أعلم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يحتجّ لهذا القول بأنّ حكم العدّة استبراء الرحم، وهو يحصل بإتمام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بها وقد بقي يوم واحد، فإنّ العلم بالاستبراء لا يتمّ بالإتمام المذكور؛ لجواز العلوق من الثاني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كلامه أنّ دليل التداخل عند اجتماع سببين للعدّة هو أنّ استبراء الرحم يحصل بإتمام عدّةٍ واحدة، ثمّ استشكل في ذلك من وجهين، ثانيهما هو أنّ السببين لو اختلفا من حيث الوقوع زماناً وكان وقوع الثاني قبل يوم من إتمام عدّة الأوّل فينبغي على القول بكفاية عدّةٍ واحدة الحكم بخلوِّها من العدّة عند نهاية اليوم التالي لوطء الشبهة، وهذا النحو من الاعتداد لا يتحقّق به الاستبراء المطلوب</w:t>
      </w:r>
      <w:r>
        <w:rPr>
          <w:rFonts w:eastAsia="Amiri" w:cs="Amiri" w:ascii="Amiri" w:hAnsi="Amiri"/>
          <w:color w:val="111111"/>
          <w:sz w:val="28"/>
          <w:szCs w:val="28"/>
          <w:rtl w:val="true"/>
          <w:lang w:bidi="ar-SA"/>
        </w:rPr>
        <w:t xml:space="preserve">. </w:t>
      </w:r>
      <w:bookmarkStart w:id="326" w:name="pg9167_80250"/>
    </w:p>
    <w:p>
      <w:pPr>
        <w:pStyle w:val="BookText"/>
        <w:rPr/>
      </w:pPr>
      <w:bookmarkEnd w:id="326"/>
      <w:r>
        <w:rPr>
          <w:rFonts w:ascii="Amiri" w:hAnsi="Amiri" w:eastAsia="Amiri" w:cs="Amiri"/>
          <w:color w:val="111111"/>
          <w:sz w:val="28"/>
          <w:sz w:val="28"/>
          <w:szCs w:val="28"/>
          <w:rtl w:val="true"/>
          <w:lang w:bidi="ar-SA"/>
        </w:rPr>
        <w:t>ومن الواضح إرادته للمعنى الأوّل من المعنيين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عموم كلمات الفقهاء القائلين بالتداخل وغيرهم أنّ مقصودهم من التداخل المبحوث عنه هو المعنى الثاني، فقد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التداخل أنّه يدخل الأقلّ منهما تحت الأكثر، فلو كانتا بالأقراء أو الأشهر استأنفت العدّة من حين الوطء، ودخل باقي العدّة الأولى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مراعاة أكثر العدّتين عند اجتماعهما حيث نحكم بالتداخل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معنى التداخل في هذا البحث مبنيّاً على المعنى المنظور في أكثر كلمات الفقهاء الآتية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770013_2870459653"/>
      <w:bookmarkStart w:id="328" w:name="_Toc129"/>
      <w:bookmarkEnd w:id="327"/>
      <w:r>
        <w:rPr>
          <w:rtl w:val="true"/>
        </w:rPr>
        <w:t>العرض التاريخي للمسألة</w:t>
      </w:r>
      <w:bookmarkEnd w:id="3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أقدم من نُقل عنه التطرّق إلى بعض موارد اجتماع عدّتين على المرأة هو ابن الجنيد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نعي إلى المرأة زوجها، أو أخبرت بطلاقه، فاعتدّت، ثمّ تزوّجت بعد العدّة، فجاء الأوّل، وأنكر الطلاق، ولم يقم به بيّنة، فهو أحقّ بها من هذا الزوج الثاني، دخل بها أو لا، فإن كان قد دخل استبرأت منه بثلاث حِيَض، أو ثلاثة أشهر وإن كان نكاحها منفسخاً، وإن مات الثاني قبل خروجها من العدّة التي تعتدّ منه لم يكن عليها عدّة الوفاة، وإن مات الأوّل وهي في عدّة من الثاني ابتدأت عدّة الوفاة من الأوّل من يوم مات، فإذا انقضت استتمّت ما كان ابتدأت به من العدّة من الثاني، وإن كان الثاني لم يدخل بها </w:t>
      </w:r>
    </w:p>
    <w:p>
      <w:pPr>
        <w:pStyle w:val="BookText"/>
        <w:rPr/>
      </w:pPr>
      <w:r>
        <w:rPr>
          <w:rFonts w:ascii="Amiri" w:hAnsi="Amiri" w:eastAsia="Amiri" w:cs="Amiri"/>
          <w:color w:val="111111"/>
          <w:sz w:val="28"/>
          <w:sz w:val="28"/>
          <w:szCs w:val="28"/>
          <w:rtl w:val="true"/>
          <w:lang w:bidi="ar-SA"/>
        </w:rPr>
        <w:t>فلا عدّة عليها، وللأوّل أن يقربها ساعة دخوله، وإن طلّقها الزوج بعد دخول الثاني فإنّ عدّتها واحدة منهما جميعاً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يتطرّق 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اجتماع عدّة وطء ذات البعل شبهة بعد عقد الواطئ عليها مع عدّة الوفاة، وذهب فيها إلى عدم تداخل العدّتين، والأُخرى اجتماع عدّة وطء ذات البعل شبهة مع عدّة الطلاق، وذهب فيها إلى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مختلفة من المقنع ثلاث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عدّة وطء ذات البعل شبهة مع عدّة الوفاة،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أختين أهديتا لأخوين في ليلة واحدة، فأدخلت امرأة هذا على هذا، وامرأة هذا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فلكلّ واحد منهما الصداق بالغشيان، فإن كان وليّهما تعمّد ذلك أغرم الصداق، ولا يقرب واحد منهما امرأته حتّى تنقضي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الزوجان وهما في العدّة؟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ترثانهما، ولهما نصف المهر المسمّى، وعليهما العدّة، ثمّ بعدما تفرغان من العدّة الأولى تعتدّان عدّة المتوفّى عنها زوجها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بالمعتدّة من دون علم مع الدخول،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تزوّج الرجل امرأة في عدّتها ولم يعلم، وكانت هي قد علمت أنّه قد بقي من عدّتها، ثمّ قذفها بعد علمه بذلك، فإن كانت علمت أنّ الذي عملت محرّم عليها، فقدمت على ذلك، فإنّ عليها الحدّ حدّ الزاني، ولا أرى على زوجها حين قذفها شيئاً، فإن فعلت بجهالة منها </w:t>
      </w:r>
    </w:p>
    <w:p>
      <w:pPr>
        <w:pStyle w:val="BookText"/>
        <w:rPr/>
      </w:pPr>
      <w:r>
        <w:rPr>
          <w:rFonts w:ascii="Amiri" w:hAnsi="Amiri" w:eastAsia="Amiri" w:cs="Amiri"/>
          <w:color w:val="111111"/>
          <w:sz w:val="28"/>
          <w:sz w:val="28"/>
          <w:szCs w:val="28"/>
          <w:rtl w:val="true"/>
          <w:lang w:bidi="ar-SA"/>
        </w:rPr>
        <w:t>ثمَّ قذفها ضرب قاذفها الحدّ، وفرّق بينهما، وتعتدّ من عدّتها الأولى، وتعتدّ بعد ذلك عدّة كاملة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عدّة وطء ذات البعل شبهة بعد العقد عليها مع عدّة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نعي إلى امرأة زوجها فاعتدّت، وتزوّجت، ثمّ قدم زوجها، فطلّقها، وطلّقها الأخير، فإنّها تعتدّ عدّة واحدة ثلاثة قروء</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بعدهم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الناصريّات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على المسألة الحادية والسبعين بعد المائة لجدّه من أُمّه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تزوّجت المرأة في عدّتها، ودخل بها زوجها الثاني، فرّق بينهما، وتعتدّ من الأوّل، ثمّ من 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صحيح، وذهب إلى مثله الشافعيّ،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ونكحت في عدّتها غيره، ووطئها الثاني، وهما جاهلان بتحريم الوطء، فإنّ عليها العدّة للثاني وبقيّة العدّة للأوّل، ولا تتداخل العدّتان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تتداخل العدّتان، فتأتي المرأة بثلاثة أقراء بعد مفارقتها للثاني، ويكون ذلك عن بقيّة عدّة الأوّل وعن عدّة الثاني، دليلنا على صحّة ما ذهبنا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العدّة حقّ لكلّ واحد من الزوجين، فلا مداخلة بينهما، وإنّما لم يملك الزوج إسقاط العدّة لأنّ فيها حقّاً لله تعالى، وليست بحقّ خالص للآدميّ، وأيضاً فعلى ما قلناه إجماع الصحابة؛ لأنّه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نكحت في العدّة، ففرّق بينهما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نكحت في عدّتها فإن لم يدخل بها زوجها الذي تزوّجها فإنّها تعتدّ من الأوّل، ولا عدّة عليها للثاني، وكان خاطباً من الخُطّاب، وإن كان دخل </w:t>
      </w:r>
    </w:p>
    <w:p>
      <w:pPr>
        <w:pStyle w:val="BookText"/>
        <w:rPr/>
      </w:pPr>
      <w:r>
        <w:rPr>
          <w:rFonts w:ascii="Amiri" w:hAnsi="Amiri" w:eastAsia="Amiri" w:cs="Amiri"/>
          <w:color w:val="111111"/>
          <w:sz w:val="28"/>
          <w:sz w:val="28"/>
          <w:szCs w:val="28"/>
          <w:rtl w:val="true"/>
          <w:lang w:bidi="ar-SA"/>
        </w:rPr>
        <w:t>بها فرّق بينهما، وتأتي ببقيّة العدّة عن الأوّل، ثمّ تأتي عن الثاني بثلاثة أقراء 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مثل ذلك عن عمر بعينه، وأنّ طليحة كانت تحت رشيد الثقفيّ فطلّقها، فنكحت في العدّة، فضربها عمر، وضرب زوجها بخفقة، وفرّق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في عدّتها فإن لم يدخل بها زوجها الذي تزوّجها فإنّها تعتدّ عن الأوّل، ولا عدّة عليها للثاني، وكان خاطباً من الخطّاب، وإن كان دخل بها فرّق بينهما، وأتت ببقيّة عدّة الأوّل ثمّ تعتدّ عن الثاني، ولا تحلّ له أبداً، ولم يظهر خلاف لما فعل، فصار إجماعاً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في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موضع تجتمع على المرأة عدّتان، فإنّهما لا تتداخلان، بل تأتي بكلّ واحدة منهما على الكمال، وروي ذلك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 وعمر بن عبد العزيز، وبه قال الشافعيّ، وذهب مالك وأبو حنيفة وأصحابه إلى أنّهما تتداخلان، وتعتدّ عدّة واحدة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وأيضاً فقد ثبت وجوب العدّتين عليها، وتداخلهما يحتاج إلى دليل، وروى سعيد بن المسيّب وسليمان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الرواية المتقدّمة في كلام 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ولا مخالف لهما في الصحابة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تجتمع على المرأة عدّتان فإنّهما لا يتداخلان، بل تأتي بكلّ واحدة منهما على الكمال، تقدّم الأولى ثمّ الثانية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يظهر من تعليل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ساقه من الأدلّة اختصاص كلامه بأنّ الحقّين عندما يكونان لشخصين فلا مداخلة بينهما؛ لأنّه قد فرض في جميع أدلّته وجود زوجين أوّل وثان، على خلاف ما يظهر من عبارة الشيخ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تجتمع على المرأة 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الالتزام بعدم التداخل حتّى لو كانت العدّتان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نسب جمع إلى الشيخ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المسالك والمفاتيح والحدائق والجواهر</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بعدم التداخل، ففي المسالك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الشيخ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تتداخل العدّتان عليها مطلقاً، بل تأتي بكلّ منهما على الكمال؛ لأنّهما حقّان مختلفان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اعتمادهم في نسبة القول بعدم التداخل مطلقاً إليهما كان على العبارة المتقدّمة في الخلاف والسرائر والتي عنونها العلّامة في المختلف فكانت محطّ نظر الفقهاء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للتأمّل في ذلك مجال، فإنّ الشيخ في مقدّمة كتاب الخلاف</w:t>
      </w:r>
      <w:r>
        <w:rPr>
          <w:rStyle w:val="FootnoteAnchor"/>
          <w:rtl w:val="true"/>
        </w:rPr>
        <w:footnoteReference w:id="233"/>
      </w:r>
      <w:r>
        <w:rPr>
          <w:rFonts w:ascii="Amiri" w:hAnsi="Amiri" w:eastAsia="Amiri" w:cs="Amiri"/>
          <w:color w:val="111111"/>
          <w:sz w:val="28"/>
          <w:sz w:val="28"/>
          <w:szCs w:val="28"/>
          <w:rtl w:val="true"/>
          <w:lang w:bidi="ar-SA"/>
        </w:rPr>
        <w:t xml:space="preserve">يشير إلى أنّ نظره فيه إلى العامّة؛ إذ إنّه قد كتبه استجابة لطلب موجّهٍ إليه في إحصاء المسائل الخلافيّة بين الخاصّة والعامّة، كما لعلّه يفهم منها أيضاً أنّ كثيراً ممّا يُساق فيه من الأدلّة من باب الاحتجاج والإلزام بما يُؤمن به الخصم، ولذا فلا ينبغي الاعتماد في </w:t>
      </w:r>
    </w:p>
    <w:p>
      <w:pPr>
        <w:pStyle w:val="BookText"/>
        <w:rPr/>
      </w:pPr>
      <w:r>
        <w:rPr>
          <w:rFonts w:ascii="Amiri" w:hAnsi="Amiri" w:eastAsia="Amiri" w:cs="Amiri"/>
          <w:color w:val="111111"/>
          <w:sz w:val="28"/>
          <w:sz w:val="28"/>
          <w:szCs w:val="28"/>
          <w:rtl w:val="true"/>
          <w:lang w:bidi="ar-SA"/>
        </w:rPr>
        <w:t>تشخيص آراء الشيخ ونسبتها إليه على كتاب الخلاف، ثمّ إنّه بمراجعة المبسوط والذي كان تأليفه متأخِّراً</w:t>
      </w:r>
      <w:r>
        <w:rPr>
          <w:rStyle w:val="FootnoteAnchor"/>
          <w:rtl w:val="true"/>
        </w:rPr>
        <w:footnoteReference w:id="234"/>
      </w:r>
      <w:r>
        <w:rPr>
          <w:rFonts w:ascii="Amiri" w:hAnsi="Amiri" w:eastAsia="Amiri" w:cs="Amiri"/>
          <w:color w:val="111111"/>
          <w:sz w:val="28"/>
          <w:sz w:val="28"/>
          <w:szCs w:val="28"/>
          <w:rtl w:val="true"/>
          <w:lang w:bidi="ar-SA"/>
        </w:rPr>
        <w:t>عن النهاية والخلاف يتّضح أنّ التزامه بعدم التداخل ليس بمطلق تماماً، وإنّما هو مطلق لجميع الصور التي تكون فيها العدّتان من شخصين،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موضع اجتمع عليها عدّتان من شخصين فإنّهما لايتداخلان، بل تأتي بكلّ واحدة منهما على الكمال، وفيه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وجبت العدّتان لرجل واحد بأن طلّق زوجته طلاقاً رجعيّاً ثمّ وطئها في حال العدّة، فعندنا تصير بالوطء راجعاً، وعند بعضهم الوطء محرّم عليه، فإن كانا عالمين عزّرا، وإن كانا جاهلين عُذرا، وإن كان أحدهما عالماً عزّر دون الجاهل، ويلزم المرأة بهذا الوطء عدّة؛ لأنّه وطء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تخلو أن تكون حاملاً وقت الوطء أو حائلاً، فإن كانت حائلاً نظر، فإن لم يحبلها فقد كانت اعتدّت عن الطلاق بعض العدّة، وعليها الباقي، ويلزمها عدّة ثانية بالوطء، وتدخل إحداهما في الأخرى؛ لأنّهما لرجل واحد، فتأتي بثلاثة أقراء كوامل تدخل فيها بقيّة العدّة الأولى</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ومن الواضح اختصاص کلامه بما لو كانت العدّتان من اثنين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قد يشهد له ما ذكره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وجبت العدّتان لرجل واحد بأن طلّق زوجته طلاقاً رجعيّاً ثمّ وطأها في حال العدّة، فعندنا تصير بالوطء راجعاً، وعند بعضهم الوطء محرّم عليه، فإن كانا عالمين عزّرا، وإن كانا جاهلين عذرا، وإن </w:t>
      </w:r>
    </w:p>
    <w:p>
      <w:pPr>
        <w:pStyle w:val="BookText"/>
        <w:rPr/>
      </w:pPr>
      <w:r>
        <w:rPr>
          <w:rFonts w:ascii="Amiri" w:hAnsi="Amiri" w:eastAsia="Amiri" w:cs="Amiri"/>
          <w:color w:val="111111"/>
          <w:sz w:val="28"/>
          <w:sz w:val="28"/>
          <w:szCs w:val="28"/>
          <w:rtl w:val="true"/>
          <w:lang w:bidi="ar-SA"/>
        </w:rPr>
        <w:t>كان أحدهما عالماً عزّر دون الجاهل، ويلزم المرأة بهذا الوطء عدّة؛ لأنّه وطء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تخلو أن تكون حاملاً وقت الوطء أو حائلاً، فإن كانت حائلاً نظر، فإن لم يحبّلها فقد كانت اعتدّت عن الطلاق بعض العدّة، وعليها الباقي، ويلزمها عدّة ثانية بالوطء، وتدخل إحداهما في الأخرى؛ لأنّهما لرجل واحد، فتأتي بثلاثة أقراء كوامل تدخل فيها بقيّة العدّة الأولى</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القول بثبوت العدّة على من وطء مطلّقته الرجعيّة في زمن العدّة وإن كان مخالفاً لما ذهب إليه فقهاء الخاصّة، إلّا أنّ استدلاله لهذا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قبوله له في غير هذه المسألة، كما لو طلّق زوجته بائناً ثمّ وطئها في العدّة عن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سُلّم صراحة عبارة الخلاف في إطلاق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شُكّك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الجواهر في أمثال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الاشتباه من المطلّق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التداخل وفاقاً للفاضلين، بأن تستأنف عدّة كاملة للأخير واجتزأت بها؛ لأنّهما إنّما تعلّقتا بواحد، والموجب لهما حقيقة إنّما هو الوطء، وإذا استأنفت عدّة كاملة ظهرت براءة الرحم، ولا ينافي ذلك إطلاق الأكثر إطلاق عدم تداخل العدّتين بعد انسياق التعدّد منه</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الإشكال على من نسب إلى الشيخ هذا النحو من الإطلاق أسهل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آخر رأي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صرّح به في المبسوط من </w:t>
      </w:r>
    </w:p>
    <w:p>
      <w:pPr>
        <w:pStyle w:val="BookText"/>
        <w:rPr/>
      </w:pPr>
      <w:r>
        <w:rPr>
          <w:rFonts w:ascii="Amiri" w:hAnsi="Amiri" w:eastAsia="Amiri" w:cs="Amiri"/>
          <w:color w:val="111111"/>
          <w:sz w:val="28"/>
          <w:sz w:val="28"/>
          <w:szCs w:val="28"/>
          <w:rtl w:val="true"/>
          <w:lang w:bidi="ar-SA"/>
        </w:rPr>
        <w:t>عدم التداخل فيما لو كانت العدّتان من شخصين لا مطلقاً، بخلاف ما ذكره في الخلاف،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الخلاف لا تنافي ذهاب الشيخ إلى التداخل فيما لو كانت العدّتان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إدريس فإنّه وإن ذكر في سرائره عبارة الخلاف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نظره كان إليها دون عبارة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يظهر من بعض إجاباته عن بعض الأسئلة الموجَّهة إليه أنّ التزامه بعدم التداخل ليس بنحو مطلق، فقد جاء في كتابه أجوبة مسائل ورسائل في مختلف فنون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سافر عنها زوجها سنة سبعين إلى بلاد بعيدة، ثمّ مات في خلال تلك السنة، فلمّا كان سنة خمس وسبعين ضجرت الزوجة من المقام على الفقر، فخطبها بعض الناس، وهو غير عالم بحالها، فتزوّج بها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خمس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بها، فبعد ذلك أتى الخبر مع رجال ثقات بأنّ الزوج مات سنة سبعين، ففارقها الزوج، واعتدّت عدّتين، فلمّا خرجت من العدّة هل لهذا الزوج أن يعقد عليها ثانياً أم تحرم عليه أبداً؟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أراه في هذا السؤال وأعتقده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ذكره في أثناء السؤال من العدّتين فلا يلزمها إلّا عدّة الوفاة فحسب، فإذا خرجت من عدّة الوفاة يصحّ أن يعقد عليها، ويطأها من غير أن تأتي بعدّة أخرى منه؛ لأنّ لزوم العدّتين ما ورد، إلّا فيمن نكحت بشبهة عقد، وهي في عدّة، فيفارقها الزوج، وتكمل عدّة الأوّل، وتأتي بعده بعدّة أخرى عن النكاح الثاني، فتبيّن ذلك وتحقّقه، فهذا خلاصة فقه المسألة، والحمد لله على توفيقه للصواب</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وکلامه صریح في انحصار لزوم تعدُّد العدّتين وعدم تداخلهما بمن نكحت بشبهةِ عقدٍ وهي في عدّة دون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اختلاف رأي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السرائر ذهب إلى أنّ عدم التداخل مطلق، وذهب في كتاب آخر إلى اختصاص ذلك بوطء المرأة بشبهة عقد في عدّة، فلا ينبغي الجزم بذهابه إلى القول بعدم التداخل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مجمل ما تقدّم يتبيّن انحصار الخلاف بين قول ابن الجنيد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بالتداخل، وبين قول السيّد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وافقهما بعدم التداخل في خصوص ما لو كانت العدّتان لشخصين هذا من جهة، وفي غير التزويج بالمعتدّة من جهة أخرى، وأمّا التزويج بها فهو مورد اتّفاقهم على عدم التداخل عدا ابن الجنيد لا من جهة كونه مخالفاً، بل لعدم نقل رأيه، فيمكن دعوى عدم ظهور الخلاف من أحدٍ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نصّ على الحكم بعدم التداخل في التزويج بالمعتدّة عن جهل مع الدخول ابن حمزة في الوسيلة</w:t>
      </w:r>
      <w:r>
        <w:rPr>
          <w:rStyle w:val="FootnoteAnchor"/>
          <w:rtl w:val="true"/>
        </w:rPr>
        <w:footnoteReference w:id="239"/>
      </w:r>
      <w:r>
        <w:rPr>
          <w:rFonts w:ascii="Amiri" w:hAnsi="Amiri" w:eastAsia="Amiri" w:cs="Amiri"/>
          <w:color w:val="111111"/>
          <w:sz w:val="28"/>
          <w:sz w:val="28"/>
          <w:szCs w:val="28"/>
          <w:rtl w:val="true"/>
          <w:lang w:bidi="ar-SA"/>
        </w:rPr>
        <w:t>، والكيدريّ في الإصباح</w:t>
      </w:r>
      <w:r>
        <w:rPr>
          <w:rStyle w:val="FootnoteAnchor"/>
          <w:rtl w:val="true"/>
        </w:rPr>
        <w:footnoteReference w:id="240"/>
      </w:r>
      <w:r>
        <w:rPr>
          <w:rFonts w:ascii="Amiri" w:hAnsi="Amiri" w:eastAsia="Amiri" w:cs="Amiri"/>
          <w:color w:val="111111"/>
          <w:sz w:val="28"/>
          <w:sz w:val="28"/>
          <w:szCs w:val="28"/>
          <w:rtl w:val="true"/>
          <w:lang w:bidi="ar-SA"/>
        </w:rPr>
        <w:t>، والمحقّق في النافع</w:t>
      </w:r>
      <w:r>
        <w:rPr>
          <w:rStyle w:val="FootnoteAnchor"/>
          <w:rtl w:val="true"/>
        </w:rPr>
        <w:footnoteReference w:id="241"/>
      </w:r>
      <w:r>
        <w:rPr>
          <w:rFonts w:ascii="Amiri" w:hAnsi="Amiri" w:eastAsia="Amiri" w:cs="Amiri"/>
          <w:color w:val="111111"/>
          <w:sz w:val="28"/>
          <w:sz w:val="28"/>
          <w:szCs w:val="28"/>
          <w:rtl w:val="true"/>
          <w:lang w:bidi="ar-SA"/>
        </w:rPr>
        <w:t>والفاضل الآبيّ في كشف الرموز</w:t>
      </w:r>
      <w:r>
        <w:rPr>
          <w:rStyle w:val="FootnoteAnchor"/>
          <w:rtl w:val="true"/>
        </w:rPr>
        <w:footnoteReference w:id="242"/>
      </w:r>
      <w:r>
        <w:rPr>
          <w:rFonts w:ascii="Amiri" w:hAnsi="Amiri" w:eastAsia="Amiri" w:cs="Amiri"/>
          <w:color w:val="111111"/>
          <w:sz w:val="28"/>
          <w:sz w:val="28"/>
          <w:szCs w:val="28"/>
          <w:rtl w:val="true"/>
          <w:lang w:bidi="ar-SA"/>
        </w:rPr>
        <w:t>، وهو ظاهر ابن سعيد في الجامع</w:t>
      </w:r>
      <w:r>
        <w:rPr>
          <w:rStyle w:val="FootnoteAnchor"/>
          <w:rtl w:val="true"/>
        </w:rPr>
        <w:footnoteReference w:id="243"/>
      </w:r>
      <w:r>
        <w:rPr>
          <w:rFonts w:ascii="Amiri" w:hAnsi="Amiri" w:eastAsia="Amiri" w:cs="Amiri"/>
          <w:color w:val="111111"/>
          <w:sz w:val="28"/>
          <w:sz w:val="28"/>
          <w:szCs w:val="28"/>
          <w:rtl w:val="true"/>
          <w:lang w:bidi="ar-SA"/>
        </w:rPr>
        <w:t xml:space="preserve">، وصريح ابن فهد في </w:t>
      </w:r>
    </w:p>
    <w:p>
      <w:pPr>
        <w:pStyle w:val="BookText"/>
        <w:rPr/>
      </w:pPr>
      <w:r>
        <w:rPr>
          <w:rFonts w:ascii="IRNazanin" w:hAnsi="IRNazanin" w:eastAsia="IRNazanin"/>
          <w:color w:val="111111"/>
          <w:sz w:val="28"/>
          <w:sz w:val="28"/>
          <w:szCs w:val="28"/>
          <w:rtl w:val="true"/>
          <w:lang w:bidi="fa-IR"/>
        </w:rPr>
        <w:t>المقتصر</w:t>
      </w:r>
      <w:r>
        <w:rPr>
          <w:rStyle w:val="FootnoteAnchor"/>
          <w:rtl w:val="true"/>
        </w:rPr>
        <w:footnoteReference w:id="244"/>
      </w:r>
      <w:r>
        <w:rPr>
          <w:rFonts w:ascii="Amiri" w:hAnsi="Amiri" w:eastAsia="Amiri" w:cs="Amiri"/>
          <w:color w:val="111111"/>
          <w:sz w:val="28"/>
          <w:sz w:val="28"/>
          <w:szCs w:val="28"/>
          <w:rtl w:val="true"/>
          <w:lang w:bidi="ar-SA"/>
        </w:rPr>
        <w:t>، والصيمريّ في غاية المرام</w:t>
      </w:r>
      <w:r>
        <w:rPr>
          <w:rStyle w:val="FootnoteAnchor"/>
          <w:rtl w:val="true"/>
        </w:rPr>
        <w:footnoteReference w:id="245"/>
      </w:r>
      <w:r>
        <w:rPr>
          <w:rFonts w:ascii="Amiri" w:hAnsi="Amiri" w:eastAsia="Amiri" w:cs="Amiri"/>
          <w:color w:val="111111"/>
          <w:sz w:val="28"/>
          <w:sz w:val="28"/>
          <w:szCs w:val="28"/>
          <w:rtl w:val="true"/>
          <w:lang w:bidi="ar-SA"/>
        </w:rPr>
        <w:t>، والشهيد الثاني في المسالك</w:t>
      </w:r>
      <w:r>
        <w:rPr>
          <w:rStyle w:val="FootnoteAnchor"/>
          <w:rtl w:val="true"/>
        </w:rPr>
        <w:footnoteReference w:id="246"/>
      </w:r>
      <w:r>
        <w:rPr>
          <w:rFonts w:ascii="Amiri" w:hAnsi="Amiri" w:eastAsia="Amiri" w:cs="Amiri"/>
          <w:color w:val="111111"/>
          <w:sz w:val="28"/>
          <w:sz w:val="28"/>
          <w:szCs w:val="28"/>
          <w:rtl w:val="true"/>
          <w:lang w:bidi="ar-SA"/>
        </w:rPr>
        <w:t>، وغيرهم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عُبّر بصياغات مختلفة تُفيد أنّ عدم التداخل هو المشهور في فرض التزويج بالمعتدّة، أو فيما إذا كانت العدّتان لشخصين، أو مطلقاً في المسالك</w:t>
      </w:r>
      <w:r>
        <w:rPr>
          <w:rStyle w:val="FootnoteAnchor"/>
          <w:rtl w:val="true"/>
        </w:rPr>
        <w:footnoteReference w:id="248"/>
      </w:r>
      <w:r>
        <w:rPr>
          <w:rFonts w:ascii="Amiri" w:hAnsi="Amiri" w:eastAsia="Amiri" w:cs="Amiri"/>
          <w:color w:val="111111"/>
          <w:sz w:val="28"/>
          <w:sz w:val="28"/>
          <w:szCs w:val="28"/>
          <w:rtl w:val="true"/>
          <w:lang w:bidi="ar-SA"/>
        </w:rPr>
        <w:t>، ونهاية المرام</w:t>
      </w:r>
      <w:r>
        <w:rPr>
          <w:rStyle w:val="FootnoteAnchor"/>
          <w:rtl w:val="true"/>
        </w:rPr>
        <w:footnoteReference w:id="249"/>
      </w:r>
      <w:r>
        <w:rPr>
          <w:rFonts w:ascii="Amiri" w:hAnsi="Amiri" w:eastAsia="Amiri" w:cs="Amiri"/>
          <w:color w:val="111111"/>
          <w:sz w:val="28"/>
          <w:sz w:val="28"/>
          <w:szCs w:val="28"/>
          <w:rtl w:val="true"/>
          <w:lang w:bidi="ar-SA"/>
        </w:rPr>
        <w:t>، والكفاية</w:t>
      </w:r>
      <w:r>
        <w:rPr>
          <w:rStyle w:val="FootnoteAnchor"/>
          <w:rtl w:val="true"/>
        </w:rPr>
        <w:footnoteReference w:id="250"/>
      </w:r>
      <w:r>
        <w:rPr>
          <w:rFonts w:ascii="Amiri" w:hAnsi="Amiri" w:eastAsia="Amiri" w:cs="Amiri"/>
          <w:color w:val="111111"/>
          <w:sz w:val="28"/>
          <w:sz w:val="28"/>
          <w:szCs w:val="28"/>
          <w:rtl w:val="true"/>
          <w:lang w:bidi="ar-SA"/>
        </w:rPr>
        <w:t>، والمفاتيح</w:t>
      </w:r>
      <w:r>
        <w:rPr>
          <w:rStyle w:val="FootnoteAnchor"/>
          <w:rtl w:val="true"/>
        </w:rPr>
        <w:footnoteReference w:id="251"/>
      </w:r>
      <w:r>
        <w:rPr>
          <w:rFonts w:ascii="Amiri" w:hAnsi="Amiri" w:eastAsia="Amiri" w:cs="Amiri"/>
          <w:color w:val="111111"/>
          <w:sz w:val="28"/>
          <w:sz w:val="28"/>
          <w:szCs w:val="28"/>
          <w:rtl w:val="true"/>
          <w:lang w:bidi="ar-SA"/>
        </w:rPr>
        <w:t>، وكشف اللثام</w:t>
      </w:r>
      <w:r>
        <w:rPr>
          <w:rStyle w:val="FootnoteAnchor"/>
          <w:rtl w:val="true"/>
        </w:rPr>
        <w:footnoteReference w:id="252"/>
      </w:r>
      <w:r>
        <w:rPr>
          <w:rFonts w:ascii="IRNazanin" w:hAnsi="IRNazanin" w:eastAsia="IRNazanin"/>
          <w:color w:val="111111"/>
          <w:sz w:val="28"/>
          <w:sz w:val="28"/>
          <w:szCs w:val="28"/>
          <w:rtl w:val="true"/>
          <w:lang w:bidi="fa-IR"/>
        </w:rPr>
        <w:t>، والحدائق</w:t>
      </w:r>
      <w:r>
        <w:rPr>
          <w:rStyle w:val="FootnoteAnchor"/>
          <w:rtl w:val="true"/>
        </w:rPr>
        <w:footnoteReference w:id="253"/>
      </w:r>
      <w:r>
        <w:rPr>
          <w:rFonts w:ascii="Amiri" w:hAnsi="Amiri" w:eastAsia="Amiri" w:cs="Amiri"/>
          <w:color w:val="111111"/>
          <w:sz w:val="28"/>
          <w:sz w:val="28"/>
          <w:szCs w:val="28"/>
          <w:rtl w:val="true"/>
          <w:lang w:bidi="ar-SA"/>
        </w:rPr>
        <w:t>، والرياض</w:t>
      </w:r>
      <w:r>
        <w:rPr>
          <w:rStyle w:val="FootnoteAnchor"/>
          <w:rtl w:val="true"/>
        </w:rPr>
        <w:footnoteReference w:id="254"/>
      </w:r>
      <w:r>
        <w:rPr>
          <w:rFonts w:ascii="IRNazanin" w:hAnsi="IRNazanin" w:eastAsia="IRNazanin"/>
          <w:color w:val="111111"/>
          <w:sz w:val="28"/>
          <w:sz w:val="28"/>
          <w:szCs w:val="28"/>
          <w:rtl w:val="true"/>
          <w:lang w:bidi="fa-IR"/>
        </w:rPr>
        <w:t>، والجواهر</w:t>
      </w:r>
      <w:r>
        <w:rPr>
          <w:rStyle w:val="FootnoteAnchor"/>
          <w:rtl w:val="true"/>
        </w:rPr>
        <w:footnoteReference w:id="255"/>
      </w:r>
      <w:r>
        <w:rPr>
          <w:rFonts w:ascii="Amiri" w:hAnsi="Amiri" w:eastAsia="Amiri" w:cs="Amiri"/>
          <w:color w:val="111111"/>
          <w:sz w:val="28"/>
          <w:sz w:val="28"/>
          <w:szCs w:val="28"/>
          <w:rtl w:val="true"/>
          <w:lang w:bidi="ar-SA"/>
        </w:rPr>
        <w:t xml:space="preserve">، بل لم يُنقل الخلاف من أحدٍ سوى ما أشار إليه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ومختصره من أنّه قيل يجزي عدّة واحدة</w:t>
      </w:r>
      <w:r>
        <w:rPr>
          <w:rStyle w:val="FootnoteAnchor"/>
          <w:rtl w:val="true"/>
        </w:rPr>
        <w:footnoteReference w:id="256"/>
      </w:r>
      <w:r>
        <w:rPr>
          <w:rFonts w:ascii="Amiri" w:hAnsi="Amiri" w:eastAsia="Amiri" w:cs="Amiri"/>
          <w:color w:val="111111"/>
          <w:sz w:val="28"/>
          <w:sz w:val="28"/>
          <w:szCs w:val="28"/>
          <w:rtl w:val="true"/>
          <w:lang w:bidi="ar-SA"/>
        </w:rPr>
        <w:t xml:space="preserve">، ولم ينسبه لأحدٍ، وعلّق على </w:t>
      </w:r>
    </w:p>
    <w:p>
      <w:pPr>
        <w:pStyle w:val="BookText"/>
        <w:rPr/>
      </w:pPr>
      <w:r>
        <w:rPr>
          <w:rFonts w:ascii="Amiri" w:hAnsi="Amiri" w:eastAsia="Amiri" w:cs="Amiri"/>
          <w:color w:val="111111"/>
          <w:sz w:val="28"/>
          <w:sz w:val="28"/>
          <w:szCs w:val="28"/>
          <w:rtl w:val="true"/>
          <w:lang w:bidi="ar-SA"/>
        </w:rPr>
        <w:t>كلامه في التنقيح</w:t>
      </w:r>
      <w:r>
        <w:rPr>
          <w:rStyle w:val="FootnoteAnchor"/>
          <w:rtl w:val="true"/>
        </w:rPr>
        <w:footnoteReference w:id="257"/>
      </w:r>
      <w:r>
        <w:rPr>
          <w:rFonts w:ascii="Amiri" w:hAnsi="Amiri" w:eastAsia="Amiri" w:cs="Amiri"/>
          <w:color w:val="111111"/>
          <w:sz w:val="28"/>
          <w:sz w:val="28"/>
          <w:szCs w:val="28"/>
          <w:rtl w:val="true"/>
          <w:lang w:bidi="ar-SA"/>
        </w:rPr>
        <w:t>، والمسالك</w:t>
      </w:r>
      <w:r>
        <w:rPr>
          <w:rStyle w:val="FootnoteAnchor"/>
          <w:rtl w:val="true"/>
        </w:rPr>
        <w:footnoteReference w:id="258"/>
      </w:r>
      <w:r>
        <w:rPr>
          <w:rFonts w:ascii="Amiri" w:hAnsi="Amiri" w:eastAsia="Amiri" w:cs="Amiri"/>
          <w:color w:val="111111"/>
          <w:sz w:val="28"/>
          <w:sz w:val="28"/>
          <w:szCs w:val="28"/>
          <w:rtl w:val="true"/>
          <w:lang w:bidi="ar-SA"/>
        </w:rPr>
        <w:t>، ونهاية المرام</w:t>
      </w:r>
      <w:r>
        <w:rPr>
          <w:rStyle w:val="FootnoteAnchor"/>
          <w:rtl w:val="true"/>
        </w:rPr>
        <w:footnoteReference w:id="259"/>
      </w:r>
      <w:r>
        <w:rPr>
          <w:rFonts w:ascii="Amiri" w:hAnsi="Amiri" w:eastAsia="Amiri" w:cs="Amiri"/>
          <w:color w:val="111111"/>
          <w:sz w:val="28"/>
          <w:sz w:val="28"/>
          <w:szCs w:val="28"/>
          <w:rtl w:val="true"/>
          <w:lang w:bidi="ar-SA"/>
        </w:rPr>
        <w:t>بما يُفيد مجهوليّة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مختلف العلّامة، وإيضاح ابنه، ومهذّب ابن فهد، والجواهر، وأنوار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المخالف هو الإسكافيّ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والصدوق في موضع من المقنع</w:t>
      </w:r>
      <w:r>
        <w:rPr>
          <w:rStyle w:val="FootnoteAnchor"/>
          <w:rtl w:val="true"/>
        </w:rPr>
        <w:footnoteReference w:id="261"/>
      </w:r>
      <w:r>
        <w:rPr>
          <w:rFonts w:ascii="Amiri" w:hAnsi="Amiri" w:eastAsia="Amiri" w:cs="Amiri"/>
          <w:color w:val="111111"/>
          <w:sz w:val="28"/>
          <w:sz w:val="28"/>
          <w:szCs w:val="28"/>
          <w:rtl w:val="true"/>
          <w:lang w:bidi="ar-SA"/>
        </w:rPr>
        <w:t>،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الإسكافيّ على ما حُكي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وللتأمّل فيه مجال؛ فإنّ مورد كلامهم بالتحديد أو الشمول هو التزويج بالمعتدّة، وقد تقدّم</w:t>
      </w:r>
      <w:r>
        <w:rPr>
          <w:rStyle w:val="FootnoteAnchor"/>
          <w:rtl w:val="true"/>
        </w:rPr>
        <w:footnoteReference w:id="263"/>
      </w:r>
      <w:r>
        <w:rPr>
          <w:rFonts w:ascii="Amiri" w:hAnsi="Amiri" w:eastAsia="Amiri" w:cs="Amiri"/>
          <w:color w:val="111111"/>
          <w:sz w:val="28"/>
          <w:sz w:val="28"/>
          <w:szCs w:val="28"/>
          <w:rtl w:val="true"/>
          <w:lang w:bidi="ar-SA"/>
        </w:rPr>
        <w:t xml:space="preserve">أنّه لم يرد فيه نقلُ رأيٍ لابن الجنيد، وإنّما الذي نقله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التزامه بالتفصيل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تزويج ذات البعل التي نعي إليها زوجها اشتباهاً فظهرت حياته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مات بعلها فلا تداخل وعليها عدّتان، وبين ما لو طلّقها فتتداخل العدّتان وتأتي بعدّة واحدة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بالنسبة إلى الصدوق فقد تقدّم</w:t>
      </w:r>
      <w:r>
        <w:rPr>
          <w:rStyle w:val="FootnoteAnchor"/>
          <w:rtl w:val="true"/>
        </w:rPr>
        <w:footnoteReference w:id="264"/>
      </w:r>
      <w:r>
        <w:rPr>
          <w:rFonts w:ascii="Amiri" w:hAnsi="Amiri" w:eastAsia="Amiri" w:cs="Amiri"/>
          <w:color w:val="111111"/>
          <w:sz w:val="28"/>
          <w:sz w:val="28"/>
          <w:szCs w:val="28"/>
          <w:rtl w:val="true"/>
          <w:lang w:bidi="ar-SA"/>
        </w:rPr>
        <w:t xml:space="preserve">أيضاً أنّه ذكر ثلاثة موارد تجتمع فيها </w:t>
      </w:r>
    </w:p>
    <w:p>
      <w:pPr>
        <w:pStyle w:val="BookText"/>
        <w:rPr/>
      </w:pPr>
      <w:r>
        <w:rPr>
          <w:rFonts w:ascii="Amiri" w:hAnsi="Amiri" w:eastAsia="Amiri" w:cs="Amiri"/>
          <w:color w:val="111111"/>
          <w:sz w:val="28"/>
          <w:sz w:val="28"/>
          <w:szCs w:val="28"/>
          <w:rtl w:val="true"/>
          <w:lang w:bidi="ar-SA"/>
        </w:rPr>
        <w:t xml:space="preserve">على المرأة عدّتان، وأنّه التزم في المورد الثاني منها، وهو مورد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التزويج بالمعتدّة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التداخل، مضافاً إلى التزامه بذلك في اجتماع عدّة وطء ذات البعل شبهةً مع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إلى ذلك كيف يمكن نسبة القول بالتداخل إلى ابن الجنيد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بالمعتدّة، أو مطلقاً؟</w:t>
      </w:r>
    </w:p>
    <w:p>
      <w:pPr>
        <w:pStyle w:val="BookText"/>
        <w:rPr/>
      </w:pPr>
      <w:r>
        <w:rPr>
          <w:rFonts w:ascii="Amiri" w:hAnsi="Amiri" w:eastAsia="Amiri" w:cs="Amiri"/>
          <w:color w:val="111111"/>
          <w:sz w:val="28"/>
          <w:sz w:val="28"/>
          <w:szCs w:val="28"/>
          <w:rtl w:val="true"/>
          <w:lang w:bidi="ar-SA"/>
        </w:rPr>
        <w:t xml:space="preserve">والظاهر أنّ الاعتماد على كلام العلّامة في المختلف هو الذي سبّب لهم الوقوع في ذلك الاشتباه؛ إذ إنّ الذي يظهر من منهجيّته في ذلك الكتاب أنّ همّه كان منصبّاً على جمع ما يقع فيه الخلاف، ولذا فقد اقتصر في نقل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على كتاب الخلاف الذي كان يقرِّر فيه رأيه في مقابل العامّة، ولم يرجع إلى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آخر كتب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لينقل ما استقرّ عليه، بل لعلّه لم يورد رأي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بالمعتدّة؛ لكونه غير مخالف فيه، ويشهد لذلك أنّه لم يَنقل من المواضع الثلاثة التي ذُكرت في المقنع إلّا المورد الثالث الذي يحصل به الخلاف، وترك ذكر الموردين الآخرَين اللذين التزم فيهما الصدوق بعدم التداخل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النظر في بيان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لدليل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التداخل؛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الصدوق في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نعي إلى المرأة زوجها فاعتدّت وتزوّجت ثمّ قدم زوجها فطلّقها، وطلّقها الآخر، فإنّها تعتدّ عدّة واحدة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الصدوق بما رواه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قبل أن تنقضي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بينهما، وتعتدّ عدّة واحدة منهما جميعاً، وعن زرارة في الصحيح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فقدت زوجها أو نعي إليها، فتزوّجت، ثمّ قدم زوجها بعد ذلك </w:t>
      </w:r>
    </w:p>
    <w:p>
      <w:pPr>
        <w:pStyle w:val="BookText"/>
        <w:rPr/>
      </w:pPr>
      <w:r>
        <w:rPr>
          <w:rFonts w:ascii="IRNazanin" w:hAnsi="IRNazanin" w:eastAsia="IRNazanin"/>
          <w:color w:val="111111"/>
          <w:sz w:val="28"/>
          <w:sz w:val="28"/>
          <w:szCs w:val="28"/>
          <w:rtl w:val="true"/>
          <w:lang w:bidi="fa-IR"/>
        </w:rPr>
        <w:t>فطلّقها،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منهما جميعاً ثلاثة أشهر عدّة واحدة، وليس للأخير أن يتزوّجها أبداً، وفي الصحيح عن ابن بكير أو أبي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تتزوّج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بمتون هذه الروايات في المقنع، ومن المعروف أنّ دأبه فيه على ذكر المتون، ولا رواها في الفقيه، مضافاً إلى أنّ مورد الروايتين الأُولى والثالثة هو التزويج بالمعتدّة، وهو المورد الثاني من موارد المقنع الثلاثة، وقد التزم فيه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 محطّ نظر بقيّة الفقهاء عبارة المختلف استدلال المسالك في كتاب الطلاق بنفس ما جاء في المختلف من روايات، بل لم يخالف حتّى في ترتيبها ما يُظهِر الاعتماد عليه في النقل،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الأخرى الدالّة على تداخل العدّتين والاكتفاء بواحدة تامّة بعد وطء الأوّل رواها زرارة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زرارة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العبّاس</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وحذا حذوهم في الجواهر، فأسند الاستدلال بروايات التداخل في التزويج بالمعتدّة ومخالفة المشهور فيها إلى ابن الجنيد والصدوق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الصدوق فيما حكي من مقنعه وابن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تجزئ عدّة واحدة لموثّق زرارة السابق وصحيحه الآخر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قبل أن تنقضي عدّتها،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يفرّق بينهما، وتعتدّ عدّة واحدة عنهما جميعاً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تعبيره في نسبة الاستدلال بهذه الأخبار وإن كان مشعراً بإسناده إليهما، لكن يحتمل أيضاً أن يكون لأصل القول المخالف، وهو أعمّ من إسناد الاستدلال بهذه الأخبار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التزامهما بالتداخل في التزويج بالمعتدّة، وهو ممّا لا يصحّ نسبته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مخالفة المشهور إلى ابن الجنيد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بالتزامهما بالتداخل مطلقاً ليست في محلّها؛ فإنّ الأوّل إنّما ذهب إلى التداخل في خصوص من نُعي إليها زوجها، فتزوّجت، وجاء الأوّل فطلّقها، دون ما إذا مات عنها، ولم يُنقل عنه التصريح في بقيّة الموارد بالتداخل، وكذا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خصّ الحكم بالتداخل في أصل المورد المتقدّم على خلاف موردين آخرَين من الموارد الثلاثة المذكورة في مقنعه، حيث التزم فيهما بعدم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القول بعدم التداخل مطلقاً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أيضاً؛ لأنّها تعتمد على ما جاء في كتابه الخلاف، في حين أنّه صرّح في آخر كتبه بما يفيد اختصاص التزامه بعدم التداخل بما لو كانت العدّتان من شخصين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فهذه جملة من كلماتهم إذا اتّضح الأمر فيها تصل النوبة إلى ذكر الأقوال في المقام، وهي ستّة</w:t>
      </w:r>
      <w:r>
        <w:rPr>
          <w:rFonts w:eastAsia="Amiri" w:cs="Amiri" w:ascii="Amiri" w:hAnsi="Amiri"/>
          <w:color w:val="111111"/>
          <w:sz w:val="28"/>
          <w:szCs w:val="28"/>
          <w:rtl w:val="true"/>
          <w:lang w:bidi="ar-SA"/>
        </w:rPr>
        <w:t xml:space="preserve">: </w:t>
      </w:r>
      <w:bookmarkStart w:id="329" w:name="pg9167_80264"/>
    </w:p>
    <w:p>
      <w:pPr>
        <w:pStyle w:val="Heading3"/>
        <w:numPr>
          <w:ilvl w:val="2"/>
          <w:numId w:val="1"/>
        </w:numPr>
        <w:rPr/>
      </w:pPr>
      <w:bookmarkStart w:id="330" w:name="__RefHeading___Toc3770015_2870459653"/>
      <w:bookmarkStart w:id="331" w:name="_Toc130"/>
      <w:bookmarkEnd w:id="329"/>
      <w:bookmarkEnd w:id="330"/>
      <w:r>
        <w:rPr>
          <w:rtl w:val="true"/>
        </w:rPr>
        <w:t>الأقوال في المسألة</w:t>
      </w:r>
      <w:bookmarkEnd w:id="331"/>
    </w:p>
    <w:p>
      <w:pPr>
        <w:pStyle w:val="Heading4"/>
        <w:numPr>
          <w:ilvl w:val="3"/>
          <w:numId w:val="1"/>
        </w:numPr>
        <w:rPr/>
      </w:pPr>
      <w:bookmarkStart w:id="332" w:name="__RefHeading___Toc3770017_2870459653"/>
      <w:bookmarkStart w:id="333" w:name="_Toc131"/>
      <w:bookmarkEnd w:id="332"/>
      <w:r>
        <w:rPr>
          <w:rtl w:val="true"/>
        </w:rPr>
        <w:t>القول الأوّل</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المنسوب إلى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تداخل العدّتين مطلقاً، سواء أكانتا من شخصٍ واحدٍ أم من شخصين، في فرض التزويج بالمعتدّة أم في غيره، وسواء أكان المجتمع مع عدّة وطء الشبهة عدّة الطلاق، أم عدّة الوفاة، أم عدّة أخرى للشبهة، وهو ظاهر الشيخ في الخلاف، وابن إدريس في السرائر، وتقدّم ذكر كلامهم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تقدّم الكلام في نسبته إلى المشهور أيضاً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770019_2870459653"/>
      <w:bookmarkStart w:id="335" w:name="_Toc132"/>
      <w:bookmarkEnd w:id="334"/>
      <w:r>
        <w:rPr>
          <w:rtl w:val="true"/>
        </w:rPr>
        <w:t>القول الثاني</w:t>
      </w:r>
      <w:bookmarkEnd w:id="335"/>
    </w:p>
    <w:p>
      <w:pPr>
        <w:pStyle w:val="BookText"/>
        <w:rPr/>
      </w:pPr>
      <w:r>
        <w:rPr>
          <w:rFonts w:ascii="IRNazanin" w:hAnsi="IRNazanin" w:eastAsia="IRNazanin"/>
          <w:color w:val="111111"/>
          <w:sz w:val="28"/>
          <w:sz w:val="28"/>
          <w:szCs w:val="28"/>
          <w:rtl w:val="true"/>
          <w:lang w:bidi="fa-IR"/>
        </w:rPr>
        <w:t xml:space="preserve">التداخل مطلقاً، وهو مختار السيّد العامليّ في نهاية المرام والمحقّق السبزواريّ في الكفاية، والمحدّث البحرانيّ في الحدائق، والسيّد اليزديّ في تكملة العروة، والسيّد الحكيم في المستمسك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نهاية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حمل الأمر بالاستئناف على الاستحباب</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ونحوها عبارة الكفاية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أخبارنا يجب حمله على التقيّة وإن اشتهر بينهم العمل عليه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36" w:name="pg9167_80265"/>
    </w:p>
    <w:p>
      <w:pPr>
        <w:pStyle w:val="BookText"/>
        <w:rPr/>
      </w:pPr>
      <w:bookmarkEnd w:id="336"/>
      <w:r>
        <w:rPr>
          <w:rFonts w:ascii="Amiri" w:hAnsi="Amiri" w:eastAsia="Amiri" w:cs="Amiri"/>
          <w:color w:val="111111"/>
          <w:sz w:val="28"/>
          <w:sz w:val="28"/>
          <w:szCs w:val="28"/>
          <w:rtl w:val="true"/>
          <w:lang w:bidi="ar-SA"/>
        </w:rPr>
        <w:t>وفي تكملة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ابن الجنيد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واختاره جماعة من متأخّري المتأخّرين، وهو الأقوى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الأوّل يمكن الجمع العرفيّ بينها وبين نصوص التعدّد بحمل الثانية على الاستحباب؛ لأنّه أبرأ للرحم وأحفظ للحقوق، والإنصاف يقتضي البناء على ذلك</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770021_2870459653"/>
      <w:bookmarkStart w:id="338" w:name="_Toc133"/>
      <w:bookmarkEnd w:id="337"/>
      <w:r>
        <w:rPr>
          <w:rtl w:val="true"/>
        </w:rPr>
        <w:t>القول الثالث</w:t>
      </w:r>
      <w:bookmarkEnd w:id="338"/>
    </w:p>
    <w:p>
      <w:pPr>
        <w:pStyle w:val="BookText"/>
        <w:rPr/>
      </w:pPr>
      <w:r>
        <w:rPr>
          <w:rFonts w:ascii="Amiri" w:hAnsi="Amiri" w:eastAsia="Amiri" w:cs="Amiri"/>
          <w:color w:val="111111"/>
          <w:sz w:val="28"/>
          <w:sz w:val="28"/>
          <w:szCs w:val="28"/>
          <w:rtl w:val="true"/>
          <w:lang w:bidi="ar-SA"/>
        </w:rPr>
        <w:t>التفصيل بين ما إذا كانت العدّتان من شخصين فلا تداخل، وبين ما إذا كانتا من واحدٍ فتتداخلان، ذهب إليه الشيخ في المبسوط، وتقدّم نقل كلامه</w:t>
      </w:r>
      <w:r>
        <w:rPr>
          <w:rStyle w:val="FootnoteAnchor"/>
          <w:rtl w:val="true"/>
        </w:rPr>
        <w:footnoteReference w:id="273"/>
      </w:r>
      <w:r>
        <w:rPr>
          <w:rFonts w:ascii="Amiri" w:hAnsi="Amiri" w:eastAsia="Amiri" w:cs="Amiri"/>
          <w:color w:val="111111"/>
          <w:sz w:val="28"/>
          <w:sz w:val="28"/>
          <w:szCs w:val="28"/>
          <w:rtl w:val="true"/>
          <w:lang w:bidi="ar-SA"/>
        </w:rPr>
        <w:t>، والعلّامة وابنه وشمس الدين الحلّيّ، وهو اختيار الجواهر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تتداخل العدّتان إذا كانتا لشخصين</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اختاره والدي المصنّف أنّ العدّتين إن كانتا من واحد تداخلتا، وإن كانتا من اثنين لم تتداخلا، وهو الأصحّ عندي</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معالم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كانتا لشخصين لم يتداخلا، وإن كانت</w:t>
      </w:r>
      <w:r>
        <w:rPr>
          <w:rStyle w:val="FootnoteAnchor"/>
          <w:rtl w:val="true"/>
        </w:rPr>
        <w:footnoteReference w:id="276"/>
      </w:r>
      <w:r>
        <w:rPr>
          <w:rFonts w:ascii="IRNazanin" w:hAnsi="IRNazanin" w:eastAsia="IRNazanin"/>
          <w:color w:val="111111"/>
          <w:sz w:val="28"/>
          <w:sz w:val="28"/>
          <w:szCs w:val="28"/>
          <w:rtl w:val="true"/>
          <w:lang w:bidi="fa-IR"/>
        </w:rPr>
        <w:t>لواحد تداخلتا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الاشتباه من المطلّق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التداخل، وفاقاً للفاضلين، بأن تستأنف عدّة كاملة للأخير، واجتزأت بها؛ لأنّهما إنّما تعلّقتا بواحد، والموجب لهما حقيقة إنّما هو الوطء، وإذا استأنفت عدّة كاملة ظهرت براءة الرحم، ولا ينافي ذلك إطلاق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عدم تداخل العدّتين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انسياق التعدّد منه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رجع عنه بعد ذلك، وذهب إلى التفصيل بين اختلاف السبب من الرجل الواحد، كما لو طلّقها ثمّ وطأها شبهة، فلا تداخل، وبين اتّحاد السبب من الواحد، كما لو وطأها شبهة مرّتين، فتتداخلان،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طلّقها بائناً ثمّ وطأها لشبهة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نعرف القائل به قبل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تتداخل العدّتان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الشيخ وابن إدريس، فلا تتداخل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الموجب لها في الفرض حقيقة الوطء، بل هو والطلاق، وكلّ منهما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تعدّد الوطء من المشتبه اجتزئ بعدّة كاملة للأخير؛ لكون الموجب لها حقيقة هو الوطء، فالأقوى حينئذٍ عدم التداخل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إلى هذا القول في كلامه المتقدّم في الناصريّات</w:t>
      </w:r>
      <w:r>
        <w:rPr>
          <w:rStyle w:val="FootnoteAnchor"/>
          <w:rtl w:val="true"/>
        </w:rPr>
        <w:footnoteReference w:id="280"/>
      </w:r>
      <w:r>
        <w:rPr>
          <w:rFonts w:ascii="Amiri" w:hAnsi="Amiri" w:eastAsia="Amiri" w:cs="Amiri"/>
          <w:color w:val="111111"/>
          <w:sz w:val="28"/>
          <w:sz w:val="28"/>
          <w:szCs w:val="28"/>
          <w:rtl w:val="true"/>
          <w:lang w:bidi="ar-SA"/>
        </w:rPr>
        <w:t>فإنّ استدلاله يقتضي التزامه بعدم التداخل فيما لو كانت العدّتان لشخصين، فلاحظ</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يتطرّق في كتبه الموجودة إلى فرض اجتماعهما من واحد</w:t>
      </w:r>
      <w:r>
        <w:rPr>
          <w:rFonts w:eastAsia="Amiri" w:cs="Amiri" w:ascii="Amiri" w:hAnsi="Amiri"/>
          <w:color w:val="111111"/>
          <w:sz w:val="28"/>
          <w:szCs w:val="28"/>
          <w:rtl w:val="true"/>
          <w:lang w:bidi="ar-SA"/>
        </w:rPr>
        <w:t xml:space="preserve">. </w:t>
      </w:r>
      <w:bookmarkStart w:id="339" w:name="pg9167_80267"/>
    </w:p>
    <w:p>
      <w:pPr>
        <w:pStyle w:val="BookText"/>
        <w:rPr/>
      </w:pPr>
      <w:bookmarkEnd w:id="339"/>
      <w:r>
        <w:rPr>
          <w:rFonts w:ascii="Amiri" w:hAnsi="Amiri" w:eastAsia="Amiri" w:cs="Amiri"/>
          <w:color w:val="111111"/>
          <w:sz w:val="28"/>
          <w:sz w:val="28"/>
          <w:szCs w:val="28"/>
          <w:rtl w:val="true"/>
          <w:lang w:bidi="ar-SA"/>
        </w:rPr>
        <w:t xml:space="preserve">وكذا الحال فيما ذكره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يظهر من كلامه في موضعين من المهذّب الالتزام بعدم التداخل إذا كانتا لشخصين،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 على امرأة عدّتان، وكانت هي والزوج جاهلين، أو كان الزوج جاهلاً، وكانت غير حامل، تعتدّ بالأقراء أو بالشهور، فإنّها تكمل عدّة الأوّل، ثمّ تعتدّ عن الثاني</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قوله في مسألة زوجة الصبيّ الموطوءة شبهة إذا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يصحّ أن تكون معتدّة عن رجلين في حالة واحدة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أيضاً لم يتطرّق إلى فرض اجتماعهما من شخص واحد وإن كان آخر كلامه مشعراً بالتداخل فيه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770023_2870459653"/>
      <w:bookmarkStart w:id="341" w:name="_Toc134"/>
      <w:bookmarkEnd w:id="340"/>
      <w:r>
        <w:rPr>
          <w:rtl w:val="true"/>
        </w:rPr>
        <w:t>القول الرابع</w:t>
      </w:r>
      <w:bookmarkEnd w:id="341"/>
    </w:p>
    <w:p>
      <w:pPr>
        <w:pStyle w:val="BookText"/>
        <w:rPr/>
      </w:pPr>
      <w:r>
        <w:rPr>
          <w:rFonts w:ascii="Amiri" w:hAnsi="Amiri" w:eastAsia="Amiri" w:cs="Amiri"/>
          <w:color w:val="111111"/>
          <w:sz w:val="28"/>
          <w:sz w:val="28"/>
          <w:szCs w:val="28"/>
          <w:rtl w:val="true"/>
          <w:lang w:bidi="ar-SA"/>
        </w:rPr>
        <w:t xml:space="preserve">تفصيل مفاده أنّ العدّتين إذا اجتمعتا في مورد التزويج بالمعتدّة فلا تداخل، وتتداخلان في غير ذلك من موارد الاجتماع، وهو ظاهر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المسائل، وتقدّم نقل كلامه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3770025_2870459653"/>
      <w:bookmarkStart w:id="343" w:name="_Toc135"/>
      <w:bookmarkEnd w:id="342"/>
      <w:r>
        <w:rPr>
          <w:rtl w:val="true"/>
        </w:rPr>
        <w:t>القول الخامس</w:t>
      </w:r>
      <w:bookmarkEnd w:id="3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العدّتين إذا كانتا في مورد التزويج بالمعتدّة فلا تداخل مطلقاً، وأمّا في مورد التزويج بذات البعل فيفرّق بين اجتماع عدّة وطء الشبهة مع عدّة الوفاة فلا تداخل، وبين اجتماع عدّة وطء الشبهة مع عدّة الطلاق فتتداخلان، وهو مذهب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جمع الموارد الثلاثة التي تقدّمت من </w:t>
      </w:r>
      <w:bookmarkStart w:id="344" w:name="pg9167_80268"/>
    </w:p>
    <w:p>
      <w:pPr>
        <w:pStyle w:val="BookText"/>
        <w:rPr/>
      </w:pPr>
      <w:bookmarkEnd w:id="344"/>
      <w:r>
        <w:rPr>
          <w:rFonts w:ascii="IRNazanin" w:hAnsi="IRNazanin" w:eastAsia="IRNazanin"/>
          <w:color w:val="111111"/>
          <w:sz w:val="28"/>
          <w:sz w:val="28"/>
          <w:szCs w:val="28"/>
          <w:rtl w:val="true"/>
          <w:lang w:bidi="fa-IR"/>
        </w:rPr>
        <w:t>المقنع</w:t>
      </w:r>
      <w:r>
        <w:rPr>
          <w:rStyle w:val="FootnoteAnchor"/>
          <w:rtl w:val="true"/>
        </w:rPr>
        <w:footnoteReference w:id="284"/>
      </w:r>
      <w:r>
        <w:rPr>
          <w:rFonts w:ascii="Amiri" w:hAnsi="Amiri" w:eastAsia="Amiri" w:cs="Amiri"/>
          <w:color w:val="111111"/>
          <w:sz w:val="28"/>
          <w:sz w:val="28"/>
          <w:szCs w:val="28"/>
          <w:rtl w:val="true"/>
          <w:lang w:bidi="ar-SA"/>
        </w:rPr>
        <w:t xml:space="preserve">، بل يمكن نسبته إلى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احتماله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هو مختار الشيخ الحرّ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 من تزوّج بامرأة ذات بعل حرّمت عليه مؤبّداً إن كان عالماً أو دخل، وإلّا فلا، بل العقد باطل وعليها عدّة واحدة إن فارقها الأوّل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الباب الذي يليه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 من تزوّج امرأةً في عدّتها من طلاق أو وفاة عالماً أو دخل حرّمت عليه مؤبّداً، وإلّا فلا، بل العقد باطل، فإن كان أحدهما عالماً حرم عليه خاصّةً بغير دخول، ويجب المهر مع الدخول والجهل، ويجب عليها إتمام العدّة واستئناف أخرى إن كان دخل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 يصرّح في الباب الأوّل بأنّ ذات البعل إذا تزوّجت ودخل بها ثمّ مات بعلها هل تتداخل عليها العدّتان أم لا؟</w:t>
      </w:r>
    </w:p>
    <w:p>
      <w:pPr>
        <w:pStyle w:val="Heading4"/>
        <w:numPr>
          <w:ilvl w:val="3"/>
          <w:numId w:val="1"/>
        </w:numPr>
        <w:rPr/>
      </w:pPr>
      <w:bookmarkStart w:id="345" w:name="__RefHeading___Toc3770027_2870459653"/>
      <w:bookmarkStart w:id="346" w:name="_Toc136"/>
      <w:bookmarkEnd w:id="345"/>
      <w:r>
        <w:rPr>
          <w:rtl w:val="true"/>
        </w:rPr>
        <w:t>القول السادس</w:t>
      </w:r>
      <w:bookmarkEnd w:id="3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التفصیل بین ما لو وطئت المعتدّة من الوفاة شبهةً فلا تتداخل العدّتان، وتتداخلان في ما لو كانت معتدّة من الطلاق فوطئت شبهةً، أو وطئت شبهة فطلّقها زوجها، أو مات عنها، وهو ما ذهب إليه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بحثه على العروة، فقد جاء في المباني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فالذي يتحصّل ممّا تقدّم كلّه أنّ مقتضى ملاحظة النصوص والقاعدة في المقام هو الالتزام بالتداخل في فروض ثلاثة من </w:t>
      </w:r>
    </w:p>
    <w:p>
      <w:pPr>
        <w:pStyle w:val="BookText"/>
        <w:rPr/>
      </w:pPr>
      <w:r>
        <w:rPr>
          <w:rFonts w:ascii="Amiri" w:hAnsi="Amiri" w:eastAsia="Amiri" w:cs="Amiri"/>
          <w:color w:val="111111"/>
          <w:sz w:val="28"/>
          <w:sz w:val="28"/>
          <w:szCs w:val="28"/>
          <w:rtl w:val="true"/>
          <w:lang w:bidi="ar-SA"/>
        </w:rPr>
        <w:t>فروض المسألة الأربعة، وهي ما لو دخلت عدّة وطء الشبهة على عدّة الطلاق، أو دخلت عدّة الطلاق على عدّة وطء الشبهة، أو دخلت عدّة الوفاة على عدّة وطء الشبهة، والالتزام في فرض واحد خاصّة هو دخول عدّة وطء الشبهة على عدّة الوفاة بعدم التداخل ولزوم التعدّد</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أوهمت تعليقته على العروة تفصيلاً آخر،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من فصل التزويج بالمعتدة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عدّة وطء الشبهة مع التزويج أو لا معه وعدّة الطّلاق أو الوفاة أو نحوهما، فهل تتداخل العدّتان، أو يجب التعدّد؟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الثاني، وهو الأحوط وإن كان الأوّل لا يخلو عن قوّة؛ حملاً للأخبار الدالّة على التعدّد على التقيّة، بشهادة خبر زرارة وخبر يونس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للحمل على التقيّة، والظاهر هو التفصيل بين عدّة الوفاة وغيرها بالالتزام بالتعدّد في الأُولى والتداخل في الثانية؛ وذلك لأنّ الروايات على طوائف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عدم التداخل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التداخل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التداخل في خصوص الموت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النسبة بين الطائفة الثالثة والطائفة الثانية عموم مطلق فتقيّد الطائفة الثالثة إطلاق الطائفة الثانية، وبعد ذلك تنقلب النسبة بين الطائفة الثانية والطائفة الأولى فتصبح الطائفة الثانية أخصّ من الطائفة الأُولىٰ فتقيّد إطلاقها، فالنتيجة هي </w:t>
      </w:r>
      <w:bookmarkStart w:id="347" w:name="pg9167_80270"/>
    </w:p>
    <w:p>
      <w:pPr>
        <w:pStyle w:val="BookText"/>
        <w:rPr/>
      </w:pPr>
      <w:bookmarkEnd w:id="347"/>
      <w:r>
        <w:rPr>
          <w:rFonts w:ascii="Amiri" w:hAnsi="Amiri" w:eastAsia="Amiri" w:cs="Amiri"/>
          <w:color w:val="111111"/>
          <w:sz w:val="28"/>
          <w:sz w:val="28"/>
          <w:szCs w:val="28"/>
          <w:rtl w:val="true"/>
          <w:lang w:bidi="ar-SA"/>
        </w:rPr>
        <w:t>عدم التداخل في خصوص الموت والتداخل في غير الموت، فإذن لا معارضة بين الروايات</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وعبارته بإطلاقها توهم أنّ الحكم بعدم التداخل ثابت في اجتماع 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الوفاة سواء أكانت هي الداخلة على عدّة الشبهة أم كانت مدخولة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التوهّم يرتفع بملاحظة تعليقته التالية للتعليقة الآنفة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أنّه لا تعدّد إلّا فيما إذا كان الوطء بشبهة في عدّة الوفاة ولا بدّ فيه من إتمام عدّة الوفاة أوّلاً ثمّ الاعتداد بعدّة الوطء بالشبهة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فخصّ الحكم بعدم التداخل بما لو تأخّرت عدّة الشبهة ودخلت على عدّة الوفاة دون العكس، وهي نفس نتيجة بحثه في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تمام الكلام في كلمات فقهائنا وأقوالهم، وأمّا فقهاء العامّة فتفصيل آرائهم كالآتي</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770029_2870459653"/>
      <w:bookmarkStart w:id="349" w:name="_Toc137"/>
      <w:bookmarkEnd w:id="348"/>
      <w:r>
        <w:rPr>
          <w:rtl w:val="true"/>
        </w:rPr>
        <w:t>كلمات فقهاء العامّة وأقوالهم</w:t>
      </w:r>
      <w:bookmarkEnd w:id="349"/>
    </w:p>
    <w:p>
      <w:pPr>
        <w:pStyle w:val="BookText"/>
        <w:rPr/>
      </w:pPr>
      <w:r>
        <w:rPr>
          <w:rFonts w:ascii="IRNazanin" w:hAnsi="IRNazanin" w:eastAsia="IRNazanin"/>
          <w:color w:val="111111"/>
          <w:sz w:val="28"/>
          <w:sz w:val="28"/>
          <w:szCs w:val="28"/>
          <w:rtl w:val="true"/>
          <w:lang w:bidi="fa-IR"/>
        </w:rPr>
        <w:t xml:space="preserve">يظهر من بعض أخبار العامّة أنّ القول بعدم التداخل منسوب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قضى في التي تزوّج في عدّتها بالتفريق بينهما، ولها الصداق بما استحلّ من فرجها، وتكمل ما أفسدت من عدّة الأوّل، وتعتدّ من الآخر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رووا ذلك عن عمر، فقد روى مالك عن ابن شهاب، عن سعيد بن المسيّب </w:t>
      </w:r>
    </w:p>
    <w:p>
      <w:pPr>
        <w:pStyle w:val="BookText"/>
        <w:rPr/>
      </w:pPr>
      <w:r>
        <w:rPr>
          <w:rFonts w:ascii="Amiri" w:hAnsi="Amiri" w:eastAsia="Amiri" w:cs="Amiri"/>
          <w:color w:val="111111"/>
          <w:sz w:val="28"/>
          <w:sz w:val="28"/>
          <w:szCs w:val="28"/>
          <w:rtl w:val="true"/>
          <w:lang w:bidi="ar-SA"/>
        </w:rPr>
        <w:t>وسليمان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طليحة كانت تحت رشيد الثقفيّ، فطلّقها ونكحها غيره، فضربها عمر بن الخطّاب وضرب زوجها ضربات بمخفقة، وفرّق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في عدّتها فإن كان زوجها الذي تزوّجها لم يدخل بها فرّق بينهما، ثمّ اعتدّت بقيّة عدّتها من زوجها الأوّل، وكان خاطباً من الخطّاب، وإن كان دخل بها فرّق بينهما، ثمّ اعتدّت بقيّة عدّتها من الأوّل، ثمّ اعتدّت من الآخر، ولا ينكحها أبداً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السرخسيّ إلى معاذ بن جبل القول بتداخل العدّتين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أخبارنا أنّ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رواة الحديث المشهورين عندهم</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يفتي بعدم تداخل العدّتين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أبو حنيفة ومالك إلى التداخل، فقد ذكر السرخسيّ الحنفيّ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تزوّجت المرأة المعتدّة من الطلاق برجل، ودخل بها، ففرّق بينهما، فعليها عدّة واحدة من الأوّل والآخر ثلاث حِيَض، وهو مذهبنا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 القاسانيّ الحنفيّ في بدائع الصنائع أعمّ،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ينبني العدّتان إذا وجبتا أنّهما يتداخلان، سواء كانتا من جنس واحد أو من جنسين، </w:t>
      </w:r>
    </w:p>
    <w:p>
      <w:pPr>
        <w:pStyle w:val="BookText"/>
        <w:rPr/>
      </w:pPr>
      <w:r>
        <w:rPr>
          <w:rFonts w:ascii="Amiri" w:hAnsi="Amiri" w:eastAsia="Amiri" w:cs="Amiri"/>
          <w:color w:val="111111"/>
          <w:sz w:val="28"/>
          <w:sz w:val="28"/>
          <w:szCs w:val="28"/>
          <w:rtl w:val="true"/>
          <w:lang w:bidi="ar-SA"/>
        </w:rPr>
        <w:t>وصورة الجنس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تزوّجت في عدّتها فوطأها الزوج، ثمّ تتاركا حتّى وجبت عليها عدّة أخرى، فإنّ العدّتين تتداخلان عندنا، وصورة الجنسين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وإذا وطئت بشبهة تداخلت أيضاً، وتعتدّ بما رأته من الحيض في الأشهر من عدّة الوطء عندنا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المدوّنة الكبرى التي يَنقل فيها سحنون آراء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المرأة يطلّقها زوجها طلاقاً بائناً بخلع، فتزوّجت في عدّتها، فعلم بذلك، وفرّق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يقول الثلاث حيض تجزي من الزوجين جميعاً من يوم دخل بها الآخر، ويقول قد جاء عن عمر ما قد جاء، يريد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بقيّة عدّتها من الأوّل، ثمّ تعتدّ من الآخر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يظهر من عيون المسائل للثعلبيّ المالكيّ وبداية المجتهد وجود الاختلاف في النقل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عن مالك في المرأة إذا تزوّجت في العدّة ودخل بها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بقيّة الأوّل، وتستأنف من الثاني، كانت بالأقراء أو الشهور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الثاني، ويجزئها عن بقيّة الأولى، إلّا أن تكون حاملاً فبالوضع تنقضي العدّتان، كان الحمل للأوّل أو للثاني</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تزوّجت ثانياً في العدّة فعن مالك في ذلك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تداخل العدّتين، والأخرى نفيه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أحمد بن حنبل والشافعيّ إلى عدم التداخل، فقد ذكر ابن قدامة الحنبليّ في شرحه مسألة من مختصر الخرقيّ المؤلّف على مذهب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أو مات عنها فلم تنقض عدّتها حتّى تزوّجت من أصابها فرّق بينهما، وبنت على ما مضى من عدّة الأوّل، ثمّ استقبلت العدّة من الثاني</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الطالبين للنوويّ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العدّتان 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معتدّة لزيد عن طلاق أو وفاة أو شبهة أو نكحها جاهلاً ووطئها أو كانت المنكوحة معتدّة عن وطء شبهة فطلّقها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تداخل، بل تعتدّ عن كلّ واحد عدّة كاملة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ويتلخّص من جميع ما تقدّم أنّ القول بعدم تداخل العدّتين منسوب عندهم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عمر، وهو قول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النقلين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ابن حنبل والشافعيّ، وأمّا القول بالتداخل فقد نُسب إلى معاذ بن جبل، وهو قول أبي حنيفة وكذا مالك في نقل آخر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 فالكلام يقع في الأصل ومقتضى القاعدة على فرض فقدان الدليل</w:t>
      </w:r>
      <w:r>
        <w:rPr>
          <w:rFonts w:eastAsia="Amiri" w:cs="Amiri" w:ascii="Amiri" w:hAnsi="Amiri"/>
          <w:color w:val="111111"/>
          <w:sz w:val="28"/>
          <w:szCs w:val="28"/>
          <w:rtl w:val="true"/>
          <w:lang w:bidi="ar-SA"/>
        </w:rPr>
        <w:t xml:space="preserve">. </w:t>
      </w:r>
      <w:bookmarkStart w:id="350" w:name="pg9167_80274"/>
    </w:p>
    <w:p>
      <w:pPr>
        <w:pStyle w:val="Heading3"/>
        <w:numPr>
          <w:ilvl w:val="2"/>
          <w:numId w:val="1"/>
        </w:numPr>
        <w:rPr/>
      </w:pPr>
      <w:bookmarkStart w:id="351" w:name="__RefHeading___Toc3770031_2870459653"/>
      <w:bookmarkStart w:id="352" w:name="_Toc138"/>
      <w:bookmarkEnd w:id="350"/>
      <w:bookmarkEnd w:id="351"/>
      <w:r>
        <w:rPr>
          <w:rtl w:val="true"/>
        </w:rPr>
        <w:t>الأصل ومقتضى القاعدة</w:t>
      </w:r>
      <w:bookmarkEnd w:id="352"/>
    </w:p>
    <w:p>
      <w:pPr>
        <w:pStyle w:val="BookText"/>
        <w:rPr/>
      </w:pPr>
      <w:r>
        <w:rPr>
          <w:rFonts w:ascii="Amiri" w:hAnsi="Amiri" w:eastAsia="Amiri" w:cs="Amiri"/>
          <w:color w:val="111111"/>
          <w:sz w:val="28"/>
          <w:sz w:val="28"/>
          <w:szCs w:val="28"/>
          <w:rtl w:val="true"/>
          <w:lang w:bidi="ar-SA"/>
        </w:rPr>
        <w:t xml:space="preserve">تقدّم في كلمات الفقهاء ما يدلّ على استدلالهم لعدم تداخل العدّتين بدلالة الأصل ومقتضى القاعدة على ذلك، ففي الناصريات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العدّة حقّ لكلّ واحد من الزوجين، فلا مداخلة بينهما، وإنّما لم يملك الزوج إسقاط العدّة لأنّ فيها حقّاً لله تعالى، وليست بحقّ خالص للآدميّ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خلاف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فقد ثبت وجوب العدّتين عليها، وتداخلهما يحتاج إلى دليل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بالثاني؛ لأنّهما حكمان، وتداخلهما على خلاف الأصل، فلا بدّ من عدّتين، وهو المعتمد</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عن هذا المضمون بنحوٍ آخر في بعض كلماتهم، ففي جامع المقاصد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تعدّد الأسباب يقتضي تعدّد المسبّبات</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ونحوه تعابير جماعة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الخلاف من ابن إدريس في بعض كتبه، فإنّه وإن وافق في السرائر </w:t>
      </w:r>
    </w:p>
    <w:p>
      <w:pPr>
        <w:pStyle w:val="BookText"/>
        <w:rPr/>
      </w:pPr>
      <w:r>
        <w:rPr>
          <w:rFonts w:ascii="Amiri" w:hAnsi="Amiri" w:eastAsia="Amiri" w:cs="Amiri"/>
          <w:color w:val="111111"/>
          <w:sz w:val="28"/>
          <w:sz w:val="28"/>
          <w:szCs w:val="28"/>
          <w:rtl w:val="true"/>
          <w:lang w:bidi="ar-SA"/>
        </w:rPr>
        <w:t>كلام الشيخ المتقدّم ذكره عن الخلاف الناصّ على كون الأصل هو عدم التداخل، إلّا أنّه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في مختلف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بعض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ذكرها عند ذكر كلمات الفقهاء</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يُفيد كون الأصل هو التداخل، فإنّه بعد ما أفتى بتداخل العِدد على من تزوّجت قبل علمها بموت زوجها ثمّ علمت، علّل ذلك بأنّ أخبار عدم التداخل إنّما وردت في خصوص المعتدّة التي توطأ بشبهة نكاح، وهذا يقتضي التزامه بأنّ الأصل الذي يرجع إليه عند فقدان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سؤال السائل فإنّه خالٍ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أُشكل</w:t>
      </w:r>
      <w:r>
        <w:rPr>
          <w:rStyle w:val="FootnoteAnchor"/>
          <w:rtl w:val="true"/>
        </w:rPr>
        <w:footnoteReference w:id="309"/>
      </w:r>
      <w:r>
        <w:rPr>
          <w:rFonts w:ascii="Amiri" w:hAnsi="Amiri" w:eastAsia="Amiri" w:cs="Amiri"/>
          <w:color w:val="111111"/>
          <w:sz w:val="28"/>
          <w:sz w:val="28"/>
          <w:szCs w:val="28"/>
          <w:rtl w:val="true"/>
          <w:lang w:bidi="ar-SA"/>
        </w:rPr>
        <w:t xml:space="preserve">على اقتضاء الأصل عدم التداخل بأنّه إنّما يكون كذلك حيث يكون المورد قابلاً لجريانه، وأمّا في المقام فيدّعى عدم إمكانه؛ وذلك لأنّ الزمان الواحد غير قابلٍ لامتثال عدّتين مستقلّتين معاً، وحيث إنّ أدلّة وجوب العدد ظاهرة باتّصالها بأسبابها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وطء الشبهة إنّما تجب من حين انكشاف الشبهة مثلاً، وعدّة الطلاق من حين الطلاق، وعدّة الوفاة من حين الوفاة إن كان حاضراً، ومن حين بلوغ الخبر في الغائب من أجل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حينئذٍ لجريان هذا الأصل في محلّ الكلام؛ لأنّه يقتضي انفصال إحدى العدّتين عن سببها، إذ عليه لا تأتي بالعدّة الأُخرى إلّا بعد إتمام الأُولى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أجاب به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عدم معقوليّة التعدّد هنا واضحة المنع؛ ضرورة أنّ العدّة إنّما هي تربّص مدّة من الزمان عن التزويج، والاتّصال </w:t>
      </w:r>
    </w:p>
    <w:p>
      <w:pPr>
        <w:pStyle w:val="BookText"/>
        <w:rPr/>
      </w:pPr>
      <w:r>
        <w:rPr>
          <w:rFonts w:ascii="Amiri" w:hAnsi="Amiri" w:eastAsia="Amiri" w:cs="Amiri"/>
          <w:color w:val="111111"/>
          <w:sz w:val="28"/>
          <w:sz w:val="28"/>
          <w:szCs w:val="28"/>
          <w:rtl w:val="true"/>
          <w:lang w:bidi="ar-SA"/>
        </w:rPr>
        <w:t>بالسبب غير معتبر في مفهومها شرعاً ولا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الأدلّة فوريّتها، فمع فرض التعدّد تكون الفوريّة حينئذٍ على حسب الإمكان بالتعاقب</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غير واضح في الردّ؛ فإنّ الكلام لو كان في عدم المعقوليّة لصحّ الجواب عنه بأنّه لو فرض بأنّ الأصل يقتضي عدم تداخل العدّتين فإنّه رغم ذلك لا يخرج عن المعقوليّة؛ لأنّ الفوريّة والاتّصال بالسبب يعلّق حينئذٍ على الإمكان، فلا ضير حال عدم الإمكان كما في المقام من الالتزام بالتعاقب بين العدّتين، فإنّه بعد ما فرض مسبقاً أنّ الأصل هو عدم التداخل يأتي بعده الكلام في كيفيّة التكييف بينه وبين ظهور الأدلّة في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ينبغي أن يقع فيه الكلام هو مفاد الأصل بعد فرض ظهور الأدلّة في الاتّصال بين السبب وعدّته، فهل يقتضي التداخل أو عدمه؟</w:t>
      </w:r>
    </w:p>
    <w:p>
      <w:pPr>
        <w:pStyle w:val="BookText"/>
        <w:rPr/>
      </w:pPr>
      <w:r>
        <w:rPr>
          <w:rFonts w:ascii="Amiri" w:hAnsi="Amiri" w:eastAsia="Amiri" w:cs="Amiri"/>
          <w:color w:val="111111"/>
          <w:sz w:val="28"/>
          <w:sz w:val="28"/>
          <w:szCs w:val="28"/>
          <w:rtl w:val="true"/>
          <w:lang w:bidi="ar-SA"/>
        </w:rPr>
        <w:t>وفي هذا المقام يمكن أن يدّعى أنّ ظهور الأدلّة في الاتّصال والفوريّة قرينة على إفادته التداخل؛ إذ به يُحفظ الاتّصال بين العدد وأسبابها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ذهب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الأصل في المقام يقتضي التداخل، كما في تكملة العروة ومستمسكها ومبانيها</w:t>
      </w:r>
      <w:r>
        <w:rPr>
          <w:rStyle w:val="FootnoteAnchor"/>
          <w:rtl w:val="true"/>
        </w:rPr>
        <w:footnoteReference w:id="311"/>
      </w:r>
      <w:r>
        <w:rPr>
          <w:rFonts w:ascii="Amiri" w:hAnsi="Amiri" w:eastAsia="Amiri" w:cs="Amiri"/>
          <w:color w:val="111111"/>
          <w:sz w:val="28"/>
          <w:sz w:val="28"/>
          <w:szCs w:val="28"/>
          <w:rtl w:val="true"/>
          <w:lang w:bidi="ar-SA"/>
        </w:rPr>
        <w:t>، وأُضيف في ثانيها شاهد آخر نُبّه عليه في كلماتهم وإن لم يتبنّوه،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العدّة استبراء الرحم من الولد، وهذا المعنى لا يحتاج إلى التعدّد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ومراده أنّ الغرض والعلّة من العدّة هو استبراء الرحم، وهو حاصل بالعدّة المتّصلة بالسبب، فالقول بعدم التداخل ولزوم اعتدادها بعدّةٍ أخرى غير متّصلة بسببها لا يكون دخيلاً في تحقيق ذلك الغرض؛ لأنّه قد تحقّق بالعدّة الأولى، فلا معنى لإيجاب الثانية مستقلّة بتمامها عن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 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الغرض من العدّة استبراء الرحم لم يَثبت كونه بنحو العلّة التي يدور الحكم بوجوب العدّة مدارها، ولذا لا كلام بينهم في وجوبها في طلاق من فارقها زوجها مدّةً لا يُحتمل فيها الحمل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وإن كان ينفي علّيّة استبراء الرحم للعدّة بالمعنى المتقدّم لكنّه لا ينفي حكميتها، والحكمة وإن لم يكن الحكم دائراً مدارها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وجودها في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من عدم انخرامها في موردٍ ما، ولذا لا يوجد مورد واحد من موارد العدد ثبت فيه انتفاء هذه الحكمة، فلاحظ</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معنى آخر تطلق عليه الحكمة أيضاً ليس هو المقصود في محلّ الكلام، ويراد منه اشتمال أغلب الأفراد عليها، فهي قد تتخلّف عن بعض الموارد، ولعلّ أبرز ما يدلّ على اعتبار الاستبراء معتبرة زرارة الآتية في أخبار التداخل الواردة في اجتماع عدّتين الدالّة على أنّ ملاك الحكم في المقام ومناطه هو الاستبراء،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حكم فيها بتداخل العدّتين قال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تستبرئ رحمها بثلاثة قروءٍ تُحلّها للناس </w:t>
      </w:r>
    </w:p>
    <w:p>
      <w:pPr>
        <w:pStyle w:val="BookText"/>
        <w:rPr/>
      </w:pP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الغرض هو استبراء الرحم فإنّما يسلّم في عدّة وطء الشبهة دون عدّة الوفاة التي تختلف عنها في المدّة، ووجوب الحداد فيها، وعدم انقضائها بوضع الحامل حملها، بل حتّى في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وجود الكلام في كون المطلّقة في الطلاق الرجعيّ هل هي زوجة حقيقةً أو حكماً في زمن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يُشكّك في أنّ تمام الغرض منها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كونه تمام الغرض في البائن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وإن كان يصلح إيراداً عمّا في المستمسك؛ لإطلاقه كون الغرض من العدد الاستبراء، لكنّه رغم ذلك لا ينافي كون الأصل هو التداخل؛ وذلك لأنّه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نحتاج لجعل الأصل في المقام التداخل سوى إحراز كون الغرض من عدّة وطء الشبهة هو استبراء الرحم من الولد، فإنّ الجامع المشترك بين الفروض المتصوّرة لاجتماع العدد هو عدّة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تارةً تجتمع مع نفسها، كما لو اجتمع على المرأة عدّتان من وطأين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تجتمع مع عدّة الطلاق، كما في المعتدّة من الطلاق التي توطأ شبهةً، أو ذات البعل إذا وطِئت شبهة وطلّقها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مع عدّة الوفاة، كالتي تُوطأ شبهة قبل إكمالها عدّة الوفاة، أو من توفّي عنها زوجها بعد أن وُطئت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عدّتي الطلاق والوفاة حتّى لو فرض أنّ لهما غرضاً خاصّاً، إلّا أنّ كلّ واحدةٍ منهما لا تجتمع إلّا مع عدّة وطء الشبهة التي لا يكون الغرض منها إلّا استبراء الرحم من الولد، فيكون هذا الغرض حاصلاً </w:t>
      </w:r>
      <w:bookmarkStart w:id="353" w:name="pg9167_80279"/>
    </w:p>
    <w:p>
      <w:pPr>
        <w:pStyle w:val="BookText"/>
        <w:rPr/>
      </w:pPr>
      <w:bookmarkEnd w:id="353"/>
      <w:r>
        <w:rPr>
          <w:rFonts w:ascii="Amiri" w:hAnsi="Amiri" w:eastAsia="Amiri" w:cs="Amiri"/>
          <w:color w:val="111111"/>
          <w:sz w:val="28"/>
          <w:sz w:val="28"/>
          <w:szCs w:val="28"/>
          <w:rtl w:val="true"/>
          <w:lang w:bidi="ar-SA"/>
        </w:rPr>
        <w:t>بمجرّد مضيّ عدّة الطلاق أو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عدّة وطء الشبهة حاصل قهراً، ولا ينافي الأغراض التي يمكن أن تتصوّر لبقيّة العِدد التي تجتمع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عموم ما تقدّم يظهر أنّ الذي ينبغي أن يصار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لبعض الفقهاء القريبين من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الأصل في المقام يدلّ على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فتصل النوبة إلى استعراض الأدلّة المتعلّقة بهذه المسألة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770033_2870459653"/>
      <w:bookmarkStart w:id="355" w:name="_Toc139"/>
      <w:bookmarkEnd w:id="354"/>
      <w:r>
        <w:rPr>
          <w:rtl w:val="true"/>
        </w:rPr>
        <w:t>الأدلّة</w:t>
      </w:r>
      <w:bookmarkEnd w:id="355"/>
    </w:p>
    <w:p>
      <w:pPr>
        <w:pStyle w:val="Heading4"/>
        <w:numPr>
          <w:ilvl w:val="3"/>
          <w:numId w:val="1"/>
        </w:numPr>
        <w:rPr/>
      </w:pPr>
      <w:bookmarkStart w:id="356" w:name="__RefHeading___Toc3770035_2870459653"/>
      <w:bookmarkStart w:id="357" w:name="_Toc140"/>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أمّا الأخبار في المقام فمنها ما يدلّ على التداخل، ومنها ما يدلّ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من الأخبار على عدم التداخل</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770037_2870459653"/>
      <w:bookmarkStart w:id="359" w:name="_Toc141"/>
      <w:bookmarkEnd w:id="358"/>
      <w:r>
        <w:rPr>
          <w:rtl w:val="true"/>
        </w:rPr>
        <w:t>الأُولى</w:t>
      </w:r>
      <w:bookmarkEnd w:id="359"/>
    </w:p>
    <w:p>
      <w:pPr>
        <w:pStyle w:val="BookText"/>
        <w:rPr/>
      </w:pPr>
      <w:r>
        <w:rPr>
          <w:rFonts w:ascii="IRNazanin" w:hAnsi="IRNazanin" w:eastAsia="IRNazanin"/>
          <w:color w:val="111111"/>
          <w:sz w:val="28"/>
          <w:sz w:val="28"/>
          <w:szCs w:val="28"/>
          <w:rtl w:val="true"/>
          <w:lang w:bidi="fa-IR"/>
        </w:rPr>
        <w:t xml:space="preserve">موثّقة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يتزوّج المرأة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دخل بها فرّق بينهما، ولم تحلّ له أبداً، وأتمّت عدّتها من الأوّل وعدّةً أخرى من الآخر، وإن لم يكن دخل بها فرّق بينهما، وأتمّت عدّتها من الأوّل، وكان خاطباً من الخطّاب</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منها بطلان العقد الواقع على المعتدّة، ووجوب إتمام العدّة التي كانت قد ابتدأت بها من زوجها الأوّل، والإتيان بعدّة أخرى من الثاني إذا كان داخلاً بها، فهي ظاهرة في تعدّد العدّتين، وعدم تداخلهما عليها</w:t>
      </w:r>
      <w:r>
        <w:rPr>
          <w:rFonts w:eastAsia="Amiri" w:cs="Amiri" w:ascii="Amiri" w:hAnsi="Amiri"/>
          <w:color w:val="111111"/>
          <w:sz w:val="28"/>
          <w:szCs w:val="28"/>
          <w:rtl w:val="true"/>
          <w:lang w:bidi="ar-SA"/>
        </w:rPr>
        <w:t xml:space="preserve">. </w:t>
      </w:r>
      <w:bookmarkStart w:id="360" w:name="pg9167_80280"/>
    </w:p>
    <w:p>
      <w:pPr>
        <w:pStyle w:val="Heading4"/>
        <w:numPr>
          <w:ilvl w:val="3"/>
          <w:numId w:val="1"/>
        </w:numPr>
        <w:rPr/>
      </w:pPr>
      <w:bookmarkStart w:id="361" w:name="__RefHeading___Toc3770039_2870459653"/>
      <w:bookmarkStart w:id="362" w:name="_Toc142"/>
      <w:bookmarkEnd w:id="360"/>
      <w:bookmarkEnd w:id="361"/>
      <w:r>
        <w:rPr>
          <w:rtl w:val="true"/>
        </w:rPr>
        <w:t>الثانية</w:t>
      </w:r>
      <w:bookmarkEnd w:id="362"/>
    </w:p>
    <w:p>
      <w:pPr>
        <w:pStyle w:val="BookText"/>
        <w:rPr/>
      </w:pPr>
      <w:r>
        <w:rPr>
          <w:rFonts w:ascii="IRNazanin" w:hAnsi="IRNazanin" w:eastAsia="IRNazanin"/>
          <w:color w:val="111111"/>
          <w:sz w:val="28"/>
          <w:sz w:val="28"/>
          <w:szCs w:val="28"/>
          <w:rtl w:val="true"/>
          <w:lang w:bidi="fa-IR"/>
        </w:rPr>
        <w:t>رواية عليّ بن بشير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في عدّتها، ولم يعلم، وكانت هي قد علمت أنّه بقي من عدّتها، وأنّه قذفها بعد علمه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علمت أنّ الذي صنعت محرّم عليها فقدمت على ذلك فإنّ عليها الحدّ حدّ الزّاني، ولا أرى على زوجها حين قذفها شيئاً، وإن فعلت ذلك بجهالة منها ثمّ قذفها بالزنى ضرب قاذفها الحدّ وفرّق بينهما، وتعتدّ ما بقي من عدّتها الأولى، وتعتدّ بعد ذلك عدّةً كاملةً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جماعة ضعف سندها</w:t>
      </w:r>
      <w:r>
        <w:rPr>
          <w:rStyle w:val="FootnoteAnchor"/>
          <w:rtl w:val="true"/>
        </w:rPr>
        <w:footnoteReference w:id="316"/>
      </w:r>
      <w:r>
        <w:rPr>
          <w:rFonts w:ascii="Amiri" w:hAnsi="Amiri" w:eastAsia="Amiri" w:cs="Amiri"/>
          <w:color w:val="111111"/>
          <w:sz w:val="28"/>
          <w:sz w:val="28"/>
          <w:szCs w:val="28"/>
          <w:rtl w:val="true"/>
          <w:lang w:bidi="ar-SA"/>
        </w:rPr>
        <w:t>، قال في الملاذ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ويحتمل الصحّة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مع أنّ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أحمد بن يحيى، عن العبّاس والهيثم، عن الحسن بن محبوب، عن ابن رئاب، عن عليّ بن 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فالعبّاس هو ابن معروف، والهيثم هو ابن أبي مسروق النهديّ، وكلّ من وقع في هذا السند موثّق، ولذا فقد اعتمد عليها السيّد الخوئيّ واعتبرها</w:t>
      </w:r>
      <w:r>
        <w:rPr>
          <w:rStyle w:val="FootnoteAnchor"/>
          <w:rtl w:val="true"/>
        </w:rPr>
        <w:footnoteReference w:id="318"/>
      </w:r>
      <w:r>
        <w:rPr>
          <w:rFonts w:ascii="Amiri" w:hAnsi="Amiri" w:eastAsia="Amiri" w:cs="Amiri"/>
          <w:color w:val="111111"/>
          <w:sz w:val="28"/>
          <w:sz w:val="28"/>
          <w:szCs w:val="28"/>
          <w:rtl w:val="true"/>
          <w:lang w:bidi="ar-SA"/>
        </w:rPr>
        <w:t>، ولكن يظهر من تعبير السيّد الحكيم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الصحيح عن عليّ بن رئاب، عن عليّ بن بشير النبّال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أنّ جهة الإشكال فيها هو عليّ بن بشير النبّال، ولعلّه من جهة أنّ ابني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bookmarkStart w:id="363" w:name="pg9167_80281"/>
    </w:p>
    <w:p>
      <w:pPr>
        <w:pStyle w:val="BookText"/>
        <w:rPr/>
      </w:pPr>
      <w:bookmarkEnd w:id="363"/>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موثّقين صريحاً عند النجاشيّ</w:t>
      </w:r>
      <w:r>
        <w:rPr>
          <w:rStyle w:val="FootnoteAnchor"/>
          <w:rtl w:val="true"/>
        </w:rPr>
        <w:footnoteReference w:id="320"/>
      </w:r>
      <w:r>
        <w:rPr>
          <w:rFonts w:ascii="IRNazanin" w:hAnsi="IRNazanin" w:eastAsia="IRNazanin"/>
          <w:color w:val="111111"/>
          <w:sz w:val="28"/>
          <w:sz w:val="28"/>
          <w:szCs w:val="28"/>
          <w:rtl w:val="true"/>
          <w:lang w:bidi="fa-IR"/>
        </w:rPr>
        <w:t xml:space="preserve">إلّا أنّ طريقه إلى كتاب محمّد بن بشير يكشف عن كونه من مشايخ أحمد بن محمّد بن خالد، فيكون من رواة الطبقة السادسة، فكيف يمكن أن يروي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مضافاً إلى عدم ذكره أنّ لقبهما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حين أنّ الوارد هو لقب النبّال في المقام، ومن لقّب به في الأخبار وكتب الرجال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أبيهم بشير الذي يروي عن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إسحاق بن بشير النبّال، وقد عدّ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وعليّ بن بشير النبّال، ولم ترو له في الكتب الحديثية غير هذه الرواية، ويحيى بن بشير النبّال، وله روايتان بواسطة واحدة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فيظهر أنّ عليّ بن بشير النبّال الذي يروي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في هذه الرواية غير من وثّقه النجاشيّ في ترجمة أخيه، فهو مهمل في كتب الرجال، ولا يمكن الاعتماد على روايته</w:t>
      </w:r>
      <w:r>
        <w:rPr>
          <w:rFonts w:eastAsia="IRNazanin" w:cs="IRNazanin"/>
          <w:color w:val="111111"/>
          <w:sz w:val="28"/>
          <w:szCs w:val="28"/>
          <w:rtl w:val="true"/>
          <w:lang w:bidi="fa-IR"/>
        </w:rPr>
        <w:t>.</w:t>
      </w:r>
    </w:p>
    <w:p>
      <w:pPr>
        <w:pStyle w:val="Heading4"/>
        <w:numPr>
          <w:ilvl w:val="3"/>
          <w:numId w:val="1"/>
        </w:numPr>
        <w:rPr/>
      </w:pPr>
      <w:bookmarkStart w:id="364" w:name="__RefHeading___Toc3770041_2870459653"/>
      <w:bookmarkStart w:id="365" w:name="_Toc143"/>
      <w:bookmarkEnd w:id="364"/>
      <w:r>
        <w:rPr>
          <w:rtl w:val="true"/>
        </w:rPr>
        <w:t>الثالثة</w:t>
      </w:r>
      <w:bookmarkEnd w:id="3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المرأة الحبلى يتوفّى عنها زوجها، فتضع وتزوّج قبل أن تعتدّ أربعة أشهر وعشراً،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الذي تزوّجها دخل بها فرّق بينهما، ولم تحلّ له أبداً، واعتدّت بما بقي عليها من عدّة الأوّل، </w:t>
      </w:r>
      <w:bookmarkStart w:id="366" w:name="pg9167_80282"/>
    </w:p>
    <w:p>
      <w:pPr>
        <w:pStyle w:val="BookText"/>
        <w:rPr/>
      </w:pPr>
      <w:bookmarkEnd w:id="366"/>
      <w:r>
        <w:rPr>
          <w:rFonts w:ascii="Amiri" w:hAnsi="Amiri" w:eastAsia="Amiri" w:cs="Amiri"/>
          <w:color w:val="111111"/>
          <w:sz w:val="28"/>
          <w:sz w:val="28"/>
          <w:szCs w:val="28"/>
          <w:rtl w:val="true"/>
          <w:lang w:bidi="ar-SA"/>
        </w:rPr>
        <w:t>واستقبلت عدّةً أخرى من الآخر ثلاثة قروء، وإن لم يكن دخل بها فرّق بينهما، وأتمّت ما بقي من عدّتها، وهو خاطب من الخطّاب</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بسندين غير ما تقدّم في موضع آخر</w:t>
      </w:r>
      <w:r>
        <w:rPr>
          <w:rStyle w:val="FootnoteAnchor"/>
          <w:rtl w:val="true"/>
        </w:rPr>
        <w:footnoteReference w:id="325"/>
      </w:r>
      <w:r>
        <w:rPr>
          <w:rFonts w:ascii="Amiri" w:hAnsi="Amiri" w:eastAsia="Amiri" w:cs="Amiri"/>
          <w:color w:val="111111"/>
          <w:sz w:val="28"/>
          <w:sz w:val="28"/>
          <w:szCs w:val="28"/>
          <w:rtl w:val="true"/>
          <w:lang w:bidi="ar-SA"/>
        </w:rPr>
        <w:t>باختلاف يسير، فقد جاء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تزوّجها دخل بها فرّق بينهما، واعتدّت ما بقي من عدّتها الأولى، وعدّةً أخرى من الأخير، وإن لم يكن دخل بها فرّق بينهما، واعتدّت ما بقي من عدّتها،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التعبيرين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واعتدّت بما بقي عليها من عدّة الأوّل، واستقبلت عدّةً أخرى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واعتدّت ما بقي من عدّتها الأولى، وعدّةً أخرى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الانفصال بين العدّتين، وعدم تداخلهما إذا تزوّجت في عدّة الوفاة ودخل بها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3770043_2870459653"/>
      <w:bookmarkStart w:id="368" w:name="_Toc144"/>
      <w:bookmarkEnd w:id="367"/>
      <w:r>
        <w:rPr>
          <w:rtl w:val="true"/>
        </w:rPr>
        <w:t>الرابعة</w:t>
      </w:r>
      <w:bookmarkEnd w:id="3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الحلبيّ أو حسنته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الحبلى يموت زوجها، فتضع وتزوّج قبل أن تمضي لها أربعة أشهر وعشراً</w:t>
      </w:r>
      <w:r>
        <w:rPr>
          <w:rStyle w:val="FootnoteAnchor"/>
          <w:rtl w:val="true"/>
        </w:rPr>
        <w:footnoteReference w:id="32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فرّق بينهما، ثمّ لم تحلّ له أبداً، واعتدّت بما بقي عليها من الأوّل، واستقبلت عدّةً أخرى من الآخر ثلاثة قروء، وإن لم يكن دخل بها فرّق بينهما، واعتدّت بما بقي عليها من الأوّل، وهو خاطب من الخطّاب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69" w:name="pg9167_80283"/>
    </w:p>
    <w:p>
      <w:pPr>
        <w:pStyle w:val="BookText"/>
        <w:rPr/>
      </w:pPr>
      <w:bookmarkEnd w:id="369"/>
      <w:r>
        <w:rPr>
          <w:rFonts w:ascii="Amiri" w:hAnsi="Amiri" w:eastAsia="Amiri" w:cs="Amiri"/>
          <w:color w:val="111111"/>
          <w:sz w:val="28"/>
          <w:sz w:val="28"/>
          <w:szCs w:val="28"/>
          <w:rtl w:val="true"/>
          <w:lang w:bidi="ar-SA"/>
        </w:rPr>
        <w:t>وهي كسابقتها في الدلالة على أنّ الحبلى المتوفّى زوجها يلزمها التفريق بين العدّتين إذا تزوّجت قبل إتمامها لعدّة الوفاة، كما أنّ هذا هو مفاد الرواية الآتية</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770045_2870459653"/>
      <w:bookmarkStart w:id="371" w:name="_Toc145"/>
      <w:bookmarkEnd w:id="370"/>
      <w:r>
        <w:rPr>
          <w:rtl w:val="true"/>
        </w:rPr>
        <w:t>الخامسة</w:t>
      </w:r>
      <w:bookmarkEnd w:id="371"/>
    </w:p>
    <w:p>
      <w:pPr>
        <w:pStyle w:val="BookText"/>
        <w:rPr/>
      </w:pPr>
      <w:r>
        <w:rPr>
          <w:rFonts w:ascii="Amiri" w:hAnsi="Amiri" w:eastAsia="Amiri" w:cs="Amiri"/>
          <w:color w:val="111111"/>
          <w:sz w:val="28"/>
          <w:sz w:val="28"/>
          <w:szCs w:val="28"/>
          <w:rtl w:val="true"/>
          <w:lang w:bidi="ar-SA"/>
        </w:rPr>
        <w:t>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توفّي زوجها وهي حامل، فوضعت وتزوّجت قبل أن تمضي أربعة أشهر وعشراً، ما حالها؟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دخل بها زوجها فرّق بينهما، فاعتدّت ما بقي عليها من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اعتدّت عدّةً أخرى من الزّوج الآخر، ثمّ لا تحلّ له أبداً، وإن تزوّجت غيره ولم يكن دخل بها فرّق بينهما فاعتدّت ما بقي عليها من المتوفّى عنها، وهو خاطب من الخطّاب</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غير معتبرة من جهة جهالة حال عبد الله الواسطة بين الحميري وعليّ بن جعفر</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770047_2870459653"/>
      <w:bookmarkStart w:id="373" w:name="_Toc146"/>
      <w:bookmarkEnd w:id="372"/>
      <w:r>
        <w:rPr>
          <w:rtl w:val="true"/>
        </w:rPr>
        <w:t>السادسة</w:t>
      </w:r>
      <w:bookmarkEnd w:id="37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مرسلة جميل بن صالح التي رواها في الكافي عن محمّد بن يحيى، عن أحمد بن محمّد وعليّ بن إبراهيم، عن أبيه جميعاً، عن الحسن بن محبوب، عن جميل بن صالح، عن بعض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أختين أهديتا إلى أخوين في ليلة، فأدخلت امرأة هذا على هذا، وأدخلت امرأة هذا على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واحد منهما الصداق بالغشيان، وإن كان وليّهما تعمّد ذلك أغرم الصداق، ولا يقرب واحد منهما امرأته حتّى تنقضي العدّة، فإذا انقضت العدّة صارت كلّ واحدة منهما إلى زوجها بالنكاح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 فإن ماتتا قبل انقضاء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الزوجان بنصف الصداق على ورثتهما، ويرثانهما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الرجلان وهما في العدّة،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ترثانهما، ولهما نصف المهر المسمّى، وعليهما العدّة بعد ما تفرغان من </w:t>
      </w:r>
    </w:p>
    <w:p>
      <w:pPr>
        <w:pStyle w:val="BookText"/>
        <w:rPr/>
      </w:pPr>
      <w:r>
        <w:rPr>
          <w:rFonts w:ascii="Amiri" w:hAnsi="Amiri" w:eastAsia="Amiri" w:cs="Amiri"/>
          <w:color w:val="111111"/>
          <w:sz w:val="28"/>
          <w:sz w:val="28"/>
          <w:szCs w:val="28"/>
          <w:rtl w:val="true"/>
          <w:lang w:bidi="ar-SA"/>
        </w:rPr>
        <w:t>العدّة الأولى تعتدّان عدّة المتوفّى عنها زوجها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الحسن بن محبوب، عن جميل بن صالح،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أختين</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ولفظه وإن أوهم بدواً عدم الإرسال لكن تعلم الواسطة المجهولة من طريق الكلينيّ، فلا تكون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صريحة في أنّ المتزوّجة إذا وجب عليها أن تعتدّ من وطء الشبهة يجب عليها أيضاً إذا مات زوجها في ذلك الوقت عدّة أخرى لوفاته تبدأ بها بعد الفراغ من العدّة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الدالّة على عدم تداخل العدد في حال اجتماعها، وتبيّن أنّها ستّ روايات، اثنتان منها مطلقة بلسان تزويج المرأة في عدّتها، وهي موثّقة محمّد بن مسلم، ورواية عليّ بن بشير النبّال، وثلاث منها في التزويج بها في عدّة الوفاة، وهي موثّقة محمّد بن مسلم الأخرى، وصحيحة الحلبيّ، ورواية عليّ بن جعفر، وواحدة وهي مرسلة جميل بن صالح في من وجب عليها الاعتداد بوطء الشبهة فمات زوجها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هذه الروايات الدالّة على عدم التداخل روايات أخر تدلّ على التداخل</w:t>
      </w:r>
      <w:r>
        <w:rPr>
          <w:rFonts w:eastAsia="Amiri" w:cs="Amiri" w:ascii="Amiri" w:hAnsi="Amiri"/>
          <w:color w:val="111111"/>
          <w:sz w:val="28"/>
          <w:szCs w:val="28"/>
          <w:rtl w:val="true"/>
          <w:lang w:bidi="ar-SA"/>
        </w:rPr>
        <w:t xml:space="preserve">. </w:t>
      </w:r>
      <w:bookmarkStart w:id="374" w:name="pg9167_80285"/>
    </w:p>
    <w:p>
      <w:pPr>
        <w:pStyle w:val="Heading3"/>
        <w:numPr>
          <w:ilvl w:val="2"/>
          <w:numId w:val="1"/>
        </w:numPr>
        <w:rPr/>
      </w:pPr>
      <w:bookmarkStart w:id="375" w:name="__RefHeading___Toc3770049_2870459653"/>
      <w:bookmarkStart w:id="376" w:name="_Toc147"/>
      <w:bookmarkEnd w:id="374"/>
      <w:bookmarkEnd w:id="375"/>
      <w:r>
        <w:rPr>
          <w:rtl w:val="true"/>
        </w:rPr>
        <w:t>أدلّة التداخل</w:t>
      </w:r>
      <w:bookmarkEnd w:id="376"/>
    </w:p>
    <w:p>
      <w:pPr>
        <w:pStyle w:val="Heading4"/>
        <w:numPr>
          <w:ilvl w:val="3"/>
          <w:numId w:val="1"/>
        </w:numPr>
        <w:rPr/>
      </w:pPr>
      <w:bookmarkStart w:id="377" w:name="__RefHeading___Toc3770051_2870459653"/>
      <w:bookmarkStart w:id="378" w:name="_Toc148"/>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أمّا الروايات الدالّة على التداخل فهي</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770053_2870459653"/>
      <w:bookmarkStart w:id="380" w:name="_Toc149"/>
      <w:bookmarkEnd w:id="379"/>
      <w:r>
        <w:rPr>
          <w:rtl w:val="true"/>
        </w:rPr>
        <w:t>الأولى</w:t>
      </w:r>
      <w:bookmarkEnd w:id="380"/>
    </w:p>
    <w:p>
      <w:pPr>
        <w:pStyle w:val="BookText"/>
        <w:rPr/>
      </w:pPr>
      <w:r>
        <w:rPr>
          <w:rFonts w:ascii="IRNazanin" w:hAnsi="IRNazanin" w:eastAsia="IRNazanin"/>
          <w:color w:val="111111"/>
          <w:sz w:val="28"/>
          <w:sz w:val="28"/>
          <w:szCs w:val="28"/>
          <w:rtl w:val="true"/>
          <w:lang w:bidi="fa-IR"/>
        </w:rPr>
        <w:t xml:space="preserve">موثّقة أبي العبّاس أو صحيحته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تتزوّج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سعد، عن محمّد بن عيسى، عن صفوان، عن جميل، عن ابن بكير، 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ورواها في موضع آخر بنفس السند إلّا أنّ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بكير أو عن أبي العبّاس</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وفي روضة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أبي العبّاس</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3770055_2870459653"/>
      <w:bookmarkStart w:id="382" w:name="_Toc150"/>
      <w:bookmarkEnd w:id="381"/>
      <w:r>
        <w:rPr>
          <w:rtl w:val="true"/>
        </w:rPr>
        <w:t>الثانية</w:t>
      </w:r>
      <w:bookmarkEnd w:id="382"/>
    </w:p>
    <w:p>
      <w:pPr>
        <w:pStyle w:val="BookText"/>
        <w:rPr/>
      </w:pP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3770057_2870459653"/>
      <w:bookmarkStart w:id="384" w:name="_Toc151"/>
      <w:bookmarkEnd w:id="383"/>
      <w:r>
        <w:rPr>
          <w:rtl w:val="true"/>
        </w:rPr>
        <w:t>الثالثة</w:t>
      </w:r>
      <w:bookmarkEnd w:id="384"/>
    </w:p>
    <w:p>
      <w:pPr>
        <w:pStyle w:val="Heading5"/>
        <w:numPr>
          <w:ilvl w:val="4"/>
          <w:numId w:val="1"/>
        </w:numPr>
        <w:rPr/>
      </w:pPr>
      <w:bookmarkStart w:id="385" w:name="__RefHeading___Toc3770059_2870459653"/>
      <w:bookmarkStart w:id="386" w:name="_Toc152"/>
      <w:bookmarkEnd w:id="385"/>
      <w:r>
        <w:rPr>
          <w:rtl w:val="true"/>
        </w:rPr>
        <w:t>اشارة</w:t>
      </w:r>
      <w:bookmarkEnd w:id="38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جميل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جميل بن درّاج 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فإن جاءت بولد لستّة أشهر أو أكثر فهو للأخير، وإن جاءت بولد في أقلّ من ستّة أشهر فهو للأوّل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وعبارته وإن كانت توهم عدم الإرسال بدواً لكن يظهر استخدامه لهكذا عبارة في الأعمّ من الروايات المسندة والمرسلة، وسيأتي ما يشهد للإرسال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الشيخ في موضعين من التهذيب، جاء في الموضع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ذلك محمّد بن أحمد بن يحيى، عن أحمد بن محمّد، عن عليّ بن حديد، عن جميل،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الموضع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عن عليّ بن حديد، عن جميل بن صالح،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ينافي ما 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الراوي هو جميل بن درّاج بعد استبعاد تعدّد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يقع البحث في سندها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جميل، وهل هو ابن درّاج أو ابن صالح؟</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الصدوق إلى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تحديد المرسل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تجاوز الإرسال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الذي ذكره الشيخ للرواية</w:t>
      </w:r>
      <w:r>
        <w:rPr>
          <w:rFonts w:eastAsia="Amiri" w:cs="Amiri" w:ascii="Amiri" w:hAnsi="Amiri"/>
          <w:color w:val="111111"/>
          <w:sz w:val="28"/>
          <w:szCs w:val="28"/>
          <w:rtl w:val="true"/>
          <w:lang w:bidi="ar-SA"/>
        </w:rPr>
        <w:t xml:space="preserve">. </w:t>
      </w:r>
      <w:bookmarkStart w:id="387" w:name="pg9167_80287"/>
    </w:p>
    <w:p>
      <w:pPr>
        <w:pStyle w:val="Heading5"/>
        <w:numPr>
          <w:ilvl w:val="4"/>
          <w:numId w:val="1"/>
        </w:numPr>
        <w:rPr/>
      </w:pPr>
      <w:bookmarkStart w:id="388" w:name="__RefHeading___Toc3770061_2870459653"/>
      <w:bookmarkStart w:id="389" w:name="_Toc153"/>
      <w:bookmarkEnd w:id="387"/>
      <w:bookmarkEnd w:id="388"/>
      <w:r>
        <w:rPr>
          <w:rtl w:val="true"/>
        </w:rPr>
        <w:t>الجهة الأولى</w:t>
      </w:r>
      <w:r>
        <w:rPr>
          <w:rtl w:val="true"/>
        </w:rPr>
        <w:t xml:space="preserve">: </w:t>
      </w:r>
      <w:r>
        <w:rPr>
          <w:rtl w:val="true"/>
        </w:rPr>
        <w:t>في تعيين جميل، وهل هو ابن درّاج أو ابن صالح؟</w:t>
      </w:r>
      <w:bookmarkEnd w:id="389"/>
    </w:p>
    <w:p>
      <w:pPr>
        <w:pStyle w:val="BookText"/>
        <w:rPr/>
      </w:pPr>
      <w:r>
        <w:rPr>
          <w:rFonts w:ascii="Amiri" w:hAnsi="Amiri" w:eastAsia="Amiri" w:cs="Amiri"/>
          <w:color w:val="111111"/>
          <w:sz w:val="28"/>
          <w:sz w:val="28"/>
          <w:szCs w:val="28"/>
          <w:rtl w:val="true"/>
          <w:lang w:bidi="ar-SA"/>
        </w:rPr>
        <w:t xml:space="preserve">أمّا الجهة الأولى فقد يقال فيها بعدم إمكان التعيين؛ فإنّ رواية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جميل في الطريق الأوّل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درّاج وإن كانت ثابتة من جهة كونه الراوي المباشر لبعض كتب جميل بن درّاج في طريق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اشترك هو ومرازم بن حكيم فيه،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حديد عنهما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لكن هذا وحده لا يكفي؛ إذ قد وقع عليّ هذا في بعض طرق النجاشيّ راوياً لكتب جميل بن صالح أيضاً، فقد جاء في ذكره لطرقه إلى كتب ابن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رواه عنه عليّ بن حديد، أخبرنا ابن نوح،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عن أحمد بن محمّد بن عيسى، عن عليّ بن حديد، عن جميل به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يمكن أن يجعل قرينةً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عليّ بن حديد عن جميل المصرّح بكونه ابن درّاج في اثنين وثلاثين مورداً</w:t>
      </w:r>
      <w:r>
        <w:rPr>
          <w:rStyle w:val="FootnoteAnchor"/>
          <w:rtl w:val="true"/>
        </w:rPr>
        <w:footnoteReference w:id="342"/>
      </w:r>
      <w:bookmarkStart w:id="390" w:name="pg9167_80288"/>
    </w:p>
    <w:p>
      <w:pPr>
        <w:pStyle w:val="BookText"/>
        <w:rPr/>
      </w:pPr>
      <w:bookmarkEnd w:id="390"/>
      <w:r>
        <w:rPr>
          <w:rFonts w:ascii="Amiri" w:hAnsi="Amiri" w:eastAsia="Amiri" w:cs="Amiri"/>
          <w:color w:val="111111"/>
          <w:sz w:val="28"/>
          <w:sz w:val="28"/>
          <w:szCs w:val="28"/>
          <w:rtl w:val="true"/>
          <w:lang w:bidi="ar-SA"/>
        </w:rPr>
        <w:t>من أصل تسعة وأربعين، فيما أهمل ذكر اسم والد جميل في البقيّة، ولم ترد روايته صريحاً عن جميل بن صالح، إلّا في هذا المورد من الشيخ في أحد موضعي نقله للرواية في التهذيب مخالفاً للصدوق الذي صرّح في الفقيه بكونه ابن درّاج، ومن هنا فدعوى وحدة الرواية وكون الصحيح فيها هو جميل بن درّاج غير بعيدة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770063_2870459653"/>
      <w:bookmarkStart w:id="392" w:name="_Toc154"/>
      <w:bookmarkEnd w:id="391"/>
      <w:r>
        <w:rPr>
          <w:rtl w:val="true"/>
        </w:rPr>
        <w:t>الجهة الثانية</w:t>
      </w:r>
      <w:r>
        <w:rPr>
          <w:rtl w:val="true"/>
        </w:rPr>
        <w:t xml:space="preserve">: </w:t>
      </w:r>
      <w:r>
        <w:rPr>
          <w:rtl w:val="true"/>
        </w:rPr>
        <w:t>في اعتبار طريق الصدوق إلى جميل بن درّاج</w:t>
      </w:r>
      <w:bookmarkEnd w:id="392"/>
    </w:p>
    <w:p>
      <w:pPr>
        <w:pStyle w:val="BookText"/>
        <w:rPr/>
      </w:pPr>
      <w:r>
        <w:rPr>
          <w:rFonts w:ascii="Amiri" w:hAnsi="Amiri" w:eastAsia="Amiri" w:cs="Amiri"/>
          <w:color w:val="111111"/>
          <w:sz w:val="28"/>
          <w:sz w:val="28"/>
          <w:szCs w:val="28"/>
          <w:rtl w:val="true"/>
          <w:lang w:bidi="ar-SA"/>
        </w:rPr>
        <w:t xml:space="preserve">وقد صرّح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الاعتماد على الطريق الذي ذكره الصدوق في المشيخة؛ لأنّ طريقه هذا إلى خصوص الكتاب الذي اشترك في تأليفه جميل بن درّاج ومحمّد بن حمران، ولم يصرّح بأنّه طريقه إلى غير ذلك الكتاب</w:t>
      </w:r>
      <w:r>
        <w:rPr>
          <w:rStyle w:val="FootnoteAnchor"/>
          <w:rtl w:val="true"/>
        </w:rPr>
        <w:footnoteReference w:id="343"/>
      </w:r>
      <w:r>
        <w:rPr>
          <w:rFonts w:ascii="Amiri" w:hAnsi="Amiri" w:eastAsia="Amiri" w:cs="Amiri"/>
          <w:color w:val="111111"/>
          <w:sz w:val="28"/>
          <w:sz w:val="28"/>
          <w:szCs w:val="28"/>
          <w:rtl w:val="true"/>
          <w:lang w:bidi="ar-SA"/>
        </w:rPr>
        <w:t>، ومن هنا استعان لتصحيح الرواية بالطريق الذي ذكره الشيخ في الفهرست إلى جميل، فإنّه يمرّ بالصدوق</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بالإمكان الاستغناء عن ذلك بعد الشهرة العظيمة للكتاب،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رواه عنه جماعات من الناس وطرقه كثيرة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واحتمال اختلاف النسخ لا يعتنى به عندما يكون النقل بهذا النحو من الاشتهار</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770065_2870459653"/>
      <w:bookmarkStart w:id="394" w:name="_Toc155"/>
      <w:bookmarkEnd w:id="393"/>
      <w:r>
        <w:rPr>
          <w:rtl w:val="true"/>
        </w:rPr>
        <w:t>الجهة الثالثة</w:t>
      </w:r>
      <w:r>
        <w:rPr>
          <w:rtl w:val="true"/>
        </w:rPr>
        <w:t xml:space="preserve">: </w:t>
      </w:r>
      <w:r>
        <w:rPr>
          <w:rtl w:val="true"/>
        </w:rPr>
        <w:t>وهي البحث في إمكان تعيين الواسطة المجهولة</w:t>
      </w:r>
      <w:bookmarkEnd w:id="39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هذا المقام إنّ الشيخ روى في التهذيب باختلاف يسير ذيل المرسلة مسنداً،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الحسن، عن جعفر بن محمّد بن حكيم، عن </w:t>
      </w:r>
      <w:bookmarkStart w:id="395" w:name="pg9167_80289"/>
    </w:p>
    <w:p>
      <w:pPr>
        <w:pStyle w:val="BookText"/>
        <w:rPr/>
      </w:pPr>
      <w:bookmarkEnd w:id="395"/>
      <w:r>
        <w:rPr>
          <w:rFonts w:ascii="Amiri" w:hAnsi="Amiri" w:eastAsia="Amiri" w:cs="Amiri"/>
          <w:color w:val="111111"/>
          <w:sz w:val="28"/>
          <w:sz w:val="28"/>
          <w:szCs w:val="28"/>
          <w:rtl w:val="true"/>
          <w:lang w:bidi="ar-SA"/>
        </w:rPr>
        <w:t>جميل،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بولد لستّة أشهر فهو للأخير، وإن كان أقلّ من ستّة أشهر فهو للأوّل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لهذا التعبير متعلّقاً، وأنسب ما يحتمل هو أن يكون صدراً لمرسلة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هذا المعنى أكثر إذا ضممنا إلى ذلك معتبرة أبي العبّاس، وهي الرواية الأولى من هذه الطائفة، فتكون مرسلة ابن درّاج هي نفس معتبرتي أبي العبّاس، وقد ذكر مقدار الحاجة منها في موضعين، فقطّعت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هذا لا ينبغي عدّ مرسلة جميل روايةً ثالثة، بل ترجع إلى المعتبرة الأولى، ومن هذا يمكن ترجيح كون السند في الأولى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عن محمّد بن عيسى، عن صفوان، عن جميل، 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فتوصف بالصحيحة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770067_2870459653"/>
      <w:bookmarkStart w:id="397" w:name="_Toc156"/>
      <w:bookmarkEnd w:id="396"/>
      <w:r>
        <w:rPr>
          <w:rtl w:val="true"/>
        </w:rPr>
        <w:t>الجهة الرابعة</w:t>
      </w:r>
      <w:r>
        <w:rPr>
          <w:rtl w:val="true"/>
        </w:rPr>
        <w:t xml:space="preserve">: </w:t>
      </w:r>
      <w:r>
        <w:rPr>
          <w:rtl w:val="true"/>
        </w:rPr>
        <w:t>في إمكان تجاوز الإرسال</w:t>
      </w:r>
      <w:bookmarkEnd w:id="3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في هذه الجهة مبنيّ على عدم تماميّة الجهة الثالثة؛ إذ لا معنى للبحث عن تجاوز الإرسال إذا كانت هي الصحيحة الأولى نفسها، ويقرب في هذا المقام الاعتماد على حساب الاحتمال لتجاوز خلل الإرسال، فإنّ الروايات التي يرويها جميل عن الموثّقين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بنسبة تجعل احتمال كون هذه المرسلة من رواياته عن غير الموثّقين ضئيلاً جدّاً لا يعتنى به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98" w:name="pg9167_80290"/>
    </w:p>
    <w:p>
      <w:pPr>
        <w:pStyle w:val="BookText"/>
        <w:rPr/>
      </w:pPr>
      <w:bookmarkEnd w:id="398"/>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تماميّة جريان حساب الاحتمال في أمثال المقام، وأنّه ينتج كون احتمال روايته عن غير الموثّقين ضئيلاً، إلّا أنّه لا يدفع احتمال رواية جميل لها عن أبي العبّاس الذي ثبتت روايته لهذا المضمون نفسه، بل بما يقاربها من ألفاظ في المعتبرة الأولى، فلا اطمئنان بكونها روايةً أخرى غير ما تقدّم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هذه الجهة فرض بناؤه على عدم استيضاح اتّحاد هذه المرسلة مع صحيحة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استيضاح الاتّحاد رغم فرضه لا ينفي احتمال الاتّحاد، وما ينفع في مقام الإشكال هو الاطمئنان بعدم الاتّحاد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770069_2870459653"/>
      <w:bookmarkStart w:id="400" w:name="_Toc157"/>
      <w:bookmarkEnd w:id="399"/>
      <w:r>
        <w:rPr>
          <w:rtl w:val="true"/>
        </w:rPr>
        <w:t>الجهة الخامسة</w:t>
      </w:r>
      <w:r>
        <w:rPr>
          <w:rtl w:val="true"/>
        </w:rPr>
        <w:t xml:space="preserve">: </w:t>
      </w:r>
      <w:r>
        <w:rPr>
          <w:rtl w:val="true"/>
        </w:rPr>
        <w:t>في سند الشيخ إلى جميل في المرسلة</w:t>
      </w:r>
      <w:bookmarkEnd w:id="400"/>
    </w:p>
    <w:p>
      <w:pPr>
        <w:pStyle w:val="BookText"/>
        <w:rPr/>
      </w:pPr>
      <w:r>
        <w:rPr>
          <w:rFonts w:ascii="Amiri" w:hAnsi="Amiri" w:eastAsia="Amiri" w:cs="Amiri"/>
          <w:color w:val="111111"/>
          <w:sz w:val="28"/>
          <w:sz w:val="28"/>
          <w:szCs w:val="28"/>
          <w:rtl w:val="true"/>
          <w:lang w:bidi="ar-SA"/>
        </w:rPr>
        <w:t>والظاهر عدم اعتباره؛ من جهة وقوع عليّ بن حديد فيه، وقد ضعّفه الشيخ عند تطرّقه لبعض الأسناد في التهذيب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فالطريق إليه عليّ بن حديد، وهو مضعّف جدّاً لا يعوّل على ما ينفرد بنقله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فلسان ما تقدّم من الروايات واحد، وهو يدلّ على كفاية الإتيان بعدّة واحدة لمن تزوّجت قبل أن تنقضي عدّتها، وتكون هذه العدّة منهما جميعاً، وهو معنى تداخل العدّتين مطلقاً</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3770071_2870459653"/>
      <w:bookmarkStart w:id="402" w:name="_Toc158"/>
      <w:bookmarkEnd w:id="401"/>
      <w:r>
        <w:rPr>
          <w:rtl w:val="true"/>
        </w:rPr>
        <w:t>الرابعة</w:t>
      </w:r>
      <w:bookmarkEnd w:id="40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زرارة المرويّة في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نعي إليها زوجها، فاعتدّت وتزوّجت، فجاء زوجها الأوّل، ففارقها وفارقها الآخر، </w:t>
      </w:r>
      <w:bookmarkStart w:id="403" w:name="pg9167_80291"/>
    </w:p>
    <w:p>
      <w:pPr>
        <w:pStyle w:val="BookText"/>
        <w:rPr/>
      </w:pPr>
      <w:bookmarkEnd w:id="403"/>
      <w:r>
        <w:rPr>
          <w:rFonts w:ascii="IRNazanin" w:hAnsi="IRNazanin" w:eastAsia="IRNazanin"/>
          <w:color w:val="111111"/>
          <w:sz w:val="28"/>
          <w:sz w:val="28"/>
          <w:szCs w:val="28"/>
          <w:rtl w:val="true"/>
          <w:lang w:bidi="fa-IR"/>
        </w:rPr>
        <w:t>كم تعتدّ للناس؟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قروء، وإنّما يستبرأ رحمها بثلاثة قروء تحلّها للناس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أناساً قالوا تعتدّ عدّتين من كلّ واحد عدّةً، فأبى ذلك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ثلاثة قروء، فتحلّ للرجال</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الصدوق في الفقيه بإسناده عن موسى بن بكر، عن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 ولعلّه من سهو قلمه الشريف، فإنّ الشيخ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عليّ بن الحسن بن فضّال، عن عليّ بن الحكم، عن موسى بن بكر،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وهو يؤيّد صحّة ما في الكافي من كون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وكيفما كان فاعتبارها سنداً مبنيّ على توثيق موسى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يتطرّق لحاله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بإكثار الأجلّاء، ورواية بعض المشايخ الثلاثة عنه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3770073_2870459653"/>
      <w:bookmarkStart w:id="405" w:name="_Toc159"/>
      <w:bookmarkEnd w:id="404"/>
      <w:r>
        <w:rPr>
          <w:rtl w:val="true"/>
        </w:rPr>
        <w:t>الخامسة</w:t>
      </w:r>
      <w:bookmarkEnd w:id="40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يونس المرويّة في الكافي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نعي إليها زوجها، فتزوّجت، ثمّ قدم زوجها الأوّل، فطلّقها وطلّقها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p>
    <w:p>
      <w:pPr>
        <w:pStyle w:val="BookText"/>
        <w:rPr/>
      </w:pP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أن تعتدّ عدّتين، فحملها زرارة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عدّة واحدة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ويجري الكلام في سندها من جهة إسماعيل بن مرّار الراوي لكتب يونس أوّلاً، وفي الإرسال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إسماعيل فهو ممّن لم يتعرّض له في كتب الرجال بتوثيق ولا تضعيف، وهناك عدّة محاولات لتوثيقه، أهمّها ما حكاه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الحسن بن الوليد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يونس بن عبد الرحمن التي هي بالروايات كلّها صحيحة يعتمد عليها إلّا ما ينفرد به محمّد بن عيسى بن عبيد عن يونس، ولم يروه غيره، فإنّه لا يعتمد عليه، ولا يُفتى به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وجعله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w:t>
      </w:r>
      <w:r>
        <w:rPr>
          <w:rStyle w:val="FootnoteAnchor"/>
          <w:rtl w:val="true"/>
        </w:rPr>
        <w:footnoteReference w:id="355"/>
      </w:r>
      <w:r>
        <w:rPr>
          <w:rFonts w:ascii="Amiri" w:hAnsi="Amiri" w:eastAsia="Amiri" w:cs="Amiri"/>
          <w:color w:val="111111"/>
          <w:sz w:val="28"/>
          <w:sz w:val="28"/>
          <w:szCs w:val="28"/>
          <w:rtl w:val="true"/>
          <w:lang w:bidi="ar-SA"/>
        </w:rPr>
        <w:t>شهادة على توثيق بقيّة رواة كتب يونس، وهم إسماعيل بن مرّار، وصالح ابن السنديّ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الصحيح بعد وضوح تعليق الاعتماد على رواية محمّد بن عيسى عن يونس على انضمام رواية غيره مطلقاً، وحيث إنّ هذا الغير منحصر بإسماعيل وصالح كان ذلك شاهداً منه على وثاقتهما؛ إذ انضمام رواية غير الموثّق إلى رواية من يماثله أو الضعيف لا توجب الوثوق عادةً بالصدور، وعلى هذا فالإشكال فيها من جهة الإرسال فقط</w:t>
      </w:r>
      <w:r>
        <w:rPr>
          <w:rFonts w:eastAsia="Amiri" w:cs="Amiri" w:ascii="Amiri" w:hAnsi="Amiri"/>
          <w:color w:val="111111"/>
          <w:sz w:val="28"/>
          <w:szCs w:val="28"/>
          <w:rtl w:val="true"/>
          <w:lang w:bidi="ar-SA"/>
        </w:rPr>
        <w:t xml:space="preserve">. </w:t>
      </w:r>
      <w:bookmarkStart w:id="406" w:name="pg9167_80293"/>
    </w:p>
    <w:p>
      <w:pPr>
        <w:pStyle w:val="Heading4"/>
        <w:numPr>
          <w:ilvl w:val="3"/>
          <w:numId w:val="1"/>
        </w:numPr>
        <w:rPr/>
      </w:pPr>
      <w:bookmarkStart w:id="407" w:name="__RefHeading___Toc3770075_2870459653"/>
      <w:bookmarkStart w:id="408" w:name="_Toc160"/>
      <w:bookmarkEnd w:id="406"/>
      <w:bookmarkEnd w:id="407"/>
      <w:r>
        <w:rPr>
          <w:rtl w:val="true"/>
        </w:rPr>
        <w:t>السادسة</w:t>
      </w:r>
      <w:bookmarkEnd w:id="408"/>
    </w:p>
    <w:p>
      <w:pPr>
        <w:pStyle w:val="BookText"/>
        <w:rPr/>
      </w:pPr>
      <w:r>
        <w:rPr>
          <w:rFonts w:ascii="IRNazanin" w:hAnsi="IRNazanin" w:eastAsia="IRNazanin"/>
          <w:color w:val="111111"/>
          <w:sz w:val="28"/>
          <w:sz w:val="28"/>
          <w:szCs w:val="28"/>
          <w:rtl w:val="true"/>
          <w:lang w:bidi="fa-IR"/>
        </w:rPr>
        <w:t xml:space="preserve">معتبرة زرارة في التهذيب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فقدت زوجها أو نعي إليها، فتزوّجت، ثمّ قدم زوجها بعد ذلك، فطلّقها،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جميعاً ثلاثة أشهر عدّةً واحدةً، وليس للأخير أن يتزوّجها أبداً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اتّحاد الروايات الثلاث الأخيرة وارد جدّاً؛ فإنّ لسان الرابعة والخامسة واحد، وألفاظهما متقاربة، والواقعة واحدة، مضافاً إلى ورود احتمال كون زرارة أو من يروي عنه هو من أرسل عنه يونس، وكذا الحال بين الرابعة والأخيرة؛ فإنّ وحدة الراوي وتقارب الألفاظ يمكن أن يكون قرينة على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إذا ضممنا إلى ما تقدّم أنّ جميعها مرويّة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يستبعد دعوى اتّحادها بعد وحدة الراوي والرواية والمرويّ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فدلالتها واضحة على أنّ زوج ذات البعل إذا فقد، وبلغها خبر وفاته، فتزوّجت بعد اعتدادها للوفاة، ثمّ قدم زوجها، فإنّ عليها عدّة وطء الشبهة من الثاني من جهة كونها باقيةً على زوجيّة الأوّل، فلو طلّقت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سبب آخر لثبوت العدّة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عليها أن تعتدّ من وطء الثاني وطلاق الأوّل عدّة واحدة، وهو معنى تداخل العدد التي عليها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الروايات التي تدلّ على التداخل، وقد تبيّن أنّ ما يمكن أن يركن إليه هو أنّ عَددها ثلاث، اثنتان منها تدلّ على تداخل العِدد على من تزوّجت في عِدّتها مطلقاً، وهي معتبرة أبي العبّاس وصحيحة زرارة، وأمّا مرسلة جميل فهي وإن كانت بلسانهما إلّا أنّ الأقرب اتّحادها مع معتبرة أبي العبّاس كما تقدّم، فلا تحتسب ثالثة هذه </w:t>
      </w:r>
    </w:p>
    <w:p>
      <w:pPr>
        <w:pStyle w:val="BookText"/>
        <w:rPr/>
      </w:pPr>
      <w:r>
        <w:rPr>
          <w:rFonts w:ascii="Amiri" w:hAnsi="Amiri" w:eastAsia="Amiri" w:cs="Amiri"/>
          <w:color w:val="111111"/>
          <w:sz w:val="28"/>
          <w:sz w:val="28"/>
          <w:szCs w:val="28"/>
          <w:rtl w:val="true"/>
          <w:lang w:bidi="ar-SA"/>
        </w:rPr>
        <w:t>الطائفة، وتبقى واحدة تدلّ على التداخل في من بلغها وفاة زوجها فتزوّجت وتبيّن حياة زوجها فطلّقها وهي معتبرة زرارة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فيما يخصّ الحلقة الأولى من هذا البحث، ويجري في الحلقة التالية استعراض الوجوه المطروحة لحلّ التنافي بين مداليل هذه الأخبار إن شاء الله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09" w:name="pg9167_80295"/>
    </w:p>
    <w:p>
      <w:pPr>
        <w:pStyle w:val="Heading2"/>
        <w:numPr>
          <w:ilvl w:val="1"/>
          <w:numId w:val="1"/>
        </w:numPr>
        <w:rPr/>
      </w:pPr>
      <w:bookmarkStart w:id="410" w:name="__RefHeading___Toc3770077_2870459653"/>
      <w:bookmarkStart w:id="411" w:name="_Toc161"/>
      <w:bookmarkEnd w:id="409"/>
      <w:bookmarkEnd w:id="410"/>
      <w:r>
        <w:rPr>
          <w:rtl w:val="true"/>
        </w:rPr>
        <w:t xml:space="preserve">انقلاب النسبة </w:t>
      </w:r>
      <w:r>
        <w:rPr>
          <w:rtl w:val="true"/>
        </w:rPr>
        <w:t>(</w:t>
      </w:r>
      <w:r>
        <w:rPr>
          <w:rtl w:val="true"/>
        </w:rPr>
        <w:t>الحلقة الأولى</w:t>
      </w:r>
      <w:r>
        <w:rPr>
          <w:rtl w:val="true"/>
        </w:rPr>
        <w:t xml:space="preserve">) - </w:t>
      </w:r>
      <w:r>
        <w:rPr>
          <w:rtl w:val="true"/>
        </w:rPr>
        <w:t xml:space="preserve">الشيخ حميد رمح </w:t>
      </w:r>
      <w:r>
        <w:rPr>
          <w:rtl w:val="true"/>
        </w:rPr>
        <w:t>(</w:t>
      </w:r>
      <w:r>
        <w:rPr>
          <w:rtl w:val="true"/>
        </w:rPr>
        <w:t>دام عزه</w:t>
      </w:r>
      <w:r>
        <w:rPr>
          <w:rtl w:val="true"/>
        </w:rPr>
        <w:t>)</w:t>
      </w:r>
      <w:bookmarkEnd w:id="411"/>
    </w:p>
    <w:p>
      <w:pPr>
        <w:pStyle w:val="Heading3"/>
        <w:numPr>
          <w:ilvl w:val="2"/>
          <w:numId w:val="1"/>
        </w:numPr>
        <w:rPr/>
      </w:pPr>
      <w:bookmarkStart w:id="412" w:name="__RefHeading___Toc3770079_2870459653"/>
      <w:bookmarkStart w:id="413" w:name="_Toc162"/>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يقع التعارض في كثير من أبواب الفقه بين أكثر من دليلين، ممّا حدا ببعض الأصوليّين إلى الالتزام بانقلاب النسبة بينها إلى ما يمكن معه من الجمع بين الأدلّة المتعارضة، بعد أن لم يكن ممكناً قبل الانقلاب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يدي القارئ الكريم هذه الدراسة التي تمثّل محاولة للإحاطة بمقدّمات هذه النظريّة ومصطلحاتها، والأقوال فيها، وأدلّتها، وما يترتّب عليها من نتائج، مع ذكر بعض تطبيقاتها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نظرية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باب التعارض بين أكثر من دليلين، وتمتاز هذه النظرية بتأثيرها الواضح في نتائج كثيرٍ من المسائل الفقهيّة، ممّا يستدعي استقصاء الأقوال فيها، وأدلّة كلِّ قولٍ وصُوَرِهِ، وبيان كيفيّة انقلاب النسبة في كلِّ صورةٍ في نظر القائلين بها، أو تقديم أقوى الظهورين في نظر الرافضين لها، وبيان نتيجة كلِّ صورةٍ وفقاً لكلٍّ من القولين، وذِكر نماذج من تطبيقاتها، ولا بُدَّ قبل ذلك كلّه من التعرّض لبعض المطالب المؤثّرة في فهم هذه القاعدة، مثل بيان معنى التعارض وأقسامه الأوّليّة، وكيفيّة علاجه، وبيان أنواع الجمع إن كان ذلك ممكناً، وأقسام المرجّحات وطرق الترجيح؛ لكون بحث انقلاب النسبة من موارد التعارض بين أكثر من دليلين المشمولة بتعبير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دعانا لهذه الدراسة أنّ الأعلام لم يطرحوا هذه البحوث من خلال عناوين محدّدة، بل ذكروا أمثلة هي مصاديق وصغريات لتطبيق هذه النظرية أو عدمه، وبحثوا هذه الأمور من خلالها، مع أنّ وظيفة الأصوليّ البحث عن الكبريات والقواعد الكلّيّة، لا المصاديق والصغريات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أنحاء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القسمة الأوّليّة للتعارض وكيفيّة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نظرية انقلاب النسبة، والأقوال فيها، وأدلّتها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نماذج من تطبيقات هذه النظريّة</w:t>
      </w:r>
      <w:r>
        <w:rPr>
          <w:rFonts w:eastAsia="Amiri" w:cs="Amiri" w:ascii="Amiri" w:hAnsi="Amiri"/>
          <w:color w:val="111111"/>
          <w:sz w:val="28"/>
          <w:szCs w:val="28"/>
          <w:rtl w:val="true"/>
          <w:lang w:bidi="ar-SA"/>
        </w:rPr>
        <w:t xml:space="preserve">. </w:t>
      </w:r>
      <w:bookmarkStart w:id="414" w:name="pg9167_80299"/>
    </w:p>
    <w:p>
      <w:pPr>
        <w:pStyle w:val="Heading3"/>
        <w:numPr>
          <w:ilvl w:val="2"/>
          <w:numId w:val="1"/>
        </w:numPr>
        <w:rPr/>
      </w:pPr>
      <w:bookmarkStart w:id="415" w:name="__RefHeading___Toc3770081_2870459653"/>
      <w:bookmarkStart w:id="416" w:name="_Toc163"/>
      <w:bookmarkEnd w:id="414"/>
      <w:bookmarkEnd w:id="415"/>
      <w:r>
        <w:rPr>
          <w:rtl w:val="true"/>
        </w:rPr>
        <w:t>المقام الأوَّل</w:t>
      </w:r>
      <w:r>
        <w:rPr>
          <w:rtl w:val="true"/>
        </w:rPr>
        <w:t xml:space="preserve">: </w:t>
      </w:r>
      <w:r>
        <w:rPr>
          <w:rtl w:val="true"/>
        </w:rPr>
        <w:t>في بيان معنى التعارض</w:t>
      </w:r>
      <w:bookmarkEnd w:id="416"/>
    </w:p>
    <w:p>
      <w:pPr>
        <w:pStyle w:val="BookText"/>
        <w:rPr/>
      </w:pPr>
      <w:r>
        <w:rPr>
          <w:rFonts w:ascii="Amiri" w:hAnsi="Amiri" w:eastAsia="Amiri" w:cs="Amiri"/>
          <w:color w:val="111111"/>
          <w:sz w:val="28"/>
          <w:sz w:val="28"/>
          <w:szCs w:val="28"/>
          <w:rtl w:val="true"/>
          <w:lang w:bidi="ar-SA"/>
        </w:rPr>
        <w:t>التعارض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معانٍ عديدة،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الإظهار</w:t>
      </w:r>
      <w:r>
        <w:rPr>
          <w:rStyle w:val="FootnoteAnchor"/>
          <w:rtl w:val="true"/>
        </w:rPr>
        <w:footnoteReference w:id="357"/>
      </w:r>
      <w:r>
        <w:rPr>
          <w:rFonts w:ascii="Amiri" w:hAnsi="Amiri" w:eastAsia="Amiri" w:cs="Amiri"/>
          <w:color w:val="111111"/>
          <w:sz w:val="28"/>
          <w:sz w:val="28"/>
          <w:szCs w:val="28"/>
          <w:rtl w:val="true"/>
          <w:lang w:bidi="ar-SA"/>
        </w:rPr>
        <w:t>، فكأنّ كلَّاً من الدليلين يُظهر نفسه في مقابل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الشيء حذاء الشيء الآخر وفي قباله،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الشيء بالشيء معارضة، قابله</w:t>
      </w:r>
      <w:r>
        <w:rPr>
          <w:rStyle w:val="FootnoteAnchor"/>
          <w:rtl w:val="true"/>
        </w:rPr>
        <w:footnoteReference w:id="358"/>
      </w:r>
      <w:r>
        <w:rPr>
          <w:rFonts w:ascii="Amiri" w:hAnsi="Amiri" w:eastAsia="Amiri" w:cs="Amiri"/>
          <w:color w:val="111111"/>
          <w:sz w:val="28"/>
          <w:sz w:val="28"/>
          <w:szCs w:val="28"/>
          <w:rtl w:val="true"/>
          <w:lang w:bidi="ar-SA"/>
        </w:rPr>
        <w:t>، فيكون ملاك العرضيّة إمّا التماثل والمباراة بين الشيئين، وإمّا بملاك التناقض والتكاذب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مأخوذاً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المنع،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فعرض لي في الطريق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السير،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منه، ومنه سُمّي الردّ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عليه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الأخيرين يكون إطلاق التعارض على الدليلين المتنافيين مستفاداً من المعنى اللغويّ بالدلالة المطابقيّة؛ باعتبار أنّ كلَّاً منهما يمنع من حجّيّة الآخر، وينفي دليليّته على الواقع، ويقتضي عدم صدقه وعدم مطابقته، في حين يكون التنافي لازماً لمعناه اللغويّ على ما يقتضيه التفسير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التنافي إمّا بالذات أو بالعرض على وجهٍ لا يستلزم التناقض أو التضادّ لو أُريد الجمع؛ وذلك لأنّ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متنافيان بحسب الدلالة، أو غير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المنافاة بالذات، أو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المنافاة بالذات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مدلول أحدهما منافياً لمدلول الآخر بحسب 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يُفهم ذلك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تنافياً إمّا على نحو التناقض، أو التضادّ، كما لو فرض أنّ أحد الدليلين دلَّ على حرمة ذلك الشيء، ودلَّ الآخر على عدم حرمة نفس ذلك الشيء، أو دلّ أحدهما على وجوب شيء، والآخر على حرمته، فإنّ العرف لو نظر إلى مدلول كلٍّ منهما لفهم أنّ كلَّاً منهما ينفي ما يفهم من مقتضى الدليل الآخر صراحةً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المنافاة بالعرض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عدم إمكان الجمع إلى أمر خارج عن مقتضى الدلالة، وذلك الأمر الخارج إمّا إجماع، أو ضرورة، أو خبر،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دليل على وجوب صلاة الظهر ودلّ آخر على وجوب صلاة الجمعة، فإنّ العرف لا يرى منافاة بين الدليلين، ويجوّز صلاتين في نهار واحد، ولكن بالنظر إلى نهوض الأدلّة على أنّه لا تجب على المكلّف صلاتان في وقت واحد، إمّا للإجماع، أو للضرورة، فحينئذٍ يكون علمنا بذلك الأمر الخارج عن ذات الدليلين موجباً للحكم بوجود منافاة بين مدلولي الدليلين، فيكون مدلول أحدهما مستلزماً لنفي مدلول الآخر بالدلالة الالتزاميّة، التي منشؤها وسببها هو قيام الإجماع</w:t>
      </w:r>
      <w:r>
        <w:rPr>
          <w:rStyle w:val="FootnoteAnchor"/>
          <w:rtl w:val="true"/>
        </w:rPr>
        <w:footnoteReference w:id="360"/>
      </w:r>
      <w:r>
        <w:rPr>
          <w:rFonts w:ascii="Amiri" w:hAnsi="Amiri" w:eastAsia="Amiri" w:cs="Amiri"/>
          <w:color w:val="111111"/>
          <w:sz w:val="28"/>
          <w:sz w:val="28"/>
          <w:szCs w:val="28"/>
          <w:rtl w:val="true"/>
          <w:lang w:bidi="ar-SA"/>
        </w:rPr>
        <w:t xml:space="preserve">أو الضرورة </w:t>
      </w:r>
    </w:p>
    <w:p>
      <w:pPr>
        <w:pStyle w:val="BookText"/>
        <w:rPr/>
      </w:pPr>
      <w:r>
        <w:rPr>
          <w:rFonts w:ascii="IRNazanin" w:hAnsi="IRNazanin" w:eastAsia="IRNazanin"/>
          <w:color w:val="111111"/>
          <w:sz w:val="28"/>
          <w:sz w:val="28"/>
          <w:szCs w:val="28"/>
          <w:rtl w:val="true"/>
          <w:lang w:bidi="fa-IR"/>
        </w:rPr>
        <w:t>ونحوهما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ذلك أنّ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التنافي الذاتيّ المستفاد من صريح اللفظ، أو العرضيّ المستفاد من أمر خارجيّ على وجهٍ تستلزم إرادة الجمع بينهما إمّا التضادّ، أو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اتّفاقهم على أنّ التعارض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إمّا بالذات أو بالعرض على وجهٍ يستلزم التناقض أو التضادّ، اختلفوا في أنّ متعلّق التنافي هل هو مدلول الدليلين، أم نفس الدليلين بحسب الدلالة ومقام الإثبات؟</w:t>
      </w:r>
    </w:p>
    <w:p>
      <w:pPr>
        <w:pStyle w:val="BookText"/>
        <w:rPr/>
      </w:pPr>
      <w:r>
        <w:rPr>
          <w:rFonts w:ascii="Amiri" w:hAnsi="Amiri" w:eastAsia="Amiri" w:cs="Amiri"/>
          <w:color w:val="111111"/>
          <w:sz w:val="28"/>
          <w:sz w:val="28"/>
          <w:szCs w:val="28"/>
          <w:rtl w:val="true"/>
          <w:lang w:bidi="ar-SA"/>
        </w:rPr>
        <w:t xml:space="preserve">والأوّل مختار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وآخرين</w:t>
      </w:r>
      <w:r>
        <w:rPr>
          <w:rStyle w:val="FootnoteAnchor"/>
          <w:rtl w:val="true"/>
        </w:rPr>
        <w:footnoteReference w:id="363"/>
      </w:r>
      <w:r>
        <w:rPr>
          <w:rFonts w:ascii="Amiri" w:hAnsi="Amiri" w:eastAsia="Amiri" w:cs="Amiri"/>
          <w:color w:val="111111"/>
          <w:sz w:val="28"/>
          <w:sz w:val="28"/>
          <w:szCs w:val="28"/>
          <w:rtl w:val="true"/>
          <w:lang w:bidi="ar-SA"/>
        </w:rPr>
        <w:t xml:space="preserve">، وذهب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هذا الاختلاف هو اعتقاد كلّ منهما ضرورة إخراج موارد الجمع العرفيّ، كالتزاحم، والتخصيص، والحكومة، والتخصّص، والورود، عن التعريف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تعريف المشهور قاصر عن ذلك؛ إذ إنّ التنافي بين المدلولين ثابت في موارد الجمع العرفيّ أيضاً فيشمله تعريفهم، بينما يسلم تعريفه من ذلك؛ لعدم التنافي بحسب الدلالة مع إمكان الجمع العرفيّ بين الدليلين، وهو ما دعاهُ للعدول عن تعريف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حين يعتقد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تعريف المشهور لموارد الجمع العرفيّ؛ وذلك لعدم التنافي بين المدلولين في الموارد المذكورة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يتّضح لك اتّفاق الجميع على عدم تحقّق التعارض في موارد التزاحم، أو التخصيص، أو الحكومة، أو الورود، والتخصّص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مورد التزاحم فلأنّ الدليلين إنّما يكونان متعارضين إذا تكاذبا في مقام الجعل والتشريع، ويكونان متزاحمين إذا امتنع الجمع بينهما في مقام الامتثال مع عدم التكاذب في مقام التشريع، فلا يتصوّر التعارض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التخصيص فلأنّه عبارة عن سلب حكم العامّ عن الخاصّ وإخراجه من تحت عموم العامّ، مع فرض بقاء عموم لفظ العامّ شاملاً للخاصّ بحسب لسانه وظهوره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صوّر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التعارض في صورتين من صور التخصيص</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الخاصّ متكفِّلاً لإثبات سنخِ حُكمِ العامّ، ولكن في دائرةٍ أخصّ،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الفقير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تُحرز وحدة الحكم لا يكون هناك تعارضٌ، وإن أُحرزت وحدة الحكم المدلول للحاظين وقع التعارض بين ظهور الأوَّل في العامّ وظهور الثاني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الخاصّ متكفِّلاً لإثبات نقيض حُكم العامّ أو ضدِّهِ </w:t>
      </w:r>
    </w:p>
    <w:p>
      <w:pPr>
        <w:pStyle w:val="BookText"/>
        <w:rPr/>
      </w:pPr>
      <w:r>
        <w:rPr>
          <w:rFonts w:ascii="Amiri" w:hAnsi="Amiri" w:eastAsia="Amiri" w:cs="Amiri"/>
          <w:color w:val="111111"/>
          <w:sz w:val="28"/>
          <w:sz w:val="28"/>
          <w:szCs w:val="28"/>
          <w:rtl w:val="true"/>
          <w:lang w:bidi="ar-SA"/>
        </w:rPr>
        <w:t>لبعض حصص العامّ،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العالم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وتتَّفق الصورتان في حُكم التعارض بعد حصولِه؛ إذ يُقدَّم الخاصّ على العامّ في كلتا الصورتين بملاك قرينيّة الخاصّ</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ويختلف الثاني عن الأوّل في أنَّ التعارض فيه محقّقٌ على أيِّ حالٍ، بلا حاجةٍ إلى افتراض شيءٍ من الخارج، بخلاف السابق فإنَّه يحتاج إلى افتراض العلم من الخارج بوحدة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ظهور العامّ مع ظهور الخاصّ متعارضان بدون فرق بينهما وبين التعارض بين المتباينين والعامّين من وجه؛ لأنّ مورد التعارض يتحقّق فيما إذا كان هناك ظهوران كاشفان عن حكمين لا يمكن اجتماعهما لتنافيهما وتنافرهما، فيتّصف الظهوران المذكوران بالتنافي بالعرض، فيمتنع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يتّصفا معاً بالحجّيّة، فإذا قال المولى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إكرام كلّ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يجب إكرام أيّ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متعارضان؛ لأنّ الموجبة الكلّيّة تعارضها السالبة الجزئيّة وتناقضها، ولذا فالعقلاء يلاحظون خصوصيّات الدليلين كي يخرجوا بعلاج لهذا التعارض، كما هو شأنهم في غير العامّ والخاصّ، فهم يتردّدون بين النسخ أو التأويل في أحدهما، أو التخصيص، فإذا رأوا أنّ الأنسب هو الحمل على التخصيص اختاروه علاجاً للتعارض، فتتحدّد حجّيّة العامّ بما وراء حدود التخصيص، وهذا ما يعبّر عنه </w:t>
      </w:r>
    </w:p>
    <w:p>
      <w:pPr>
        <w:pStyle w:val="BookText"/>
        <w:rPr/>
      </w:pPr>
      <w:r>
        <w:rPr>
          <w:rFonts w:ascii="Amiri" w:hAnsi="Amiri" w:eastAsia="Amiri" w:cs="Amiri"/>
          <w:color w:val="111111"/>
          <w:sz w:val="28"/>
          <w:sz w:val="28"/>
          <w:szCs w:val="28"/>
          <w:rtl w:val="true"/>
          <w:lang w:bidi="ar-SA"/>
        </w:rPr>
        <w:t>بالطوليّة في الحجّيّة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مورد الحكومة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لها معنيان رئيسان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ناظراً للدليل الآخر وشارحاً له على نحو المفسّريّة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 أو ما شاكلها، على نحوٍ لولا الدليل المحكوم لما كان للدليل الحاكم أثرٌ مهمّ، كما لو ورد في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المكلّف إذا شكّ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دليل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منها الشكّ بين الثلاث والأربع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لا منافاة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رافعاً للدليل الآخر رفعاً تعبّديّاً بسببٍ من الشارع،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وسببه إنّما كان من الشارع المقدّس،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أحد الدليلين رافعاً للآخر يكون تارة بالتصرّف في عقد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بتضييق دائرة الموضوع،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فمفاد الثاني إخراج الفاسق عن صفة العلم بتنزيل الفسق منزلة الجهل، وهذا تصرّف في عقد الوضع، فلا يبقى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للفاسق بحسب هذا الادّعاء والتنزيل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ومثاله في الشرعيّات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الوالد وولده ربا</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إذا حفظ عليه مَن خلفه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التي تنزِّل الربا والسهو في هذه الموارد </w:t>
      </w:r>
    </w:p>
    <w:p>
      <w:pPr>
        <w:pStyle w:val="BookText"/>
        <w:rPr/>
      </w:pPr>
      <w:r>
        <w:rPr>
          <w:rFonts w:ascii="Amiri" w:hAnsi="Amiri" w:eastAsia="Amiri" w:cs="Amiri"/>
          <w:color w:val="111111"/>
          <w:sz w:val="28"/>
          <w:sz w:val="28"/>
          <w:szCs w:val="28"/>
          <w:rtl w:val="true"/>
          <w:lang w:bidi="ar-SA"/>
        </w:rPr>
        <w:t>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نتيجة الحكومة هاهنا عين نتيجة التخصيص، إلّا أنّ الأخير لا يخرج الخاصّ عن الموضوع تنزيلاً على وجهٍ لا يبقى معه ظهور ذاتيّ للعموم في الشمول، وإنّما يحافظ على بقاء صفة العالم للفاسق، ولكن يخرجه عن وجوب الإكرام إخراجاً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بتوسعة دائرة الموضوع، مثل ما لو قال عقيب الأمر بإكرام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يكون حاكماً على الأوّل وليس فيه إخراج، بل هو تصرّف في عقد الوضع بتوسعة معنى العالم ادّعاءً إلى ما يشمل المتّقي تنزيلاً للتقوى منزلة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ومثاله في الشرعيّات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المعطي للطواف الأحكام المناسبة التي تخصّ الصلاة من الطهارة في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في عقد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372"/>
      </w:r>
      <w:r>
        <w:rPr>
          <w:rFonts w:ascii="Amiri" w:hAnsi="Amiri" w:eastAsia="Amiri" w:cs="Amiri"/>
          <w:color w:val="111111"/>
          <w:sz w:val="28"/>
          <w:sz w:val="28"/>
          <w:szCs w:val="28"/>
          <w:rtl w:val="true"/>
          <w:lang w:bidi="ar-SA"/>
        </w:rPr>
        <w:t>، فإنّ هذه الأدلّة التي تفيد رفع الحكم في صورة ثبوت الحرج والضرر إنّما تكون ناظرة إلى تلك الأدلّة المطلقة الثابتة للأحكام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الدليل الحاكم والمحكوم، كما لا يخفى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موردي التخصّص والورود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 يكون الدليل الوارد رافعاً للدليل المورود، على أن يكون الخروج وجدانيّاً، ولكنّه بسبب التعبّد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الخروج أمر تعبّديّ، إلّا أنّ نفس الخروج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الخروج الموضوعيّ وجداناً، وسببه أمر وجدانيّ، مثل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بلا ريب خارج عن الموضوع خروجاً وجدانيّاً غير مشوب بالتعبّد، فليس بين الأمرين تنافٍ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فالورود في نفس الخروج عين معنى التخصّص، أمّا في مستند الخروج فيفترق عن التخصّص باحتياجه إلى دليلٍ شرعيّ يتعبّد به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أنّ الرفع في كلٍّ من الورود والتخصّص واحد، وهو الوجدان، ولكنّ سببه في التخصّص وجدانيّ أيضاً، وفي الورود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فإنّه إنّما تثبت له الحجّيّة كونه مفيداً للعلم بتعبّدٍ من الشارع، إذ ليس فيه كاشفيّة تامّة، بل كاشفيّته ناقصة لا يمكن العمل على مقتضاها، وعدم كونه مفيداً للعلم وجدانيّ؛ كون الظنّ خارجاً عن العلم تخصّصاً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الأمارة الوارد على أدلّة الأصول العقليّة، كالبراءة وقاعدتي الاحتياط، والتخيير، فإنّ البراءة العقليّة لمّا كان موضوعها عدم البيان الذي يحكم معه العقل بقبح العقاب، فالدليل الدالّ على حجّيّة الأمارة يعتبر الأمارة بياناً تعبّداً مع كونه ليس بياناً وجداناً، وبهذا التعبّد يرتفع موضوع البراءة العقليّة، وهو عدم البيان،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الأمارة لا تنافي بينه وبين أدلّة الأصول العقليّة، فلا 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كلّه صرّح بعض الأعلام</w:t>
      </w:r>
      <w:r>
        <w:rPr>
          <w:rStyle w:val="FootnoteAnchor"/>
          <w:rtl w:val="true"/>
        </w:rPr>
        <w:footnoteReference w:id="373"/>
      </w:r>
      <w:r>
        <w:rPr>
          <w:rFonts w:ascii="Amiri" w:hAnsi="Amiri" w:eastAsia="Amiri" w:cs="Amiri"/>
          <w:color w:val="111111"/>
          <w:sz w:val="28"/>
          <w:sz w:val="28"/>
          <w:szCs w:val="28"/>
          <w:rtl w:val="true"/>
          <w:lang w:bidi="ar-SA"/>
        </w:rPr>
        <w:t>بأنّ من شروط التعارض عدم كون أحد الدليلين مزاحماً، أو مخصِّصاً للآخر، أو وارداً، أو حاكماً عليه، مضافاً إلى شروط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الدليلين أو كلٌّ منهما قطعيّاً؛ لأنّه لو كان أحدهما قطعيّاً عُلم منه كذب الآخر، وكون كلٍّ منهما قطعيّاً مستحيل في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الظنّ الفعليّ معتبراً في حجّيّتهما معاً؛ لاستحالة حصر الظنّ الفعليّ بالمتكاذبَين كاستحالة القطع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يعتبر في أحدهما الظنّ الفعليّ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الدليلين المتعارضين واجداً لشرائط الحجّيّة،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لو خُلّي ونفسه ولم يحصل ما يعارضه لكان حجّةً يجب العمل بموجبه، وإن كان أحدهما لا على التعيين بمجرّد التعارض يسقط عن الحجّيّة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فمع عدم وجود مرجّح تجدهم يلجؤون مباشرةً للتخيير، أو التساقط، حتّى وإن كان الجمع ممكناً، لذلك قالوا بالتخيير بين العامّ والمطلق، والخاصّ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بالتساقط يرجع مباشرةً للعامّ الفوقانيّ، أو الأصل، بمجرّد التعارض وفقدان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ونُسب الإنكار للشيخ في كلٍّ من الاستبصار والعدّة، وفي نسبة الإنكار إليه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العدّة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الجمع بين المتعارضَين</w:t>
      </w:r>
    </w:p>
    <w:p>
      <w:pPr>
        <w:pStyle w:val="BookText"/>
        <w:rPr/>
      </w:pPr>
      <w:r>
        <w:rPr>
          <w:rFonts w:ascii="Amiri" w:hAnsi="Amiri" w:eastAsia="Amiri" w:cs="Amiri"/>
          <w:color w:val="111111"/>
          <w:sz w:val="28"/>
          <w:sz w:val="28"/>
          <w:szCs w:val="28"/>
          <w:rtl w:val="true"/>
          <w:lang w:bidi="ar-SA"/>
        </w:rPr>
        <w:t>فحينئذٍ تصل النوبة إلى إجراء قواعد التعارض من التساقط، أو التخيير، وقد اختلفوا في القاعدة الأوّليّة في المتعارضين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المطلق، وهو ما ذهب إليه المشهور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الحجّيّة في الجملة في تمام موارد التعارض، فيلتجأ إلى التخيير في الأخذ بأحدهما وطرح الآخر، وهو 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الأصول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w:t>
      </w:r>
      <w:r>
        <w:rPr>
          <w:rStyle w:val="FootnoteAnchor"/>
          <w:rtl w:val="true"/>
        </w:rPr>
        <w:footnoteReference w:id="377"/>
      </w:r>
      <w:r>
        <w:rPr>
          <w:rFonts w:ascii="Amiri" w:hAnsi="Amiri" w:eastAsia="Amiri" w:cs="Amiri"/>
          <w:color w:val="111111"/>
          <w:sz w:val="28"/>
          <w:sz w:val="28"/>
          <w:szCs w:val="28"/>
          <w:rtl w:val="true"/>
          <w:lang w:bidi="ar-SA"/>
        </w:rPr>
        <w:t>بين ما إذا كان التعارض ذاتيّاً، بأن يكون الخبران متنافيين بحسب مدلولهما فيحكم فيه بالتساقط المطلق، وبين ما إذا كان التعارض عرضيّاً، بأن لم يكن تنافٍ بين مدلولي الخبرين، بل يمكن صدقهما معاً، لكنّه عُلم بكذب أحد الراويين المستلزم لدلالة كلٍّ منهما بالملازمة على كذب الآخر، فيحكم فيه بالحجّيّة وتنجيز مدلولهما على المكلّف</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17" w:name="pg9167_80309"/>
    </w:p>
    <w:p>
      <w:pPr>
        <w:pStyle w:val="Heading3"/>
        <w:numPr>
          <w:ilvl w:val="2"/>
          <w:numId w:val="1"/>
        </w:numPr>
        <w:rPr/>
      </w:pPr>
      <w:bookmarkStart w:id="418" w:name="__RefHeading___Toc3770083_2870459653"/>
      <w:bookmarkStart w:id="419" w:name="_Toc164"/>
      <w:bookmarkEnd w:id="417"/>
      <w:bookmarkEnd w:id="418"/>
      <w:r>
        <w:rPr>
          <w:rtl w:val="true"/>
        </w:rPr>
        <w:t>المقام الثاني</w:t>
      </w:r>
      <w:r>
        <w:rPr>
          <w:rtl w:val="true"/>
        </w:rPr>
        <w:t xml:space="preserve">: </w:t>
      </w:r>
      <w:r>
        <w:rPr>
          <w:rtl w:val="true"/>
        </w:rPr>
        <w:t>في أنحاء الجمع</w:t>
      </w:r>
      <w:bookmarkEnd w:id="419"/>
    </w:p>
    <w:p>
      <w:pPr>
        <w:pStyle w:val="BookText"/>
        <w:rPr/>
      </w:pPr>
      <w:r>
        <w:rPr>
          <w:rFonts w:ascii="Amiri" w:hAnsi="Amiri" w:eastAsia="Amiri" w:cs="Amiri"/>
          <w:color w:val="111111"/>
          <w:sz w:val="28"/>
          <w:sz w:val="28"/>
          <w:szCs w:val="28"/>
          <w:rtl w:val="true"/>
          <w:lang w:bidi="ar-SA"/>
        </w:rPr>
        <w:t>ذكرنا أنّه قبل الوصول إلى مرحلة إجراء قواعد التعارض لا بُدَّ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محاولة الجمع بين الدليلين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لبناء العقلاء، أو لسيرة العلماء، أو لتسالمهم على أنّ الجمع أولى من الطرح</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ترجيح أحد المتعارضين بعد فرض حجّيّتهما معاً في أنفسهما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فيها شاهد على ما نحن فيه، كما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الترجيح بموافقة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الترجيح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جعل فرض حجّيّتهما في أنفسهما أحد شروط تحقّق التعارض الاصطلاحيّ،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ويعبّر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غير المستقرّ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اللجوء إلى قواعد التعارض وهو يكون عند عدم إمكان الجمع، وهو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المستقرّ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لا بُدَّ أوّلاً من بيان معاني الجمع، ومعرفة ما هو المعنى المتّبع منها في مثل هذه الحالات، وما هي حدوده، ثُمَّ الحديث عن أقسام المرجّحات وطرق الترجيح وصوره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في موارد اختلاف الطرق والأمارات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استكشاف مراد المتكلّم في مقام الثبوت من كلماته الصادرة عنه المختلفة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 بالدليلين المتعارضين ولو بالتبعيض في مدلولهما، مع الإغماض عن التصرّف في دلالتهما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بالعلماء في الأوّل العدول، وفي الثاني الفسّاق، ويبني عمله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بالعلماء وإن كان هو الجميع في الخبرين، إلّا أنّه في مقام العمل يؤخذ بالبعض في كلٍّ من الحكمين، فالأوّل جمع دلاليّ، والثاني عمليّ، كما لو قامت بيّنة على أنّ هذه الدار لزيد، وقامت بيّنة أخرى مساوية لها عدداً وعدالةً أنّها لعمرو، فيتعيّن الأخذ بكلّ واحد منها في نصف مدلوله، فيعطى نصف الدار لزيد ونصفه الآخر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مورد الجمع العمليّ فيما إذا كان المتعلّق في كليهما أو أحدهما عامّاً ذا أفراد، أو مركّباً ذا أجزاء، فلا يجري في البسيط كالحرمة والحلّيّة والزوجيّة والحرّيّة ونحوها؛ إذ التبعيض من حيث الزمان لا دخل له بالجمع العمليّ، بمعنى أنّه معلوم العدم؛ بأن يحكم بالحرمة في يوم، وبالحلّيّة في آخر، عملاً بالخبرين الدالّ أحدهما على إحداهما، والآخر على الأخرى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بيان الجمعين مفهوماً ومصداقاً؛ لاختلاف المناط والملاك فيهما؛ إذ العمل اللازم للتصرّف في الدلالة ليس من الجمع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يكون مصداقاً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بمعنى أنّ في بعض الموارد يمكن الجمع الدلاليّ دون العمليّ، وفي بعضها عكس ذلك، وفي بعضها يمكن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الاجتماع المثال المتقدّم، ومورد افتراق الأوّل ما إذا دلّ أحد الخبرين على العشر في الرضاع، والآخر على عدمه واعتبار خمس عشرة رضعة، فإنّه لا يمكن الجمع العمليّ؛ إذ الحرمة ليست قابلة للتبعيض إلّا بحسب الزمان، وهو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افتراق الثاني تعارض النصّين والأصلين حيث لا يمكن التصرّف في دلالتهما، ويمكن الجمع العمليّ بينهما إذا كان المتعلّق فيهما أو في أحدهما قابلاً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العمليّ على نوعين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يُعمل بكلا الدليلين المتعارضين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يُعمل بمضمون كلٍّ من الطريقين المتعارضين في بعض مدلوله، كما في تعارض البيّنتين في ملكيّة الدار مثلاً، فإنّه لا يتصرّف في لفظ البيّنتين، بل يعمل بهما ويحكم بتنصيف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بعضهم نوعاً ثالثاً من الجمع العمليّ، وهو تبعيض العمل بمدلول أحد الخبرين مع العمل بتمام مدلول الخبر الآخر، ومثّل له بالمطلق والمقيّد، حيث يُعمل بتمام مدلول المقيّد، وببعض مدلول المطلق وهو المقدار الذي لا يتنافى مع المقيّد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معه سينتفي الفرق بين الجمع العمليّ والدلاليّ، خصوصاً على </w:t>
      </w:r>
    </w:p>
    <w:p>
      <w:pPr>
        <w:pStyle w:val="BookText"/>
        <w:rPr/>
      </w:pPr>
      <w:r>
        <w:rPr>
          <w:rFonts w:ascii="Amiri" w:hAnsi="Amiri" w:eastAsia="Amiri" w:cs="Amiri"/>
          <w:color w:val="111111"/>
          <w:sz w:val="28"/>
          <w:sz w:val="28"/>
          <w:szCs w:val="28"/>
          <w:rtl w:val="true"/>
          <w:lang w:bidi="ar-SA"/>
        </w:rPr>
        <w:t xml:space="preserve">تفسير الدلاليّ بما يتناسب مع الضوابط العرفيّة، وأنّ الدليل عليه هو بناء العقلاء، إلّا أن يدّعى أنّه من موارد اجتماع الجمعين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بالجمع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الدلاليّ دون العمليّ، فمع عدم إمكان الأوّل يرجع إلى سائر قواعد التعارض من التخيير والترجيح ونحو ذلك وإن أمكن الجمع العمليّ؛ وذلك لأنّ محلّ كلامهم تعارض أدلّة الأحكام، والجمع العمليّ فيها خلاف الإجماع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غرضهم من الجمع أنّه إذا أمكن رفع التنافي بين الخبرين بحيث يخرجان عن التعارض وجب ذلك، ويكون مقدّماً على التخيير والترجيح، والجمع العمليّ ليس دافعاً للتنافي كما هو واضح، فلا ينبغي التأمّل في أنّ مرادهم من الجمع خصوص الجمع الدلاليّ لا العمليّ، ولا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ظاهر أدلّتهم أيضاً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ما هو الصحيح من أنحاء الجمع الدلاليّ المتّبع في علاج التعارض بين دليلين أو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 الدلاليّ نحوين رئيسين، على الرغم من أنّه يمكن أن تكون له أنحاء ومحتملات تختلف بحسب الأدلّة التي استُدلّ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أنّ الدليل على جواز الجمع هو</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بناء العقلاء، بمعنى أنّه لو صدرت أقوال مختلفة من متكلّم واحد أو من أفراد متعدّدين لهم حكم المتكلّم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بأن يكون أحدها عامّاً والآخر خاصّاً، أو أحدها مطلقاً والآخر مقيّداً، أو ظاهراً وأظهر، فإنّ العقلاء في </w:t>
      </w:r>
    </w:p>
    <w:p>
      <w:pPr>
        <w:pStyle w:val="BookText"/>
        <w:rPr/>
      </w:pPr>
      <w:r>
        <w:rPr>
          <w:rFonts w:ascii="Amiri" w:hAnsi="Amiri" w:eastAsia="Amiri" w:cs="Amiri"/>
          <w:color w:val="111111"/>
          <w:sz w:val="28"/>
          <w:sz w:val="28"/>
          <w:szCs w:val="28"/>
          <w:rtl w:val="true"/>
          <w:lang w:bidi="ar-SA"/>
        </w:rPr>
        <w:t>مرحلة استكشاف مراد المتكلّم يبنون على حمل العامّ على الخاصّ، والمطلق على المقيّد، والظاهر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المراد من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الجمع في مستوى فهم عموم العرف، ولا يعتمد على خبرة خاصّة للشخص، بحيث لو عرض هذان الكلامان على عموم الناس لما بقي العرف متحيّراً، بل إنّهم يلجؤون لهذا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السيرة التي تفترق عن بناء العقلاء بأنّها تعبّر عن عمل طائفة خاصّة تابعة لمنهج خاصّ، فتكشف عن رأي رئيسهم ومتبوعهم، والحكم المستكشف بها حكم تأسيسيّ، وأنّها تكشف عن عدم الردع عنها بالشروط المذكورة لها، التي منها الاتّصال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يقوم بناء العقلاء على أمر عامّ، يحتاج في حجّيّته لإحراز عدم ردع الشارع عنه، فيكون الحكم المستكشف منه حكماً إمضائيّاً، فيختلفان في كلٍّ من الكاشف والمنكشف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استدلّ على التوفيق في مثل الخاصّ والعامّ، والمقيّد والمطلق بالسيرة القطعيّة من لدن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كاشفة إجمالاً عمّا يوجب تخصيص أخبار العلاج بغير موارد التوفيق العرفيّ لولا دعوى اختصاصها به، صاحب الكفاية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عليه المحقّق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ودعوى السيرة القطعيّة على التوفيق بين الخاصّ والعامّ، والمطلق والمقيّد، من لدن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رجوع أحد من العلماء إلى المرجّحات الأُخر يمكن منعها،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لما خفيت على مثل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يظنّ بالسيرة فضلاً عن القطع بعد ذهاب مثله إلى العمل </w:t>
      </w:r>
    </w:p>
    <w:p>
      <w:pPr>
        <w:pStyle w:val="BookText"/>
        <w:rPr/>
      </w:pPr>
      <w:r>
        <w:rPr>
          <w:rFonts w:ascii="Amiri" w:hAnsi="Amiri" w:eastAsia="Amiri" w:cs="Amiri"/>
          <w:color w:val="111111"/>
          <w:sz w:val="28"/>
          <w:sz w:val="28"/>
          <w:szCs w:val="28"/>
          <w:rtl w:val="true"/>
          <w:lang w:bidi="ar-SA"/>
        </w:rPr>
        <w:t>بالمرجّحات في تعارض النصّ والظاهر، كما يظهر من العبارة المحكيّة عنه في الاستبصار والعدّة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قرّب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التي ادّعاها صاحب الكفاية ببعض ما يمكن أن يكون شاهداً على هذه السيرة، مثل ما جاء من هذه الجموع في اعتقادات الصدوق، والكافي، والفقيه، والتهذيبين، ثُمَّ ناقش تلك الشواهد، كما ناقش وجود السيرة على الجمع العرفيّ عند الأصحاب والعلماء السابقين في مجال الروايات المتعارضة، وهو ما اعتبره توضيحاً لاعتراض المحقّق الحائريّ المتقدّم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التبرّعيّ</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أنّ الدليل على الجمع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ادّعى ابن أبي جمهور الإجماع عليها</w:t>
      </w:r>
      <w:r>
        <w:rPr>
          <w:rStyle w:val="FootnoteAnchor"/>
          <w:rtl w:val="true"/>
        </w:rPr>
        <w:footnoteReference w:id="386"/>
      </w:r>
      <w:r>
        <w:rPr>
          <w:rFonts w:ascii="Amiri" w:hAnsi="Amiri" w:eastAsia="Amiri" w:cs="Amiri"/>
          <w:color w:val="111111"/>
          <w:sz w:val="28"/>
          <w:sz w:val="28"/>
          <w:szCs w:val="28"/>
          <w:rtl w:val="true"/>
          <w:lang w:bidi="ar-SA"/>
        </w:rPr>
        <w:t>، فهو نوع من التأويل والتوسعة لدائرة الجمع إلى أقصى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يمكن أن تُحمل عليه عبارة الشيخ في مقدّمة التهذيب،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تمكّنتُ من تأويل بعض الأحاديث من غير أن أطعن في أسنادها فلا أتعدّى وأجتهد أن أروي في معنى ما أتأوّل الحديث عليه حديث آخر يتضمّن ذلك المعنى</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ورفض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أيّ نحو من هذه الأنحاء الثلاثة هو </w:t>
      </w:r>
    </w:p>
    <w:p>
      <w:pPr>
        <w:pStyle w:val="BookText"/>
        <w:rPr/>
      </w:pPr>
      <w:r>
        <w:rPr>
          <w:rFonts w:ascii="Amiri" w:hAnsi="Amiri" w:eastAsia="Amiri" w:cs="Amiri"/>
          <w:color w:val="111111"/>
          <w:sz w:val="28"/>
          <w:sz w:val="28"/>
          <w:szCs w:val="28"/>
          <w:rtl w:val="true"/>
          <w:lang w:bidi="ar-SA"/>
        </w:rPr>
        <w:t>النحو الصحيح من أنحاء الجمع الدلاليّ، 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الجمع العرفيّ العقلائيّ فرفضهُ؛ لأنّه إذا كان المراد أنّ هذه الجموع التي نقوم بها بين الروايات والأقوال المختلفة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جموع عرفيّة عقلائيّة عامّة كأقوال سائر الناس، كما هو الحال في المخصّصات المنفصلة الواردة قبل وقت العمل بالعامّ، حيث يكون الجمع فيها عرفيّاً عقلائيّاً يتفهّمه ويتعقّله عامّة أبناء العرف والعقلاء، فهذا الرأي ممّا تدلّ الشواهد على خلافه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بالاستقراء بناء العقلاء على الجمع فيما لو لزم من الاعتماد على القرينة المنفصلة محذور تأخير البيان عن وقت الحاجة، ففي مثل هذه الموارد يحمل العقلاء القول الثاني على النسخ فيما لو كان المتكلّم ممّن يمكن في حقّه تبدّل الرأي وتغيّره، وإلّا فإنّهم يحكمون بالتعارض بين كلاميه، والروايات التي هي محلّ الابتلاء هي في الغالب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الحيرة والاضطراب والتشكيك العقائديّ، وهو ما صرّح به الشيخ في مقدّمة التهذيب</w:t>
      </w:r>
      <w:r>
        <w:rPr>
          <w:rStyle w:val="FootnoteAnchor"/>
          <w:rtl w:val="true"/>
        </w:rPr>
        <w:footnoteReference w:id="389"/>
      </w:r>
      <w:r>
        <w:rPr>
          <w:rFonts w:ascii="Amiri" w:hAnsi="Amiri" w:eastAsia="Amiri" w:cs="Amiri"/>
          <w:color w:val="111111"/>
          <w:sz w:val="28"/>
          <w:sz w:val="28"/>
          <w:szCs w:val="28"/>
          <w:rtl w:val="true"/>
          <w:lang w:bidi="ar-SA"/>
        </w:rPr>
        <w:t>، والكلينيّ في مقدّمة الكافي</w:t>
      </w:r>
      <w:r>
        <w:rPr>
          <w:rStyle w:val="FootnoteAnchor"/>
          <w:rtl w:val="true"/>
        </w:rPr>
        <w:footnoteReference w:id="390"/>
      </w:r>
      <w:r>
        <w:rPr>
          <w:rFonts w:ascii="Amiri" w:hAnsi="Amiri" w:eastAsia="Amiri" w:cs="Amiri"/>
          <w:color w:val="111111"/>
          <w:sz w:val="28"/>
          <w:sz w:val="28"/>
          <w:szCs w:val="28"/>
          <w:rtl w:val="true"/>
          <w:lang w:bidi="ar-SA"/>
        </w:rPr>
        <w:t>، فلو كانت مثل هذه الجموع الشائعة عند المتأخّرين جموعاً عرفيّةً واضحة عند العقلاء، لم يكن هناك أيّ موجب لمثل هذه الحيرة والاضطراب، ولزال التعارض بين كثير من الروايات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الجمع العرفيّ المبنيّ على السيرة فناقشهُ بتوقّف هذا النحو من الجمع على </w:t>
      </w:r>
    </w:p>
    <w:p>
      <w:pPr>
        <w:pStyle w:val="BookText"/>
        <w:rPr/>
      </w:pPr>
      <w:r>
        <w:rPr>
          <w:rFonts w:ascii="Amiri" w:hAnsi="Amiri" w:eastAsia="Amiri" w:cs="Amiri"/>
          <w:color w:val="111111"/>
          <w:sz w:val="28"/>
          <w:sz w:val="28"/>
          <w:szCs w:val="28"/>
          <w:rtl w:val="true"/>
          <w:lang w:bidi="ar-SA"/>
        </w:rPr>
        <w:t>استقراء سيرة العلماء، وهو غير ثابت، وبعدم استقلاليّة السيرة؛ إذ لا بُدَّ أن تستند السيرة إلى دليل، وهذا الدليل إمّا هو بناء العقلاء، وإمّا الروايات، فيكون الدليل هما وليس السيرة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الجمع التبرّعيّ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كون كبرى سقوطه عن الحجّيّة مسلّمة عند الأكثر؛ لعدم استناده إلى الظهورات العرفيّة التي هي موضوع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عليه إلّا الإجماع الذي ادّعاه ابن أبي جمهور، ولا يبعد أن يريد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من تأخّر عن الشيخ؛ لأنّ الشيخ كان مُتَّبعاً لدى العلماء لفترة طويلة في فتاواه وآرائه، وإن كان قد نبّه في مقدّمة التهذيب على أنّ هذه الجموع التي يذكرها في كتابه ليست واجبة، وإنّما ذكرها لأنّها توجب أنس الأذهان بالأحاديث</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كلّه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نحوٍ آخر من الجمع الدلاليّ أسماه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الاستنباطيّ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يعتمد على فقاهة المستنبِط؛ بأن يلاحظ الكلمات المختلفة الصادرة من متكلّم واحد أو متكلّمين في حكم المتكلّم الواحد ممّن يتصدّى لزعامة اجتماعيّة أو دينيّة، بحيث لا يمكن لكلّ أحد من أبناء العرف القيام بمثل هذا الجمع وتفهّمه، وإنّما تختصّ معرفته بالمتخصّصين في معرفة كلام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يعرفون قواعد الإعلام والنشر، ومواقعه وأساليبه، وقوانين الكتمان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وملاحظة الأوضاع، والأجواء، والمخاطبين، والمعاصرين للكلام، ومستوى الكلام وخصوصيّاته، ونوع الحكم من كونه ولائيّاً أو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فهؤلاء العارفون المتخصّصون هم من يحقّ لهم الجمع بين أقوال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علاقة لهذا النحو من الجمع بقيام سيرة العلماء على مثله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هذا النحو من الجمع هو أيضاً بناء العقلاء، ولكن لا على مستوى عامّة الناس، بل على مستوى الخاصّة،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ذلك المتكلّم الذي يعلم مسبقاً بأنّه يتكلّم الكلام المختلف بحسب دواعي النشر والكتمان، ويحثّ على التعرّف على مقاصده وأساليبه وقواعده الخاصّة بحسب مكانته الاجتماعيّة، أو الدينيّة، لذلك لا تناط صحّة هذا الجمع بتقبّل العرف وفهمه، إلّا بعد تعرّفه على قواعد النشر والكتمان وموازينه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20" w:name="pg9167_80318"/>
    </w:p>
    <w:p>
      <w:pPr>
        <w:pStyle w:val="Heading3"/>
        <w:numPr>
          <w:ilvl w:val="2"/>
          <w:numId w:val="1"/>
        </w:numPr>
        <w:rPr/>
      </w:pPr>
      <w:bookmarkStart w:id="421" w:name="__RefHeading___Toc3770085_2870459653"/>
      <w:bookmarkStart w:id="422" w:name="_Toc165"/>
      <w:bookmarkEnd w:id="420"/>
      <w:bookmarkEnd w:id="421"/>
      <w:r>
        <w:rPr>
          <w:rtl w:val="true"/>
        </w:rPr>
        <w:t>المقام الثالث</w:t>
      </w:r>
      <w:r>
        <w:rPr>
          <w:rtl w:val="true"/>
        </w:rPr>
        <w:t xml:space="preserve">: </w:t>
      </w:r>
      <w:r>
        <w:rPr>
          <w:rtl w:val="true"/>
        </w:rPr>
        <w:t>في أقسام المرجّحات</w:t>
      </w:r>
      <w:bookmarkEnd w:id="422"/>
    </w:p>
    <w:p>
      <w:pPr>
        <w:pStyle w:val="Heading4"/>
        <w:numPr>
          <w:ilvl w:val="3"/>
          <w:numId w:val="1"/>
        </w:numPr>
        <w:rPr/>
      </w:pPr>
      <w:bookmarkStart w:id="423" w:name="__RefHeading___Toc3770087_2870459653"/>
      <w:bookmarkStart w:id="424" w:name="_Toc166"/>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وللمرجّحات تقسيمات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مرجّحات منصوصة، وغير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المرجّحات المنصوص عليها</w:t>
      </w:r>
      <w:r>
        <w:rPr>
          <w:rStyle w:val="FootnoteAnchor"/>
          <w:rtl w:val="true"/>
        </w:rPr>
        <w:footnoteReference w:id="394"/>
      </w:r>
      <w:r>
        <w:rPr>
          <w:rFonts w:ascii="Amiri" w:hAnsi="Amiri" w:eastAsia="Amiri" w:cs="Amiri"/>
          <w:color w:val="111111"/>
          <w:sz w:val="28"/>
          <w:sz w:val="28"/>
          <w:szCs w:val="28"/>
          <w:rtl w:val="true"/>
          <w:lang w:bidi="ar-SA"/>
        </w:rPr>
        <w:t>في الروايات فقد اختلف في عددها، والصحيح أنّها خمسة وإن كانت الروايات الدالّة عليها عبارة عن أربعة أصناف؛ وذلك لوحدة روايات الترجيح بموافقة الكتاب ومخالفة العامّة، وهذه المرجّحات الخمس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الكتاب، والترجيح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 المراد من العامّة، وهل هو مخالفتها لحكّام العامّة وقضاتهم، أو مخالفتها لروايات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والترجيح بالأحدث زماناً، والترجيح بصفات الراوي مثل أعدليّته وأفقهيّته وأصدقيّته وأورعيّته، والترجيح باشتهار الرواية شهرة فتوائيّة أو روائيّة على خلاف بينهم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المرجّحات غير المنصوصة فهي كثيرة، لكنّ أهمّ ما ذكر منها في كتب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رواة أحد الخبرين بناءً على أنّ المراد بالشهرة في الأخبار هي الروائيّة، وأضبطيّة الرواة، وعلوّ الإسناد، وترجيح النقل باللفظ على النقل بالمعنى إذا لم يكن الناقل للفظ معروفاً بالضبط والمعرفة، وتأكّد دلالة أحد الخبرين بالقَسَم، وكون أحدهما بلفظ فصيح والآخر بركيك، وكون أحدهما بلفظ حقيقيّ والآخر بمجازيّ، </w:t>
      </w:r>
    </w:p>
    <w:p>
      <w:pPr>
        <w:pStyle w:val="BookText"/>
        <w:rPr/>
      </w:pPr>
      <w:r>
        <w:rPr>
          <w:rFonts w:ascii="Amiri" w:hAnsi="Amiri" w:eastAsia="Amiri" w:cs="Amiri"/>
          <w:color w:val="111111"/>
          <w:sz w:val="28"/>
          <w:sz w:val="28"/>
          <w:szCs w:val="28"/>
          <w:rtl w:val="true"/>
          <w:lang w:bidi="ar-SA"/>
        </w:rPr>
        <w:t>وموافقة الرواية أو مخالفتها للأصل على خلاف في ذلك، وموافقة شهرة القدماء،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شهرة المتأخّرين بناءً على إرادة الشهرة الفتوائيّة في أخبار الترجيح، وترجيح الشيعة الإماميّة على باقي فرق الشيعة، وموافقة الرواية لحكم العقل أو التجربة، وأعلميّة الراوي، وترجيح الخبر المرويّ سماعاً على المرويّ إجازةً، وترجيح الخبر المتضمّن للزيادة، وترجيح الخبر المرويّ بالمشافهة على المرويّ بالمكاتبة، والترجيح بشهرة الراوي، وترجيح الأعلم بالعربيّة، وترجيح رواية صاحب الواقعة، وترجيح رواية من هو أكثر مجالسة للعلماء، وتقديم رواية من عُلمت عدالته بالاختبار على المزكّى، وتقديم رواية الراوي الجازم على الظانّ، وترجيح رواية المشهور بالرئاسة، ومرجوحيّة رواية من يلتبس اسمه باسم بعض الضعفاء، وترجيح رواية المتحمّل وقت البلوغ على المتحمّل وقت الصبا، وتقديم الرواية المتضمّنة لذكر السبب الموجب لصدور الرواية، ورواية المدنيّ أرجح من المكّيّ، والرواية المعلّلة أولى، والرواية التي فيها تهديد أولى، وترجيح الراوي الأقرب إلى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مرجّحات دلاليّة، وغير دلاليّة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الدلاليّة تقسّم إلى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مزيّة غير مستقلّة في نفسها، بل متقوّمة بما في الدليل، وهي على ثلاثة أقسام باعتبار رجوعها إمّا إلى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راجعاً إلى السند كصفات الراوي، أو إلى المتن كالأفصحيّة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إلى وجه الصدور ككون أحدهما مخالفاً للعامّة</w:t>
      </w:r>
      <w:r>
        <w:rPr>
          <w:rStyle w:val="FootnoteAnchor"/>
          <w:rtl w:val="true"/>
        </w:rPr>
        <w:footnoteReference w:id="395"/>
      </w:r>
      <w:r>
        <w:rPr>
          <w:rFonts w:ascii="Amiri" w:hAnsi="Amiri" w:eastAsia="Amiri" w:cs="Amiri"/>
          <w:color w:val="111111"/>
          <w:sz w:val="28"/>
          <w:sz w:val="28"/>
          <w:szCs w:val="28"/>
          <w:rtl w:val="true"/>
          <w:lang w:bidi="ar-SA"/>
        </w:rPr>
        <w:t xml:space="preserve">، وإمّا إلى المضمون كترجيح مضمون المنقول باللفظ </w:t>
      </w:r>
      <w:bookmarkStart w:id="425" w:name="pg9167_80320"/>
    </w:p>
    <w:p>
      <w:pPr>
        <w:pStyle w:val="BookText"/>
        <w:rPr/>
      </w:pPr>
      <w:bookmarkEnd w:id="425"/>
      <w:r>
        <w:rPr>
          <w:rFonts w:ascii="Amiri" w:hAnsi="Amiri" w:eastAsia="Amiri" w:cs="Amiri"/>
          <w:color w:val="111111"/>
          <w:sz w:val="28"/>
          <w:sz w:val="28"/>
          <w:szCs w:val="28"/>
          <w:rtl w:val="true"/>
          <w:lang w:bidi="ar-SA"/>
        </w:rPr>
        <w:t>على المنقول بالمعنى، وترجيح الخبر الموافق للشهرة على غير الموافق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ومرجّحات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أمر مستقلّ بنفسه ولو لم يكن هناك خبرٌ، سواء كان معتبراً كالأصل والكتاب، أو غير معتبر في نفسه كالشهرة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مؤثّراً في أقربيّة أحد الخبرين إلى الواقع كالكتاب، والأصل بناءً على إفادته الظنّ، أو غير مؤثّر ككون الحرمة أولى بالأخذ من الوجوب، والأصل بناءً على كونه من باب التعبّد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جعل المستقلّ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يؤثّر في أقربيّة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لا يخلو عن مسامحة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والمرجّحات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بالترجيح بحسب قوّة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صورتان رئيستان</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3770089_2870459653"/>
      <w:bookmarkStart w:id="427" w:name="_Toc167"/>
      <w:bookmarkEnd w:id="426"/>
      <w:r>
        <w:rPr>
          <w:rtl w:val="true"/>
        </w:rPr>
        <w:t>الصورة الأولى</w:t>
      </w:r>
      <w:r>
        <w:rPr>
          <w:rtl w:val="true"/>
        </w:rPr>
        <w:t xml:space="preserve">: </w:t>
      </w:r>
      <w:r>
        <w:rPr>
          <w:rtl w:val="true"/>
        </w:rPr>
        <w:t>ترجيح النصّ على الظاهر</w:t>
      </w:r>
      <w:bookmarkEnd w:id="427"/>
    </w:p>
    <w:p>
      <w:pPr>
        <w:pStyle w:val="BookText"/>
        <w:rPr/>
      </w:pPr>
      <w:r>
        <w:rPr>
          <w:rFonts w:ascii="Amiri" w:hAnsi="Amiri" w:eastAsia="Amiri" w:cs="Amiri"/>
          <w:color w:val="111111"/>
          <w:sz w:val="28"/>
          <w:sz w:val="28"/>
          <w:szCs w:val="28"/>
          <w:rtl w:val="true"/>
          <w:lang w:bidi="ar-SA"/>
        </w:rPr>
        <w:t xml:space="preserve">وقد ذهب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خارج عن مسألة الترجيح بحسب الدلالة؛ لأنّ الظاهر لا يعارض النصّ حتّى يرجّح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 الظنّيّ السند يعارض دليل سنده دليل حجّيّة الظهور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العامّ المخصَّص على العامّ المعارض له منه؛ </w:t>
      </w:r>
      <w:bookmarkStart w:id="428" w:name="pg9167_80321"/>
    </w:p>
    <w:p>
      <w:pPr>
        <w:pStyle w:val="BookText"/>
        <w:rPr/>
      </w:pPr>
      <w:bookmarkEnd w:id="428"/>
      <w:r>
        <w:rPr>
          <w:rFonts w:ascii="Amiri" w:hAnsi="Amiri" w:eastAsia="Amiri" w:cs="Amiri"/>
          <w:color w:val="111111"/>
          <w:sz w:val="28"/>
          <w:sz w:val="28"/>
          <w:szCs w:val="28"/>
          <w:rtl w:val="true"/>
          <w:lang w:bidi="ar-SA"/>
        </w:rPr>
        <w:t>لكونه كالنصّ في الباقي بعد التخصيص</w:t>
      </w:r>
      <w:r>
        <w:rPr>
          <w:rStyle w:val="FootnoteAnchor"/>
          <w:rtl w:val="true"/>
        </w:rPr>
        <w:footnoteReference w:id="398"/>
      </w:r>
      <w:r>
        <w:rPr>
          <w:rFonts w:ascii="Amiri" w:hAnsi="Amiri" w:eastAsia="Amiri" w:cs="Amiri"/>
          <w:color w:val="111111"/>
          <w:sz w:val="28"/>
          <w:sz w:val="28"/>
          <w:szCs w:val="28"/>
          <w:rtl w:val="true"/>
          <w:lang w:bidi="ar-SA"/>
        </w:rPr>
        <w:t xml:space="preserve">، وهو ما يمكن أن يستفاد بالتأمّل في مجموع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770091_2870459653"/>
      <w:bookmarkStart w:id="430" w:name="_Toc168"/>
      <w:bookmarkEnd w:id="429"/>
      <w:r>
        <w:rPr>
          <w:rtl w:val="true"/>
        </w:rPr>
        <w:t>الصورة الثانية</w:t>
      </w:r>
      <w:r>
        <w:rPr>
          <w:rtl w:val="true"/>
        </w:rPr>
        <w:t xml:space="preserve">: </w:t>
      </w:r>
      <w:r>
        <w:rPr>
          <w:rtl w:val="true"/>
        </w:rPr>
        <w:t>ترجيح الأظهر على الظاهر</w:t>
      </w:r>
      <w:bookmarkEnd w:id="430"/>
    </w:p>
    <w:p>
      <w:pPr>
        <w:pStyle w:val="Heading5"/>
        <w:numPr>
          <w:ilvl w:val="4"/>
          <w:numId w:val="1"/>
        </w:numPr>
        <w:rPr/>
      </w:pPr>
      <w:bookmarkStart w:id="431" w:name="__RefHeading___Toc3770093_2870459653"/>
      <w:bookmarkStart w:id="432" w:name="_Toc169"/>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والأظهريّة أيضاً لها عدّة صور،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بملاحظة خصوص المتعارضين من جهة القرائن الشخصيّة، وهذا لا يدخل تحت ضابطة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بملاحظة نوع المتعارضين، وقد ذكروا له صوراً عديدة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770095_2870459653"/>
      <w:bookmarkStart w:id="434" w:name="_Toc170"/>
      <w:bookmarkEnd w:id="433"/>
      <w:r>
        <w:rPr>
          <w:rtl w:val="true"/>
        </w:rPr>
        <w:t>الأولى</w:t>
      </w:r>
      <w:bookmarkEnd w:id="434"/>
    </w:p>
    <w:p>
      <w:pPr>
        <w:pStyle w:val="BookText"/>
        <w:rPr/>
      </w:pPr>
      <w:r>
        <w:rPr>
          <w:rFonts w:ascii="Amiri" w:hAnsi="Amiri" w:eastAsia="Amiri" w:cs="Amiri"/>
          <w:color w:val="111111"/>
          <w:sz w:val="28"/>
          <w:sz w:val="28"/>
          <w:szCs w:val="28"/>
          <w:rtl w:val="true"/>
          <w:lang w:bidi="ar-SA"/>
        </w:rPr>
        <w:t>تقديم الخاصّ على العامّ بناءً على كونه من قبيل تقديم الأظهر على الظاهر</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770097_2870459653"/>
      <w:bookmarkStart w:id="436" w:name="_Toc171"/>
      <w:bookmarkEnd w:id="435"/>
      <w:r>
        <w:rPr>
          <w:rtl w:val="true"/>
        </w:rPr>
        <w:t>الثانية</w:t>
      </w:r>
      <w:bookmarkEnd w:id="436"/>
    </w:p>
    <w:p>
      <w:pPr>
        <w:pStyle w:val="BookText"/>
        <w:rPr/>
      </w:pPr>
      <w:r>
        <w:rPr>
          <w:rFonts w:ascii="Amiri" w:hAnsi="Amiri" w:eastAsia="Amiri" w:cs="Amiri"/>
          <w:color w:val="111111"/>
          <w:sz w:val="28"/>
          <w:sz w:val="28"/>
          <w:szCs w:val="28"/>
          <w:rtl w:val="true"/>
          <w:lang w:bidi="ar-SA"/>
        </w:rPr>
        <w:t>تقديم التخصيص على النسخ، المعلّل بشيوع التخصيص وندرة النسخ، ومورده فيما إذا كان هناك دليلان بينهما نسبة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بالنسخ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حكم جديد في حصّة خاصّة بعد أن كانت محكومة بحكم العامّ واقعاً قبل صدور الخاصّ، كما لو قيل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تحقّق إكرام العلماء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والعدول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فيلتزم في مثله بتغيّر حكم العامّ في الحصّة إلى جعل حكم آخر لها؛ لتغيّر المصالح والمفاسد، فيحرم إكرام العالم الفاسق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حكم العامّ منذ صدوره لم يكن شاملاً لحصّة </w:t>
      </w:r>
    </w:p>
    <w:p>
      <w:pPr>
        <w:pStyle w:val="BookText"/>
        <w:rPr/>
      </w:pPr>
      <w:r>
        <w:rPr>
          <w:rFonts w:ascii="Amiri" w:hAnsi="Amiri" w:eastAsia="Amiri" w:cs="Amiri"/>
          <w:color w:val="111111"/>
          <w:sz w:val="28"/>
          <w:sz w:val="28"/>
          <w:szCs w:val="28"/>
          <w:rtl w:val="true"/>
          <w:lang w:bidi="ar-SA"/>
        </w:rPr>
        <w:t>الخاصّ، فيكتشف منه كون مقام الإثبات بالنسبة إلى الحكم العامّ أوسع من مقام الثبوت، وأنّ الإرادة الاستعماليّة غير مطابقة للإرادة الجدّيّة في العامّ، فالأخيرة في مقام الثبوت أضيق من الأولى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تقييد هذه الصورة بصدور الثاني منهما بعد وقت العمل بالأوّل</w:t>
      </w:r>
      <w:r>
        <w:rPr>
          <w:rStyle w:val="FootnoteAnchor"/>
          <w:rtl w:val="true"/>
        </w:rPr>
        <w:footnoteReference w:id="400"/>
      </w:r>
      <w:r>
        <w:rPr>
          <w:rFonts w:ascii="Amiri" w:hAnsi="Amiri" w:eastAsia="Amiri" w:cs="Amiri"/>
          <w:color w:val="111111"/>
          <w:sz w:val="28"/>
          <w:sz w:val="28"/>
          <w:szCs w:val="28"/>
          <w:rtl w:val="true"/>
          <w:lang w:bidi="ar-SA"/>
        </w:rPr>
        <w:t>لأنّه لو كان قبله لم يحتمل النسخ؛ لقُبح النسخ قبل وقت العمل، فتعيّن النسخ مشروط بورود الخاصّ بعد حضور وقت العمل بالعامّ أو بالعكس، إلّا إذا كان هناك دليل على امتناعه، كغلبة هذا النحو من التخصيصات، وهو كون تكليف المخاطبين بالعامّ ظاهراً في العمل بالعموم المراد به الخصوص واقعاً في صورة تقدّم العامّ على الخاصّ، وبالعكس في حالة تقدّم الخاصّ على العامّ،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ومحلّ الابتلاء هو ما لو صدر العامّ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المتقدّمين كالإمام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وقت العمل بالعامّ صدر الخاصّ عن أحد الأئمّة المتأخّرين كالإمام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بالعكس بأن يصدر العامّ بعد وقت العمل بالخاصّ</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وكذلك يجري فيما لو صدر كلا الدليلين في زمان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فحينئذٍ لا مانع من الالتزام بالنسخ أيضاً، ولكن لا من جهة تبدّل الرأي، بل من جهة أنّ العامّ كان من البداية ذا ملاك إلى أمدٍ معيّن في علم المولى ولكنّه لم يبرزه، وإنّما أُبرز بعد ذلك بلسان حكمٍ جديد رافعٍ للحكم الأوّل في الحصّة المعيّنة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والمتتبّع لأقوال الأعلام في المسألة يجد اتّفاقهم على أنّ الحمل على النسخ غير صحيح في نظرهم مطلقاً، فيتعيّن التخصيص؛ للانحصار بينهما، إلّا على رأي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المُبرز لاحتمال ثالث في المسألة، وهو احتمال الحكم الولائيّ الذي ليس بنسخ ولا تخصيص، بل هو من قبيل عروض عنوان آخر؛ إذ ليس كلّ حكم مغيّر للحكم السابق يسمّى ناسخاً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بعض الموارد فقط، وإبراز هذا الاحتمال نافع أيضاً في ظهور ثمرة عمليّة لهذه الصورة،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 ذلك فلا يدور الأمر بين النسخ والتخصيص، بل يبرز احتمال ثالث، وهو احتمال الحكم الولائيّ، حيث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أنّهم ساسة الأمم، وولاة الأمر، وتجب طاعتهم، فتكون لهم الولاية على جعل الحكم بحسب المصالح والمفاسد المتغيّرة، وإلزام المكلّفين بها، ولا يُسمّى هذا الحكم نسخاً، لأنّه لا ينافي الحكم السابق؛ إذ هو من قبيل العناوين الثانويّة، فكما يمكن للإنسان أن يُلزم نفسه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بنذر أو بشرط أو يمين أو بيع أو شراء أو غيره،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نسخت الإباحة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أولى بنا من أنفسنا، فلهم حقّ التشريع والإلزام في حدود منطقة الفراغ، ولكنّ هذا التشريع الخاصّ يعتبر فيه ألّا يكون موجباً لتحليل الحرام أو تحريم الحلال</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437" w:name="pg9167_80324"/>
    </w:p>
    <w:p>
      <w:pPr>
        <w:pStyle w:val="BookText"/>
        <w:rPr/>
      </w:pPr>
      <w:bookmarkEnd w:id="437"/>
      <w:r>
        <w:rPr>
          <w:rFonts w:ascii="Amiri" w:hAnsi="Amiri" w:eastAsia="Amiri" w:cs="Amiri"/>
          <w:color w:val="111111"/>
          <w:sz w:val="28"/>
          <w:sz w:val="28"/>
          <w:szCs w:val="28"/>
          <w:rtl w:val="true"/>
          <w:lang w:bidi="ar-SA"/>
        </w:rPr>
        <w:t xml:space="preserve">وبذلك يندفع 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ترتّب ثمرة عمليّة على هذا البحث بالنسبة إلينا</w:t>
      </w:r>
      <w:r>
        <w:rPr>
          <w:rStyle w:val="FootnoteAnchor"/>
          <w:rtl w:val="true"/>
        </w:rPr>
        <w:footnoteReference w:id="403"/>
      </w:r>
      <w:r>
        <w:rPr>
          <w:rFonts w:ascii="Amiri" w:hAnsi="Amiri" w:eastAsia="Amiri" w:cs="Amiri"/>
          <w:color w:val="111111"/>
          <w:sz w:val="28"/>
          <w:sz w:val="28"/>
          <w:szCs w:val="28"/>
          <w:rtl w:val="true"/>
          <w:lang w:bidi="ar-SA"/>
        </w:rPr>
        <w:t>لأنّنا لم ندرك ولم نعش الفترة المتوسّطة الممتدّة بين العامّ والخاصّ، وإنّما وُجدنا بعد صدورهما، فسواء كان الخاصّ مخصّصاً للعامّ أو ناسخاً له أو بالعكس، فإنّه ينبغي علينا العمل بالخاصّ، فلا أثر لدوران الأمر بينهما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770099_2870459653"/>
      <w:bookmarkStart w:id="439" w:name="_Toc172"/>
      <w:bookmarkEnd w:id="438"/>
      <w:r>
        <w:rPr>
          <w:rtl w:val="true"/>
        </w:rPr>
        <w:t>الثالثة</w:t>
      </w:r>
      <w:bookmarkEnd w:id="439"/>
    </w:p>
    <w:p>
      <w:pPr>
        <w:pStyle w:val="BookText"/>
        <w:rPr/>
      </w:pPr>
      <w:r>
        <w:rPr>
          <w:rFonts w:ascii="Amiri" w:hAnsi="Amiri" w:eastAsia="Amiri" w:cs="Amiri"/>
          <w:color w:val="111111"/>
          <w:sz w:val="28"/>
          <w:sz w:val="28"/>
          <w:szCs w:val="28"/>
          <w:rtl w:val="true"/>
          <w:lang w:bidi="ar-SA"/>
        </w:rPr>
        <w:t>تقديم ظهور الكلام في استمرار الحكم على النسخ، عند دوران الأمر بين النسخ وارتكاب خلاف الظاهر، والمعروف ترجيح الكلّ على النسخ؛ لغلبتها بالنسبة إليه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على 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النسخ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في قوّة أحد الظاهرين وضعف الآخر، فلا وجه لملاحظة الأصول العمليّة في المقام، مع أنّا إذا فرضنا عامّاً متقدّماً وخاصّاً متأخّراً،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المتقدِّمين على زمان الخاصّ مكلّفون بالعامّ أو لا؟ وهو ليس مجرى للاستصحاب؛ إذ أنَّ استصحاب عدم النسخ عند الشكّ في التكليف لا معنى له، فيبقى ظهور الكلام في عدم النسخ معارضاً بظهوره في العموم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أبداً إلى يوم القيامة، وحرامه حرام أبداً </w:t>
      </w:r>
      <w:bookmarkStart w:id="440" w:name="pg9167_80325"/>
    </w:p>
    <w:p>
      <w:pPr>
        <w:pStyle w:val="BookText"/>
        <w:rPr/>
      </w:pPr>
      <w:bookmarkEnd w:id="440"/>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وأجيب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مسوق لبيان استمرار أحكام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إلى يوم القيامة في مقابل نسخها بدين آخر، لا بيان استمرار أحكامه الشخصيّة، إلّا ما خرج بالدليل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3770101_2870459653"/>
      <w:bookmarkStart w:id="442" w:name="_Toc173"/>
      <w:bookmarkEnd w:id="441"/>
      <w:r>
        <w:rPr>
          <w:rtl w:val="true"/>
        </w:rPr>
        <w:t>الرابعة</w:t>
      </w:r>
      <w:bookmarkEnd w:id="442"/>
    </w:p>
    <w:p>
      <w:pPr>
        <w:pStyle w:val="BookText"/>
        <w:rPr/>
      </w:pPr>
      <w:r>
        <w:rPr>
          <w:rFonts w:ascii="Amiri" w:hAnsi="Amiri" w:eastAsia="Amiri" w:cs="Amiri"/>
          <w:color w:val="111111"/>
          <w:sz w:val="28"/>
          <w:sz w:val="28"/>
          <w:szCs w:val="28"/>
          <w:rtl w:val="true"/>
          <w:lang w:bidi="ar-SA"/>
        </w:rPr>
        <w:t xml:space="preserve">تقديم الإطلاق الشموليّ على الإطلاق البدليّ فيما إذا كان بين الدليلين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المحقّق العراقيّ</w:t>
      </w:r>
      <w:r>
        <w:rPr>
          <w:rStyle w:val="FootnoteAnchor"/>
          <w:rtl w:val="true"/>
        </w:rPr>
        <w:footnoteReference w:id="408"/>
      </w:r>
      <w:r>
        <w:rPr>
          <w:rFonts w:ascii="Amiri" w:hAnsi="Amiri" w:eastAsia="Amiri" w:cs="Amiri"/>
          <w:color w:val="111111"/>
          <w:sz w:val="28"/>
          <w:sz w:val="28"/>
          <w:szCs w:val="28"/>
          <w:rtl w:val="true"/>
          <w:lang w:bidi="ar-SA"/>
        </w:rPr>
        <w:t>، وقوّاه المحقّق النائينيّ</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يتساقط كلا الإطلاقين كما ذهب إليه صاحب الكفاية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القول الأوّل يدخل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الشموليّ فلا يُكرم، ويُقيّد الإطلاق البدليّ بغير المجمع، فيجب إكرام العالم العادل، وعلى القول الثاني يحكم بتساقطهما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دوران الأمر في هذه الصورة بين الإطلاق البدليّ والإطلاق الشموليّ كي يُبحث عن تقديم أيٍّ منهما على الآخر، وإنّما التعارض بين الإطلاق المقاميّ الدالّ على شمول الجواز التكليفيّ لكلّ حصّة حصّة، والإطلاق الشموليّ اللفظيّ الدالّ على حرمة بعض الحصص، فالتقديم على ضوء ذلك لا يبتني على ما ذكره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يتوقّف على كون الجواز التكليفيّ </w:t>
      </w:r>
      <w:bookmarkStart w:id="443" w:name="pg9167_80326"/>
    </w:p>
    <w:p>
      <w:pPr>
        <w:pStyle w:val="BookText"/>
        <w:rPr/>
      </w:pPr>
      <w:bookmarkEnd w:id="443"/>
      <w:r>
        <w:rPr>
          <w:rFonts w:ascii="Amiri" w:hAnsi="Amiri" w:eastAsia="Amiri" w:cs="Amiri"/>
          <w:color w:val="111111"/>
          <w:sz w:val="28"/>
          <w:sz w:val="28"/>
          <w:szCs w:val="28"/>
          <w:rtl w:val="true"/>
          <w:lang w:bidi="ar-SA"/>
        </w:rPr>
        <w:t>مقوّماً للإطلاق، وكون الإطلاق الإثباتيّ متوقّفاً على الإطلاق الثبوتيّ، وإنّما يبتني على أمور أخرى كالعناوين الثانويّة، أو حمل الجواز على الجواز اللااقتضائيّ، أو قوّة الظهور إذا لم يعارض بها في الطرف الآخر، فالبحث على الرأي المختار يختلف موضوعاً ومحمولاً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3770103_2870459653"/>
      <w:bookmarkStart w:id="445" w:name="_Toc174"/>
      <w:bookmarkEnd w:id="444"/>
      <w:r>
        <w:rPr>
          <w:rtl w:val="true"/>
        </w:rPr>
        <w:t>الخامسة</w:t>
      </w:r>
      <w:bookmarkEnd w:id="445"/>
    </w:p>
    <w:p>
      <w:pPr>
        <w:pStyle w:val="BookText"/>
        <w:rPr/>
      </w:pPr>
      <w:r>
        <w:rPr>
          <w:rFonts w:ascii="Amiri" w:hAnsi="Amiri" w:eastAsia="Amiri" w:cs="Amiri"/>
          <w:color w:val="111111"/>
          <w:sz w:val="28"/>
          <w:sz w:val="28"/>
          <w:szCs w:val="28"/>
          <w:rtl w:val="true"/>
          <w:lang w:bidi="ar-SA"/>
        </w:rPr>
        <w:t>ترجيح العموم على الإطلاق فيما لو كان هناك دليلان بينهما العموم من وجه، وكلٌّ منهما يشتمل على حكم ينافي حكم الآخر، ودلالة أحدهما بالعموم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بالإطلاق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العالم الفاسق</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الصورة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الإطلاق والعموم، فيتعارض تقييد المطلق وتخصيص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التعبيرين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النتيجة واحدة؛ إذ إنّ نتيجة ترجيح التقييد على التخصيص هو ترجيح العموم على الإطلاق؛ لأنّ الحكم بالإطلاق من حيث عدم البيان، والعامّ بيان، فعدم البيان للتقييد جزء من مقتضي الإطلاق، والبيان للتخصيص مانع عن اقتضاء العامّ للعموم، فإذا دفعنا المانع عن العموم بالأصل، والمفروض وجود المقتضي له، ثبت بيان التقييد وارتفع المقتضي للإطلاق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ترجيح التقييد</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وهو ما قوّاه </w:t>
      </w:r>
    </w:p>
    <w:p>
      <w:pPr>
        <w:pStyle w:val="BookText"/>
        <w:rPr/>
      </w:pPr>
      <w:r>
        <w:rPr>
          <w:rFonts w:ascii="Amiri" w:hAnsi="Amiri" w:eastAsia="Amiri" w:cs="Amiri"/>
          <w:color w:val="111111"/>
          <w:sz w:val="28"/>
          <w:sz w:val="28"/>
          <w:szCs w:val="28"/>
          <w:rtl w:val="true"/>
          <w:lang w:bidi="ar-SA"/>
        </w:rPr>
        <w:t xml:space="preserve">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ترجيح العموم</w:t>
      </w:r>
      <w:r>
        <w:rPr>
          <w:rStyle w:val="FootnoteAnchor"/>
          <w:rtl w:val="true"/>
        </w:rPr>
        <w:footnoteReference w:id="415"/>
      </w:r>
      <w:r>
        <w:rPr>
          <w:rFonts w:ascii="Amiri" w:hAnsi="Amiri" w:eastAsia="Amiri" w:cs="Amiri"/>
          <w:color w:val="111111"/>
          <w:sz w:val="28"/>
          <w:sz w:val="28"/>
          <w:szCs w:val="28"/>
          <w:rtl w:val="true"/>
          <w:lang w:bidi="ar-SA"/>
        </w:rPr>
        <w:t xml:space="preserve">، وقوّاه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على ما حقّقه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أسماء الأجناس إنّما وضعت للماهيّة المهملة، وأمّا اللابشرطيّة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حيثيّة خارجة عن حدود الموضوع لاسم الجنس، وإنّما تستفاد اللابشرطيّة من الأداة الموضوعة للعموم، فدلالة العامّ على الشمول وضعيّة تنجيزيّة، وأمّا دلالة الإطلاق على اللابشرطيّة والشمول فبمقدّمات الحكمة، ومن هذه المقدّمات عدم وجود البيان، فدلالته تعليقيّة؛ لكونها معلّقة على عدم البيان على التقييد، وبما أنّ العامّ يصلح أن يكون بياناً على عدم توفّر اللابشرطيّة في المطلق، فيكون المجمع محكوماً بحكم العامّ دون حكم المطلق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أنّه لا فرق بين ظهور المطلق وظهور العامّ، إذ إنّ كلا الظهورين تنجيزيّ؛ لأنّ المطلق إنّما يناط ظهوره بالشمول بعدم خصوص البيان المتّصل، فالبيان المنفصل ليس له تأثير في ظهور المطلق؛ لأنّ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عدم البيان المتّصل لا عدم البيان إلى الأبد، فالبيان المنفصل في غير مقام التخاطب لا ينفي ظهور المطلق، وعليه يكون ظهور المطلق تنجيزيّاً كظهور العامّ، فيتعارض هذان الظهوران التنجيزيان، ولا بُدَّ في تشخيص </w:t>
      </w:r>
    </w:p>
    <w:p>
      <w:pPr>
        <w:pStyle w:val="BookText"/>
        <w:rPr/>
      </w:pPr>
      <w:r>
        <w:rPr>
          <w:rFonts w:ascii="Amiri" w:hAnsi="Amiri" w:eastAsia="Amiri" w:cs="Amiri"/>
          <w:color w:val="111111"/>
          <w:sz w:val="28"/>
          <w:sz w:val="28"/>
          <w:szCs w:val="28"/>
          <w:rtl w:val="true"/>
          <w:lang w:bidi="ar-SA"/>
        </w:rPr>
        <w:t>أظهريّة أحدهما من الآخر من ملاحظة خصوصيات الكلام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فكرة ابتناء النزاع على كون ظهور المطلق تعليقيّاً وظهور العامّ تنجيزيّاً؛ لأنَّ هذا الابتناء ممّا لا يكاد يخفى فساده؛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ظهور اللفظ ليس قابلاً للتعليق، فإنّ الظهور إنّما ينعقد بملاحظة ذات الكلام، والشيء لا ينقلب عمّا وقع عليه، وعلى ضوء ما ذكرناه فإنّ البيان المنفصل إنّما يمنع من حجّيّة هذا الظهور، دون أن يمنع من أصل انعقاده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لذلك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رأي الشيخ ومن تبعه مبتنٍ على القول بأنّ انكشاف الإطلاق بحكم العقل، ورأي صاحب الكفاية ومن تبعه مبتنٍ على أنّ انكشافه بالظهور اللفظيّ، ولذلك اختار التفصيل على ضوء اختلاف مستويات الكلامين المتعارضين في صدورهما، فقد يكون مستوى أحدهما التعليم والآخر في مستوى الفتوى، وقد يكون كلاهما في مستوى التعليم، أو كلاهما في مستوى الإفتاء، والحكم في كلّ مستوى يختلف عن الآخر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بناءً على كونه حقيقة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بكونه مجازاً فالمعروف في وجه تقديم التقييد كونه أغلب من التخصيص، وقد تأمّل فيه الشيخ بأنّ الكلام في التقييد بالمنفصل، وكونه أغلب غير </w:t>
      </w:r>
      <w:bookmarkStart w:id="446" w:name="pg9167_80329"/>
    </w:p>
    <w:p>
      <w:pPr>
        <w:pStyle w:val="BookText"/>
        <w:rPr/>
      </w:pPr>
      <w:bookmarkEnd w:id="446"/>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دلالة ألفاظ العموم أقوى من دلالة المطلق ولو قلنا إنّها بالوضع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3770105_2870459653"/>
      <w:bookmarkStart w:id="448" w:name="_Toc175"/>
      <w:bookmarkEnd w:id="447"/>
      <w:r>
        <w:rPr>
          <w:rtl w:val="true"/>
        </w:rPr>
        <w:t>السادسة</w:t>
      </w:r>
      <w:bookmarkEnd w:id="448"/>
    </w:p>
    <w:p>
      <w:pPr>
        <w:pStyle w:val="BookText"/>
        <w:rPr/>
      </w:pPr>
      <w:r>
        <w:rPr>
          <w:rFonts w:ascii="Amiri" w:hAnsi="Amiri" w:eastAsia="Amiri" w:cs="Amiri"/>
          <w:color w:val="111111"/>
          <w:sz w:val="28"/>
          <w:sz w:val="28"/>
          <w:szCs w:val="28"/>
          <w:rtl w:val="true"/>
          <w:lang w:bidi="ar-SA"/>
        </w:rPr>
        <w:t>تقديم التخصيص على غير التقييد من الظواهر عند تعارض العموم مع غير الإطلاق من الظواهر، معلّلاً بغلبته وشيوعه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تأمّل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تطبيقات هذه الصورة، كما هو الحال في ظهور صيغة الأمر في الوجوب؛ فإنّ استعمالها في الاستحباب شائع أيضاً، بل قال صاحب هداية المسترشدين</w:t>
      </w:r>
      <w:r>
        <w:rPr>
          <w:rStyle w:val="FootnoteAnchor"/>
          <w:rtl w:val="true"/>
        </w:rPr>
        <w:footnoteReference w:id="421"/>
      </w:r>
      <w:r>
        <w:rPr>
          <w:rFonts w:ascii="Amiri" w:hAnsi="Amiri" w:eastAsia="Amiri" w:cs="Amiri"/>
          <w:color w:val="111111"/>
          <w:sz w:val="28"/>
          <w:sz w:val="28"/>
          <w:szCs w:val="28"/>
          <w:rtl w:val="true"/>
          <w:lang w:bidi="ar-SA"/>
        </w:rPr>
        <w:t>بكونه مجازاً مشهوراً، ولم يقل ذلك في العامّ المخصّص، وهو ما تأمّل فيه الشيخ أيضاً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بملاحظة الصنفين المتعارضين المندرجين تحت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له بتقديم المجاز الشائع على غيره، كحمل الأمر المصروف عن الوجوب على الاستحباب دون 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بملاحظة الأفراد، فيقدّم بعض أفراد التخصيص على بعض، وذكروا له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بقوّة عموم أحد الفردين على الآخر، وأقوائيّة العامّ إمّا بنفسه كتقديم الجمع المحلّى باللام على المفرد المعرّف، ونحو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بملاحظة المقام، فإنّ العامّ المسوق لبيان الضابط أقوى من غيره، ونحو ذلك</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بقرب أحد المخصّصين وبُعد الآخر، ومثّلوا له بترجيح الأقلّ أفراداً على غيره، مثل تقديمهم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أكل كلّ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النهي عن أكل الحامض؛ لأنّه أقلّ أفراداً فيكون أشبه بالنصّ</w:t>
      </w:r>
      <w:r>
        <w:rPr>
          <w:rFonts w:eastAsia="Amiri" w:cs="Amiri" w:ascii="Amiri" w:hAnsi="Amiri"/>
          <w:color w:val="111111"/>
          <w:sz w:val="28"/>
          <w:szCs w:val="28"/>
          <w:rtl w:val="true"/>
          <w:lang w:bidi="ar-SA"/>
        </w:rPr>
        <w:t xml:space="preserve">. </w:t>
      </w:r>
      <w:bookmarkStart w:id="449" w:name="pg9167_80331"/>
    </w:p>
    <w:p>
      <w:pPr>
        <w:pStyle w:val="Heading3"/>
        <w:numPr>
          <w:ilvl w:val="2"/>
          <w:numId w:val="1"/>
        </w:numPr>
        <w:rPr/>
      </w:pPr>
      <w:bookmarkStart w:id="450" w:name="__RefHeading___Toc3770107_2870459653"/>
      <w:bookmarkStart w:id="451" w:name="_Toc176"/>
      <w:bookmarkEnd w:id="449"/>
      <w:bookmarkEnd w:id="450"/>
      <w:r>
        <w:rPr>
          <w:rtl w:val="true"/>
        </w:rPr>
        <w:t>المقام الرابع</w:t>
      </w:r>
      <w:r>
        <w:rPr>
          <w:rtl w:val="true"/>
        </w:rPr>
        <w:t xml:space="preserve">: </w:t>
      </w:r>
      <w:r>
        <w:rPr>
          <w:rtl w:val="true"/>
        </w:rPr>
        <w:t>في القسمة الأوَّليّة للتعارض وكيفيّة العلاج</w:t>
      </w:r>
      <w:bookmarkEnd w:id="451"/>
    </w:p>
    <w:p>
      <w:pPr>
        <w:pStyle w:val="Heading4"/>
        <w:numPr>
          <w:ilvl w:val="3"/>
          <w:numId w:val="1"/>
        </w:numPr>
        <w:rPr/>
      </w:pPr>
      <w:bookmarkStart w:id="452" w:name="__RefHeading___Toc3770109_2870459653"/>
      <w:bookmarkStart w:id="453" w:name="_Toc177"/>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إنَّ التعارض على قسمين</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770111_2870459653"/>
      <w:bookmarkStart w:id="455" w:name="_Toc178"/>
      <w:bookmarkEnd w:id="454"/>
      <w:r>
        <w:rPr>
          <w:rtl w:val="true"/>
        </w:rPr>
        <w:t>القسم الأوَّل</w:t>
      </w:r>
      <w:r>
        <w:rPr>
          <w:rtl w:val="true"/>
        </w:rPr>
        <w:t xml:space="preserve">: </w:t>
      </w:r>
      <w:r>
        <w:rPr>
          <w:rtl w:val="true"/>
        </w:rPr>
        <w:t>ما يقع بين دليلين لا غير</w:t>
      </w:r>
      <w:bookmarkEnd w:id="455"/>
    </w:p>
    <w:p>
      <w:pPr>
        <w:pStyle w:val="BookText"/>
        <w:rPr/>
      </w:pPr>
      <w:r>
        <w:rPr>
          <w:rFonts w:ascii="Amiri" w:hAnsi="Amiri" w:eastAsia="Amiri" w:cs="Amiri"/>
          <w:color w:val="111111"/>
          <w:sz w:val="28"/>
          <w:sz w:val="28"/>
          <w:szCs w:val="28"/>
          <w:rtl w:val="true"/>
          <w:lang w:bidi="ar-SA"/>
        </w:rPr>
        <w:t>والمتعيّن في هذا القسم كون النسبة بين الدليلين واحدة، بخلاف القسم الثاني الآتي الذي يحتمل فيه أن تكون النسبة بين الأدلّة واحدة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صور التعارض في هذا القسم لا بُدَّ من بيان الغرض من ملاحظة النسبة بين الأدلّة المتعارضة، وهو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موضع التعارض، وتشخيص محلّ الظهورات وحدودها حيث لا يمكن اتّصاف الدليلين بالحجّيّة في ذلك المحلّ؛ فإذا كانت النسبة بين الدليلين هي التباين فإنّ التعارض يكون في تمام المدلول، وإذا كانت النسبة هي العموم من وجه فإنّ التعارض يكون في بعض المدلول لكليهما، وإذا كانت النسبة العموم المطلق كان التعارض بين بعض مدلول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 مدلول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توصيف مجموع الدليلين المتباينين بأنّهما متعارضان هو توصيف حقيقيّ، وأمّا في غيرهما فإنّما يكون على نحو المجاز والواسطة في العروض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إمكان وعدم إمكان الجمع الدلاليّ؛ لكون معرفة النسبة مقدّمة للوصول إلى الجمع الدلاليّ، ففي حالات التعارض بين المتباينين لا مورد للجمع الدلاليّ أصلاً، وفي حالات العموم من وجه يمكن أن ترشد ملاحظة النسبة ذاتاً إلى إمكان الجمع الدلاليّ بينهما، كما في الموارد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في المقام السابق من أنّه إذا كانت دلالة أحد العامّين من وجه بالعموم والآخر بالإطلاق، فيقدّم ما كانت دلالته بالعموم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لو كان إدخال المجمع في أحدهما موجباً لسقوط العنوان المأخوذ في الآخر، كما هو الحال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يطير فلا بأس ببوله وخرئه</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ثوبك من أبوال ما لا يؤكل لحمه</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 xml:space="preserve">فإدخال المجمع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غير المأكول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الخبر الأخير موجب لسقوط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خصوصيّة نفي البأس عن بوله وخرئه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حالات العموم المطلق فالمشهور تقديم الخاصّ على العامّ، إمّا بملاك الأخصّيّة مباشرةً، أو بملاك كونهِ أقوى الدليلين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الدليلان 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يكونا متساويين في المزايا والخصوصيّات، وإمّا أن يكون أحدهما واجداً لمزيّةٍ وخصوصيّةٍ يفتقدها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التعارض فيه 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الأوّليّة في مثله تقتضي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شاملاً للدليلين المتعارضين، أو لأحدهما المعيَّن دون الآخر، أو لهما على سبيل التخيير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فلعدم معقوليّتهِ؛ لأنَّ الدليلين المتعارضين تارةً يكون مفاد أحدهما حكماً إلزاميّاً ومفاد الآخر نفي ذلك الحكم الإلزاميّ، والأخذ بكليهما مستحيلٌ؛ لأنَّه يستلزم تنجيز حكمٍ إلزاميٍّ والتعذير عنه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مفادهما حكماً ترخيصيّاً،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بكليهما مستحيلٌ أيضاً؛ لأنَّه يستلزم الترخيص في المخالفة القطعيّة لذلك الواقع المعلوم إجمالاً مع العلم بمخالفة أحد الترخيصين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مفادهما حكماً إلزاميّاً، فإمّا أن يكون الحكمان متضادّين ذاتاً، فالشمول محالٌ؛ لاستلزامهِ تنجيز حكمين إلزاميّين في موضوعٍ واحد، كما إذا دلَّ دليلٌ على وجوب صلاة الجمعة وآخر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يكونا متضادّين بالعرَض، وذلك للعلم الإجماليّ من الخارج بعدم ثبوت أحدهما، كما إذا دلَّ دليلٌ على وجوب الجمعة وآخر على وجوب الظهر، فالشمول محالٌ أيضاً؛ لأنَّ كلَّاً من الدليلين المفروضين يدلّ بالالتزام على نفي الوجوب المستفاد من الآخر، فيقع التعارض بين الدلالة المطابقيّة لأحدهما والالتزاميّة للآخر، وحجّيّتهما معاً تستلزم تنجيز حكمٍ والتعذير عنه في وقتٍ واحد، وهو محالٌ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تامّ في مثل ما إذا كان كلّ من الدليلين مورداً لاحتمال وجود الملاك الأقوى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عدم اطّراد هذا البرهان فيما عدا الحالة السابقة، وهو ما يمكن </w:t>
      </w:r>
    </w:p>
    <w:p>
      <w:pPr>
        <w:pStyle w:val="BookText"/>
        <w:rPr/>
      </w:pPr>
      <w:r>
        <w:rPr>
          <w:rFonts w:ascii="Amiri" w:hAnsi="Amiri" w:eastAsia="Amiri" w:cs="Amiri"/>
          <w:color w:val="111111"/>
          <w:sz w:val="28"/>
          <w:sz w:val="28"/>
          <w:szCs w:val="28"/>
          <w:rtl w:val="true"/>
          <w:lang w:bidi="ar-SA"/>
        </w:rPr>
        <w:t>حصره في واحدةٍ من حالاتٍ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عدم ثبوت ملاك الحجّيّة والطريقيّة في كلٍّ من الدليلين في حالة التعارض، فيسقطان معاً بلا حاجةٍ إلى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العلم بوجود ملاك الحجّيّة في كلٍّ منهما، وأنَّ الملاك في أحدهما المعيَّن أقوى منه في الآخر، فيكون ذلك المعيَّن مشمولاً لدليل الحجّيّة قطعاً، بخلاف الآخر المعلوم عدم شموله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كون الطريق لإحراز الملاك هو نفس دليل الحجّيّة، مع فرض العلم بأنَّ الملاك لو كان ثابتاً في المتعارضين فهو أقوى في أحدهما المعيّن، ممّا يعني العلم بسقوط إطلاق دليل الحجّيّة للآخر، فلا يكون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فلأنَّه لا ينطبق على مفادهِ العرفيّ، وهو الحجّيّة التعيينيّة، فيمكن إبطال الحجّيّة التخييريّة بأنَّ مفاد الدليل هو كون الفرد مركزاً للحجّيّة، لا الجامع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الحجّيّة التخييريّة لا ينحصر أمرها بحجّيّة الجامع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مفاد الدليل، بل يمكن تصويرها بحجّتين مشروطتين بأن يلتزم بحجّيّة كلٍّ من الدليلين لكن لا مطلقاً، بل شريطة أن لا يكون الآخر صادقاً، فمركز كلٍّ من الحجّتين هو الفرد لا الجامع، ولكن نرفع اليد عن إطلاق الحجّيّة لأجل التعارض، ولا تنافي بين حجّتين مشروطتين من هذا القبيل، ولا محذور في ثبوتهما إذا لم يكن كذبُ كلٍّ من الدليلين مستلزماً لصدق الآخر، فلا مانع من التخيير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لذلك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فالقاعدة فيهما تقتضي التساقط، ولكن قام الدليل على التخيير في الأخذ بأحدهما وطرح الآخر</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في إشارةٍ منه إلى قبوله بالحالات التي لا يوجد فيها مانع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كذبُ كلٍّ من الدليلين مستلزماً لصدق الآخر، وجبَ الرجوع إلى إناطة حجّيّة كلٍّ منهما بصدق نفسه، وهو غير معقولٍ، فيتعيَّن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التعارض فيه بغير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فالمزيّة إمّا أن تكون في السند أو في جهة الصدور، فلا بُدَّ من ترجيح صاحب المزيّة وطرح الآخر، ومستنده الروايات المعروفة بأخبار الترجيح</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تكون المزيّة في الدلالة،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وعدم جواز طرح أحدهما؛ لذلك اشتهر على ألسنتهم أنَّ الجمع بين الدليلين مهما أمكن أولى من الطرح، وهو ما ادَّعى البعض الإجماع عليه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فلا خلاف في تقديم الخاصّ على العامّ مطلقاً؛ وذلك لعدم سماح الخاصّ بانعقاد ظهور تصديقيّ للعامّ في العموم إذا كان الخاصّ متّصلاً، وباعتبار </w:t>
      </w:r>
      <w:bookmarkStart w:id="456" w:name="pg9167_80336"/>
    </w:p>
    <w:p>
      <w:pPr>
        <w:pStyle w:val="BookText"/>
        <w:rPr/>
      </w:pPr>
      <w:bookmarkEnd w:id="456"/>
      <w:r>
        <w:rPr>
          <w:rFonts w:ascii="Amiri" w:hAnsi="Amiri" w:eastAsia="Amiri" w:cs="Amiri"/>
          <w:color w:val="111111"/>
          <w:sz w:val="28"/>
          <w:sz w:val="28"/>
          <w:szCs w:val="28"/>
          <w:rtl w:val="true"/>
          <w:lang w:bidi="ar-SA"/>
        </w:rPr>
        <w:t>كون الخاصّ قرينةً على تخصيص العامّ، فيخرج ظهور العامّ عن موضوع دليل الحجّيّة إذا كان الخاصّ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قرينيّة الخاصّ على التخصيص هل هي بملاك الأخصّيّة مباشرةً، أو بملاك كونهِ أقوى الدليلين ظهوراً؟ على الرغم من تسليم الجميع بقرينيّة الأظهر إذا كانت أظهريّته واضحة عرفاً، ومن ثَمَّ يجمع بينه وبين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بتحكيم الأظهر على الظاهر وفقاً لنظريّة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فيه في تعريف التعارض، وسيأتي مزيد بيان لهذا الخلاف في المقام الخاصّ بالأقوال في انقلاب النسبة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770113_2870459653"/>
      <w:bookmarkStart w:id="458" w:name="_Toc179"/>
      <w:bookmarkEnd w:id="457"/>
      <w:r>
        <w:rPr>
          <w:rtl w:val="true"/>
        </w:rPr>
        <w:t>القسم الثاني</w:t>
      </w:r>
      <w:r>
        <w:rPr>
          <w:rtl w:val="true"/>
        </w:rPr>
        <w:t xml:space="preserve">: </w:t>
      </w:r>
      <w:r>
        <w:rPr>
          <w:rtl w:val="true"/>
        </w:rPr>
        <w:t>ما يقع بين أكثر من دليلين</w:t>
      </w:r>
      <w:bookmarkEnd w:id="458"/>
    </w:p>
    <w:p>
      <w:pPr>
        <w:pStyle w:val="BookText"/>
        <w:rPr/>
      </w:pPr>
      <w:r>
        <w:rPr>
          <w:rFonts w:ascii="Amiri" w:hAnsi="Amiri" w:eastAsia="Amiri" w:cs="Amiri"/>
          <w:color w:val="111111"/>
          <w:sz w:val="28"/>
          <w:sz w:val="28"/>
          <w:szCs w:val="28"/>
          <w:rtl w:val="true"/>
          <w:lang w:bidi="ar-SA"/>
        </w:rPr>
        <w:t>وقد جرت عادة الأصوليّين أن يبيّنوا هذا القسم على أساس كون النسبة بين جميع الأدلّة المتعارضة واحدة أو مختلفة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النسبة واحدةً فهي إمّا التباين، كما لو ورد 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خاصّان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إكرام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عدول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مجموع الخاصّين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النسبة بينه وبين العامّ الأوّل هي التباين، فيقع التعارض بينه وبين مجموع الخاصّين، 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فمورد التعارض فيما بينها واضح؛ لوحدة الموضوع في الأدلّة الثلاثة، وعدم إمكان الجمع بينها ممّا لا يكاد يخفى، فيرجع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فيأتي حديث التساقط أو التخيير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العموم من 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فيتعارض الكلُّ في مادّة الاجتماع،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الدليل الأوّل وجوب إكرام العالم الفاسق، ومقتضى الدليل الثاني حرمة إكرامه،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الشاعر الفاسق،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الشاعر، ومعها يجب الرجوع إلى المرجّحات، وإلّا فيتساقطان أو يتخيّر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العموم المطلق بأن يرد عامّ وخاصّان، فإن لم يلزم محذور من تخصيص العامِّ بهما، خصِّص العامُّ بهما</w:t>
      </w:r>
      <w:r>
        <w:rPr>
          <w:rStyle w:val="FootnoteAnchor"/>
          <w:rtl w:val="true"/>
        </w:rPr>
        <w:footnoteReference w:id="430"/>
      </w:r>
      <w:r>
        <w:rPr>
          <w:rFonts w:ascii="Amiri" w:hAnsi="Amiri" w:eastAsia="Amiri" w:cs="Amiri"/>
          <w:color w:val="111111"/>
          <w:sz w:val="28"/>
          <w:sz w:val="28"/>
          <w:szCs w:val="28"/>
          <w:rtl w:val="true"/>
          <w:lang w:bidi="ar-SA"/>
        </w:rPr>
        <w:t xml:space="preserve">،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دليل على عدم وجوب إكرام الفسّاق منهم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عمل بالخاصّين وأخرج فسّاق العلماء والنحويّين عن عموم العلماء لم يلزم منه محذور تخصيص الأكثر، أو لزوم بقاء العامّ بلا مورد؛ لبقاء العلماء العدول من غير النحويّين تحته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وَحَرَّمَ الرِّبَا</w:t>
      </w:r>
      <w:r>
        <w:rPr>
          <w:rStyle w:val="FootnoteAnchor"/>
          <w:rtl w:val="true"/>
        </w:rPr>
        <w:footnoteReference w:id="431"/>
      </w:r>
      <w:r>
        <w:rPr>
          <w:rFonts w:ascii="Amiri" w:hAnsi="Amiri" w:eastAsia="Amiri" w:cs="Amiri"/>
          <w:color w:val="111111"/>
          <w:sz w:val="28"/>
          <w:sz w:val="28"/>
          <w:szCs w:val="28"/>
          <w:rtl w:val="true"/>
          <w:lang w:bidi="ar-SA"/>
        </w:rPr>
        <w:t xml:space="preserve">بملاحظة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ربا بين الزوج </w:t>
      </w:r>
    </w:p>
    <w:p>
      <w:pPr>
        <w:pStyle w:val="BookText"/>
        <w:rPr/>
      </w:pPr>
      <w:r>
        <w:rPr>
          <w:rFonts w:ascii="Amiri" w:hAnsi="Amiri" w:eastAsia="Amiri" w:cs="Amiri"/>
          <w:color w:val="111111"/>
          <w:sz w:val="28"/>
          <w:sz w:val="28"/>
          <w:szCs w:val="28"/>
          <w:rtl w:val="true"/>
          <w:lang w:bidi="ar-SA"/>
        </w:rPr>
        <w:t>وزوجتِه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المسلم والذمّيّ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السيّد وعبدِه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فالحكم بحرمة الربا باستثناء هذه الموارد لا يلزم منه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التعارض بين أكثر من دليلين وجود ظاهرة اشتباه أطراف المعارضة، وحينئذٍ يُحتاج إلى معرفة كيفيّة تعيين أطراف المعارضة؛ إذ إنّ مورد التعارض تارةً يكون بيّناً، وأخرى يكون خفيّاً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صورتان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مورد التعارض وإمكان الجمع بيّناً، كما لو ورد دليلان بينهما عموم من وجه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كلّ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فيتعارضان في المجمع وهو العالم الفاسق، ثُمَّ يرد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محالة أخصّ مطلقاً من كلّ واحد من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لخصوص المجمع، ويتضمّن حكماً مغايراً لحكمي العامّين من وجه،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إكرام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مخصّصاً لكلا الدليلين؛ لتكفّله ببيان حكم ما تعارض فيه العامّان، فيكون المجمع خاضعاً لحكم الخاصّ وحده، فيحكم بكراهة إكرام العالم الفاسق</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مورد التعارض وامتناع الجمع بيّناً، وهذه الصورة شاملة لحالتي كون النسبة بين الأدلّة الثلاثة هي التباين، والعموم من وجه، وقد تقدّم الكلام في وضوح مورد التعارض وعدم إمكان الجمع بينها، فيرجع إلى قواعد التعارض من الترجيح ثُمَّ التساقط، أو التخيير على اختلاف الآراء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تكون هاتان الصورتان خارجتين عن بحث انقلاب النسبة، وسيأتي في محلّه مناقشة دعاوى جريان انقلاب النسبة في بعضها عند الحديث عن صور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مورد المعارضة خفيّاً، وله صور متعدّدة</w:t>
      </w:r>
      <w:r>
        <w:rPr>
          <w:rStyle w:val="FootnoteAnchor"/>
          <w:rtl w:val="true"/>
        </w:rPr>
        <w:footnoteReference w:id="434"/>
      </w:r>
      <w:r>
        <w:rPr>
          <w:rFonts w:ascii="Amiri" w:hAnsi="Amiri" w:eastAsia="Amiri" w:cs="Amiri"/>
          <w:color w:val="111111"/>
          <w:sz w:val="28"/>
          <w:sz w:val="28"/>
          <w:szCs w:val="28"/>
          <w:rtl w:val="true"/>
          <w:lang w:bidi="ar-SA"/>
        </w:rPr>
        <w:t>، أهمّها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يعرف بمحذور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المُستهجَن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العامّ بعد التخصيص بلا موردٍ في بعض صور 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ورد 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ومخصّصان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خصِّص العامُّ بكلا الخاصّين بقي العامُّ بلا موردٍ، بناءً على القول بعدم الواسطة بين العدالة والفسق</w:t>
      </w:r>
      <w:r>
        <w:rPr>
          <w:rStyle w:val="FootnoteAnchor"/>
          <w:rtl w:val="true"/>
        </w:rPr>
        <w:footnoteReference w:id="435"/>
      </w:r>
      <w:r>
        <w:rPr>
          <w:rFonts w:ascii="Amiri" w:hAnsi="Amiri" w:eastAsia="Amiri" w:cs="Amiri"/>
          <w:color w:val="111111"/>
          <w:sz w:val="28"/>
          <w:sz w:val="28"/>
          <w:szCs w:val="28"/>
          <w:rtl w:val="true"/>
          <w:lang w:bidi="ar-SA"/>
        </w:rPr>
        <w:t>، وفي تحديد أطراف المعارضة في مثل هذه الحالة مسالك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تقع بين العامّ ومجموع الخاصّين؛ بأن يشكّل الخاصّان وحدة مجموعيّة، فتكون نسبته مع العامّ هي نسبة التباين، فيجب ملاحظة الترجيح بين العامّ ومجموع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هو ما يظهر من كلمات كلٍّ من المحقّق النائينيّ</w:t>
      </w:r>
      <w:r>
        <w:rPr>
          <w:rStyle w:val="FootnoteAnchor"/>
          <w:rtl w:val="true"/>
        </w:rPr>
        <w:footnoteReference w:id="436"/>
      </w:r>
      <w:r>
        <w:rPr>
          <w:rFonts w:ascii="Amiri" w:hAnsi="Amiri" w:eastAsia="Amiri" w:cs="Amiri"/>
          <w:color w:val="111111"/>
          <w:sz w:val="28"/>
          <w:sz w:val="28"/>
          <w:szCs w:val="28"/>
          <w:rtl w:val="true"/>
          <w:lang w:bidi="ar-SA"/>
        </w:rPr>
        <w:t>، والمحقّق الأصفهانيّ</w:t>
      </w:r>
      <w:r>
        <w:rPr>
          <w:rStyle w:val="FootnoteAnchor"/>
          <w:rtl w:val="true"/>
        </w:rPr>
        <w:footnoteReference w:id="437"/>
      </w:r>
      <w:r>
        <w:rPr>
          <w:rFonts w:ascii="Amiri" w:hAnsi="Amiri" w:eastAsia="Amiri" w:cs="Amiri"/>
          <w:color w:val="111111"/>
          <w:sz w:val="28"/>
          <w:sz w:val="28"/>
          <w:szCs w:val="28"/>
          <w:rtl w:val="true"/>
          <w:lang w:bidi="ar-SA"/>
        </w:rPr>
        <w:t>، والمحقّق العراقيّ</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تقع بين الأدلّة الثلاثة جميعاً، فتكون المعارضة ثلاثيّة الأطراف، ولازمه تحقّق علم إجماليّ بأنّ ظاهر أحد هذه الأدلّة الثلاثة غير 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 وبعض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الصورة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تقع بين الخاصّين فحسب، وأمّا العامّ فإنّه يخرج عن مورد المعارضة، فيتعيّن ملاحظة المرجّحات بين الخاصّين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المسلك هو ما استظهره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كلمات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فعند تعيّن الرجوع إلى المرجِّحات لا يخلو الأمر من واحدةٍ من ستِّ </w:t>
      </w:r>
    </w:p>
    <w:p>
      <w:pPr>
        <w:pStyle w:val="BookText"/>
        <w:rPr/>
      </w:pPr>
      <w:r>
        <w:rPr>
          <w:rFonts w:ascii="Amiri" w:hAnsi="Amiri" w:eastAsia="Amiri" w:cs="Amiri"/>
          <w:color w:val="111111"/>
          <w:sz w:val="28"/>
          <w:sz w:val="28"/>
          <w:szCs w:val="28"/>
          <w:rtl w:val="true"/>
          <w:lang w:bidi="ar-SA"/>
        </w:rPr>
        <w:t>صورٍ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مرجوحاً بالنسبة إلى الخاصّين، فعلى المسالك الثلاثة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طرح العامّ والعمل بالخاصّين، فتكون نتيجتهُ في المثال المتقدِّم كراهة إكرام عدول العلماء، وحرمة إكرام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راجحاً على كلا الخاصَّين، فعلى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بوقوع التعارض بين العامِّ ومجموع الخاصَّين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طرح الخاصَّين والأخذ بالعامّ، ونتيجته وجوب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المسلك الثاني والقول بوقوع التعارض بين أحد الثلاثة وبين الآخرَين، وأنَّ المعلوم إجمالاً إنَّما هو كذب أحدها، فبعد الأخذ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لرجحانه على كلا الخاصَّين؛ لأنَّه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لطرح الخاصَّين معاً؛ لانحصار العلم بكذب أحدهما، فإن كان أحد الخاصَّين راجحاً على الآخر وجبَ الأخذ به وطرح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كانا متساويين فإمّا أن يتساقطا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أنَّه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يُتخيَّر بينهما على ما مرَّ بيانُه، والنتيجة هي الأخذ بالعامّ وهو وجوب إكرام العلماء، وبأحد الخاصَّين تعييناً في حال ترجيح أحدهما على الآخر، أو تخييراً في حالة التساوي بأن يمتنع عن إكرام الفسّاق من العلماء أو يُكرم عدولهم على كراهة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المسلك الثالث فهو لا ينهض في علاج التعارض في هذه الصورة؛ لاستلزامه </w:t>
      </w:r>
    </w:p>
    <w:p>
      <w:pPr>
        <w:pStyle w:val="BookText"/>
        <w:rPr/>
      </w:pPr>
      <w:r>
        <w:rPr>
          <w:rFonts w:ascii="Amiri" w:hAnsi="Amiri" w:eastAsia="Amiri" w:cs="Amiri"/>
          <w:color w:val="111111"/>
          <w:sz w:val="28"/>
          <w:sz w:val="28"/>
          <w:szCs w:val="28"/>
          <w:rtl w:val="true"/>
          <w:lang w:bidi="ar-SA"/>
        </w:rPr>
        <w:t>طرح الراجح وترجيح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راجحاً على أحد الخاصَّين ومساوياً للخاصّ الآخر، ومن الواضح أنَّه على المسلكين الأوّل والثاني يجب الأخذ بالعامّ والخاصّ المساوي، وطرح الخاصّ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وجوب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 حرمة إكرام الفسّاق منهم إن كان الأخير هو المساوي للعامّ، ويطرح الخاصّ الآخر الدالّ على كراهة إكرام العدول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مع كراهة إكرام العدول منهم إن كان الآخر هو المساوي للعامّ، ويطرح الخاصّ الآخر الدالّ على حرمة إكرام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الثالث فيتعيّن الأخذ بالخاصّ المساوي للعامّ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مرجوحاً بالنسبة لأحد الخاصَّين ومساوياً للخاصِّ الآخر، فإنَّه يجب على المسلكين الأوّل والثاني الأخذ بالخاصِّ الراجح ويُتخيَّر بين الأخذ بالعامّ والأخذ بالخاصِّ المساوي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حرمة إكرام الفسّاق من العلماء والتخيير بين وجوب إكرام الجميع وبين كراهة إكرام العدول منهم، وإمّا كراهة إكرام العدول من العلماء والتخيير بين وجوب إكرام الجميع وحرمة إكرام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المسلك الثالث فيتعيّن الأخذ بالخاصّ الراجح فقط</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راجحاً على أحد الخاصَّين ومرجوحاً بالنسبة للخاصِّ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المسلك الأوّل يكون المكلَّف مخيَّراً بين الأخذ بالعامِّ وطرح كلا الخاصَّين، وبين الأخذ بكلا الخاصَّين وطرح العامّ؛ لأنَّ التعارض إنَّما هو بين العامِّ ومجموع الخاصَّين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المعارضة بين العامّ ومجموع الخاصَّين؛ لعدم العلم الإجماليّ بكذب العامّ أو مجموع الخاصَّين، بل المعلوم كذبُ أحد الأدلّة الثلاثة،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بالعامّ والراجح من الخاصَّين، وطرح المرجوح منهما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المسلك الثالث يتعيّن الأخذ بالخاصّ الراجح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مساوياً لكلا الخاصَّين، فعلى المسلك الأوّل يتعامل مع العامّ ومجموع الخاصَّين كما يتعامل مع المتباينين من التساقط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المسلك الثاني يتخيَّر بين طرح العامّ والأخذ بكلا الخاصَّين، وبين الأخذ بالعامّ وأحد الخاصَّين وطرح الخاصّ الآخر؛ لما مرَّ من العلم بكذب أحد الثلاثة، وعدم الترجيح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المسلك الثالث يتعيّن العمل بالخاصَّين فقط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النسبة مختلفةً فحينئذٍ إمّا أن يُقدَّم ما حقّه التقديم؛ لأجل الدلالة كتقديم الأظهر على الظاهر، أو لمرجِّحٍ آخر من المرجّحات المتقدّمة، وإمّا أن يخصّص أحدهما بالآخر، ثُمَّ تلاحظ النسبة بين العامّ المخصّص مع الدليل الثالث، فقد تنقلب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أنّ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التعارض بين أكثر من دليلين مع كون النسبة بينها مختلفة، مضافاً إلى ما تقدّم من وجود ظاهرة اشتباه أطراف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الحلقة القادمة في المقامين الأخيرين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نظريّة انقلاب النسبة، والأقوال فيها، وأدلّتها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نماذج من تطبيقات هذه النظريّة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أشرف الخلق محمّد وآله الطاهرين</w:t>
      </w:r>
      <w:r>
        <w:rPr>
          <w:rFonts w:eastAsia="Amiri" w:cs="Amiri" w:ascii="Amiri" w:hAnsi="Amiri"/>
          <w:color w:val="111111"/>
          <w:sz w:val="28"/>
          <w:szCs w:val="28"/>
          <w:rtl w:val="true"/>
          <w:lang w:bidi="ar-SA"/>
        </w:rPr>
        <w:t xml:space="preserve">. </w:t>
      </w:r>
      <w:bookmarkStart w:id="459" w:name="pg9167_80345"/>
    </w:p>
    <w:p>
      <w:pPr>
        <w:pStyle w:val="Heading2"/>
        <w:numPr>
          <w:ilvl w:val="1"/>
          <w:numId w:val="1"/>
        </w:numPr>
        <w:rPr/>
      </w:pPr>
      <w:bookmarkStart w:id="460" w:name="__RefHeading___Toc3770115_2870459653"/>
      <w:bookmarkStart w:id="461" w:name="_Toc180"/>
      <w:bookmarkEnd w:id="459"/>
      <w:bookmarkEnd w:id="460"/>
      <w:r>
        <w:rPr>
          <w:rtl w:val="true"/>
        </w:rPr>
        <w:t xml:space="preserve">دراسة في مصادر الشيخ </w:t>
      </w:r>
      <w:r>
        <w:rPr>
          <w:rtl w:val="true"/>
        </w:rPr>
        <w:t>(</w:t>
      </w:r>
      <w:r>
        <w:rPr>
          <w:rtl w:val="true"/>
        </w:rPr>
        <w:t>قدس سره</w:t>
      </w:r>
      <w:r>
        <w:rPr>
          <w:rtl w:val="true"/>
        </w:rPr>
        <w:t xml:space="preserve">) </w:t>
      </w:r>
      <w:r>
        <w:rPr>
          <w:rtl w:val="true"/>
        </w:rPr>
        <w:t xml:space="preserve">في كتاب التهذيب </w:t>
      </w:r>
      <w:r>
        <w:rPr>
          <w:rtl w:val="true"/>
        </w:rPr>
        <w:t>(</w:t>
      </w:r>
      <w:r>
        <w:rPr>
          <w:rtl w:val="true"/>
        </w:rPr>
        <w:t>الحلقة الأولى</w:t>
      </w:r>
      <w:r>
        <w:rPr>
          <w:rtl w:val="true"/>
        </w:rPr>
        <w:t xml:space="preserve">) - </w:t>
      </w:r>
      <w:r>
        <w:rPr>
          <w:rtl w:val="true"/>
        </w:rPr>
        <w:t xml:space="preserve">الشيخ قاسم الطائي </w:t>
      </w:r>
      <w:r>
        <w:rPr>
          <w:rtl w:val="true"/>
        </w:rPr>
        <w:t>(</w:t>
      </w:r>
      <w:r>
        <w:rPr>
          <w:rtl w:val="true"/>
        </w:rPr>
        <w:t>دام عزه</w:t>
      </w:r>
      <w:r>
        <w:rPr>
          <w:rtl w:val="true"/>
        </w:rPr>
        <w:t>)</w:t>
      </w:r>
      <w:bookmarkEnd w:id="461"/>
    </w:p>
    <w:p>
      <w:pPr>
        <w:pStyle w:val="Heading3"/>
        <w:numPr>
          <w:ilvl w:val="2"/>
          <w:numId w:val="1"/>
        </w:numPr>
        <w:rPr/>
      </w:pPr>
      <w:bookmarkStart w:id="462" w:name="__RefHeading___Toc3770117_2870459653"/>
      <w:bookmarkStart w:id="463" w:name="_Toc181"/>
      <w:bookmarkEnd w:id="462"/>
      <w:r>
        <w:rPr>
          <w:rtl w:val="true"/>
        </w:rPr>
        <w:t>اشارة</w:t>
      </w:r>
      <w:bookmarkEnd w:id="46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للتعرّف على مصادر الشيخ في إيراد روايات كتاب تهذيب الأحكام تأثيراً واضحاً على استنباط الحكم الشرعيّ منها، ولأجل ذلك أضع بين يدي القارئ الكريم هذه الدراسة التي اعتمدت في ركائزها على ما جادت به قرائح الأعلام لا سيّما بعض أساتيذنا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إفاداتهما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الإضافات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من الله تعالى التوفيق والسداد</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للكافي والفقيه والتهذيبين وغيرها من كتب الحديث من أهمّيّة في عمليّة استنباط الحكم الشرعيّ، فهي تمثّل الركن الأساس الذي يأوي إليه الفقيه لاستكناه الحكم الشرعيّ للواقعة التي يروم معرفة حكم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التهذيبين منها بالخصوص يستحوذان على نسبة كبيرة من الأحاديث المنقولة في عموم كتب الحديث، ومعه يحظيان بأهمّيّة خاصّة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ما يميّز الكافي عن الفقيه والتهذيبين أنّ غالبية الأحاديث الموجودة فيه قد ذكر فيها السند متّصلاً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لا حاجة في الغالب إلى التعرّف على مصدر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إيراده الحديث إلّا في بعض الحالات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الحال في الفقيه والتهذيبين فإنّ الحاجة إلى التعرّف على مصادر </w:t>
      </w:r>
    </w:p>
    <w:p>
      <w:pPr>
        <w:pStyle w:val="BookText"/>
        <w:rPr/>
      </w:pPr>
      <w:r>
        <w:rPr>
          <w:rFonts w:ascii="Amiri" w:hAnsi="Amiri" w:eastAsia="Amiri" w:cs="Amiri"/>
          <w:color w:val="111111"/>
          <w:sz w:val="28"/>
          <w:sz w:val="28"/>
          <w:szCs w:val="28"/>
          <w:rtl w:val="true"/>
          <w:lang w:bidi="ar-SA"/>
        </w:rPr>
        <w:t xml:space="preserve">الصدوق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لإيرادهما نسبة كبيرة من الأحاديث فيهما من دون ذكر السند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الرواية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وصف غير واحد من الأعلام رواية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بمكّة سنة فهو بمنزلة أهل مكّة</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بالصحّة</w:t>
      </w:r>
      <w:r>
        <w:rPr>
          <w:rStyle w:val="FootnoteAnchor"/>
          <w:rtl w:val="true"/>
        </w:rPr>
        <w:footnoteReference w:id="446"/>
      </w:r>
      <w:r>
        <w:rPr>
          <w:rFonts w:ascii="Amiri" w:hAnsi="Amiri" w:eastAsia="Amiri" w:cs="Amiri"/>
          <w:color w:val="111111"/>
          <w:sz w:val="28"/>
          <w:sz w:val="28"/>
          <w:szCs w:val="28"/>
          <w:rtl w:val="true"/>
          <w:lang w:bidi="ar-SA"/>
        </w:rPr>
        <w:t>، ولعلّ حكمهم هذا ناش من بنائهم على أنّ الشيخ حينما ابتدأ الرواية باسم العبّاس بن معروف فهذا يعني أنّه انتزعها من كتابه، ولمّا لم يذكر طريقه إليه في المشيخة وأحال على كتابه الفهرست في معرفة باقي الطرق يمكن البناء على صحّة الرواية بلحاظ أنّ طريقه إليه في الفهرست صحيح</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إذا بني على عدم صحّة التعويل على طريق الفهرست عند عدم ذكر الشيخ الطريق إلى من ابتدأ باسمه في المشيخة فحينئذ يمكن عدّ الرواية مرسلة؛ لجهالة طريق الشيخ إليها، اللهم إلّا إذا أمكن تصحيحها بطريق آخر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التعرّف على مصدر الرواية في كتاب معيّن يساعد على عدّ ذلك الكتاب مصدراً مستقلَّاً للرواية، في مقابل باقي المصادر أو في طولها</w:t>
      </w:r>
      <w:r>
        <w:rPr>
          <w:rFonts w:eastAsia="Amiri" w:cs="Amiri" w:ascii="Amiri" w:hAnsi="Amiri"/>
          <w:color w:val="111111"/>
          <w:sz w:val="28"/>
          <w:szCs w:val="28"/>
          <w:rtl w:val="true"/>
          <w:lang w:bidi="ar-SA"/>
        </w:rPr>
        <w:t xml:space="preserve">. </w:t>
      </w:r>
      <w:bookmarkStart w:id="464" w:name="pg9167_80349"/>
    </w:p>
    <w:p>
      <w:pPr>
        <w:pStyle w:val="BookText"/>
        <w:rPr/>
      </w:pPr>
      <w:bookmarkEnd w:id="464"/>
      <w:r>
        <w:rPr>
          <w:rFonts w:ascii="IRNazanin" w:hAnsi="IRNazanin" w:eastAsia="IRNazanin"/>
          <w:color w:val="111111"/>
          <w:sz w:val="28"/>
          <w:sz w:val="28"/>
          <w:szCs w:val="28"/>
          <w:rtl w:val="true"/>
          <w:lang w:bidi="fa-IR"/>
        </w:rPr>
        <w:t xml:space="preserve">مثلاً في الكافي نقل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زرارة،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بالعدّة راويةً عن أحمد بن محمّد بن خالد في قضية عذق سمرة بن جندب الذي كان طريقه إليه يمرّ في بيت أحد الأنصار</w:t>
      </w:r>
      <w:r>
        <w:rPr>
          <w:rStyle w:val="FootnoteAnchor"/>
          <w:rtl w:val="true"/>
        </w:rPr>
        <w:footnoteReference w:id="449"/>
      </w:r>
      <w:r>
        <w:rPr>
          <w:rFonts w:ascii="Amiri" w:hAnsi="Amiri" w:eastAsia="Amiri" w:cs="Amiri"/>
          <w:color w:val="111111"/>
          <w:sz w:val="28"/>
          <w:sz w:val="28"/>
          <w:szCs w:val="28"/>
          <w:rtl w:val="true"/>
          <w:lang w:bidi="ar-SA"/>
        </w:rPr>
        <w:t>، ونقلها الشيخ الطوسيّ في التهذيب مبتدِئاً فيها باسم أحمد بن محمّد بن خالد</w:t>
      </w:r>
      <w:r>
        <w:rPr>
          <w:rStyle w:val="FootnoteAnchor"/>
          <w:rtl w:val="true"/>
        </w:rPr>
        <w:footnoteReference w:id="450"/>
      </w:r>
      <w:r>
        <w:rPr>
          <w:rFonts w:ascii="Amiri" w:hAnsi="Amiri" w:eastAsia="Amiri" w:cs="Amiri"/>
          <w:color w:val="111111"/>
          <w:sz w:val="28"/>
          <w:sz w:val="28"/>
          <w:szCs w:val="28"/>
          <w:rtl w:val="true"/>
          <w:lang w:bidi="ar-SA"/>
        </w:rPr>
        <w:t>، فقد يظنّ</w:t>
      </w:r>
      <w:r>
        <w:rPr>
          <w:rStyle w:val="FootnoteAnchor"/>
          <w:rtl w:val="true"/>
        </w:rPr>
        <w:footnoteReference w:id="451"/>
      </w:r>
      <w:r>
        <w:rPr>
          <w:rFonts w:ascii="Amiri" w:hAnsi="Amiri" w:eastAsia="Amiri" w:cs="Amiri"/>
          <w:color w:val="111111"/>
          <w:sz w:val="28"/>
          <w:sz w:val="28"/>
          <w:szCs w:val="28"/>
          <w:rtl w:val="true"/>
          <w:lang w:bidi="ar-SA"/>
        </w:rPr>
        <w:t>أنّ التهذيب مصدر مستقلّ للرواية في مقابل الكافي باعتبار أنّ كتاب أحمد بن محمّد بن خالد البرقيّ من مصادر الشيخ في التهذيب، وقد ذكر طريقه إليه في المشيخة</w:t>
      </w:r>
      <w:r>
        <w:rPr>
          <w:rStyle w:val="FootnoteAnchor"/>
          <w:rtl w:val="true"/>
        </w:rPr>
        <w:footnoteReference w:id="452"/>
      </w:r>
      <w:r>
        <w:rPr>
          <w:rFonts w:ascii="IRNazanin" w:hAnsi="IRNazanin" w:eastAsia="IRNazanin"/>
          <w:color w:val="111111"/>
          <w:sz w:val="28"/>
          <w:sz w:val="28"/>
          <w:szCs w:val="28"/>
          <w:rtl w:val="true"/>
          <w:lang w:bidi="fa-IR"/>
        </w:rPr>
        <w:t xml:space="preserve">، لكن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التهذيب مصدراً مستقلَّاً للرواية، وإنّما انتزع الشيخ الرواية من الكافي؛ لوجود قرائن تدلّ على ذلك</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التعرّف على مصدر الرواية ذو نفع واضح في مثل ما ذكرنا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770119_2870459653"/>
      <w:bookmarkStart w:id="466" w:name="_Toc182"/>
      <w:bookmarkEnd w:id="465"/>
      <w:r>
        <w:rPr>
          <w:rtl w:val="true"/>
        </w:rPr>
        <w:t>مقدّمة</w:t>
      </w:r>
      <w:bookmarkEnd w:id="466"/>
    </w:p>
    <w:p>
      <w:pPr>
        <w:pStyle w:val="BookText"/>
        <w:rPr/>
      </w:pPr>
      <w:r>
        <w:rPr>
          <w:rFonts w:ascii="Amiri" w:hAnsi="Amiri" w:eastAsia="Amiri" w:cs="Amiri"/>
          <w:color w:val="111111"/>
          <w:sz w:val="28"/>
          <w:sz w:val="28"/>
          <w:szCs w:val="28"/>
          <w:rtl w:val="true"/>
          <w:lang w:bidi="ar-SA"/>
        </w:rPr>
        <w:t>وقبل الدخول في هذا المضمار لا بدّ من تحرير مقدّمة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أهمّيّة لمعرفة مصدر الرواية في التهذيب؛ ذلك لأنّ الشيخ أعطى ضابطه في انتزاع الحديث، حيث ذكر في مشيخة التهذيب أنّه يبتدئ الحديث باسم من أخذ الرواية من كتابه، ومعه تكون جميع روايات التهذيب منتزعة من كتب </w:t>
      </w:r>
    </w:p>
    <w:p>
      <w:pPr>
        <w:pStyle w:val="BookText"/>
        <w:rPr/>
      </w:pPr>
      <w:r>
        <w:rPr>
          <w:rFonts w:ascii="IRNazanin" w:hAnsi="IRNazanin" w:eastAsia="IRNazanin"/>
          <w:color w:val="111111"/>
          <w:sz w:val="28"/>
          <w:sz w:val="28"/>
          <w:szCs w:val="28"/>
          <w:rtl w:val="true"/>
          <w:lang w:bidi="fa-IR"/>
        </w:rPr>
        <w:t>من ابتدأ السند بهم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والعبارة المشار إليها هي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شرطنا في أوّل هذا الكتاب أن نقتصر على إيراد شرح ما تضمّنته الرسالة المقنعة، وأن نذكر مسألة مسألة، ونورد فيها الاحتجاج من الظواهر والأدلّة المفضية إلى العلم، ونذكر مع ذلك طرفاً من الأخبار التي رواها مخالفونا، ثمّ نذكر بعد ذلك ما يتعلّق بأحاديث أصحابنا رحمهم الله، ونورد المختلف في كلّ مسألة منها والمتّفق عليها، ووفينا بهذا الشرط في أكثر ما يحتوي عليه كتاب الطهارة، ثمّ إنّا رأينا أنّه يخرج بهذا البسط عن الغرض، ويكون مع هذا الكتاب مبتوراً غير مستوفىً، فعدلنا عن هذه الطريقة إلى إيراد أحاديث أصحابنا رحمهم الله المختلف فيه والمتّفق، ثمّ رأينا بعد ذلك أنّ استيفاء ما يتعلّق بهذا المنهاج أولى من الإطناب في غيره، فرجعنا وأوردنا من الزيادات ما كنّا أخللنا به، واقتصرنا من إيراد الخبر على الابتداء بذكر المصنّف الذي أخذنا الخبر من كتابه، أو صاحب الأصل الذي أخذنا الحديث من أصله، واستوفينا غاية جهدنا ما يتعلّق بأحاديث أصحابنا رحمهم الله المختلف فيه والمتّفق، وبيّنّا عن وجه التأويل فيما اختلف فيه على ما شرطناه في أوّل الكتاب، وأسندنا التأويل إلى خبر يقضي على الخبرين، وأوردنا المتّفق منها ليكون ذخراً وملجأ لمن يريد طلب الفتيا من الحديث، والآن فحيث وفّق الله تعالى للفراغ من هذا الكتاب نحن نذكر الطرق التي يتوصّل بها إلى رواية هذه الأصول والمصنّفات، ونذكرها على غاية ما يمكن من الاختصار لتخرج الأخبار بذلك عن حدّ المراسيل وتلحق بباب المسندات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الطرق إلى أصحاب المصنّفات، وفي ختامها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 من الطرق إلى هذه المصنّفات والأصول، ولتفصيل ذلك شرح يطول هو مذكور في الفهارس المصنّفة في هذا الباب للشيوخ رحمهم الله، من أراده أخذه من هناك إن شاء الله، وقد ذكرنا نحن مستوفى في كتاب فهرست الشيعة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فيفهم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 حديثاً فإنّه يبتدئ باسم صاحب الكتاب الذي انتزع الحديث منه ويعرف طريق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الكتاب من الطرق التي ذكرها في المشيخة، فإن لم يذكر الطريق في المشيخة إلى أحد الذين ابتدأ بأسمائهم في الكتاب يمكن التعويل على ما ذكره في كتاب الفهرست من الطريق إلى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المذكورة تحتمل أكثر من وجه، على بعضها تتمّ الدعوى المزبورة، وقبل بيان هذه الوجوه ينبغي الإشارة إلى أنّ أحاديث التهذيب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التي ذكر فيها السند تامّاً، وهذا القسم يوجد في أكثر كتاب الطهارة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التي ابتدأ بها بأسماء من ذكر طريقه إليهم في المشيخة، وهؤلاء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وأوّل ما وقع منه ذلك في بدايات كتاب الطهارة،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ذكر فيه الإسناد تامّاً وليس فيه من ابتدأ به في الحديث التالي له حتّى يقال بالتعليق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الخبر الّذي رواه محمّد بن أحمد بن يحيى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p>
    <w:p>
      <w:pPr>
        <w:pStyle w:val="BookText"/>
        <w:rPr/>
      </w:pPr>
      <w:r>
        <w:rPr>
          <w:rFonts w:ascii="Amiri" w:hAnsi="Amiri" w:eastAsia="Amiri" w:cs="Amiri"/>
          <w:color w:val="111111"/>
          <w:sz w:val="28"/>
          <w:sz w:val="28"/>
          <w:szCs w:val="28"/>
          <w:rtl w:val="true"/>
          <w:lang w:bidi="ar-SA"/>
        </w:rPr>
        <w:t>الذي رواه سعد بن عبد الله عن أحمد بن محمّد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التي ابتدأ بها بأسماء من لم يذكر طريقه إليهم في المشيخة، وهم 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الأخبار بذلك عن حدّ المراسيل وتلحق بباب المسندات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وضع المشيخة هو ذلك، فيكون المنظور لطرق المشيخة الأحاديث التي في القسم الثاني، دون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تبرز لدينا مشكلة بالنسبة إلى الأحاديث التي هي من القسم الثالث، فإنّ المفروض أنّ ظاهر المشيخة غير شامل لها، وهي تشكّل نسبة كبيرة من أحاديث التهذيب، ويستبعد عدم التفات الشيخ إلى مشكلة الإرسال فيها، فلا مناص إمّا من القول بدخولها في طرق المشيخة، وإمّا من القول بأنّ الشيخ انتزع هذه الأحاديث من كتب من ابتدأ بهم وإن لم يذكر طريقه إليهم في المشيخة، ولكنّه أحال في معرفة الطرق إليهم على طرقه إليهم في كتاب الفهرست، فتندفع مشكلة الإرسال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من الوجوه لحمل عبارة الشيخ عليها هي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مراد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واقتصرنا من إيراد الخبر على الابتداء بذكر المصنّف الذي أخذنا الخبر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كلّ خبر ذكره في الكتاب قد ابتدأه باسم صاحب الكتاب الذي أخذ الخبر من مصنّفه عدا الأحاديث التي هي من القسم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ومنشأ هذا الوجه ظهور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الاستئناف، وظهور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في مشيخة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سلكت في أوّل الكتاب إيراد الأحاديث بأسانيدها، وعلى ذلك اعتمدت في الجزء الأوّل والثاني، ثمّ اختصرت في الجزء الثالث، وعوّلت على الابتداء بذكر الراوي الذي أخذت الحديث من كتابه أو أصله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إن بني على اتّحاد طريقة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يساعد عليه أيضاً أنّه مع هذا الوجه يحمل قول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الخبر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معناه الحقيقيّ من دون أيّ تجوّز،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ابتدأ باسم راوٍ حال كون الانتزاع قد تمّ من كتاب غيره، فإنّ هذا ليس إلّا تعبيراً آخر عن نسبة الشيخ إلى السهو أو الغفلة عمّا قاله التي يجلّ مقام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طرق الشيخ في المشيخة محدود جدّاً، ومعه لا محالة تبقى مشكلة الإرسال قائمةً استناداً إلى هذا الوجه؛ إذ لا محالة أنّ هذه الطرق لا تغطّي جميع أحاديث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 من الطرق إلى هذه المصنّفات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نحن مستوفى في كتاب فهرست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إحالة على كتاب الفهرست لمعرفة باقي الطرق ممّن ابتدأ بهم ولم يذكر طريقه إليهم في المشيخة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لعلّه يلوح من عبارات جملة من الأعلام، كالمحقّق الشيخ حسن </w:t>
      </w:r>
    </w:p>
    <w:p>
      <w:pPr>
        <w:pStyle w:val="BookText"/>
        <w:rPr/>
      </w:pPr>
      <w:r>
        <w:rPr>
          <w:rFonts w:ascii="Amiri" w:hAnsi="Amiri" w:eastAsia="Amiri" w:cs="Amiri"/>
          <w:color w:val="111111"/>
          <w:sz w:val="28"/>
          <w:sz w:val="28"/>
          <w:szCs w:val="28"/>
          <w:rtl w:val="true"/>
          <w:lang w:bidi="ar-SA"/>
        </w:rPr>
        <w:t>نجل الشهيد الثاني</w:t>
      </w:r>
      <w:r>
        <w:rPr>
          <w:rStyle w:val="FootnoteAnchor"/>
          <w:rtl w:val="true"/>
        </w:rPr>
        <w:footnoteReference w:id="458"/>
      </w:r>
      <w:r>
        <w:rPr>
          <w:rFonts w:ascii="Amiri" w:hAnsi="Amiri" w:eastAsia="Amiri" w:cs="Amiri"/>
          <w:color w:val="111111"/>
          <w:sz w:val="28"/>
          <w:sz w:val="28"/>
          <w:szCs w:val="28"/>
          <w:rtl w:val="true"/>
          <w:lang w:bidi="ar-SA"/>
        </w:rPr>
        <w:t>، والشيخ البهائيّ</w:t>
      </w:r>
      <w:r>
        <w:rPr>
          <w:rStyle w:val="FootnoteAnchor"/>
          <w:rtl w:val="true"/>
        </w:rPr>
        <w:footnoteReference w:id="459"/>
      </w:r>
      <w:r>
        <w:rPr>
          <w:rFonts w:ascii="Amiri" w:hAnsi="Amiri" w:eastAsia="Amiri" w:cs="Amiri"/>
          <w:color w:val="111111"/>
          <w:sz w:val="28"/>
          <w:sz w:val="28"/>
          <w:szCs w:val="28"/>
          <w:rtl w:val="true"/>
          <w:lang w:bidi="ar-SA"/>
        </w:rPr>
        <w:t>، والفيض الكاشانيّ</w:t>
      </w:r>
      <w:r>
        <w:rPr>
          <w:rStyle w:val="FootnoteAnchor"/>
          <w:rtl w:val="true"/>
        </w:rPr>
        <w:footnoteReference w:id="460"/>
      </w:r>
      <w:r>
        <w:rPr>
          <w:rFonts w:ascii="Amiri" w:hAnsi="Amiri" w:eastAsia="Amiri" w:cs="Amiri"/>
          <w:color w:val="111111"/>
          <w:sz w:val="28"/>
          <w:sz w:val="28"/>
          <w:szCs w:val="28"/>
          <w:rtl w:val="true"/>
          <w:lang w:bidi="ar-SA"/>
        </w:rPr>
        <w:t>، والمولى الخواجوئيّ</w:t>
      </w:r>
      <w:r>
        <w:rPr>
          <w:rStyle w:val="FootnoteAnchor"/>
          <w:rtl w:val="true"/>
        </w:rPr>
        <w:footnoteReference w:id="461"/>
      </w:r>
      <w:r>
        <w:rPr>
          <w:rFonts w:ascii="Amiri" w:hAnsi="Amiri" w:eastAsia="Amiri" w:cs="Amiri"/>
          <w:color w:val="111111"/>
          <w:sz w:val="28"/>
          <w:sz w:val="28"/>
          <w:szCs w:val="28"/>
          <w:rtl w:val="true"/>
          <w:lang w:bidi="ar-SA"/>
        </w:rPr>
        <w:t>، والمحدّث البحرانيّ</w:t>
      </w:r>
      <w:r>
        <w:rPr>
          <w:rStyle w:val="FootnoteAnchor"/>
          <w:rtl w:val="true"/>
        </w:rPr>
        <w:footnoteReference w:id="462"/>
      </w:r>
      <w:r>
        <w:rPr>
          <w:rFonts w:ascii="Amiri" w:hAnsi="Amiri" w:eastAsia="Amiri" w:cs="Amiri"/>
          <w:color w:val="111111"/>
          <w:sz w:val="28"/>
          <w:sz w:val="28"/>
          <w:szCs w:val="28"/>
          <w:rtl w:val="true"/>
          <w:lang w:bidi="ar-SA"/>
        </w:rPr>
        <w:t>، والسيّد الخوئيّ</w:t>
      </w:r>
      <w:r>
        <w:rPr>
          <w:rStyle w:val="FootnoteAnchor"/>
          <w:rtl w:val="true"/>
        </w:rPr>
        <w:footnoteReference w:id="463"/>
      </w:r>
      <w:r>
        <w:rPr>
          <w:rFonts w:ascii="Amiri" w:hAnsi="Amiri" w:eastAsia="Amiri" w:cs="Amiri"/>
          <w:color w:val="111111"/>
          <w:sz w:val="28"/>
          <w:sz w:val="28"/>
          <w:szCs w:val="28"/>
          <w:rtl w:val="true"/>
          <w:lang w:bidi="ar-SA"/>
        </w:rPr>
        <w:t>، وغيرهم</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الوجه تتمّ الدعوى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في جملة من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يجب عليّ يا مولاي في غلّة رحىً في أرض قطيعة لي، وفي ثمن سمك وبرديّ وقصب أبيعه من أجمة هذه القطيعة؟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عليك فيه الخمس إن شاء الله تعالى</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فالملاحظ أنّ الريّان وإن ذكر الشيخ له كتاباً</w:t>
      </w:r>
      <w:r>
        <w:rPr>
          <w:rStyle w:val="FootnoteAnchor"/>
          <w:rtl w:val="true"/>
        </w:rPr>
        <w:footnoteReference w:id="466"/>
      </w:r>
      <w:r>
        <w:rPr>
          <w:rFonts w:ascii="Amiri" w:hAnsi="Amiri" w:eastAsia="Amiri" w:cs="Amiri"/>
          <w:color w:val="111111"/>
          <w:sz w:val="28"/>
          <w:sz w:val="28"/>
          <w:szCs w:val="28"/>
          <w:rtl w:val="true"/>
          <w:lang w:bidi="ar-SA"/>
        </w:rPr>
        <w:t xml:space="preserve">، ولكن يستبعد أن يكون هو مصدره في إيراد هذا الحديث؛ ذلك لأنّ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كتابه بعد تأليف </w:t>
      </w:r>
    </w:p>
    <w:p>
      <w:pPr>
        <w:pStyle w:val="BookText"/>
        <w:rPr/>
      </w:pPr>
      <w:r>
        <w:rPr>
          <w:rFonts w:ascii="IRNazanin" w:hAnsi="IRNazanin" w:eastAsia="IRNazanin"/>
          <w:color w:val="111111"/>
          <w:sz w:val="28"/>
          <w:sz w:val="28"/>
          <w:szCs w:val="28"/>
          <w:rtl w:val="true"/>
          <w:lang w:bidi="fa-IR"/>
        </w:rPr>
        <w:t xml:space="preserve">الشيخ لكتاب الفهرست، وناظر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له إلّا كتاباً واحداً جمع فيه كلام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الفرق بين الآل والأمّة، وحكى أنّه في نسخة أخرى الريّان بن شبيب لا الريّان بن الصلت</w:t>
      </w:r>
      <w:r>
        <w:rPr>
          <w:rStyle w:val="FootnoteAnchor"/>
          <w:rtl w:val="true"/>
        </w:rPr>
        <w:footnoteReference w:id="467"/>
      </w:r>
      <w:r>
        <w:rPr>
          <w:rFonts w:ascii="Amiri" w:hAnsi="Amiri" w:eastAsia="Amiri" w:cs="Amiri"/>
          <w:color w:val="111111"/>
          <w:sz w:val="28"/>
          <w:sz w:val="28"/>
          <w:szCs w:val="28"/>
          <w:rtl w:val="true"/>
          <w:lang w:bidi="ar-SA"/>
        </w:rPr>
        <w:t>، والحديث أعلاه يستبعد دخوله في موضوع الكتاب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يزيد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من تجّار فارس إلى بعض موالي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الإذن في الخمس،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إخراجه مفتاح رزقكم وتمحيص ذنوبكم وما تمهّدون لأنفسكم ليوم فاقتكم، والمسلم من يفي لله بما عاهد عليه، وليس المسلم من أجاب باللسان، وخالف بالقلب، والسلام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يزيد الطبريّ لم يذكر له مصنّف في كتب الفهارس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الذي ليس بعقله بأس، ولا يُبسط له في الرزق، وهو مُحارَف</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أنّه لم يذكر اسم الراوي هنا حتّى يمكن القول بانتزاع الحديث من كتابه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كثير في التهذيب،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جابر بن عبد الله الأنصاريّ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ببراثا بعد رجوعه من قتال الشراة</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فإنّه لا يحتمل أن يكون لجبار بن عبد الله الأنصاريّ كتاباً حتّى ينقل الشيخ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من خلال البحث التعرّف على جملة من الموارد ابتدأ بها بأسماء من ذكر طريقه إليهم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كالحسين بن سعيد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قامت القرينة على عدم انتزاع الحديث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وهو أنّ الوجه المذكور لا تساعد عليه عبارة المشيخة؛ إذ قد تقدّم أنّ المفروض وضعها لإخراج أحاديث الكتاب عن حدّ الإرسال، وبناءً على هذا الوجه تبقى مشكلة الإرسال على حالها؛ لأنّ عدد من ابتدأ بهم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إلى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أنّ كلّ من ابتدأ باسمه في التهذيب ولم يذكر طريقه إليه في المشيخة فإنّه قد أخذ الحديث من كتابه، وأحال في معرفة الطريق إليه إلى ما ذكره في كتاب الفهرست، فليس في محلّه؛ إذ قد أجاب عنه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المشيخة هو إيراده جملة من الطرق إلى المصنّفات والأصول التي اعتمدها في التهذيب، وقد استوفى ذكرها في الفهرست، لا أنّه ذكر طرقه إلى بعضهم في المشيخة، وذكر طرقه إلى البقيّة في الفهرست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أنّه قد يفهم من العبارة المذكورة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على الفهرست لمعرفة أسماء المصنّفات والأصول التي ذكر الطريق إلى مؤلّفيها في المشيخة وبيان ماهيّتها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الاستناد إلى كون هذا الوجه يقتضي عدم التجوّز في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والمتأخّرون في كلّ زمان قرّبوا البعيد من ذلك، وسهّلوا العسير منه بالترتيب والتبويب، وضمّ المنتشر وجمع المتفرّق، ولذا ترى الشيخ والصدوق وغيرهما ينقلون أحاديث الأصول من الكتب، وأحاديث كتب القدماء من كتب المتأخّرين، مع وجود الأصول وكتب القدماء عندهم، واحتمال أخذ حديث المتقدّم من كتاب المتأخّر قائم في نقل الشيخ لهذه الأخبار وإن كان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الخبر من كتابه والحديث من أصله، أخذه من نفس الكتاب والأصل، فإنّه مع بعد التزام الشيخ له ينافي تصريحه بكون الواسطة طريقاً يتوصّل بها إلى رواية الحديث، وأنّه بدونها يكون مرسلاً لا مسنداً، والتجوّز في التوصّل والإسناد والإرسال ليس أولى من حمل الأخذ على المعنى الأعمّ الحاصل بنقل الغير والأخذ منه؛ فإنّ المنقول من الشيء منقول من ذلك الشيء ومأخوذ منه، وكتاب المتأخّر نسخة من المتقدّم، وبعض منه فيما اشتمل عليه من أخباره، ولا فرق إلّا بمجرّد التسمية، أو قصد الكاتب أو المكتوب له، ولا يمنع ذلك من إطلاق الأخذ منه مع القرينة الدالّة عليه، ولا أقلّ من الاحتمال الناشئ من اختلاف عبارات الشيخ</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ليس متعيّناً لحمل عبارة المشيخة عليه، كما سيتّضح في التالي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منها بيان أنّه ابتدأ باسم صاحب الكتاب في خصوص </w:t>
      </w:r>
    </w:p>
    <w:p>
      <w:pPr>
        <w:pStyle w:val="BookText"/>
        <w:rPr/>
      </w:pPr>
      <w:r>
        <w:rPr>
          <w:rFonts w:ascii="Amiri" w:hAnsi="Amiri" w:eastAsia="Amiri" w:cs="Amiri"/>
          <w:color w:val="111111"/>
          <w:sz w:val="28"/>
          <w:sz w:val="28"/>
          <w:szCs w:val="28"/>
          <w:rtl w:val="true"/>
          <w:lang w:bidi="ar-SA"/>
        </w:rPr>
        <w:t>الأخبار والأحاديث التي لم يذكر السند فيها تامّاً وقد ذكر طريقه إليه في المشيخة؛ فإنّ ذلك مقتضى الجمع بين العبارة المذكورة آنفاً وبين طرق المشيخة المعدودة؛ لأنّ مقتضاه دخول الأحاديث التي ابتدأ بها بأسماء من لم يذكرهم في المشيخة في طرق المشيخة، فتندفع بذلك شبهة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دفع به شبهة الإرسال، إلّا أنّ هناك موارد ابتدأ بها بأسماء من لم يذكرهم في المشيخة، ولكنّ الشواهد قامت على انتزاع الحديث من كتبهم، كما في الموارد التي ابتدأ بها بالعيّاشيّ، والكشّيّ، ويعقوب بن يزيد، وغيرهم، هذا مضافاً إلى ما ذكرناه سابقاً من وجود قرائن على انتزاع بعض الأحاديث التي ابتدأ بها بأسماء من ذكرهم في المشيخة ومع ذلك انتزع الحديث من كتاب المتأخّر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العبارة المزبورة بيان أنّ كلّ خبر أورده في الكتاب ممّا لم يذكر السند فيه تامّاً فإنّه قد تمّ انتزاعه من مصنّفات أصحابنا ممّن ذكر طريقه إليهم في المشيخة بشرط أن لا توجد قرينة على انتزاع الحديث من كتاب من تأخّر عنه ممّن ذكر طريقه إليه في المشيخة أيضاً، وهذا التقييد ضروريّ لوجود جملة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سيطلع عليها القارئ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بها بأسماء من ذكرهم في المشيخة، ولكن تبيّن من خلال القرائن انتزاعها من كتب من تأخّر عنهم ممّن ذكرهم في المشيخة أيضاً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تعدّد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المشيخة لمصنّفٍ واحد على الرغم من قصده الاختصار في ذكر الطرق، كلّ مرّة بعد ذكره طريق إلى مصنّف متأخّر عنه، كما في مثل الطرق التي ذكرها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مباشرةً </w:t>
      </w:r>
    </w:p>
    <w:p>
      <w:pPr>
        <w:pStyle w:val="BookText"/>
        <w:rPr/>
      </w:pPr>
      <w:r>
        <w:rPr>
          <w:rFonts w:ascii="IRNazanin" w:hAnsi="IRNazanin" w:eastAsia="IRNazanin"/>
          <w:color w:val="111111"/>
          <w:sz w:val="28"/>
          <w:sz w:val="28"/>
          <w:szCs w:val="28"/>
          <w:rtl w:val="true"/>
          <w:lang w:bidi="fa-IR"/>
        </w:rPr>
        <w:t xml:space="preserve">بعد ذكره الطريق إلى محمّد بن يعقوب الكلينيّ ومشايخه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طرق، ثمّ أعاد ذكرها ثانياً لبعض ما رواه عن أحمد بن محمّد بن عيسى بعد ذكر طريقه إلى محمّد بن عليّ بن محبوب مبيّناً أنّه رواه بطريق محمّد بن عليّ بن محبوب، وهكذا ما ذكره بعده مباشرةً بالعبارة نفسها لما رواه عن الحسين بن سعيد والحسن بن محبوب، إلى غير ذلك من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فيفهم منه أنّ جملة ممّا ابتدأ به بالمذكورين في المشيخة قد انتزعه من كتب من تأخّر عنهم ممّن ذكروا في المشيخة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يعني أنّ كلّ ما في التهذيب من الأحاديث قد تمّ إدخالها في عبارة المشيخة، فلا وجود عندئذٍ لمشكلة الإرسال؛ لأنّ هناك موارد ابتدأ بها بأسماء لم يذكر طريقه إليها في المشيخة، ولكن قامت القرينة على أنّها انتزعت من كتب من ابتدأ بهم، كما في الأحاديث التي ابتدأها بمحمّد بن مسعود العيّاشيّ، ويعقوب بن يزيد، وعليّ ابن إسماعيل، وغيرهم، إلّا أنّه يمكن القول بأنّها قليلة، بل نادرة بالقياس إلى المذكور في المشيخة، ولا يبعد عدم اعتنائه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طرقه إلى الكراريس الصغيرة التي كانت تشتمل على عدد قليل من الروايات، كما نبّه على ذلك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مصادر الشيخ في التهذيب ذو نفع واضح</w:t>
      </w:r>
      <w:r>
        <w:rPr>
          <w:rFonts w:eastAsia="Amiri" w:cs="Amiri" w:ascii="Amiri" w:hAnsi="Amiri"/>
          <w:color w:val="111111"/>
          <w:sz w:val="28"/>
          <w:szCs w:val="28"/>
          <w:rtl w:val="true"/>
          <w:lang w:bidi="ar-SA"/>
        </w:rPr>
        <w:t xml:space="preserve">. </w:t>
      </w:r>
      <w:bookmarkStart w:id="467" w:name="pg9167_80360"/>
    </w:p>
    <w:p>
      <w:pPr>
        <w:pStyle w:val="Heading3"/>
        <w:numPr>
          <w:ilvl w:val="2"/>
          <w:numId w:val="1"/>
        </w:numPr>
        <w:rPr/>
      </w:pPr>
      <w:bookmarkStart w:id="468" w:name="__RefHeading___Toc3770121_2870459653"/>
      <w:bookmarkStart w:id="469" w:name="_Toc183"/>
      <w:bookmarkEnd w:id="467"/>
      <w:bookmarkEnd w:id="468"/>
      <w:r>
        <w:rPr>
          <w:rtl w:val="true"/>
        </w:rPr>
        <w:t>الطريقة المتّبعة في معرفة مصدر الانتزاع</w:t>
      </w:r>
      <w:bookmarkEnd w:id="469"/>
    </w:p>
    <w:p>
      <w:pPr>
        <w:pStyle w:val="BookText"/>
        <w:rPr/>
      </w:pPr>
      <w:r>
        <w:rPr>
          <w:rFonts w:ascii="Amiri" w:hAnsi="Amiri" w:eastAsia="Amiri" w:cs="Amiri"/>
          <w:color w:val="111111"/>
          <w:sz w:val="28"/>
          <w:sz w:val="28"/>
          <w:szCs w:val="28"/>
          <w:rtl w:val="true"/>
          <w:lang w:bidi="ar-SA"/>
        </w:rPr>
        <w:t>قد اتّبعت في تحديد مصدر الشيخ لانتزاع الحديث 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الموضع الذي أورد فيه الحديث، فإن وجد من خلال القرائن أنّه معلّق على ما قبله تصريحاً أو تلويحاً أمكن الاعتماد على ذلك إذا كان المعلّق عليه ممّن ذكر طريقه إليه في المشيخة، أو لم يكن ولكن كانت هناك قرائن تدلّ على رجوعه إلى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المقارنة بين ورود الحديث في التهذيب ووروده في سائر ما وصل إلينا من المصادر الحديثيّة المتقدّمة على الشيخ ممّا يقطع بكونها من مصادره في التهذيب، فإن وجد تطابق ما في التهذيب مع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خلال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بانتزاع الحديث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تنفع مع توفّر بعض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القرائن على أنّ ذلك المصدر الحديثيّ كان من مصادر الشيخ عند تأليفه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قرائن في نفس الموضع من التهذيب تدلّ على ذلك، كإيراد الشيخ مثلاً حديثين في ذلك الموضع، وهما موجودان بنفس الصيغة في ذلك المصدر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سند الحديث ومقارنته مع الطرق التي أوردها الشيخ والنجاشيّ إلى بعض الكتب في الفهارس، فإن وجد 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خلال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في التهذيب وبين ما في الفهارس، وكان طريق رواية الشيخ لذلك الكتاب يمرّ بمن ذكر </w:t>
      </w:r>
    </w:p>
    <w:p>
      <w:pPr>
        <w:pStyle w:val="BookText"/>
        <w:rPr/>
      </w:pPr>
      <w:r>
        <w:rPr>
          <w:rFonts w:ascii="Amiri" w:hAnsi="Amiri" w:eastAsia="Amiri" w:cs="Amiri"/>
          <w:color w:val="111111"/>
          <w:sz w:val="28"/>
          <w:sz w:val="28"/>
          <w:szCs w:val="28"/>
          <w:rtl w:val="true"/>
          <w:lang w:bidi="ar-SA"/>
        </w:rPr>
        <w:t>طريقه إليه في المشيخة أو كان كتابه من مصادره في التهذيب، فربّما يساعد ذلك على القول بانتزاع الحديث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 جميع الموارد في التهذيب والتي أورد الشيخ فيها اسم ذلك الراوي بعد من ابتدأ بأسمائهم، فإن وجد أنّ جلّها قد انتزعها ممّا علم كونه من مصادره في التهذيب أمكن بملاحظة حساب الاحتمالات القول بأنّه منتزع من تلك الكتب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وحيث إنّ متابعة أحاديث التهذيب لمعرفة مصادرها بهذه الطريقة تستدعي جهداً كبيراً ووقتاً طويلاً عمدنا إلى أسلوب الانتقاء لبعض من ابتدأ الشيخ بأسمائهم، واستقصاء هذه الموارد في التهذيب، ودراستها من خلال ما تقدّم لمعرفة إن كان الشيخ قد انتزعها من كتبهم أو من كتب غيرهم</w:t>
      </w:r>
      <w:r>
        <w:rPr>
          <w:rFonts w:eastAsia="Amiri" w:cs="Amiri" w:ascii="Amiri" w:hAnsi="Amiri"/>
          <w:color w:val="111111"/>
          <w:sz w:val="28"/>
          <w:szCs w:val="28"/>
          <w:rtl w:val="true"/>
          <w:lang w:bidi="ar-SA"/>
        </w:rPr>
        <w:t xml:space="preserve">. </w:t>
      </w:r>
      <w:bookmarkStart w:id="470" w:name="pg9167_80362"/>
    </w:p>
    <w:p>
      <w:pPr>
        <w:pStyle w:val="Heading3"/>
        <w:numPr>
          <w:ilvl w:val="2"/>
          <w:numId w:val="1"/>
        </w:numPr>
        <w:rPr/>
      </w:pPr>
      <w:bookmarkStart w:id="471" w:name="__RefHeading___Toc3770123_2870459653"/>
      <w:bookmarkStart w:id="472" w:name="_Toc184"/>
      <w:bookmarkEnd w:id="470"/>
      <w:bookmarkEnd w:id="471"/>
      <w:r>
        <w:rPr>
          <w:rtl w:val="true"/>
        </w:rPr>
        <w:t>الحسين بن محمّد الأشعريّ</w:t>
      </w:r>
      <w:bookmarkEnd w:id="472"/>
    </w:p>
    <w:p>
      <w:pPr>
        <w:pStyle w:val="BookText"/>
        <w:rPr/>
      </w:pPr>
      <w:r>
        <w:rPr>
          <w:rFonts w:ascii="Amiri" w:hAnsi="Amiri" w:eastAsia="Amiri" w:cs="Amiri"/>
          <w:color w:val="111111"/>
          <w:sz w:val="28"/>
          <w:sz w:val="28"/>
          <w:szCs w:val="28"/>
          <w:rtl w:val="true"/>
          <w:lang w:bidi="ar-SA"/>
        </w:rPr>
        <w:t>هو الحسين بن محمّد بن عمران بن أبي بكر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النجاشيّ له كتاب النوادر</w:t>
      </w:r>
      <w:r>
        <w:rPr>
          <w:rStyle w:val="FootnoteAnchor"/>
          <w:rtl w:val="true"/>
        </w:rPr>
        <w:footnoteReference w:id="474"/>
      </w:r>
      <w:r>
        <w:rPr>
          <w:rFonts w:ascii="Amiri" w:hAnsi="Amiri" w:eastAsia="Amiri" w:cs="Amiri"/>
          <w:color w:val="111111"/>
          <w:sz w:val="28"/>
          <w:sz w:val="28"/>
          <w:szCs w:val="28"/>
          <w:rtl w:val="true"/>
          <w:lang w:bidi="ar-SA"/>
        </w:rPr>
        <w:t>، والشيخ لم يذكره في الفهرست أصلاً، ولكن ذكر طريقه إليه في المشيخة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ذكرته عن الحسين بن محمّد فقد رويته بهذه الأسانيد عن محمّد بن يعقوب عن الحسين بن محمّد</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الطريق وإن احتمل معه كون كتابه من مصادره في التهذيب إلّا أنّ مقتضى الشواهد والقرائن أنّ كتابه لم يكن من مصادر الشيخ عند تأليف التهذيب، بل كلّ ما في التهذيب ممّا ابتدأ فيه باسمه قد انتزعه من الكافي؛ وذلك للتالي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الطريق المذكور أعلاه هو رابع الطرق التي ذكرها الشيخ بعد ذكر طريقه إلى الكلينيّ، فإنّه يأتي بعد ذكر طرقه إلى مشايخ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ومحمّد بن يحيى العطّار، وأحمد بن إدريس،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ذكر لكلّ واحد من هؤلاء المشايخ أكثر من طريق كان الأوّل منها طريقه المارّ بالكلينيّ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يحتمل معه أنّه انتزع الأحاديث المبدوءة بهم من كتبهم، إلّا أنّ هذا الاحتمال لا يتأتّى في الحسين بن محمّد؛ وذلك لأنّه لم يُذكر له إلّا طريق واحد، هو نفس الطريق الذي ذكره للكلينيّ، وفيه إشارة إلى أنّه وإن ابتدأ به في موارد من التهذيب لكنّه انتزعها من الكافي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 تعبير النجاشيّ في ذكر طريقه لرواية كتاب النوادر للحسين بن </w:t>
      </w:r>
    </w:p>
    <w:p>
      <w:pPr>
        <w:pStyle w:val="BookText"/>
        <w:rPr/>
      </w:pPr>
      <w:r>
        <w:rPr>
          <w:rFonts w:ascii="Amiri" w:hAnsi="Amiri" w:eastAsia="Amiri" w:cs="Amiri"/>
          <w:color w:val="111111"/>
          <w:sz w:val="28"/>
          <w:sz w:val="28"/>
          <w:szCs w:val="28"/>
          <w:rtl w:val="true"/>
          <w:lang w:bidi="ar-SA"/>
        </w:rPr>
        <w:t>محمّد يفضي إلى أنّه طريق إلى عنوان الكتاب، لا لنسخة منه، حتّى يقال بوصولها إلى زمان الشيخ والنجاشيّ وانتزاع الأحاديث منها،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النوادر أخبرناه محمّد بن محمّد، عن أبي غالب الزراريّ، عن محمّد بن يعقوب، عنه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والظاهر منه بالمقارنة مع بعضٍ آخر من عباراته في فهرست الكتب والمصنّفات عدم وصول نسخة من الكتاب إليه؛ فإنّا نجد بوضوح أنّه تارةً يفصّل في وصف الكتب، ويذكر أنّه قد وصلت نسخة منه، بل قد يصرّح بأنّه قرأ بعضها على بعض مشايخه، وتارةً يجمل كما في المقام، ومن الصنف الأوّل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سعد كتباً كثيرة، وقع إلينا منها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عبيد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بالمنتخبات إلى أبي القاسم بن قولويه رحمه الله أقرأها عليه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حريز بن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كبير، وآخر ألطف منه، وله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الكبير فقرأناه على القاضي أبي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أبي القاسم جعفر بن محمّد بن عبيد الله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مؤدّبي أبي العبّاس عبيد الله بن أحمد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حريز بالنوادر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عبيد الله بن عليّ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والنسخ مختلفة الأوائل، والتفاوت فيها </w:t>
      </w:r>
    </w:p>
    <w:p>
      <w:pPr>
        <w:pStyle w:val="BookText"/>
        <w:rPr/>
      </w:pPr>
      <w:r>
        <w:rPr>
          <w:rFonts w:ascii="Amiri" w:hAnsi="Amiri" w:eastAsia="Amiri" w:cs="Amiri"/>
          <w:color w:val="111111"/>
          <w:sz w:val="28"/>
          <w:sz w:val="28"/>
          <w:szCs w:val="28"/>
          <w:rtl w:val="true"/>
          <w:lang w:bidi="ar-SA"/>
        </w:rPr>
        <w:t>قريب، وقد روى هذا الكتاب خلق من أصحابنا عن عبيد الله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والنسخة المقروءة عندي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أحمد بن الحسن بن عليّ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من كتبه كتاب الصلاة، كتاب الوضوء، أخبرنا بهما قراءةً عليه أبو عبد الله أحمد بن عبد الواحد</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فارس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كتاب مسند أبي نؤاس وجحا وأشعب وبهلول وجعيفران وما رووا من الحديث، قرأته على القاضي أبي الحسين محمّد بن عثمان بن الحسن النصيبيّ وكتبته من أصله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بأنّه في الموارد التي تكون النسخة موجودة في زمانه يصرّح بذلك، أو بأنّه قرأها على أحد مشايخه، وفي الموارد التي تكون من هذا القبيل يكتفي بذكر طريقه إليها، بل قد يصرّح بأنّه فهرس النسخة استناداً إلى ذكر أحد مشايخه لها، كما ذكر مثل ذلك في الحسين بن عبيد الله السعديّ، حيث إنّه بعد تفصيله لعناوين أبواب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أبواب الكتاب نقلتها من خطّ أبي العبّاس أحمد بن عليّ بن نوح</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وهو ظاهر في عدم وقوفه على الكتاب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ومقامنا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انتهاء طريق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الكلينيّ يؤكّد على أنّ رواياته الواصلة منحصرة بطريق الكلينيّ إليه، ما يشير إلى الاعتماد في نقل رواياته على كتاب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 كتاب الفهرست للشيخ من الإشارة إلى كون الحسين بن محمّد صاحب كتاب على الرغم من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التهذيب في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كان اثنان منها قد روى عنه بتوسّط غير الكلينيّ</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طرحنا من الباقي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الموارد التي ابتدأ فيها باسمه، يبقى المجموع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كلّها قد روى فيها عنه بتوسّط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يشكّل ظنّاً قويّاً بأنّ التي ابتدأ فيها باسمه كانت منتزعة من الكافي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التتبّع في الأحاديث التي ابتدأها الشيخ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بوضوح إلى أنّ مصدره في إيراد هذه الأحاديث هو كتاب الكافي؛ وذلك حسب العرض التالي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عبد الله بن عامر، عن عليّ بن مهزيار، عن الحسين ابن سعيد، عن حمّاد بن عيسى، عن يزيد بن ضمرة الليثيّ،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يشتغل عن الزوال أيتعجّل من أوّل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أنّه يشتغل فيعجّلها في صدر النهار كلّها</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والمظنون قويّاً بمقتضى المقارنة بينه وبين ما ورد في الكافي انتزاع الحديث منه؛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أورده في الكافي،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عبد الله بن عامر، عن عليّ بن مهزيار، عن الحسين بن سعيد، عن حمّاد بن عيسى، عن بريد</w:t>
      </w:r>
      <w:r>
        <w:rPr>
          <w:rStyle w:val="FootnoteAnchor"/>
          <w:rtl w:val="true"/>
        </w:rPr>
        <w:footnoteReference w:id="486"/>
      </w:r>
      <w:r>
        <w:rPr>
          <w:rFonts w:ascii="IRNazanin" w:hAnsi="IRNazanin" w:eastAsia="IRNazanin"/>
          <w:color w:val="111111"/>
          <w:sz w:val="28"/>
          <w:sz w:val="28"/>
          <w:szCs w:val="28"/>
          <w:rtl w:val="true"/>
          <w:lang w:bidi="fa-IR"/>
        </w:rPr>
        <w:t>بن ضمرة الليثيّ،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يشتغل عن الزوال، أيعجّل من أوّل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أنّه يشتغل فيعجّلها في صدر النّهار كلّها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والكافي من مصادر الشيخ في التهذيب، فإنّ طريقه إلى محمّد بن يعقوب الكلينيّ أوّل طرق المشيخة في التهذيب والاستبصار</w:t>
      </w:r>
      <w:r>
        <w:rPr>
          <w:rStyle w:val="FootnoteAnchor"/>
          <w:rtl w:val="true"/>
        </w:rPr>
        <w:footnoteReference w:id="488"/>
      </w:r>
      <w:r>
        <w:rPr>
          <w:rFonts w:ascii="Amiri" w:hAnsi="Amiri" w:eastAsia="Amiri" w:cs="Amiri"/>
          <w:color w:val="111111"/>
          <w:sz w:val="28"/>
          <w:sz w:val="28"/>
          <w:szCs w:val="28"/>
          <w:rtl w:val="true"/>
          <w:lang w:bidi="ar-SA"/>
        </w:rPr>
        <w:t>، وقد ابتدأ باسمه في موارد كثيرة جدّاً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الذي بعده مباشرةً أورده في التهذيب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محمّد، عن أبيه رفعه، 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بين قرني الشيطان،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إبليس اتّخذ عرشاً بين السماء والأرض، فإذا طلعت الشمس وسجد في ذلك الوقت الناس، قال إبليس لشياطينه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آدم يصلّون لي</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 وقد أورده في موضع </w:t>
      </w:r>
    </w:p>
    <w:p>
      <w:pPr>
        <w:pStyle w:val="BookText"/>
        <w:rPr/>
      </w:pPr>
      <w:r>
        <w:rPr>
          <w:rFonts w:ascii="IRNazanin" w:hAnsi="IRNazanin" w:eastAsia="IRNazanin"/>
          <w:color w:val="111111"/>
          <w:sz w:val="28"/>
          <w:sz w:val="28"/>
          <w:szCs w:val="28"/>
          <w:rtl w:val="true"/>
          <w:lang w:bidi="fa-IR"/>
        </w:rPr>
        <w:t>من الكافي، ولكن بصورة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الذي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تطلع بين قرني الشيطان،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إبليس</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الكافي يختلف عن 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أبيه رفعه،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وجود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الذي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وجودها في التهذيب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يكون كلا الاختلافين لاختلاف نسخة الشيخ من الكافي عن ما وصلنا منه، ويحتمل فيما يخصّ الاختلاف الأوّل أن يكون من سهو قلم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حينما أراد انتزاع الحديث من الكافي وقعت عينه على الحديث الذي بعده مباشرةً الذي ابتدأه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بعد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زياد،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الظهر حتّى 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بالمكتوبة، وكذلك الصلوات، وتبدأ بالتي نسيت، إلّا أن تخاف أن يخرج وقت الصلاة فتبدأ بالتي أنت في وقتها، ثمّ تقضي التي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الكافي 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عن محمّد بن </w:t>
      </w:r>
    </w:p>
    <w:p>
      <w:pPr>
        <w:pStyle w:val="BookText"/>
        <w:rPr/>
      </w:pP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الظهر حتّى 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وكذلك الصلوات تبدأ بالتي نسيت، إلّا أن تخاف أن يخرج وقت الصلاة فتبدأ بالتي أنت في وقتها، ثمّ تصلّي</w:t>
      </w:r>
      <w:r>
        <w:rPr>
          <w:rStyle w:val="FootnoteAnchor"/>
          <w:rtl w:val="true"/>
        </w:rPr>
        <w:footnoteReference w:id="492"/>
      </w:r>
      <w:r>
        <w:rPr>
          <w:rFonts w:ascii="Amiri" w:hAnsi="Amiri" w:eastAsia="Amiri" w:cs="Amiri"/>
          <w:color w:val="111111"/>
          <w:sz w:val="28"/>
          <w:sz w:val="28"/>
          <w:szCs w:val="28"/>
          <w:rtl w:val="true"/>
          <w:lang w:bidi="ar-SA"/>
        </w:rPr>
        <w:t>التي نسيت</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ولا يضرّ في ترجيح انتزاع الشيخ هذا الحديث من الكافي عدم ابتدائه بعليّ بن محمّد شيخ الكلينيّ؛ فإنّ المعلوم من طريقة الشيخ إسقاط بعض الوسائط من الأسانيد، كما ذكر ذلك المحقّق السبزواريّ</w:t>
      </w:r>
      <w:r>
        <w:rPr>
          <w:rStyle w:val="FootnoteAnchor"/>
          <w:rtl w:val="true"/>
        </w:rPr>
        <w:footnoteReference w:id="494"/>
      </w:r>
      <w:r>
        <w:rPr>
          <w:rFonts w:ascii="Amiri" w:hAnsi="Amiri" w:eastAsia="Amiri" w:cs="Amiri"/>
          <w:color w:val="111111"/>
          <w:sz w:val="28"/>
          <w:sz w:val="28"/>
          <w:szCs w:val="28"/>
          <w:rtl w:val="true"/>
          <w:lang w:bidi="ar-SA"/>
        </w:rPr>
        <w:t>، والسيّد بحر العلوم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أورده في موضع سابق من التهذيب، وكذا في الاستبصار مبتدِئاً بمحمّد بن يعقوب راوياً عن عليّ بن محمّد، عن سهل بن زياد إلى آخر السند</w:t>
      </w:r>
      <w:r>
        <w:rPr>
          <w:rStyle w:val="FootnoteAnchor"/>
          <w:rtl w:val="true"/>
        </w:rPr>
        <w:footnoteReference w:id="496"/>
      </w:r>
      <w:r>
        <w:rPr>
          <w:rFonts w:ascii="IRNazanin" w:hAnsi="IRNazanin" w:eastAsia="IRNazanin"/>
          <w:color w:val="111111"/>
          <w:sz w:val="28"/>
          <w:sz w:val="28"/>
          <w:szCs w:val="28"/>
          <w:rtl w:val="true"/>
          <w:lang w:bidi="fa-IR"/>
        </w:rPr>
        <w:t>، والمتن هو هو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المعلّى بن محمّد، عن الوشّاء، عن أبان،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صلاة حتّى دخل وقت صلاة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الصلاة أو نام عنها صلّى حين يذكرها، فإن ذكرها </w:t>
      </w:r>
    </w:p>
    <w:p>
      <w:pPr>
        <w:pStyle w:val="BookText"/>
        <w:rPr/>
      </w:pPr>
      <w:r>
        <w:rPr>
          <w:rFonts w:ascii="Amiri" w:hAnsi="Amiri" w:eastAsia="Amiri" w:cs="Amiri"/>
          <w:color w:val="111111"/>
          <w:sz w:val="28"/>
          <w:sz w:val="28"/>
          <w:szCs w:val="28"/>
          <w:rtl w:val="true"/>
          <w:lang w:bidi="ar-SA"/>
        </w:rPr>
        <w:t>وهو في صلاة بدأ بالتي نسي، وإن ذكرها وهو مع إمام في صلاة المغرب أتمّها بركعة، ثمّ صلّى المغرب، ثمّ صلّى العتمة بعد، فإن كان صلّى العتمة وحده، فصلّى منها ركعتين، ثمّ ذكر أنّه نسي المغرب أتمّها بركعة، فتكون صلاة المغرب ثلاث ركعات، ثمّ يصلّي العتمة بعد ذلك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والمظنون قويّاً انتزاع الحديث من الكافي؛ وذلك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في الكافي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محمّد الأشعريّ، عن معلّى بن محمّد، عن الوشّاء، عن أبان بن عثمان،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الصلاة أو نام عنها صلّى حين يذكرها، فإذا ذكرها وهو في صلاة بدأ بالتي نسي، وإن ذكرها مع إمام في صلاة المغرب أتمّها بركعة، ثمّ صلّى المغرب، ثمّ صلّى العتمة بعدها، وإن كان صلّى العتمة وحده، فصلّى منها ركعتين، ثمّ ذكر أنّه نسي المغرب أتمّها بركعة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الشيخ الحديث الذي بعده مباشرةً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عن أبيه،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أمّ قوماً في العصر، فذكر وهو يصلّي أنّه لم يكن صلّى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فليجعلها الأولى التي فاتته، ويستأنف بعد صلاة العصر، وقد قضى القوم صلاتهم</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وقد أتى بنفس السند والمتن في الكافي ولم يفصل بينه وبين حديث الكافي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بحديث واحد، هو نفس الحديث في الفقرة التالية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حديثاً آخر بعد الحديث في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ابن إسماعيل، عن الفضل بن شاذان، عن صفوان،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الظهر حتّى غربت الشمس، وقد كان صلّى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أمكنه أن يصلّيها قبل أن تفوته المغرب بدأ بها، وإلّا صلّى المغرب، ثمّ صلّاها</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وقد جاء في الكافي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إسماعيل، عن الفضل بن شاذان، عن صفوان بن يحيى،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يتبيّن الخدش في ما يلوح من المحقّق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الذخيرة من عدّ رواية الشيخ للحديث مصدراً مستقلَّاً في مقابل رواية الكلينيّ 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رواه الشيخ والكلينيّ بإسناد ضعيف بعليّ بن محمّد،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فإنّ مقتضى التتبّع لجملة من الأحاديث التي ابتدأها الشيخ بمحمّد بن يعقوب الكلينيّ قد ذكرها في الذخيرة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الكلينيّ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على الرغم من وضوح انتزاع الشيخ لهذه الأحاديث من الكافي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عن الوشّاء، عن حمّاد بن عثمان، عن سعيد بيّاع </w:t>
      </w:r>
    </w:p>
    <w:p>
      <w:pPr>
        <w:pStyle w:val="BookText"/>
        <w:rPr/>
      </w:pPr>
      <w:r>
        <w:rPr>
          <w:rFonts w:ascii="IRNazanin" w:hAnsi="IRNazanin" w:eastAsia="IRNazanin"/>
          <w:color w:val="111111"/>
          <w:sz w:val="28"/>
          <w:sz w:val="28"/>
          <w:szCs w:val="28"/>
          <w:rtl w:val="true"/>
          <w:lang w:bidi="fa-IR"/>
        </w:rPr>
        <w:t>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أيتباكى الرجل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ولو مثل رأس الذباب</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القرائن الحافّة انتزاع الحديث من الكافي؛ وذلك بلحاظ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هذا الحديث في باب كيفيّة الصلاة وصفتها والمفروض من ذلك والمسنون، والملاحظ أنّ الحديث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أورده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إسماعيل، عن الفضل بن شاذان، عن حمّاد بن عيسى، عن ربعيّ بن عبد الله، عن الفضيل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في الصلاة تغيّر لونه، فإذا سجد لم يرفع رأسه، حتّى يَرْفَضَّ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موجود تحت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الخشوع في الصلاة وكراهية العبث في الكافي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إسماعيل، عن الفضل بن شاذان، عن حمّاد بن عيسى، عن ربعيّ بن عبد الله، عن الفضيل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ذو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الباب 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ابن إبراهيم، عن أبيه،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استقبلت القبلة بوجهك فلا تقلب وجهك عن القبلة لتفسد صلاتك، فإنّ الله تعالى قال لنبيّه في الفريضة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فَوَلِّ وَجْهَكَ شَطْرَ الْمَسْجِدِ الْحَرَامِ وَحَيْثُ مَا كُنْتُمْ فَوَلُّوا وُجُوهَكُمْ شَطْرَهُ واخشع بصرك، ولا ترفعه إلى السماء، وليكن حذاء وجهك في </w:t>
      </w:r>
    </w:p>
    <w:p>
      <w:pPr>
        <w:pStyle w:val="BookText"/>
        <w:rPr/>
      </w:pPr>
      <w:r>
        <w:rPr>
          <w:rFonts w:ascii="Amiri" w:hAnsi="Amiri" w:eastAsia="Amiri" w:cs="Amiri"/>
          <w:color w:val="111111"/>
          <w:sz w:val="28"/>
          <w:sz w:val="28"/>
          <w:szCs w:val="28"/>
          <w:rtl w:val="true"/>
          <w:lang w:bidi="ar-SA"/>
        </w:rPr>
        <w:t>موضع سجودك</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وقد أورده في الكافي في نفس الباب تحت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الشيخ أورد هذا الحديث في موضع سابق وسنده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ذو الرقم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أورده الشيخ في الباب أعلاه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لمن قرأ القرآن إذا مرّ بآية من القرآن فيها مسألة أو تخويف أن يسأل عند ذلك خير ما يرجو، ويسأل العافية من النار ومن العذاب</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 وهو موجود تحت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البكاء والدعاء في الصلاة في الكافي الذي يأتي مباشرةً بعد باب الخشوع في الصلاة وكراهيّة العبث،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لمن يقرأ القرآن إذا مرّ بآية</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 وقد مرّت الإشارة إلى جريان عادة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إسقاط العدّة أو بعضها من سند الكافي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الذي أورده الشيخ تحت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المذكور آنفاً هو محلّ الكلام، وهو موجود تحت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البكاء والدعاء في الصلاة في الكافي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محمّد، عن معلّى بن محمّد، عن الوشّاء، عن حمّاد بن عثمان، عن سعيد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أيتباكى الرجل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ولو مثل رأس الذباب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أورده في الاستبصار مبتدِئاً بمحمّد بن يعقوب راوياً عن الحسين بن محمّد إلى آخر السند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الراجح بملاحظة ما ذكر كون مصدر الشيخ في هذا الحديث هو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عبد الله بن عامر، عن عليّ بن مهزيار، عن فضالة بن أيّوب، عن الحسين بن عثمان، عن عمرو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يقوم في الصلاة، فيريد أن يقرأ سورة فيقرأ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يَا أَيُّهَا الْكَافِرُونَ، فقال يرجع من كلّ سورة إلّا من 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يَا أَيُّهَا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الحديث من الكافي بشهادة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في الكافي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التي أوردها في باب قراءة </w:t>
      </w:r>
    </w:p>
    <w:p>
      <w:pPr>
        <w:pStyle w:val="BookText"/>
        <w:rPr/>
      </w:pPr>
      <w:r>
        <w:rPr>
          <w:rFonts w:ascii="Amiri" w:hAnsi="Amiri" w:eastAsia="Amiri" w:cs="Amiri"/>
          <w:color w:val="111111"/>
          <w:sz w:val="28"/>
          <w:sz w:val="28"/>
          <w:szCs w:val="28"/>
          <w:rtl w:val="true"/>
          <w:lang w:bidi="ar-SA"/>
        </w:rPr>
        <w:t>القرآن بالصورة التي في التهذيب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الحديث السابق عليه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في موضع، ثمّ يريد أن يتقدّم،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عن القراءة في مشيه حتّى يتقدّم إلى الموضع الذي يريد، ثمّ يقرأ</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وهو موجود في الكافي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 بالصورة التي في التهذيب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محلّ الكلام في موضع سابق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الحسين بن محمّد، عن عبد الله بن عامر، عن عليّ بن مهزيار، عن فضالة بن أيّوب، عن الحسين بن عثمان، عن عمرو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عبد الله بن عامر، عن عليّ بن مهزيار، عن فضالة،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يأخذه الرعاف والقيء في الصلاة،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ينفتل فيغسل أنفه، ويعود في صلاته، وإن تكلّم فليعد صلاته، وليس عليه وضوء</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الظاهر أنّه منتزع من الكافي بلحاظ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حديثاً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أيقطع صلاته شيء ممّا يمرّ به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صلاة المسلم شيء، ولكن ادرأ ما استطعت،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رعف، ولم يرق رعافه حتّى دخل وقت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يحشو أنفه بشيء، ثمّ يصلّي، ولا يطيل إن خشي أن يسبقه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في صلاة مكتوبة من غير فراغ فأعد الصلاة إذا كان الالتفات فاحشاً، وإن كنت قد تشهّدت فلا تعد</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 وهو في الكافي عاشر الأحاديث التي أوردها في باب ما يقطع الصلاة من الضحك والحدث والإشارة والنسيان وغير ذلك بالصورة التي في التهذيب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محلّ الكلام أورده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الأحاديث في الباب المذكور بالصورة التي في التهذيب</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الحديث محلّ الكلام حديثاً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جميل بن درّاج،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القهقهة لا تنقض الوضوء، ولكن تنقض الصلاة</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 وهو موجود في الكافي </w:t>
      </w:r>
    </w:p>
    <w:p>
      <w:pPr>
        <w:pStyle w:val="BookText"/>
        <w:rPr/>
      </w:pPr>
      <w:r>
        <w:rPr>
          <w:rFonts w:ascii="Amiri" w:hAnsi="Amiri" w:eastAsia="Amiri" w:cs="Amiri"/>
          <w:color w:val="111111"/>
          <w:sz w:val="28"/>
          <w:sz w:val="28"/>
          <w:szCs w:val="28"/>
          <w:rtl w:val="true"/>
          <w:lang w:bidi="ar-SA"/>
        </w:rPr>
        <w:t>سادس الأحاديث في الباب المذكور بالصورة التي في التهذيب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بعد الحديث المذكور في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سعيد، عن الحسن، عن أخيه</w:t>
      </w:r>
      <w:r>
        <w:rPr>
          <w:rStyle w:val="FootnoteAnchor"/>
          <w:rtl w:val="true"/>
        </w:rPr>
        <w:footnoteReference w:id="524"/>
      </w:r>
      <w:r>
        <w:rPr>
          <w:rFonts w:ascii="Amiri" w:hAnsi="Amiri" w:eastAsia="Amiri" w:cs="Amiri"/>
          <w:color w:val="111111"/>
          <w:sz w:val="28"/>
          <w:sz w:val="28"/>
          <w:szCs w:val="28"/>
          <w:rtl w:val="true"/>
          <w:lang w:bidi="ar-SA"/>
        </w:rPr>
        <w:t>،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الضحك هل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التبسّم فلا يقطع الصلاة، وأمّا القهقهة فهي تقطع الصلاة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وهو موجود في الكافي أوّل الأحاديث في الباب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عن أحمد بن محمّد بن عيسى،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الضحك هل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التبسّم فلا يقطع الصلاة، وأمّا القهقهة فهي تقطع الصلاة</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ومقتضى قرب المأخذ وسهولته مرجّح لكون مصدره فيه الكافي وإن ابتدأه بالحسين بن سعيد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صحّ ما رجّحناه يلتفت إلى اختصار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للسند، وكيف أسقط واسطتين من سند الكافي، وابتدأ بالحسين بن سعيد، ومثل هذا الاختصار متعارف عند الشيخ، وهو ما سيظهر للقارئ الكريم في موارد كثيرة ممّا يأتي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والملاحظ أنّ الشيخ قد أورد في هذا الموضع من التهذيب 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 منها هي التي ذكرناها في الفقرات السابقة، وخمسة أحاديث أخر من خلال سندها يعرف الممارس أنّها من أسانيد الكافي، وهي موجودة في الكافي في الباب المشار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الحديث محلّ الكلام في موضع سابق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 الله، عن موسى بن الحسن، عن السنديّ بن محمّد، عن العلاء بن رزين، عن محمّد ابن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يأخذه الرعاف أو القيء في الصلاة،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ينفتل فيغسل أنفه، ويعود في الصلاة، فإن تكلّم فليعد الصلاة</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 وهذا يعني أنّ الزيادة الموجودة في الحديث محلّ الكلام،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كتاب سعد، ولكنّها موجودة في الكافي، وهذا ما يؤيّد انتزاع الحديث من الكافي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معلّى بن محمّد، عن محمّد بن عبد الله الواسطيّ، عن قاسم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أعمل أغماد السيوف من جلود الحمر الميتة، فتصيب ثيابي أفأصلّي فيها؟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ثوباً لصلاتك، فكتبت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كتبت إلى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بكذا وكذا فصعّب عليّ ذلك، فصرت أعملها من جلود الحمر الوحشيّة الذكيّة،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أعمال البرّ بالصبر يرحمك الله فإن كان ممّا تعمل وحشيّاً ذكيّاً فلا بأس</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الظاهر أنّ مصدر الشيخ في هذا الحديث هو الكافي؛ للشواهد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الحديث تحت الرقم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التي أوردها في الكافي في باب الرجل يصلّي في الثوب وهو غير طاهر عالماً أو جاهلاً،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محمّد، عن معلّى بن محمّد، عن محمّد بن عبد الله الواسطيّ، عن قاسم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أعمل أغماد السيوف من جلود الحمر الميتة، فتصيب ثيابي أفأصلّي فيها؟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ثوباً لصلاتك، فكتبت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كتبت إلى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وكذا، فصعّب عليّ ذلك، فصرت أعملها من جلود الحمر الوحشيّة الذكيّة،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أعمال البرّ بالصبر يرحمك الله، فإن كان ما تعمل وحشيّاً ذكيّاً فلا بأس</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بعده مباشرةً الحديث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عن أحمد بن الحسن، عن عمرو بن سعيد، عن مصدّق بن صدقة،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يتقيّأ في ثوبه، أيجوز أن يصلّي فيه ولا يغسله؟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وهو في الكافي تحت الرقم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 أيضاً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إدريس، عن محمّد بن أحمد، عن أحمد بن الحسن بن عليّ، عن عمرو بن سعيد، عن مصدّق بن صدقة،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يتقيّأ في ثوبه يجوز أن يصلّي فيه ولا يغسله،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xml:space="preserve">، ولا يضرّ عدم ابتداء الشيخ في </w:t>
      </w:r>
    </w:p>
    <w:p>
      <w:pPr>
        <w:pStyle w:val="BookText"/>
        <w:rPr/>
      </w:pPr>
      <w:r>
        <w:rPr>
          <w:rFonts w:ascii="IRNazanin" w:hAnsi="IRNazanin" w:eastAsia="IRNazanin"/>
          <w:color w:val="111111"/>
          <w:sz w:val="28"/>
          <w:sz w:val="28"/>
          <w:szCs w:val="28"/>
          <w:rtl w:val="true"/>
          <w:lang w:bidi="fa-IR"/>
        </w:rPr>
        <w:t xml:space="preserve">نقل الحديث بأحمد بن إدريس؛ فقد سبقت الإشارة إلى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يختصر سند الكافي، فيسقط العدّة أو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الذي يلي السابق مباشرةً قد 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ابن زياد، عن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أسأله عن الثوب يصيبه الخمر ولحم الخنزير، أيصلّى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فإنّه رجس</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 وقد أورده في الكافي خامس الأحاديث في الباب المذكور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الشيخ الحديث محلّ الكلام في موضعٍ سابق من التهذيب والاستبصار بالسند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محمّد، عن سهل بن زياد، عن خيران الخادم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تجدر الإشارة إليه في ذيل هذه النقطة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غرضه الاستدلال في الموضع المشار إليه من التهذيب لقول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والخمر ونبيذ التمر وكلّ شراب مسكر نجس إذا أصاب ثوب الإنسان شيء منه قلّ ذلك أم كثر، لم يجز فيه الصلاة حتّى يغسل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اقتطع عند انتزاعه الحديث من الكافي ما يوافق غرضه وترك الباقي؛ لأنّ الحديث في الكافي ورد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p>
    <w:p>
      <w:pPr>
        <w:pStyle w:val="BookText"/>
        <w:rPr/>
      </w:pPr>
      <w:r>
        <w:rPr>
          <w:rFonts w:ascii="IRNazanin" w:hAnsi="IRNazanin" w:eastAsia="IRNazanin"/>
          <w:color w:val="111111"/>
          <w:sz w:val="28"/>
          <w:sz w:val="28"/>
          <w:szCs w:val="28"/>
          <w:rtl w:val="true"/>
          <w:lang w:bidi="fa-IR"/>
        </w:rPr>
        <w:t>عن الثوب يصيبه الخمر ولحم الخنزير أيصلّى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فإنّه رجس،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يعير ثوبه لمن يعلم أنّه يأكل الجرّي أو يشرب الخمر، فيردّه أيصلّي فيه قبل أن يغسله؟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 فيه حتّى يغسله</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ينفع غرض الشيخ في الموضع المشار إليه هو المقطع الذي ينتهي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 موضع الاستدلال لقول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ينقل تمام المقطع المذكور، بل ترك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 صلّ فيه فإنّ الله إنّما حرّم شربها، وقال بعضهم لا تصلّ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الغرض فيه وإن نقل هذا الموضع في الحديث الذي هو محلّ كلامنا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بناءً على صحّة نسخة الكافي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ورد في الكافي طبعة دار الحديث من وجود نسخة من الكافي تطابق التهذيب فلا يكون للكلام السابق مورد، إلّا فيما يخصّ عدم نقل الشيخ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تصرّف في بعض المواضع بعدم نقل تمام الحديث من المصدر الذي انتزعه منه، ومثل ذلك لا يؤثّر على الاعتقاد بكون ذلك الكتاب هو مصدره في نقل الحديث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أبان، عن عمرو بن </w:t>
      </w:r>
    </w:p>
    <w:p>
      <w:pPr>
        <w:pStyle w:val="BookText"/>
        <w:rPr/>
      </w:pPr>
      <w:r>
        <w:rPr>
          <w:rFonts w:ascii="IRNazanin" w:hAnsi="IRNazanin" w:eastAsia="IRNazanin"/>
          <w:color w:val="111111"/>
          <w:sz w:val="28"/>
          <w:sz w:val="28"/>
          <w:szCs w:val="28"/>
          <w:rtl w:val="true"/>
          <w:lang w:bidi="fa-IR"/>
        </w:rPr>
        <w:t xml:space="preserve">خالد،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ندخل بيتاً فيه صورة إنسان، ولا بيتاً يبال فيه، ولا بيتاً فيه كلب</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مصدره في إيراد هذا الحديث هو كتاب الكافي أيضاً؛ للشواهد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الحديث تحت الرقم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التي أوردها في الكافي من باب الصلاة في الكعبة وفوقها وفي البِيع والكنائس والمواضع التي تكره الصلاة فيها،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عن معلّى بن محمّد، عن الحسن بن عليّ الوشّاء، عن أبان، عن عمرو بن خالد،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ندخل بيتاً فيه صورة إنسان، ولا بيتاً يبال فيه، ولا بيتاً فيه كلب</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 علماً أنّ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نفس الحديث من دون زيادة ولا نقصان في موضع آخر من الكافي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حميد بن زياد، عن الحسن بن محمّد بن سماعة، عن غير واحد، عن أبان بن عثمان، عن عمرو بن خالد،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ندخل بيتاً فيه صورة إنسان، ولا بيتاً يبال فيه، ولا بيتاً فيه كلب</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ولعلّ لإبهام بعض الوسائط فيه لم ينقل الشيخ الحديث من هذا الطريق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ضمن مجموعة أحاديث كلّها موجودة في الكافي بنفس السند والمتن كالآتي</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الحديث ذي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يجوز الصلاة فيه من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يخوض الماء، فتدركه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حرب فإنّه يجزيه الإيماء، وإن كان تاجراً فليقم ولا يدخله حتّى يصلّي</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وهو موجود في الكافي تحت الرقم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مرابض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ولا تصلّ في أعطان الإبل إلّا أن تخاف على متاعك الضيعة، فاكنسه ورشّه بالماء وصلّ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الصلاة في ظهر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تصلّي في الظواهر التي بين الجوادّ، فأمّا على الجوادّ، فلا تصلّ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الصلاة في السبخة إلّا أن يكون مكاناً ليّناً تقع عليه الجبهة مستويةً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الصلاة في البيعة،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استقبلت القبلة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في المنازل التي في طريق مكّة يرشّ أحياناً موضع جبهته، ثمّ يسجد عليه رطباً كما هو، وربّما لم يرشّ الذي يرى أنّه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يخوض الماء فتدركه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حرب فإنّه يجزئه الإيماء، وإن كان تاجراً فليقم، ولا يدخله حتّى يصلّي</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 فيلاحظ أنّ الشيخ قد اقتطع من الحديث ما يوافق غرضه، وأورد الباقي في نفس الباب</w:t>
      </w:r>
      <w:r>
        <w:rPr>
          <w:rStyle w:val="FootnoteAnchor"/>
          <w:rtl w:val="true"/>
        </w:rPr>
        <w:footnoteReference w:id="542"/>
      </w:r>
      <w:r>
        <w:rPr>
          <w:rFonts w:ascii="IRNazanin" w:hAnsi="IRNazanin" w:eastAsia="IRNazanin"/>
          <w:color w:val="111111"/>
          <w:sz w:val="28"/>
          <w:sz w:val="28"/>
          <w:szCs w:val="28"/>
          <w:rtl w:val="true"/>
          <w:lang w:bidi="fa-IR"/>
        </w:rPr>
        <w:t>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مبدوءاً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على محمّد بن يعقوب الذي ابتدأ به الحديث السابق عليه إلى آخر السند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في البيداء في آخر الليل، فتوضّأت واستكت وأنا أهمّ بالصلاة، ثمّ كأنّه دخل قلبي شيء، فهل يصلّى في البيداء في المحمل؟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البيداء،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حدّ البيداء؟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ذات الجيش جدّ في المسير، ولا يصلّي حتّى يأتي مُعرَّس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ذات الجيش؟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الحفيرة بثلاثة أميال</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وهو موجود في الكافي بنفس المتن تحت الرقم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 الباب المذكور،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وقد أشرنا سابقاً إلى أنّ الشيخ عادةً ما يختصر في سند الكافي فيسقط العدّة أو أحدها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يحيى، عن أيّوب بن نوح، عن أبي الحسن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الصلاة والرجل بالبيداء،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يتنحّى عن الجوادّ يمنةً ويسرةً ويصلّي</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وهو موجود في الكافي بنفس المتن تحت الرقم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وغيره، عن محمّد بن أحمد، عن أيّوب بن نوح، عن أبي الحسن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والاختلاف بين هذا الإسناد وإسناد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ابتداء السند في الكافي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ابتداء السند في التهذيب فإنّه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بمهمّ بعد ما ذكرنا من أنّ عادة الشيخ جرت باختصار بداية سند الكافي، إلّا أنّ المهمّ هو أنّ ابتداء الشيخ كان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ما في الكافي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يقال باختلافهما، فلا يكون هذا الحديث منتزعاً من الكافي، هذا مضافاً إلى أنّ كتاب محمّد بن أحمد بن يحيى من مصادر الشيخ في التهذيب، يظهر ذلك من ابتدائه باسمه في موارد كثيرة من التهذيب، وقد ذكر طريقه إليه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الوافي والوسائل نقلاً عن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ومعه يكون الأمر في هذا الاختلاف من قبيل اختلاف النسخ، وهو لا يضرّ في المهمّ من كون مصدر الشيخ في الحديث كتاب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مهزيار، عن فضالة،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تكره في ثلاثة مواطن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البيداء، وهي ذات الجيش، وذات الصلاصل، وضجنان،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يصلّى بين الظواهر، وهي الجوادّ جوادّ الطرق، ويكره أن يصلّى في الجوادّ</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موجود في الكافي بنفس المتن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المذكور، وسنده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عن عبد الله بن عامر، عن عليّ بن مهزيار، عن فضالة بن </w:t>
      </w:r>
    </w:p>
    <w:p>
      <w:pPr>
        <w:pStyle w:val="BookText"/>
        <w:rPr/>
      </w:pPr>
      <w:r>
        <w:rPr>
          <w:rFonts w:ascii="IRNazanin" w:hAnsi="IRNazanin" w:eastAsia="IRNazanin"/>
          <w:color w:val="111111"/>
          <w:sz w:val="28"/>
          <w:sz w:val="28"/>
          <w:szCs w:val="28"/>
          <w:rtl w:val="true"/>
          <w:lang w:bidi="fa-IR"/>
        </w:rPr>
        <w:t xml:space="preserve">أيّوب،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انتزاع الحديث من الكافي يلاحظ كيف اختصر الشيخ سند الكافي فحذف واسطتين منه وابتدأ بعليّ بن مهزيار مباشرةً ما قد يحتمل معه أنّه انتزع الحديث من كتاب عليّ بن مهزيار، فهو ممّن ذكر طريقه إليه في المشيخة، وكتابه من مصادره في التهذيب؛ لابتدائه باسمه في موارد عديدة، ولكن مقتضى قرينة المقام يرجح انتزاع الحديث من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عن ابن فضّال،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وادي الشقرة</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موجود في الكافي بنفس المتن في الباب المذكور تحت الرقم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عن ابن فضّال،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عن أحمد بن الحسن، عن عمرو ابن سعيد، عن مصدّق بن صدقة،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الطين الذي لا يسجد عليه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غرق الجبهة ولم تثبت على الأرض</w:t>
      </w:r>
      <w:r>
        <w:rPr>
          <w:rFonts w:eastAsia="IRNazanin" w:cs="IRNazanin"/>
          <w:color w:val="111111"/>
          <w:sz w:val="28"/>
          <w:szCs w:val="28"/>
          <w:rtl w:val="true"/>
          <w:lang w:bidi="fa-IR"/>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موجود في الكافي في الباب المذكور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أحمد، عن أحمد بن الحسن بن عليّ، عن </w:t>
      </w:r>
    </w:p>
    <w:p>
      <w:pPr>
        <w:pStyle w:val="BookText"/>
        <w:rPr/>
      </w:pPr>
      <w:r>
        <w:rPr>
          <w:rFonts w:ascii="IRNazanin" w:hAnsi="IRNazanin" w:eastAsia="IRNazanin"/>
          <w:color w:val="111111"/>
          <w:sz w:val="28"/>
          <w:sz w:val="28"/>
          <w:szCs w:val="28"/>
          <w:rtl w:val="true"/>
          <w:lang w:bidi="fa-IR"/>
        </w:rPr>
        <w:t xml:space="preserve">عمرو بن سعيد، عن مصدّق بن صدقة،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الطين الذي لا يسجد فيه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غرق الجبهة ولم تثبت على الأرض، وعن الرجل يصلّي بين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ذلك إلّا أن يجعل بينه وبين القبور إذا صلّى عشرة أذرع من بين يديه وعشرة أذرع من خلفه وعشرة أذرع عن يمينه وعشرة أذرع عن يساره، ثمّ يصلّي إن شاء</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فيلاحظ كيف اقتطع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من حديث الكافي وأورده هنا، وأورد الباقي منه في الباب نفسه من التهذيب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محمّد بن أحمد، عن أحمد بن الحسن بن عليّ، عن عمرو بن سعيد، عن مصدّق بن صدقة،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بين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ذلك</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زياد، عن ابن محبوب، عن ابن رئاب، عن جميل بن صالح،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في الصلاة فأرى قدّامي في القبلة العذرة،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عنها ما استطعت، ولا تصلّ على الجوادّ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موجود في الكافي بنفس المتن في الباب المذكور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وعليّ بن محمّد، عن سهل بن زياد</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إلى آخر السند الموجود في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أورده في موضع سابق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الحسن وعليّ بن محمّد، عن سهل بن زياد، عن ابن محبوب، عن عليّ بن رئاب، عن جميل بن صالح،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في الصلاة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المكتوبة في الكعبة</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وهو موجود في الباب نفسه من الكافي تحت الرقم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المتن،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جماعة، عن أحمد ابن محمّد، عن الحسين بن سعيد، عن فضالة،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 واختصار سند الكافي بحذف مشايخ الكلينيّ ومشايخهم ممّا جرت به عادة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مضافاً إلى الأحاديث السابقة عليه من الشواهد والمؤيّدات على أنّ الشيخ ليس كلّما ابتدأ باسم راو ذكر طريقه إليه في المشيخة يكون قد انتزع الحديث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الثالث الذي ذكرناه سابقاً لتفسير عبارة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قيام القرينة على انتزاع الحديث من غير كتابه فالمعوّل عليها، فالحسين بن سعيد ممّن ذكر مكرّراً في المشيخة، وقد ابتدأ باسمه في موارد كثيرة من التهذيب يقطع بأنّها منتزعة من كتبه، ولكن مع ذلك قرينة المقام ترجّح انتزاع الحديث من الكافي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الحديث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من التهذيب والاستبصار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تصلّى المكتوبة في الكعبة،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الكعبة في حجّ ولا عمرة، ولكنّه دخلها في الفتح فتح مكّة، وصلّى ركعتين بين العمودين، ومعه أسامة بن زيد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وظاهره في ذلك المقام انتزاع الحديث من كتب الحسين بن سعيد؛ إذ لم يرد مثله في الكافي حتّى يمكن القول بانتزاعه من الكافي، وممّا يؤيّد انتزاعه من كتب الحسين بن سعيد ملاحظة ما ذكره في الاستبصار من سند للحديث،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أبو الحسين بن أبي جيد القمّيّ، عن محمّد بن الحسن ابن الوليد، عن الحسين بن الحسن بن أبان، عن الحسين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الطريق الثاني من الطرق المذكورة في المشيخة للحسين بن سعيد، وحيث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ابتدأ هنا باسم الحسين بن سعيد فلِم لا يكون قد انتزع الحديث من كتبه لا من الكافي؟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البناء على انتزاع الحديث في المقام من كتب الحسين بن سعيد؛ لاختلاف السند، حيث إنّ السند في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الموضع المشار إليه في التهذيب والاستبصار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وكذلك المتن، فإنّ الشيخ وإن اقتصر في بعض الموارد على ذكر بعض الحديث </w:t>
      </w:r>
    </w:p>
    <w:p>
      <w:pPr>
        <w:pStyle w:val="BookText"/>
        <w:rPr/>
      </w:pPr>
      <w:r>
        <w:rPr>
          <w:rFonts w:ascii="IRNazanin" w:hAnsi="IRNazanin" w:eastAsia="IRNazanin"/>
          <w:color w:val="111111"/>
          <w:sz w:val="28"/>
          <w:sz w:val="28"/>
          <w:szCs w:val="28"/>
          <w:rtl w:val="true"/>
          <w:lang w:bidi="fa-IR"/>
        </w:rPr>
        <w:t>المنقول من الكافي، كما مرّت الإشارة إليه، ولكن ليس الأمر كذلك في المقام، فإنّ متن الحديث المنقول في التهذيب هو نفس المتن المنقول في الكافي من دون زيادة ولا نقيصة، وهذا بخلاف الموضع المشار إليه من التهذيب والاستبصار ففيه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الكعبة في حجّ ولا عمرة، ولكنّه دخلها في الفتح فتح مكّة، وصلّى ركعتين بين العمودين، ومعه أسامة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لم ترد في المطبوع من الكافي والتهذيب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ملاحظة ما أورده الشيخ في المورد المشار إليه من التهذيب، وهو باب دخول الكعبة، ومقارنته مع ما أورده الكلينيّ في باب دخول الكعبة من الكافي يجد بوضوح أنّ الشيخ عند كتابته لهذا الباب قد كان يراجع الكافي تارةً، وكتاب الحسين ابن سعيد أخرى، وهذا ما يحتاج إلى بيان،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أورد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المذكور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وأمّا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فيه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وتفصيلها كالتالي</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الأوّل أورده الشيخ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عدّة من أصحابنا، عن أحمد بن أبي عبد الله، عن عمرو بن عثمان، عن عليّ بن خالد، عمّن حدّثه،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الكعبة يدخل والله راض عنه، ويخرج عطلاً من الذنوب</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وهو الحديث الأوّل الذي أورده الكلينيّ في باب دخول الكعبة، وصورته نفس الصورة التي هو عليها في التهذيب سنداً ومتناً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الثاني 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محمّد بن يحيى، عن محمّد بن أحمد، عن يعقوب بن يزيد، عن ابن فضّال، عن ابن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دخول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فيها دخول في رحمة الله، والخروج منها خروج من الذنوب، معصوم فيما بقي من عمره، مغفور له ما سلف من ذنوبه</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محمّد بن يعقوب الذي ابتدأ به سند الحديث السابق عليه، وهو الحديث الثاني الذي أورده الكلينيّ في الباب المذكور، ومتنه ذات المتن الموجود في التهذيب،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محمّد بن أحمد، عن يعقوب ابن يزيد، عن ابن فضّال، عن ابن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الثالث أورده الشيخ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بن أيّوب وصفوان بن يحيى،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الكعبة فاغتسل قبل أن تدخلها ولا تدخلها بحذاء، وتقول إذا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تدخلنّ بحذاء، ولا تبزق فيها، ولا تمخط، ولم يدخلها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يوم فتح مكّة</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وهذا الحديث أورده الكلينيّ ثالث الأحاديث التي أوردها في ذلك الباب مع اختلافات في المتن، وأمّا السند فأورده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w:t>
      </w:r>
    </w:p>
    <w:p>
      <w:pPr>
        <w:pStyle w:val="BookText"/>
        <w:rPr/>
      </w:pPr>
      <w:r>
        <w:rPr>
          <w:rFonts w:ascii="IRNazanin" w:hAnsi="IRNazanin" w:eastAsia="IRNazanin"/>
          <w:color w:val="111111"/>
          <w:sz w:val="28"/>
          <w:sz w:val="28"/>
          <w:szCs w:val="28"/>
          <w:rtl w:val="true"/>
          <w:lang w:bidi="fa-IR"/>
        </w:rPr>
        <w:t xml:space="preserve">أبيه، عن ابن أبي عمير، ومحمّد بن إسماعيل، عن الفضل بن شاذان، عن صفوان وابن أبي عمير،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 يظنّ قويّاً انتزاع الشيخ لهذا الحديث من كتب الحسين بن سعيد لا من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الرابع 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صفوان، عن المجاهد،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وهو ساجد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غضبك إلّا حلمك</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وضمير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راجع إلى الحسين بن سعيد، كما هو واضح، وهذا الحديث لم يورده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الباب، ولا في غيره من كتاب الكافي، ولذا يرجح انتزاع الشيخ له من كتاب الحسين بن سعيد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الخامس أورده الشيخ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محمّد بن يحيى، عن أحمد بن محمّد، عن عليّ بن النعمان، عن سعيد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للصرورة أن يدخل البيت قبل أن يرجع، فإذا دخلته فادخله بسكينة ووقار، ثمّ ائت كلّ زاوية من زواياه،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دَخَلَهُ كَانَ آمِناً فآمنّي من عذابك يوم القيامة، وصلّ بين العمودين اللذين يليان الباب على الرخامة الحمراء، فإن كثر الناس فاستقبل كلّ زاوية في مقامك حيث صلّيت، وادع الله عزّ وجلّ واسأله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الحديث أورده الكلينيّ سادس الأحاديث في الباب المذكور، والمتن فيه اختلافات قليلة هي من قبيل اختلاف النسخ، كما يظهر من طبعة دار الحديث للكافي</w:t>
      </w:r>
      <w:r>
        <w:rPr>
          <w:rStyle w:val="FootnoteAnchor"/>
          <w:rtl w:val="true"/>
        </w:rPr>
        <w:footnoteReference w:id="569"/>
      </w:r>
      <w:r>
        <w:rPr>
          <w:rFonts w:ascii="IRNazanin" w:hAnsi="IRNazanin" w:eastAsia="IRNazanin"/>
          <w:color w:val="111111"/>
          <w:sz w:val="28"/>
          <w:sz w:val="28"/>
          <w:szCs w:val="28"/>
          <w:rtl w:val="true"/>
          <w:lang w:bidi="fa-IR"/>
        </w:rPr>
        <w:t>، وأمّا السند في الكافي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عليّ بن النعمان، عن سعيد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أحمد بن محمّد الذي ابتدأ الكلينيّ به السند في الحديث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المذكور، والحديث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على الحديث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 الذي ابتدأه الكلينيّ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أورد الشيخ السند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محمّد بن يحيى، عن أحمد بن محمّد، عن عليّ بن النعمان، عن سعيد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 الذي أورده الشيخ في الباب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سعيد، عن صفوان،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دخول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الصرورة فيدخله، وأمّا من قد حجّ فلا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لم يرد في الكافي، ومعه يرجح انتزاع الحديث من كتب الحسين بن سعيد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السابع أورده الشيخ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إسماعيل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فصلّى في زواياها الأربع في </w:t>
      </w:r>
    </w:p>
    <w:p>
      <w:pPr>
        <w:pStyle w:val="BookText"/>
        <w:rPr/>
      </w:pPr>
      <w:r>
        <w:rPr>
          <w:rFonts w:ascii="Amiri" w:hAnsi="Amiri" w:eastAsia="Amiri" w:cs="Amiri"/>
          <w:color w:val="111111"/>
          <w:sz w:val="28"/>
          <w:sz w:val="28"/>
          <w:szCs w:val="28"/>
          <w:rtl w:val="true"/>
          <w:lang w:bidi="ar-SA"/>
        </w:rPr>
        <w:t>كلّ زاوية ركعتين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أورده الكلينيّ في الباب المذكور ثامن الأحاديث،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إسماعيل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فصلّى في زواياها الأربع، صلّى في كلّ زاوية ركعتين</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أحمد بن محمّد الذي ابتدأ الكلينيّ به سند الحديث الخامس من أحاديث الباب، وابتدأ الحديث السادس والسابع والثامن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الشيخ فلم يمكنه الابتداء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السند كما فعل الكلينيّ؛ لأنّ الحديث الذي قبله كان قد ابتدأه بالحسين بن سعيد، فلذا ذكر اسم الراوي صريحاً، وحينما فعل ذلك عوّل عليه فابتدأ الحديث الذي يليه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يرجح انتزاع الحديث من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الثامن جاء في التهذيب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ابن فضّال،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الكعبة كيف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بحلقتي الباب إذا دخلت الكعبة، ثمّ امض حتّى تأتي العمودين، فصلّ على الرخامة الحمراء، ثمّ إذا خرجت من البيت فنزلت من الدرجة فصلّ عن يمينك ركعتين</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أحمد بن محمّد الذي ابتدأ به الشيخ في سند الحديث السابق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الأحاديث التي أوردها في باب دخول الكعبة </w:t>
      </w:r>
    </w:p>
    <w:p>
      <w:pPr>
        <w:pStyle w:val="BookText"/>
        <w:rPr/>
      </w:pPr>
      <w:r>
        <w:rPr>
          <w:rFonts w:ascii="Amiri" w:hAnsi="Amiri" w:eastAsia="Amiri" w:cs="Amiri"/>
          <w:color w:val="111111"/>
          <w:sz w:val="28"/>
          <w:sz w:val="28"/>
          <w:szCs w:val="28"/>
          <w:rtl w:val="true"/>
          <w:lang w:bidi="ar-SA"/>
        </w:rPr>
        <w:t>بنفس الصورة أعلاه</w:t>
      </w:r>
      <w:r>
        <w:rPr>
          <w:rStyle w:val="FootnoteAnchor"/>
          <w:rtl w:val="true"/>
        </w:rPr>
        <w:footnoteReference w:id="575"/>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يعود على أحمد بن محمّد المذكور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يرجح انتزاع الحديث من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التاسع جاء في التهذيب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سعيد، عن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الكعبة، فصلّى فيها ركعتين على الرخامة الحمراء، ثمّ قام فاستقبل الحائط بين الركن اليمانيّ والغربيّ، فرفع يده عليه، فلصق به ودعا، ثمّ تحوّل إلى الركن اليمانيّ، فلصق به ودعا، ثمّ أتى الركن الغربيّ، ثمّ خرج</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في الكافي خامس الأحاديث في باب دخول الكعبة،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ابن محمّد، عن الحسين بن سعيد، عن فضالة بن أيّوب،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الكعبة، فصلّى ركعتين على الرخامة الحمراء، ثمّ قام فاستقبل الحائط بين الركن اليمانيّ والغربيّ، فوقع يده عليه ولزق به ودعا، ثمّ تحوّل إلى الركن اليمانيّ، فلصق به ودعا، ثمّ أتى الركن الغربيّ، ثمّ خرج</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والسند فيه معلّق على الحديث الذي قبله الذي ابتدأ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عوّل في اختصار اسم أحمد بن محمّد من هذا السند والابتداء بالحسين بن سعيد على ابتدائه به في الحديث التالي له، ومعه يحتمل انتزاع الحديث من </w:t>
      </w:r>
    </w:p>
    <w:p>
      <w:pPr>
        <w:pStyle w:val="BookText"/>
        <w:rPr/>
      </w:pPr>
      <w:r>
        <w:rPr>
          <w:rFonts w:ascii="Amiri" w:hAnsi="Amiri" w:eastAsia="Amiri" w:cs="Amiri"/>
          <w:color w:val="111111"/>
          <w:sz w:val="28"/>
          <w:sz w:val="28"/>
          <w:szCs w:val="28"/>
          <w:rtl w:val="true"/>
          <w:lang w:bidi="ar-SA"/>
        </w:rPr>
        <w:t>الكافي، كما يحتمل انتزاعه من كتب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الحديث العاشر 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الحسين بن سعيد، عن صفوان، عن معاوية بن عمّار في دعاء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دلواً من ماء زمزم، ثمّ ادخل البيت، فإذا قمت على باب البيت فخذ بحلقة الباب،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البيت بيتك والعبد عبدك، وقد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فآمنّي من عذابك، وأجرني من سخطك، ثمّ ادخل البيت وصلّ على الرخامة الحمراء ركعتين، ثمّ تمرّ إلى الأسطوانة التي بحذاء الحجر، فألصق بها صدرك،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ماجد، يا قريب، يا بعيد، يا عزيز، يا حكيم لاَ تَذَرْنِي فَرْداً وَأَنْتَ خَيْرُ الْوَارِثِينَهَبْ لِي مِنْ لَدُنْكَ ذُرِّيَّةً طَيِّبَةً إِنَّكَ سَمِيعُ الدُّعَاءِ، ثمّ در بالأسطوانة فألصق بها ظهرك وبطنك وتدعو بهذا الدعاء فإن يرد الله شيئاً كان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الكافي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أوردها في باب دخول الكعبة، وصورة المتن فيها اختلافات طفيفة عمّا موجود في التهذيب، وأمّا السند فصورته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صفوان بن يحيى، عن معاوية بن عمّار في دعاء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على أحمد بن محمّد الذي ابتدأ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وعلّق الأحاديث التي بعده عليه، ومعه يرجح انتزاع الحديث من الكافي وإلّا لابتدأ بالحسين بن سعيد دون أحمد بن محمّد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الحديث الذي هو محلّ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الشيخ </w:t>
      </w:r>
    </w:p>
    <w:p>
      <w:pPr>
        <w:pStyle w:val="BookText"/>
        <w:rPr/>
      </w:pPr>
      <w:r>
        <w:rPr>
          <w:rFonts w:ascii="IRNazanin" w:hAnsi="IRNazanin" w:eastAsia="IRNazanin"/>
          <w:color w:val="111111"/>
          <w:sz w:val="28"/>
          <w:sz w:val="28"/>
          <w:szCs w:val="28"/>
          <w:rtl w:val="true"/>
          <w:lang w:bidi="fa-IR"/>
        </w:rPr>
        <w:t>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تصلّى المكتوبة في الكعبة،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الكعبة في حجّ ولا عمرة، ولكنّه دخلها في الفتح فتح مكّة، وصلّى ركعتين بين العمودين ومعه أسامة بن زيد</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 وهذا الحديث لم يرد في الكافي، فيرجح انتزاعه من كتب الحسين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صفوان وفضالة،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صلاة المكتوبة في جوف الكعبة</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الحسين بن سعيد المبدوء به السند في الحديث السابق عليه في التهذيب، وهذا الحديث لم يرد أيضاً في الكافي، فيرجح انتزاعه من كتب الحسين بن سيعد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سعيد، عن الحسن بن عليّ 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الصلاة المكتوبة وأنا في الكعبة، أفأصلّي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لم يرد في الكافي فيرجح انتزاعه من كتب الحسين بن سعيد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في التهذيب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يحيى، عن أحمد بن محمّد، عن الحسين بن سعيد، عن النضر بن سويد،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من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أكبر الله أكبر،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تجهد بلائي، ولا تشمت بنا أعداءنا، فإنّك أنت الضارّ النافع، ثمّ هبط فصلّى إلى جانب الدرجة، جعل الدرجة عن يساره مستقبل الكعبة ليس بينه وبينها أحد، ثمّ خرج إلى منزله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أورده في الكافي في الباب المذكور سابع الأحاديث،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الحسين بن سعيد، عن النضر بن سويد،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من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حتّى قالها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تجهد بلاءنا ربّنا، ولا تشمت بنا أعداءنا، فإنّك أنت الضارّ النافع، ثمّ هبط فصلّى إلى جانب الدرجة جعل الدرجة عن يساره مستقبل الكعبة ليس بينها وبينه أحد، ثمّ خرج إلى منزله</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إلى أحمد بن محمّد الذي ابتدأ الكلينيّ به في سند 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إنّ الكلينيّ لا يمكنه الرواية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بتوسّط أحد مشايخه المباشرين، والموجود منهم في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أحاديث الباب المذكور محمّد بن يحيى العطّار، ولذا فهم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الحديث معلّق عليه، فأورد السند كاملاً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تصريح الشيخ باسم محمّد بن يعقوب في بداية السند لا يوجد أدنى شكّ في انتزاع الحديث من الكافي، ولكن يلتفت إلى اختلاف نسخة الشيخ من الكافي عمّا وصلنا من نسخ الكافي ما أدّى إلى هذه الاختلافات في السند والمتن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بعد هذا العرض الطويل أنّ الأحاديث التي أوردها الشيخ في باب </w:t>
      </w:r>
    </w:p>
    <w:p>
      <w:pPr>
        <w:pStyle w:val="BookText"/>
        <w:rPr/>
      </w:pPr>
      <w:r>
        <w:rPr>
          <w:rFonts w:ascii="Amiri" w:hAnsi="Amiri" w:eastAsia="Amiri" w:cs="Amiri"/>
          <w:color w:val="111111"/>
          <w:sz w:val="28"/>
          <w:sz w:val="28"/>
          <w:szCs w:val="28"/>
          <w:rtl w:val="true"/>
          <w:lang w:bidi="ar-SA"/>
        </w:rPr>
        <w:t xml:space="preserve">دخول الكعبة كان مصدره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الكافي،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كتب الحسين بن سعيد، والحديث محلّ الإشكال من هذه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يكون الراجح انتزاع الحديث المذكور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بلحاظ القرائن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معلّى بن محمّد، عن الوشّاء، عن المفضّل بن صالح،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الصبيان إذا صفّوا في الصلاة المكتوبة،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تؤخّروهم عن الصلاة، وفرّقوا بينهم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المظنون قويّاً انتزاع الحديث من الكافي؛ للشواهد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ثالث الأحاديث التي أوردها الشيخ في باب الصبيان متى يؤمرون بالصلاة، وقد أورده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 باب صلاة الصبيان ومتى يؤخذون بها في الكافي،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عن معلّى بن محمّد، عن الوشّاء، عن المفضّل بن صالح،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الصبيان إذا صفّوا في الصلاة المكتوبة،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تؤخّروهم عن الصلاة المكتوبة، وفرّقوا بينهم</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ويبدو من الكافي طبعة دار الحديث أنّ الاختلاف في المتن نتيجة لاختلاف النسخ</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الأوّل في هذا الباب أورده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 أو أقلّ، فإذا غلبهم العطش والغرث أفطروا، حتّى يتعوّدوا الصوم فيطيقوه، فمروا صبيانكم إذا كانوا بني تسع سنين بالصوم ما استطاعوا من صيام اليوم، فإذا غلبهم العطش أفطروا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أورده الكلينيّ أوّل الأحاديث في الباب المذكور أيضاً، ومتنه نفس المتن المذكور في التهذيب، وأمّا سنده فصورته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أبيه، عن ابن أبي عمير</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والاختلاف فيه عمّا موجود في التهذيب بإيراد اسم عليّ بن إبراهيم كاملاً في التهذيب ليس بمؤثّر بعد وجود نسخة من الكافي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الحديث الثاني من باب الصبيان متى يؤمرون بالصلاة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حمّاد بن عيسى، عن ربعيّ،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الصبيان يجمعون بين المغرب والعشاء الآخرة،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 أن يناموا عنها</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أورده الكلينيّ ثاني الأحاديث في الباب المذكور، والمتن نفسه موجود في التهذيب، وسنده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 بن يسار، قال</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المعلّى بن محمّد، عن الوشّاء، 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اضطرّ غير باغ ولا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باغي الصيد، والعادي هو السارق ليس لهما أن يأكلا الميتة إذا اضطرّا إليها، هي حرام عليهما، ليس هي عليهما كما هي على المسلمين، وليس لهما أن يقصّرا في الصلاة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المظنون انتزاع الحديث من الكافي؛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الكلينيّ سابع الأحاديث في باب صلاة الملّاحين والمكارين وأصحاب الصيد والرجل يخرج إلى ضيعته من الكافي بنفس الصورة التي أورده عليها في التهذيب</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السابق عليه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عن عمران بن محمّد بن عمران القمّيّ،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يخرج إلى الصيد مسيرة يوم أو يومين يقصّر أو يتمّ؟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لقوته وقوت عياله فليفطر ويقصّر، وإن خرج لطلب الفضول فلا، ولا 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أحمد بن محمّد الذي ابتدأ به سند الحديث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أورده الكلينيّ عاشر الأحاديث في الباب المذكور بالمتن نفسه، وسنده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عمران بن محمّد، عن عمران القمّيّ</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إلى آخر السند الموجود في التهذيب، وهذا السند لا يختلف عن سند التهذيب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محمّد عن عمران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فقد تقدّم أنّ عادة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العدّة أو أحدها من سند الكافي</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الآخر فيبدو أنّ ما جاء في سند التهذيب من رواية أحمد بن محمّد عن عمران بن محمّد بن عمران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لما جاء في نسختين من نسخ الكافي</w:t>
      </w:r>
      <w:r>
        <w:rPr>
          <w:rStyle w:val="FootnoteAnchor"/>
          <w:rtl w:val="true"/>
        </w:rPr>
        <w:footnoteReference w:id="596"/>
      </w:r>
      <w:r>
        <w:rPr>
          <w:rFonts w:ascii="Amiri" w:hAnsi="Amiri" w:eastAsia="Amiri" w:cs="Amiri"/>
          <w:color w:val="111111"/>
          <w:sz w:val="28"/>
          <w:sz w:val="28"/>
          <w:szCs w:val="28"/>
          <w:rtl w:val="true"/>
          <w:lang w:bidi="ar-SA"/>
        </w:rPr>
        <w:t>، والوافي</w:t>
      </w:r>
      <w:r>
        <w:rPr>
          <w:rStyle w:val="FootnoteAnchor"/>
          <w:rtl w:val="true"/>
        </w:rPr>
        <w:footnoteReference w:id="597"/>
      </w:r>
      <w:r>
        <w:rPr>
          <w:rFonts w:ascii="Amiri" w:hAnsi="Amiri" w:eastAsia="Amiri" w:cs="Amiri"/>
          <w:color w:val="111111"/>
          <w:sz w:val="28"/>
          <w:sz w:val="28"/>
          <w:szCs w:val="28"/>
          <w:rtl w:val="true"/>
          <w:lang w:bidi="ar-SA"/>
        </w:rPr>
        <w:t>، وحكاه كذلك المجلسيّ الأوّل والحرّ العامليّ عن الكافي</w:t>
      </w:r>
      <w:r>
        <w:rPr>
          <w:rStyle w:val="FootnoteAnchor"/>
          <w:rtl w:val="true"/>
        </w:rPr>
        <w:footnoteReference w:id="598"/>
      </w:r>
      <w:r>
        <w:rPr>
          <w:rFonts w:ascii="Amiri" w:hAnsi="Amiri" w:eastAsia="Amiri" w:cs="Amiri"/>
          <w:color w:val="111111"/>
          <w:sz w:val="28"/>
          <w:sz w:val="28"/>
          <w:szCs w:val="28"/>
          <w:rtl w:val="true"/>
          <w:lang w:bidi="ar-SA"/>
        </w:rPr>
        <w:t>، وموافق لما في رجال النجاشيّ والشيخ والفهرست</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وما في المطبوع من الكافي تصحيف؛ إذ لا يوجد في شيء من الأسانيد رواية عمران بن محمّد عن عمران القمّي إلّا في هذا المورد من الكافي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معلّى بن محمّد، عن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وأنت في المصر وأنت تريد السفر فأتمّ، فإذا خرجت بعد الزوال قصّر العصر</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المقارنة بين ما جاء في هذا الموضع من التهذيب وبين ما جاء في الكافي يفضي إلى أنّ مصدر الشيخ في إيراد هذا الحديث كتاب الكافي؛ وذلك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هذا الحديث في الكافي بنفس السند والمتن</w:t>
      </w:r>
      <w:r>
        <w:rPr>
          <w:rStyle w:val="FootnoteAnchor"/>
          <w:rtl w:val="true"/>
        </w:rPr>
        <w:footnoteReference w:id="601"/>
      </w:r>
      <w:r>
        <w:rPr>
          <w:rFonts w:ascii="Amiri" w:hAnsi="Amiri" w:eastAsia="Amiri" w:cs="Amiri"/>
          <w:color w:val="111111"/>
          <w:sz w:val="28"/>
          <w:sz w:val="28"/>
          <w:szCs w:val="28"/>
          <w:rtl w:val="true"/>
          <w:lang w:bidi="ar-SA"/>
        </w:rPr>
        <w:t>ثاني الأحاديث في باب من يريد السفر أو يقدم من سفر متى يجب عليه التقصير أو التمام؟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في موضع سابق من التهذيب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الحسين بن محمّد، عن معلّى بن محمّد، عن الحسن بن عليّ الوشّاء، 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ومثله في الاستبصار</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والظاهر سقوط الحسين بن محمّد الذي يروي عنه الكلينيّ من هذا السند، ولذا قال الشيخ محمّد حفيد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 محمّد بن يعقوب إنّما يروي عنه بواسطة الحسين بن محمّد الأشعريّ، لكنّ الشيخ ترك الواسطة إمّا للعلم بها، وإمّا للغفلة عن عادة الكلينيّ من البناء على الإسناد السابق، فإنّه كثيراً ما يفعل هذا في الكافي اعتماداً على السند السابق، بل قد يترك أكثر من واسطة، والوالد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بأنّ الشيخ لم يتنبّه لهذا، وأظنّه بعيداً، بل الظاهر أنّ الترك للمعلوميّة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على ذلك</w:t>
      </w:r>
    </w:p>
    <w:p>
      <w:pPr>
        <w:pStyle w:val="BookText"/>
        <w:rPr/>
      </w:pPr>
      <w:r>
        <w:rPr>
          <w:rFonts w:ascii="Amiri" w:hAnsi="Amiri" w:eastAsia="Amiri" w:cs="Amiri"/>
          <w:color w:val="111111"/>
          <w:sz w:val="28"/>
          <w:sz w:val="28"/>
          <w:szCs w:val="28"/>
          <w:rtl w:val="true"/>
          <w:lang w:bidi="ar-SA"/>
        </w:rPr>
        <w:t>في اختصار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بعده مباشرةً الحديث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ابن فضّال، عن داود بن فرقد،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أتينا الشجرة،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يجب على أحد من أهل هذا العسكر أن يصلّي أربعاً أربعاً غيري وغيرك، وذاك أنّه دخل وقت الصلاة قبل أن نخرج</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سابق من التهذيب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محمّد بن يحيى، عن أحمد بن محمّد، عن ابن فضّال، عن داود بن فرقد،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أتينا الشجرة،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أربعاً غيري وغيرك</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محمّد بن يعقوب الذي ابتدأ به سند الحديث السابق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أورده في الكافي ثالث الأحاديث في الباب المذكور، والمتن هو هو عدا عدم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أورده الشيخ من دون هذه الزيادة في الموضع السابق، وكذا في الاستبصار والخلاف</w:t>
      </w:r>
      <w:r>
        <w:rPr>
          <w:rStyle w:val="FootnoteAnchor"/>
          <w:rtl w:val="true"/>
        </w:rPr>
        <w:footnoteReference w:id="606"/>
      </w:r>
      <w:r>
        <w:rPr>
          <w:rFonts w:ascii="Amiri" w:hAnsi="Amiri" w:eastAsia="Amiri" w:cs="Amiri"/>
          <w:color w:val="111111"/>
          <w:sz w:val="28"/>
          <w:sz w:val="28"/>
          <w:szCs w:val="28"/>
          <w:rtl w:val="true"/>
          <w:lang w:bidi="ar-SA"/>
        </w:rPr>
        <w:t xml:space="preserve">، وما حكاه ابن </w:t>
      </w:r>
    </w:p>
    <w:p>
      <w:pPr>
        <w:pStyle w:val="BookText"/>
        <w:rPr/>
      </w:pPr>
      <w:r>
        <w:rPr>
          <w:rFonts w:ascii="Amiri" w:hAnsi="Amiri" w:eastAsia="Amiri" w:cs="Amiri"/>
          <w:color w:val="111111"/>
          <w:sz w:val="28"/>
          <w:sz w:val="28"/>
          <w:szCs w:val="28"/>
          <w:rtl w:val="true"/>
          <w:lang w:bidi="ar-SA"/>
        </w:rPr>
        <w:t>إدريس عن الشيخ في كتاب الخلاف</w:t>
      </w:r>
      <w:r>
        <w:rPr>
          <w:rStyle w:val="FootnoteAnchor"/>
          <w:rtl w:val="true"/>
        </w:rPr>
        <w:footnoteReference w:id="607"/>
      </w:r>
      <w:r>
        <w:rPr>
          <w:rFonts w:ascii="Amiri" w:hAnsi="Amiri" w:eastAsia="Amiri" w:cs="Amiri"/>
          <w:color w:val="111111"/>
          <w:sz w:val="28"/>
          <w:sz w:val="28"/>
          <w:szCs w:val="28"/>
          <w:rtl w:val="true"/>
          <w:lang w:bidi="ar-SA"/>
        </w:rPr>
        <w:t xml:space="preserve">، وما حكاه جمع كالعلّامة والمجلسيّ الأوّل وولده والفيض الكاشانيّ والحرّ العامليّ عن الشيخ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السند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ابن فضّال، عن داود بن فرقد، عن بشير النبّال، قال</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واختصار الشيخ لاسم محمّد بن يعقوب من بداية السند يمكن أن يكون لاعتماده على ذكره في الموضع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بعد الحديث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عن أبيه، عن ابن أبي عمير، عن عليّ بن يقطين،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خرج في سفر ثمّ تبدو له الإقامة وهو في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إذا بدت له الإقامة</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وهو مذكور في الكافي ثامن الأحاديث في الباب المذكور بالصورة التي أورده الشيخ عليها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المعلّى بن محمّد، عن الوشّاء، عن المفضّل بن صالح،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الذين يلون الإمام أولي الأحلام منكم والنُهى، فإن نسي الإمام أو تعايا قوّموه، وأفضل الصفوف أوّلها، وأفضل أوّلها </w:t>
      </w:r>
    </w:p>
    <w:p>
      <w:pPr>
        <w:pStyle w:val="BookText"/>
        <w:rPr/>
      </w:pPr>
      <w:r>
        <w:rPr>
          <w:rFonts w:ascii="Amiri" w:hAnsi="Amiri" w:eastAsia="Amiri" w:cs="Amiri"/>
          <w:color w:val="111111"/>
          <w:sz w:val="28"/>
          <w:sz w:val="28"/>
          <w:szCs w:val="28"/>
          <w:rtl w:val="true"/>
          <w:lang w:bidi="ar-SA"/>
        </w:rPr>
        <w:t>ما دنا من الإمام، وفضل صلاة الجماعة على صلاة الرجل فرداً خمس وعشرون درجة في الجنّة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انتزاع الحديث من الكافي؛ وذلك للشواهد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الكلينيّ سابع الأحاديث في باب فضل الصلاة في الجماعة من الكافي بنفس المتن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الأشعريّ، عن معلّى بن محمّد، عن الوشّاء، عن المفضّل بن صالح،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قبله الحديث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سعيد، عن حمّاد بن عيسى، عن محمّد بن يوسف،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الجهنيّ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أكون في البادية ومعي أهلي وولدي وغلمتي فأؤذّن وأقيم وأصلّي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الغلمة يتبعون قطر السحاب، فأبقى أنا وأهلي وولدي فأؤذّن وأقيم وأصلّي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ولدي يتفرّقون في الماشية فأبقى أنا وأهلي فأؤذّن وأقيم وأصلّي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المرأة تذهب في مصلحتها فأبقى أنا وحدي فأؤذّن وأقيم، أفجماعة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المؤمن وحده جماعة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الحديث أورده الكلينيّ ثاني الأحاديث في الباب المذكور والمتن هو هو، والسند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عن أحمد بن محمّد، عن الحسين بن سعيد، عن حمّاد بن عيسى، عن محمّد بن يوسف،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ومع كون مصدر الشيخ في إيراد الحديث كتاب الكافي يلاحظ كيف اختصر الشيخ السند وابتدأ بالحسين بن سعيد، فيتوهّم أن مصدره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الحديث التالي بعد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يستحي الرجل منكم أن تكون له الجارية فيبيعها،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يحضر الصلاة</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وقد أورده الكلينيّ رابع الأحاديث في الباب المذكور، والمتن هو هو، والسند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عن أحمد بن محمّد، عن الحسين بن سعيد، عن محمّد 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الحديث التالي بعد الحديث محلّ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إسماعيل، عن الفضل بن شاذان، عن ابن أبي عمير،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لك إذا دخلت معهم وإن لم تقتد بهم مثل ما يحسب لك إذا كنت مع من تقتدي به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الحديث أورده في الكافي تاسع الأحاديث في الباب المذكور، وسنده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إسماعيل، عن الفضل بن شاذان، عن ابن أبي عمير،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معلّى بن محمّد، عن الوشّاء، عن أبان، 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مسجداً في بيتك، فإذا خفت شيئاً فالبس ثوبين غليظين من أغلظ ثيابك، فصلّ فيهما، ثمّ اجث على ركبتيك، فاصرخ إلى الله عزّ وجلّ، وسله الجنّة، وتعوّذ بالله من شرّ الذي تخافه، وإيّاك أن يسمع الله منك كلمة بغي وإن أعجبتك نفسك وعشيرتك</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الشيخ هذا الحديث في باب من الصلوات المرغّب فيها، ومقتضى المقارنة بين ما أورده فيه وبين ما أورده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في باب صلاة الحوائج وما بعده من الأبواب يفضي إلى انتزاع هذا الحديث من الكافي؛ ذلك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ثاني الأحاديث التي أوردها في باب صلاة من خاف مكروهاً بالصورة التي أورده الشيخ عليها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في الباب المذكور الحديث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عليّ ابن محمّد بن عبد الله، عن إبراهيم بن إسحاق، عن عبد الله بن أحمد، عن الحسن بن عروة ابن أخت شعيب العقرقوفيّ، عن خاله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جاع فليتوضّأ، وليصلّ ركعتين ويتمّ ركوعهما وسجودهما،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جائع فأطعمني، فإنّه يطعم من ساعته</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وهو موجود في الكافي سادس الأحاديث في باب الصلاة في طلب الرزق بالسند نفسه</w:t>
      </w:r>
      <w:r>
        <w:rPr>
          <w:rStyle w:val="FootnoteAnchor"/>
          <w:rtl w:val="true"/>
        </w:rPr>
        <w:footnoteReference w:id="623"/>
      </w:r>
      <w:r>
        <w:rPr>
          <w:rFonts w:ascii="Amiri" w:hAnsi="Amiri" w:eastAsia="Amiri" w:cs="Amiri"/>
          <w:color w:val="111111"/>
          <w:sz w:val="28"/>
          <w:sz w:val="28"/>
          <w:szCs w:val="28"/>
          <w:rtl w:val="true"/>
          <w:lang w:bidi="ar-SA"/>
        </w:rPr>
        <w:t>، وهذا الحديث يقع قبل حديثين من باب صلاة الحوائج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المتن ففيه بعض الاختلاف، إذ الموجود في الكافي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جاع فليتوضّأ، وليصلّ ركعتين،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جائع فأطعمني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في نقل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جاع فليتوضّأ، وليصلّ ركعتين، ويتمّ ركوعهما وسجودهما،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جائع فأطعمني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ويتمّ ركوعهما وسجودهما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في موضع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أنّه انتزعه من كتاب محمّد بن عليّ بن محبوب راوياً عن الحسن بن عليّ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فضّال، عن عروة ابن أخت شعيب العقرقوفيّ، عن خاله شعيب إلى آخر الحديث</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فيه مثل هذه الزيادة، والحرّ العامليّ في الوسائل ذكر رواية الشيخ للحديث عن الكلينيّ ولم يذكر هذه الزيادة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الحديث ذا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عن </w:t>
      </w:r>
    </w:p>
    <w:p>
      <w:pPr>
        <w:pStyle w:val="BookText"/>
        <w:rPr/>
      </w:pPr>
      <w:r>
        <w:rPr>
          <w:rFonts w:ascii="IRNazanin" w:hAnsi="IRNazanin" w:eastAsia="IRNazanin"/>
          <w:color w:val="111111"/>
          <w:sz w:val="28"/>
          <w:sz w:val="28"/>
          <w:szCs w:val="28"/>
          <w:rtl w:val="true"/>
          <w:lang w:bidi="fa-IR"/>
        </w:rPr>
        <w:t>ابن محبوب،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فأحسن الوضوء وصلّى ركعتين وأتمّ ركوعهما وسجودهما، ثمّ جلس فأثنى على الله عزّ وجلّ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سأل الله عزّ وجلّ حاجته، فقد طلب الخير في مظانّه، ومن طلب الخير في مظانّه لم يخب</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أورده خامس الأحاديث من باب صلاة الحوائج في الكافي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الإسناد عن أحمد بن محمّد، عن ابن محبوب،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التي ابتدأ بها الكلينيّ الحديث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هذا الحديث ابتدأه الشيخ بأحمد بن محمّد راوياً عن ابن محبوب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محمّد في هذه الطبقة مشترك بين البرقيّ وابن عيسى، إلّا أنّ وجود الحديث في كتاب المحاسن</w:t>
      </w:r>
      <w:r>
        <w:rPr>
          <w:rStyle w:val="FootnoteAnchor"/>
          <w:rtl w:val="true"/>
        </w:rPr>
        <w:footnoteReference w:id="628"/>
      </w:r>
      <w:r>
        <w:rPr>
          <w:rFonts w:ascii="Amiri" w:hAnsi="Amiri" w:eastAsia="Amiri" w:cs="Amiri"/>
          <w:color w:val="111111"/>
          <w:sz w:val="28"/>
          <w:sz w:val="28"/>
          <w:szCs w:val="28"/>
          <w:rtl w:val="true"/>
          <w:lang w:bidi="ar-SA"/>
        </w:rPr>
        <w:t xml:space="preserve">يرجّح أنّ المراد به هنا الأوّل، وقد ذكره الشيخ مرّتين في المشيخة، إحداهما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 xml:space="preserve">وطريقه إليه فيها يمرّ بالكلينيّ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عن العدّة عنه، والأخرى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أبي عبد الله البرقيّ</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وفيها ذكر له ثلاث طرق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أنّ مقتضى التتبّع يفضي إلى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ابتدأ السند بأحمد بن محمّد بن خالد يكون قد انتزع الحديث من الكافي، وإذا ابتدأه بأحمد بن أبي عبد الله يكون قد انتزعه من كتب البرقي نفسه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كلام يأتي في ذكر أحمد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في المقام؛ إذ إنّ قرينة المقام ترجّح انتزاع الحديث من الكافي بلحاظ نفس الحديث أوّلاً، وبلحاظ الأحاديث السابقة عليه واللاحقة له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عن محمّد بن إسماعيل، عن عبد الله بن عثمان، عن أبي إسماعيل السرّاج، عن عبد الله بن وضّاح وعليّ بن أبي حمزة، عن إسماعيل بن الأرقط وأمّه أمّ سلمة أخت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في شهر رمضان مرضاً شديداً حتّى تلفت، واجتمعت بنو هاشم ليلاً للجنازة، وهم يرون أنّي ميّت، فجزعت أمّي عليّ، فقال لها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اصعدي إلى فوق البيت فابرزي إلى السماء، وصلّي ركعتين، فإذا سلّمت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وهبته لي، ولم يك شيئاً، اللّهمّ وإنّي استوهبتكه مبتدئاً فأعرنيه،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فأفقت وقعدت، ودعوا بسحور لهم هريسة فتسحّروا بها، وتسحّرت معهم</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أحمد بن محمّد الذي ابتدأ به السند السابق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موجود في الكافي سادس الأحاديث من باب صلاة الحوائج بنفس </w:t>
      </w:r>
    </w:p>
    <w:p>
      <w:pPr>
        <w:pStyle w:val="BookText"/>
        <w:rPr/>
      </w:pPr>
      <w:r>
        <w:rPr>
          <w:rFonts w:ascii="Amiri" w:hAnsi="Amiri" w:eastAsia="Amiri" w:cs="Amiri"/>
          <w:color w:val="111111"/>
          <w:sz w:val="28"/>
          <w:sz w:val="28"/>
          <w:szCs w:val="28"/>
          <w:rtl w:val="true"/>
          <w:lang w:bidi="ar-SA"/>
        </w:rPr>
        <w:t>المتن عدا اختلاف يسير لا يعدو أن يكون من قبيل تصحيف النسّاخ</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سنده ففي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عن محمّد بن إسماعيل، عن عبد الله بن عثمان أبي إسماعيل السرّاج، عن عبد الله بن وضّاح وعليّ بن أبي حمزة، عن إسماعيل بن الأرقط وأمّه أمّ سلمة أخت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الموجود 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عبد الله بن عثمان، عن أبي إسماعيل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فيلاحظ عدم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سند 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ظاهر الوافي والوسائل عن التهذيب كما في الكافي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موضع مماثل من الكافي أنّ هناك نسخاً من الكافي فيها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عبد الله بن عثمان وأبي إسماعيل السرّاج</w:t>
      </w:r>
      <w:r>
        <w:rPr>
          <w:rStyle w:val="FootnoteAnchor"/>
          <w:rtl w:val="true"/>
        </w:rPr>
        <w:footnoteReference w:id="635"/>
      </w:r>
      <w:r>
        <w:rPr>
          <w:rFonts w:ascii="Amiri" w:hAnsi="Amiri" w:eastAsia="Amiri" w:cs="Amiri"/>
          <w:color w:val="111111"/>
          <w:sz w:val="28"/>
          <w:sz w:val="28"/>
          <w:szCs w:val="28"/>
          <w:rtl w:val="true"/>
          <w:lang w:bidi="ar-SA"/>
        </w:rPr>
        <w:t xml:space="preserve">، ومثله ورد في موضعين من نسخة الوحيد البهبهانيّ من الكافي، ونقل أنّ هناك ثمان أو تسع نسخ من التهذيب فيها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بدونها في نسخة غير مصحّحة من التهذيب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مثل هذا الاختلاف يؤكّد على انتزاع الشيخ للحديث من الكافي؛ إذ لم يوجد مثل هكذا إسناد في التهذيب إلّا في هذا الموضع وموضع سابق، وكلا الموضعين لا يوجدان إلّا في الكافي، وقد تتبّعت ما وقع فيه أبو إسماعيل السرّاج من </w:t>
      </w:r>
    </w:p>
    <w:p>
      <w:pPr>
        <w:pStyle w:val="BookText"/>
        <w:rPr/>
      </w:pPr>
      <w:r>
        <w:rPr>
          <w:rFonts w:ascii="IRNazanin" w:hAnsi="IRNazanin" w:eastAsia="IRNazanin"/>
          <w:color w:val="111111"/>
          <w:sz w:val="28"/>
          <w:sz w:val="28"/>
          <w:szCs w:val="28"/>
          <w:rtl w:val="true"/>
          <w:lang w:bidi="fa-IR"/>
        </w:rPr>
        <w:t xml:space="preserve">الأسانيد فلم أجد فيما يقرب من خمسين مورداً مثل هذا الإسناد إلّا في الكافي والتهذيب، ففي باب البئر تكون إلى جنب البالوعة ذكر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وقد وقع فيه محمّد بن إسماعيل بن بزيع راوياً عن أبي إسماعيل السرّاج عبد الله بن عثمان عن قدامة بن أبي زيد</w:t>
      </w:r>
      <w:r>
        <w:rPr>
          <w:rStyle w:val="FootnoteAnchor"/>
          <w:rtl w:val="true"/>
        </w:rPr>
        <w:footnoteReference w:id="637"/>
      </w:r>
      <w:r>
        <w:rPr>
          <w:rFonts w:ascii="Amiri" w:hAnsi="Amiri" w:eastAsia="Amiri" w:cs="Amiri"/>
          <w:color w:val="111111"/>
          <w:sz w:val="28"/>
          <w:sz w:val="28"/>
          <w:szCs w:val="28"/>
          <w:rtl w:val="true"/>
          <w:lang w:bidi="ar-SA"/>
        </w:rPr>
        <w:t xml:space="preserve">، ومثله موجود في التهذيب في باب المياه وأحكامها عدا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أبي إسماعيل السرّاج وعبد الله بن عثمان</w:t>
      </w:r>
      <w:r>
        <w:rPr>
          <w:rStyle w:val="FootnoteAnchor"/>
          <w:rtl w:val="true"/>
        </w:rPr>
        <w:footnoteReference w:id="638"/>
      </w:r>
      <w:r>
        <w:rPr>
          <w:rFonts w:ascii="Amiri" w:hAnsi="Amiri" w:eastAsia="Amiri" w:cs="Amiri"/>
          <w:color w:val="111111"/>
          <w:sz w:val="28"/>
          <w:sz w:val="28"/>
          <w:szCs w:val="28"/>
          <w:rtl w:val="true"/>
          <w:lang w:bidi="ar-SA"/>
        </w:rPr>
        <w:t>، هذا هو الموضع الأوّل من الكتابين، والموضع الآخر هو الحديث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تشابه الترتيب أيضاً، ففي الحديث الأوّل تقدّم ذكر أبي إسماعيل السرّاج على ذكر عبد الله بن عثمان في كلا الكتابين، وفي الحديث الثاني تقدّم ذكر عبد الله بن عثمان على أبي إسماعيل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في الكافي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الشيخ أو غيره من النسّاخ قد وضعوا بين الاسمين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لأجل البيان، ثمّ جاء من بعده من صحّف الكلمة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رسم الخطّ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عن أبي إسماعيل السرّاج، عن ابن مسكان، عن شرحبيل الكنديّ،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أمراً تسأله ربّك فتوضّأ وأحسن الوضوء، ثمّ صلّ ركعتين، وعظّم اللّه عزّ وجلّ،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 بعد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بأنّك ملك كريم وأنّك على كلّ شيء مقتدر، وأنّك على ما تشاء من أمر يكون، اللّهمّ إنّي أتوجّه </w:t>
      </w:r>
    </w:p>
    <w:p>
      <w:pPr>
        <w:pStyle w:val="BookText"/>
        <w:rPr/>
      </w:pPr>
      <w:r>
        <w:rPr>
          <w:rFonts w:ascii="IRNazanin" w:hAnsi="IRNazanin" w:eastAsia="IRNazanin"/>
          <w:color w:val="111111"/>
          <w:sz w:val="28"/>
          <w:sz w:val="28"/>
          <w:szCs w:val="28"/>
          <w:rtl w:val="true"/>
          <w:lang w:bidi="fa-IR"/>
        </w:rPr>
        <w:t xml:space="preserve">إليك بنبيّك محمّد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محمّد، يا رسول الله، إنّي أتوجّه بك إلى الله ربّك وربّي لينجح لي بك طلبتي، اللّهمّ بنبيّك أنجح لي طلبتي بمحمّد، ثمّ تسأل حاجتك</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xml:space="preserve">، والمقصود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السند في الحديث المذكور بداية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الحديث في الكافي سابع الأحاديث من باب صلاة الحوائج بالصورة التي أورده عليها الشيخ</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عن فضالة، عن معاوية بن وهب،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يطلبه الطالب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في يومك على ستّين مسكيناً على كلّ مسكين صاع بصاع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الليل اغتسلت في الثلث الباقي، ولبست أدنى ما يلبس من تعول من الثياب، إلّا أنّ عليك في تلك الثياب إزاراً، ثمّ تصلّي ركعتين، فإذا وضعت جبهتك في السجدة الأخيرة للسجود هلّلت الله وعظّمته وقدّسته ومجّدته، وذكرت ذنوبك فأقررت بما تعرف منها مسمّىً، ثمّ رفعت رأسك ثمّ إذا وضعت رأسك للسجدة الثانية، فاستخرت الله مائة مرّة اللّهمّ إنّي أستخيرك، ثمّ تدعو الله بما شئت، ثمّ تسأله، وكلّما سجدت فأفض بركبتيك إلى الأرض، ثمّ ترفع الإزار حتّى تكشفهما، واجعل الإزار من خلفك بين إلييك وباطن ساقيك</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الحديث أورده في الكافي ثامن أحاديث باب صلاة الحوائج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وأبو داود، عن الحسين بن سعيد، عن فضالة بن أيّوب، عن معاوية بن وهب،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يطلبه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جبهتك في الركعة الأخير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تدعو اللّه بما شئت وتسأله إيّاه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المشار إليه في المتن مع الاختلاف في بداية السند بين الكتابين يوحي بأنّ مصدر الشيخ في إيراد الحديث هو كتاب الحسين بن سعيد لا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محتمل، إلّا أنّ الراجح بلحاظ انتزاع ما قبله وما بعده من الأحاديث من كتاب الكافي أن يكون الكافي مصدر الشيخ 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يؤكّد ذلك أنّ الشيخ أورد نفس هذا الحديث في موضع سابق يرجّح أن يكون قد انتزعه من كتاب الحسين بن سعيد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وأخبرني الشيخ أيّده اللّه تعالى عن أحمد بن محمّد، عن أبيه، عن الحسين بن الحسن بن أبان، عن الحسين بن سعيد، عن فضالة، عن معاوية بن وهب،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يطلبه الطالب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في يومه على ستّين مسكيناً على كلّ مسكين صاع بصاع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الليل فاغتسل في ثلث الليل الثاني، ويلبس أدنى ما يلبس وذكر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رفع رأسه في السجدة الثانية استخار الله مائة مرّة،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والملاحظ أنّه بالرجوع إلى الأحاديث السابقة التي أوردها الشيخ قبل هذا الحديث في هذا الموضع لا نجد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يوجد فيها ما يناسبها، ولعلّها كانت كذلك في كتاب الحسين ابن سعيد، والشيخ نقلها على ما هي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ذو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الشيخ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عن عليّ بن الحكم، عن رجل،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يحبل له فليصلِّ ركعتين بعد الجمعة يطيل فيهما الركوع والسجود،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بما سألك به زكريّا إذ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تَذَرْنِي فَرْداً وَأَنْتَ خَيْرُ الْوَارِثِينَ، اللّهمّ هب لي ذُرِّيَّةً طَيِّبَةً إِنَّكَ سَمِيعُ الدُّعَاءِ، اللّهمّ باسمك استحللتها وبأمانتك أخذتها، فإن قضيت في رحمها ولداً فاجعله غلاماً، ولا تجعل للشيطان فيه نصيباً ولا شركاً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أورده في الكافي قريباً من الموضع الذي أورد فيه الكلينيّ الحديث المذكور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التي أورده عليها الشيخ في التهذيب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معلّى بن محمّد، عن الحسن بن عليّ، عن أبان بن عثمان، عن سماعة،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المجاور أله أن يتمتّع بالعمرة </w:t>
      </w:r>
    </w:p>
    <w:p>
      <w:pPr>
        <w:pStyle w:val="BookText"/>
        <w:rPr/>
      </w:pPr>
      <w:r>
        <w:rPr>
          <w:rFonts w:ascii="Amiri" w:hAnsi="Amiri" w:eastAsia="Amiri" w:cs="Amiri"/>
          <w:color w:val="111111"/>
          <w:sz w:val="28"/>
          <w:sz w:val="28"/>
          <w:szCs w:val="28"/>
          <w:rtl w:val="true"/>
          <w:lang w:bidi="ar-SA"/>
        </w:rPr>
        <w:t>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مهلّ أرضه، فيلبّي إن شاء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 هذه الصورة ورد في الكافي بلا زيادة ولا نقصان سابع الأحاديث في باب حجّ المجاورين وقطّان مكّة</w:t>
      </w:r>
      <w:r>
        <w:rPr>
          <w:rStyle w:val="FootnoteAnchor"/>
          <w:rtl w:val="true"/>
        </w:rPr>
        <w:footnoteReference w:id="647"/>
      </w:r>
      <w:r>
        <w:rPr>
          <w:rFonts w:ascii="Amiri" w:hAnsi="Amiri" w:eastAsia="Amiri" w:cs="Amiri"/>
          <w:color w:val="111111"/>
          <w:sz w:val="28"/>
          <w:sz w:val="28"/>
          <w:szCs w:val="28"/>
          <w:rtl w:val="true"/>
          <w:lang w:bidi="ar-SA"/>
        </w:rPr>
        <w:t>، فيكون الراجح انتزاعه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أورد بعده مباشرةً حديثاً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عليّ بن إبراهيم، عن أبيه، عن حمّاد، عن حريز، عمّن أخبره،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مكّة بحجّة عن غيره، ثمّ أقام سنةً فهو مكّيّ، فإن أراد أن يحجّ عن نفسه أو أراد أن يعتمر بعد ما انصرف من عرفة فليس له أن يحرم بمكّة، ولكن يخرج إلى الوقت، وكلّما حوّل رجع إلى الوقت</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موجود في الكافي ثامن الأحاديث في الباب المذكور بالصورة التي هو عليها في التهذيب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الحديث يفترض أن يكون مرجع الضمير فيه هو محمّد ين يعقوب الكلينيّ، فهو الراوي عن عليّ بن إبراهيم عن أبيه، ولا يصحّ أن يكون مرجع الضمير الحسين بن محمّد الذي بدأ به الشيخ الحديث محلّ الكلام؛ لعدم معهوديّته في الأسانيد، فهو إمّا سهو من قلم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بظنّ أنّه ابتدأ في السند السابق </w:t>
      </w:r>
    </w:p>
    <w:p>
      <w:pPr>
        <w:pStyle w:val="BookText"/>
        <w:rPr/>
      </w:pPr>
      <w:r>
        <w:rPr>
          <w:rFonts w:ascii="Amiri" w:hAnsi="Amiri" w:eastAsia="Amiri" w:cs="Amiri"/>
          <w:color w:val="111111"/>
          <w:sz w:val="28"/>
          <w:sz w:val="28"/>
          <w:szCs w:val="28"/>
          <w:rtl w:val="true"/>
          <w:lang w:bidi="ar-SA"/>
        </w:rPr>
        <w:t>عليه بمحمّد بن يعقوب الكلينيّ، أو أنّه قد عوّل على وضوح الأمر، كما حكاه بلفظ القيل المجلسيّ في ملاذ الأخيار</w:t>
      </w:r>
      <w:r>
        <w:rPr>
          <w:rStyle w:val="FootnoteAnchor"/>
          <w:rtl w:val="true"/>
        </w:rPr>
        <w:footnoteReference w:id="650"/>
      </w:r>
      <w:r>
        <w:rPr>
          <w:rFonts w:ascii="Amiri" w:hAnsi="Amiri" w:eastAsia="Amiri" w:cs="Amiri"/>
          <w:color w:val="111111"/>
          <w:sz w:val="28"/>
          <w:sz w:val="28"/>
          <w:szCs w:val="28"/>
          <w:rtl w:val="true"/>
          <w:lang w:bidi="ar-SA"/>
        </w:rPr>
        <w:t>، أو تكون هذه الكلمة من زيادات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أورد حديثاً بعد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عليّ بن إبراهيم، عن أبيه، عن إسماعيل بن مرّار، عن يونس،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بمكّة إذا دخلها بعمرة في غير أشهر الحجّ فإنّ أشهر الحجّ شوّال وذو القعدة وذو الحجّة من دخلها بعمرة في غير أشهر الحجّ، ثمّ أراد أن يحرم فليخرج إلى الجعرانة فليحرم منها، ثمّ يأتي مكّة، ولا يقطع التلبية حتّى ينظر إلى البيت، ثمّ يطوف بالبيت ويصلّي ركعتين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يخرج إلى الصفا والمروة، فيطوف بينهما، ثمّ يقصّر ويحلّ، ثمّ يعقد التلبية يوم التروية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أورده الكلينيّ عاشر الأحاديث في باب حجّ المجاورين وقطّان مكّة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إسماعيل بن مرّار، عن يونس،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بمكّة إذا دخلها بعمرة في غير أشهر الحجّ في رجب أو شعبان أو شهر رمضان أو غير ذلك من الشهور، إلّا أشهر الحجّ فإنّ أشهر الحجّ شوّال وذو القعدة وذو الحجّة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فهناك تفاوت بين نقل الشيخ ونقل الكلينيّ، فالموجود في الكافي زيادة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رجب أو شعبان أو شهر رمضان أو غير ذلك من الشهور إلّا </w:t>
      </w:r>
    </w:p>
    <w:p>
      <w:pPr>
        <w:pStyle w:val="BookText"/>
        <w:rPr/>
      </w:pPr>
      <w:r>
        <w:rPr>
          <w:rFonts w:ascii="IRNazanin" w:hAnsi="IRNazanin" w:eastAsia="IRNazanin"/>
          <w:color w:val="111111"/>
          <w:sz w:val="28"/>
          <w:sz w:val="28"/>
          <w:szCs w:val="28"/>
          <w:rtl w:val="true"/>
          <w:lang w:bidi="fa-IR"/>
        </w:rPr>
        <w:t>أشهر الحجّ فإنّ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والموجود في التهذيب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بمكّة إذا دخلها بعمرة في غير أشهر الحجّ فإنّ أشهر الحجّ شوّال وذو القعدة وذو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يبعد أنّه أسقطها لعدم تعلّق غرض بذكرها، أو سقوطها من قلم الشيخ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محمّد، عن معلّى بن محمّد، عن الحسن بن عليّ،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منتزع من الكافي؛ للشواهد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أورده الكلينيّ رابع الأحاديث في باب كراهية الارتفاع إلى قضاة الجور بالصورة التي أورده عليها في التهذيب</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الشيخ الحديث الذي قبله مباشرةً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عن الحسن بن محبوب،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قدّم مؤمناً في خصومة إلى قاض أو سلطان جائر فقضى عليه بغير حكم الله فقد شركه في الإثم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أورده في الكافي أوّل الأحاديث في الباب المذكور 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ابن يحيى، عن أحمد بن محمّد، عن الحسن بن محبوب، عن عبد الله بن سنان، عن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الشيخ بعد الحديث محلّ الكلام حديثاً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سعيد، عن عبد الله بن بحر، عن عبد الله 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عزّ وجلّ قد علم أنّ في الأمّة حكّاماً يجورون، أما إنّه لم يعنِ حكّام العدل، ولكنّه عنى حكّام الجور، يا أبا محمّد، إنّه لو كان على رجل حقّ فدعوته إلى حاكم أهل العدل فأبى عليك إلّا أن يرافعك إلى حاكم أهل الجور ليقضوا له، كان ممّن حاكم إلى الطاغوت،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وقدد أورده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الأحاديث في الباب المذكور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الحسين بن سعيد، عن عبد الله بن بحر، عن عبد الله 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وإن ابتدأه بالحسين بن سعيد ممّا يحتمل معه انتزاع الحديث من كتبه، لكن يرجح انتزاعه من الكافي لقرينة المقام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السيّاريّ، عن محمّد بن جمهور، عمّن ذكره، عن ابن </w:t>
      </w:r>
    </w:p>
    <w:p>
      <w:pPr>
        <w:pStyle w:val="BookText"/>
        <w:rPr/>
      </w:pPr>
      <w:r>
        <w:rPr>
          <w:rFonts w:ascii="Amiri" w:hAnsi="Amiri" w:eastAsia="Amiri" w:cs="Amiri"/>
          <w:color w:val="111111"/>
          <w:sz w:val="28"/>
          <w:sz w:val="28"/>
          <w:szCs w:val="28"/>
          <w:rtl w:val="true"/>
          <w:lang w:bidi="ar-SA"/>
        </w:rPr>
        <w:t>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شهادة فشهد بها عند أبي يوسف القاضي، فقال له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فيك يا ابن أبي يعفور وأنت جاري، ما علمتك إلّا صدوقاً طويل الليل، ولكن تلك الخصلة،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ميلك إلى الترفّض، فبكى ابن أبي يعفور حتّى 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نسبتني إلى قوم أخاف أن لا أكون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شهادته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القول بانتزاع الحديث من الكافي؛ للشواهد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في الكافي ثامن الأحاديث التي أوردها في باب النوادر 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السيّاريّ، عن محمّد بن جمهور، عمّن حدّثه،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شهادته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الشيخ قبله حديثاً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أحمد بن محمّد بن أبي نصر، عن إسماعيل بن أبي حنيفة، عن أبي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القتل يجوز فيه شاهدان والزنا لا يجوز فيه إلّا أربعة شهود، والقتل أشدّ من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القتل فعل واحد والزنا فعلان، فمن ثمّ لا يجوز فيه إلّا أربعة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الرجل شاهدان، وعلى المرأة شاهدان</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أورده الكلينيّ سابع الأحاديث في الباب المذكور بالصورة التي هو عليها في التهذيب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الشيخ بعد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بكر زعموا أنّها زنت، فأمر النساء فنظرن إليها،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عذراء،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لأضرب من عليها خاتم من الله، وكان يجيز شهادة النساء في مثل هذا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الكلينيّ عاشر الأحاديث في ذلك الباب على الصورة التي أورد الشيخ الحديث عليها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بعد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بن زياد، عن محمّد ابن الحسن بن شمّون، عن عبد الله بن عبد الرحمن، عن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يحكم في زنديق إذا شهد عليه رجلان مرضيّان عدلان، وشهد له ألف بالبراءة جازت شهادة الرجلين، وأبطل شهادة الألف؛ لأنّه دين مكتوم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أورده الكلينيّ تاسع الأحاديث في ذلك الباب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 الله بن عبد الرحمن، عن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إلى آخر ما في التهذيب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عن معلّى بن محمّد، عن أحمد بن عليّ الكاتب، عن إبراهيم بن محمّد الثقفيّ، عن عبد الله بن أبي شيبة، عن حريز، عن عطاء بن السائب،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رجلان امرأةً وديعةً،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تدفعيها إلى واحد منّا حتّى نجتمع عندك، ثمّ انطلقا فغابا، فجاء أحدهما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أعطيني وديعتي فإنّ صاحبي قد مات، فأبت حتّى كثر اختلافه، ثمّ أعطته، ثمّ جاء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وديعتي،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صاحبك وذكر أنّك قد متّ، فارتفعا إلى عمر،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إلّا قد ضمنت،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بينهما،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الوديعة عندي، وقد أمرتماها أن لا تدفعها إلى واحد منكما حتّى تجتمعا عندها، فأتني بصاحبك، ولم يضمّنها،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أرادا أن يذهبا بمال المرأة</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انتزاع الحديث من الكافي بلحاظ التالي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الكلينيّ ثاني عشر الأحاديث التي أوردها في باب النوادر 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أحمد بن عليّ الكاتب، عن إبراهيم بن محمّد الثقفيّ، عن عبد الله بن أبي شيبة، عن حريز، عن عطاء بن السائب،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وديعةً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والملاحظ فيه عدم وجود معلّى بن محمّد في السند، وكذا في نسخة الكافي عند المجلسيّ الأوّل</w:t>
      </w:r>
      <w:r>
        <w:rPr>
          <w:rStyle w:val="FootnoteAnchor"/>
          <w:rtl w:val="true"/>
        </w:rPr>
        <w:footnoteReference w:id="669"/>
      </w:r>
      <w:r>
        <w:rPr>
          <w:rFonts w:ascii="Amiri" w:hAnsi="Amiri" w:eastAsia="Amiri" w:cs="Amiri"/>
          <w:color w:val="111111"/>
          <w:sz w:val="28"/>
          <w:sz w:val="28"/>
          <w:szCs w:val="28"/>
          <w:rtl w:val="true"/>
          <w:lang w:bidi="ar-SA"/>
        </w:rPr>
        <w:t xml:space="preserve">، ولكن في بعض نسخ الكافي وجود معلّى بن </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670"/>
      </w:r>
      <w:r>
        <w:rPr>
          <w:rFonts w:ascii="Amiri" w:hAnsi="Amiri" w:eastAsia="Amiri" w:cs="Amiri"/>
          <w:color w:val="111111"/>
          <w:sz w:val="28"/>
          <w:sz w:val="28"/>
          <w:szCs w:val="28"/>
          <w:rtl w:val="true"/>
          <w:lang w:bidi="ar-SA"/>
        </w:rPr>
        <w:t>، وربّما يلوح من الوسائل سقوط معلّى بن محمّد من نسخته من التهذيب كما هنا</w:t>
      </w:r>
      <w:r>
        <w:rPr>
          <w:rStyle w:val="FootnoteAnchor"/>
          <w:rtl w:val="true"/>
        </w:rPr>
        <w:footnoteReference w:id="671"/>
      </w:r>
      <w:r>
        <w:rPr>
          <w:rFonts w:ascii="Amiri" w:hAnsi="Amiri" w:eastAsia="Amiri" w:cs="Amiri"/>
          <w:color w:val="111111"/>
          <w:sz w:val="28"/>
          <w:sz w:val="28"/>
          <w:szCs w:val="28"/>
          <w:rtl w:val="true"/>
          <w:lang w:bidi="ar-SA"/>
        </w:rPr>
        <w:t>، وعليه لا يكون سقوط اسم معلّى بن محمّد ضارّاً في ترجيح انتزاع الحديث من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أحاديث كالتالي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جعفر الكوفيّ، عن محمّد بن إسماعيل، عن جعفر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المرأة تموت فيدّعي أبوها أنّه أعارها بعض ما كان عندها من متاع وخدم، أتقبل دعواه بلا بيّنة أم لا تقبل دعواه إلّا ببيّنة؟ 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بلا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إليه إن ادّعى زوج المرأة الميّتة وأبو زوجها وأمّ زوجها في متاعها أو خدمها مثل الذي ادّعى أبوها من عاريّة بعض المتاع أو الخدم، أيكونون بمنزلة الأب في الدعوى؟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الكلينيّ ثامن عشر الأحاديث في باب النوادر بالصورة التي أورده عليها الشيخ</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محمّد بن الحسين، عن يزيد بن إسحاق، عن هارون ابن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استأجر أجيراً فلم يأمن أحدهما صاحبه، فوضع الأجر على يد رجل، فهلك ذلك الرجل، ولم يَدَع وفاءً، واستهلك </w:t>
      </w:r>
    </w:p>
    <w:p>
      <w:pPr>
        <w:pStyle w:val="BookText"/>
        <w:rPr/>
      </w:pPr>
      <w:r>
        <w:rPr>
          <w:rFonts w:ascii="Amiri" w:hAnsi="Amiri" w:eastAsia="Amiri" w:cs="Amiri"/>
          <w:color w:val="111111"/>
          <w:sz w:val="28"/>
          <w:sz w:val="28"/>
          <w:szCs w:val="28"/>
          <w:rtl w:val="true"/>
          <w:lang w:bidi="ar-SA"/>
        </w:rPr>
        <w:t>الأجر،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ضامن لأجر الأجير حتّى يقضي، إلّا أن يكون الأجير دعاه إلى ذلك فرضي بالرجل، فإن فعل فحقّه حيث وضعه ورضي به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الكلينيّ سابع عشر الأحاديث في باب النوادر على الصورة التي في التهذيب</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أحمد، عن أبي عبد الله الجامورانيّ، عن الحسن بن عليّ ابن أبي حمزة،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بيني وبين رجل من اليهود معاملة فخانني بألف درهم، فقدّمته إلى الوالي، فأحلفته فحلف، وقد علمت أنّه حلف يميناً فاجرةً، فوقع له بعد ذلك عندي أرباح ودراهم كثيرة، فأردت أن أقبض الألف درهم التي كانت لي عنده، وأحلف عليها، فكتبت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أنّي قد حلّفته فحلف، وقد وقع له عندي مال فإن أمرتني أن آخذ منها الألف درهم التي حلف عليها فعلت،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منه شيئاً إن كان ظلمك فلا تظلمه، ولولا أنّك رضيت بيمينه فحلّفته لأمرتك أن تأخذ من تحت يدك، ولكنّك رضيت بيمينه، فقد مضت اليمين بما فيها، فلم آخذ منه شيئاً، وانتهيت إلى كتاب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محمّد بن يحيى الذي ابتدأ باسمه في سند الحديث السابق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أورده الكلينيّ رابع عشر الأحاديث في باب النوادر على نفس </w:t>
      </w:r>
    </w:p>
    <w:p>
      <w:pPr>
        <w:pStyle w:val="BookText"/>
        <w:rPr/>
      </w:pPr>
      <w:r>
        <w:rPr>
          <w:rFonts w:ascii="Amiri" w:hAnsi="Amiri" w:eastAsia="Amiri" w:cs="Amiri"/>
          <w:color w:val="111111"/>
          <w:sz w:val="28"/>
          <w:sz w:val="28"/>
          <w:szCs w:val="28"/>
          <w:rtl w:val="true"/>
          <w:lang w:bidi="ar-SA"/>
        </w:rPr>
        <w:t>الصورة التي في التهذيب</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عيسى، عن يوسف بن عقيل،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أكل هو وأصحاب له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أكلتموها فهي لكم، وإن لم تأكلوها فعليكم كذا وكذا، فقضى فيه أنّ ذلك باطل، لا شيء فيه للمؤاكلة في الطعام ما قلّ منه وما كثر، ومنع غرامته فيه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أورده الكلينيّ حادي عشر الأحاديث في باب النوادر أيضاً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ين يحيى، عن أحمد بن محمّد بن عيسى، عن يوسف بن عقيل،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 ولعلّ الشيخ اعتمد في اختصار اسم محمّد بن يحيى من بداية السند على الحديثين السابقين على هذا الحديث، فإنّه ابتدأ به السند فيهما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ابن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يحدّث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رجلين اصطحبا في سفر فلمّا أرادا الغداء أخرج أحدهما من زاده خمسة أرغفة، وأخرج الآخر ثلاثة أرغفة، فمرّ بهما عابر سبيل، فدعواه إلى طعامهما، فأكل الرجل معهما حتّى لم يبق شيء، فلمّا فرغوا أعطاهما العابر بهما ثمانية دراهم ثواب ما أكل من طعامهما، فقال صاحب الثلاثة أرغفة لصاحب الخمسة أرغفة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اقسمها نصفين بيني وبينك، وقال </w:t>
      </w:r>
    </w:p>
    <w:p>
      <w:pPr>
        <w:pStyle w:val="BookText"/>
        <w:rPr/>
      </w:pPr>
      <w:r>
        <w:rPr>
          <w:rFonts w:ascii="IRNazanin" w:hAnsi="IRNazanin" w:eastAsia="IRNazanin"/>
          <w:color w:val="111111"/>
          <w:sz w:val="28"/>
          <w:sz w:val="28"/>
          <w:szCs w:val="28"/>
          <w:rtl w:val="true"/>
          <w:lang w:bidi="fa-IR"/>
        </w:rPr>
        <w:t>صاحب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يأخذ كلّ واحد منّا من الدراهم على عدد ما أخرج من الزاد،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فلمّا سمع مقالتهما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اصطلحا فإنّ قضيّتكما دنيّة،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بيننا بالحقّ</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الأحاديث في باب النوادر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يحيى، عن أحمد بن محمّد، وعليّ بن إبراهيم عن أبيه جميعاً، عن ابن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يحدّث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سماعة، عن معلّى بن محمّد، عن الحسن بن عليّ، 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للمرأة قيمة الخشب والطوب لئلّا تتزوّج فتدخل عليهم من يفسد مواريثهم</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انتزاع الحديث من الكافي بشهادة التالي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الكلينيّ سابع الأحاديث في باب أنّ النساء لا يرثن من العقار شيئاً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عن معلّى بن محمّد، عن الحسن بن عليّ، عن حمّاد ابن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للمرأة قيمة الخشب والطوب كيلا يتزوّجن، فيدخل عليهم، يعني أهل المواريث من يفسد مواريثهم</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 xml:space="preserve">، فيلاحظ عدم </w:t>
      </w:r>
    </w:p>
    <w:p>
      <w:pPr>
        <w:pStyle w:val="BookText"/>
        <w:rPr/>
      </w:pPr>
      <w:r>
        <w:rPr>
          <w:rFonts w:ascii="Amiri" w:hAnsi="Amiri" w:eastAsia="Amiri" w:cs="Amiri"/>
          <w:color w:val="111111"/>
          <w:sz w:val="28"/>
          <w:sz w:val="28"/>
          <w:szCs w:val="28"/>
          <w:rtl w:val="true"/>
          <w:lang w:bidi="ar-SA"/>
        </w:rPr>
        <w:t>توسّط سماعة بين الحسين بن محمّد، ومعلّى بن محمّد في سند الكافي، ولكن لا وجود لهذه الزيادة في الاستبصار</w:t>
      </w:r>
      <w:r>
        <w:rPr>
          <w:rStyle w:val="FootnoteAnchor"/>
          <w:rtl w:val="true"/>
        </w:rPr>
        <w:footnoteReference w:id="684"/>
      </w:r>
      <w:r>
        <w:rPr>
          <w:rFonts w:ascii="Amiri" w:hAnsi="Amiri" w:eastAsia="Amiri" w:cs="Amiri"/>
          <w:color w:val="111111"/>
          <w:sz w:val="28"/>
          <w:sz w:val="28"/>
          <w:szCs w:val="28"/>
          <w:rtl w:val="true"/>
          <w:lang w:bidi="ar-SA"/>
        </w:rPr>
        <w:t>، ولا في الوافي عن التهذيب</w:t>
      </w:r>
      <w:r>
        <w:rPr>
          <w:rStyle w:val="FootnoteAnchor"/>
          <w:rtl w:val="true"/>
        </w:rPr>
        <w:footnoteReference w:id="685"/>
      </w:r>
      <w:r>
        <w:rPr>
          <w:rFonts w:ascii="Amiri" w:hAnsi="Amiri" w:eastAsia="Amiri" w:cs="Amiri"/>
          <w:color w:val="111111"/>
          <w:sz w:val="28"/>
          <w:sz w:val="28"/>
          <w:szCs w:val="28"/>
          <w:rtl w:val="true"/>
          <w:lang w:bidi="ar-SA"/>
        </w:rPr>
        <w:t>، وهو الصحيح بلحاظ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قبله مجموعة من الأحاديث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عن محمّد بن الحسن بن زياد العطّار، عن محمّد بن نعيم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أبي عمير وأوصى إليّ، وترك امرأةً لم يترك وارثاً غيرها، فكتبت إلى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المرأة الربع، واحمل الباقي إلينا</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أورده في الكافي أوّل الأحاديث في باب الرجل يموت ولا يترك إلّا امرأته،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بن زياد، عن الحسن بن محمّد بن سماعة، عن محمّد بن الحسن بن زياد العطّار، عن محمّد بن نعيم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أبي عمير بيّاع السابريّ، وأوصى إليّ وترك امرأةً له ولم يترك وارثاً غيرها، فكتبت إلى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المرأة الربع واحمل الباقي إلينا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أبي حمزة العلويّ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لك أوصى إليّ بمائة درهم وكنت أسمعه يقول كلّ شيء </w:t>
      </w:r>
    </w:p>
    <w:p>
      <w:pPr>
        <w:pStyle w:val="BookText"/>
        <w:rPr/>
      </w:pPr>
      <w:r>
        <w:rPr>
          <w:rFonts w:ascii="IRNazanin" w:hAnsi="IRNazanin" w:eastAsia="IRNazanin"/>
          <w:color w:val="111111"/>
          <w:sz w:val="28"/>
          <w:sz w:val="28"/>
          <w:szCs w:val="28"/>
          <w:rtl w:val="true"/>
          <w:lang w:bidi="fa-IR"/>
        </w:rPr>
        <w:t>هو لي فهو لمولاي، فمات وتركها ولم يأمر فيها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 تدفع هذه الدراهم إلى زوجتي الرجل</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أورده في الكافي رابع الأحاديث في الباب المذكور،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زياد، ومحمّد بن يحيى، عن أحمد بن محمّد جميعاً،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حمزة العلويّ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بن زياد، عن عليّ بن أسباط، عن خلف بن حمّاد، عن موسى بن بكر، عن محمّد بن مروان،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زوج مات وترك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الربع ويدفع الباقي إلى الإمام</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أورده في الكافي خامس الأحاديث في الباب المذكور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سهل بن زياد، عن عليّ بن أسباط، عن خلف بن حمّاد، عن موسى ابن بكر،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زوج مات وترك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الربع وتدفع الباقي إلينا</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 واختلاف السند في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كونه في التهذيب محمّد بن مروان، وفي الكافي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اختلاف نسخ الكافي كما يظهر من طبعة دار الحديث للكافي، وكذا الاختلاف في نهاية الحديث ففي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الإمام</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ابن أبي عمير، عن ابن أذينة، عن زرارة وبكير وفضيل وبريد ومحمّد 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منهم من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رواه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ترث من تركة زوجها من تربة دار أو أرض، إلّا أن يقوّم الطوب والخشب قيمةً، فتعطى ربعها أو ثمنها إن كان من قيمة الطوب والجذوع والخشب</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في الكافي ثالث الأحاديث في باب أنّ النساء لا يرثنّ من العقار شيئاً بالصورة التي في التهذيب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عن الحسن بن محبوب، عن عليّ بن رئاب،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ترث ممّا ترك زوجها من القرى والدور والسلاح والدوابّ شيئاً، وترث من المال والفرش والثياب ومتاع البيت ممّا ترك، ويقوّم النقض والأبواب والجذوع والقصب فتعطى حقّها منه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في الكافي ثاني الأحاديث في الباب السابق بالصورة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ومحمّد بن يحيى عن أحمد بن محمّد، وحميد بن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عن ابن سماعة، جميعاً عن ابن محبوب، عن عليّ بن رئاب،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بن عبد الرحمن، عن محمّد بن حمران، عن زرارة ومحمّد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لا يرثن من الأرض ولا من العقار شيئاً</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في الكافي أوّل الأحاديث في الباب المذكور، 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محمّد بن حمران، عن زرارة، عن</w:t>
      </w:r>
      <w:r>
        <w:rPr>
          <w:rStyle w:val="FootnoteAnchor"/>
          <w:rtl w:val="true"/>
        </w:rPr>
        <w:footnoteReference w:id="698"/>
      </w:r>
      <w:r>
        <w:rPr>
          <w:rFonts w:ascii="IRNazanin" w:hAnsi="IRNazanin" w:eastAsia="IRNazanin"/>
          <w:color w:val="111111"/>
          <w:sz w:val="28"/>
          <w:sz w:val="28"/>
          <w:szCs w:val="28"/>
          <w:rtl w:val="true"/>
          <w:lang w:bidi="fa-IR"/>
        </w:rPr>
        <w:t xml:space="preserve">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زياد، عن عليّ بن الحكم،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المرأة الطوب ولا ترث من الرباع شيئاً</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أورده في الكافي خامس الأحاديث في الباب المذكور بالصورة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زياد، عن عليّ بن الحكم،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شجّ عبداً موضحةً،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نصف عشر قيمة العبد لمولى العبد، ولا يجاوز بثمن العبد دية الحرّ</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473" w:name="pg9167_80431"/>
    </w:p>
    <w:p>
      <w:pPr>
        <w:pStyle w:val="BookText"/>
        <w:rPr/>
      </w:pPr>
      <w:bookmarkEnd w:id="473"/>
      <w:r>
        <w:rPr>
          <w:rFonts w:ascii="Amiri" w:hAnsi="Amiri" w:eastAsia="Amiri" w:cs="Amiri"/>
          <w:color w:val="111111"/>
          <w:sz w:val="28"/>
          <w:sz w:val="28"/>
          <w:szCs w:val="28"/>
          <w:rtl w:val="true"/>
          <w:lang w:bidi="ar-SA"/>
        </w:rPr>
        <w:t>ابتداء السند بالحسين بن محمّد هنا موافق لما في ملاذ الأخيار</w:t>
      </w:r>
      <w:r>
        <w:rPr>
          <w:rStyle w:val="FootnoteAnchor"/>
          <w:rtl w:val="true"/>
        </w:rPr>
        <w:footnoteReference w:id="703"/>
      </w:r>
      <w:r>
        <w:rPr>
          <w:rFonts w:ascii="Amiri" w:hAnsi="Amiri" w:eastAsia="Amiri" w:cs="Amiri"/>
          <w:color w:val="111111"/>
          <w:sz w:val="28"/>
          <w:sz w:val="28"/>
          <w:szCs w:val="28"/>
          <w:rtl w:val="true"/>
          <w:lang w:bidi="ar-SA"/>
        </w:rPr>
        <w:t>، ولكن في الوافي والوسائل نقلاً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بدل الحسين بن محمّد</w:t>
      </w:r>
      <w:r>
        <w:rPr>
          <w:rStyle w:val="FootnoteAnchor"/>
          <w:rtl w:val="true"/>
        </w:rPr>
        <w:footnoteReference w:id="704"/>
      </w:r>
      <w:r>
        <w:rPr>
          <w:rFonts w:ascii="Amiri" w:hAnsi="Amiri" w:eastAsia="Amiri" w:cs="Amiri"/>
          <w:color w:val="111111"/>
          <w:sz w:val="28"/>
          <w:sz w:val="28"/>
          <w:szCs w:val="28"/>
          <w:rtl w:val="true"/>
          <w:lang w:bidi="ar-SA"/>
        </w:rPr>
        <w:t>، وهو الصحيح الموافق للطبقات؛ فإنّ المراد بالحسن هو الحسن بن محمّد بن سماعة، الذي هو من السادسة، فيمكن له الرواية عن حريز الذي هو من الخامسة، ولا وجود للحسين بن محمّد في هذه الطبقة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فهذه الرواية لا تكون ممّا ابتدأه الشيخ بالحسين بن محمّد الأشعريّ 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3"/>
        <w:numPr>
          <w:ilvl w:val="2"/>
          <w:numId w:val="1"/>
        </w:numPr>
        <w:rPr/>
      </w:pPr>
      <w:bookmarkStart w:id="474" w:name="__RefHeading___Toc3770125_2870459653"/>
      <w:bookmarkStart w:id="475" w:name="_Toc185"/>
      <w:bookmarkEnd w:id="474"/>
      <w:r>
        <w:rPr>
          <w:rtl w:val="true"/>
        </w:rPr>
        <w:t>النتائج المتحصّلة</w:t>
      </w:r>
      <w:bookmarkEnd w:id="475"/>
    </w:p>
    <w:p>
      <w:pPr>
        <w:pStyle w:val="BookText"/>
        <w:rPr/>
      </w:pPr>
      <w:r>
        <w:rPr>
          <w:rFonts w:ascii="IRNazanin" w:hAnsi="IRNazanin" w:eastAsia="IRNazanin"/>
          <w:color w:val="111111"/>
          <w:sz w:val="28"/>
          <w:sz w:val="28"/>
          <w:szCs w:val="28"/>
          <w:rtl w:val="true"/>
          <w:lang w:bidi="fa-IR"/>
        </w:rPr>
        <w:t xml:space="preserve">قد تبيّن ممّا مرّ أنّ ما ابتدأ به الشيخ باسم الحسين بن محمّد لم يكن مصدره فيه كتاب الحسين بن محمّد، بل كلّ ما ابتدأ فيه باسمه قد أخذه من كتاب الكافي، وقد نبّه على ذلك من قبلُ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التعرّض له في هذه الحلقة، وسيأتي إن شاء الله تعالى التعرّض لبعضٍ آخر ممّن ابتدأ الشيخ بأسمائهم في الحلقة الثانية</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9167_80433"/>
      <w:bookmarkStart w:id="477" w:name="pg9167_80433"/>
      <w:bookmarkEnd w:id="477"/>
    </w:p>
    <w:p>
      <w:pPr>
        <w:pStyle w:val="Heading2"/>
        <w:numPr>
          <w:ilvl w:val="1"/>
          <w:numId w:val="1"/>
        </w:numPr>
        <w:rPr/>
      </w:pPr>
      <w:bookmarkStart w:id="478" w:name="pg9167_80433"/>
      <w:bookmarkStart w:id="479" w:name="__RefHeading___Toc3770127_2870459653"/>
      <w:bookmarkStart w:id="480" w:name="_Toc186"/>
      <w:bookmarkEnd w:id="478"/>
      <w:bookmarkEnd w:id="479"/>
      <w:r>
        <w:rPr>
          <w:rtl w:val="true"/>
        </w:rPr>
        <w:t xml:space="preserve">حاشية الشيخ حسن ابن الشهيد الثاني على خلاصة الأقوال للعلامة الحلی </w:t>
      </w:r>
      <w:r>
        <w:rPr>
          <w:rtl w:val="true"/>
        </w:rPr>
        <w:t>(</w:t>
      </w:r>
      <w:r>
        <w:rPr>
          <w:rtl w:val="true"/>
        </w:rPr>
        <w:t>قدس سره</w:t>
      </w:r>
      <w:r>
        <w:rPr>
          <w:rtl w:val="true"/>
        </w:rPr>
        <w:t xml:space="preserve">) </w:t>
      </w:r>
      <w:r>
        <w:rPr>
          <w:rtl w:val="true"/>
        </w:rPr>
        <w:t xml:space="preserve">وعلى حاشية والده على الخلاصة </w:t>
      </w:r>
      <w:r>
        <w:rPr>
          <w:rtl w:val="true"/>
        </w:rPr>
        <w:t xml:space="preserve">- </w:t>
      </w:r>
      <w:r>
        <w:rPr>
          <w:rtl w:val="true"/>
        </w:rPr>
        <w:t xml:space="preserve">الشيخ محمد العتبي </w:t>
      </w:r>
      <w:r>
        <w:rPr>
          <w:rtl w:val="true"/>
        </w:rPr>
        <w:t>(</w:t>
      </w:r>
      <w:r>
        <w:rPr>
          <w:rtl w:val="true"/>
        </w:rPr>
        <w:t>دام عزه</w:t>
      </w:r>
      <w:r>
        <w:rPr>
          <w:rtl w:val="true"/>
        </w:rPr>
        <w:t>)</w:t>
      </w:r>
      <w:bookmarkEnd w:id="48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1" w:name="__RefHeading___Toc3770129_2870459653"/>
      <w:bookmarkStart w:id="482" w:name="_Toc187"/>
      <w:bookmarkEnd w:id="481"/>
      <w:r>
        <w:rPr>
          <w:rtl w:val="true"/>
        </w:rPr>
        <w:t>اشارة</w:t>
      </w:r>
      <w:bookmarkEnd w:id="48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9167_80435"/>
      <w:bookmarkStart w:id="484" w:name="pg9167_80435"/>
      <w:bookmarkEnd w:id="484"/>
    </w:p>
    <w:p>
      <w:pPr>
        <w:pStyle w:val="Heading3"/>
        <w:numPr>
          <w:ilvl w:val="2"/>
          <w:numId w:val="1"/>
        </w:numPr>
        <w:rPr/>
      </w:pPr>
      <w:bookmarkStart w:id="485" w:name="pg9167_80435"/>
      <w:bookmarkStart w:id="486" w:name="__RefHeading___Toc3770131_2870459653"/>
      <w:bookmarkStart w:id="487" w:name="_Toc188"/>
      <w:bookmarkEnd w:id="485"/>
      <w:bookmarkEnd w:id="486"/>
      <w:r>
        <w:rPr>
          <w:rtl w:val="true"/>
        </w:rPr>
        <w:t>مقدمة</w:t>
      </w:r>
      <w:bookmarkEnd w:id="487"/>
    </w:p>
    <w:p>
      <w:pPr>
        <w:pStyle w:val="Heading4"/>
        <w:numPr>
          <w:ilvl w:val="3"/>
          <w:numId w:val="1"/>
        </w:numPr>
        <w:rPr/>
      </w:pPr>
      <w:bookmarkStart w:id="488" w:name="__RefHeading___Toc3770133_2870459653"/>
      <w:bookmarkStart w:id="489" w:name="_Toc189"/>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نبيّنا الأمين،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الحديث الشريف أهمّ مصدر للتشريع الإسلاميّ بعد القرآن الكريم، فليس للفقيه بديلاً عن النظر فيه فقهاً ودرايةً من جهة، وجهةً وصدوراً من جهة أخرى، وحيث كانت تلك الجهة الأخرى تتطلّب إحاطة بعلم الرجال نخلص إلى أنّ علم الرجال جناح الفقيه وعضده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كلّه بذل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أنفسهم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منقطع النظير في تشييد أركانه وتأصيل أصوله وصولاً للنظر الأصوب في بيان أحوال الرجال وما يرتبط بتلك الأحوال من ضبط الأسماء والكنى والألقاب، وعمّن روى ومن روى عنه، حرصاً على أن لا يضيع أصيل ويدخل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يغب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كلّه، فهذا الرجل النحرير حرّر طاووسه وانتقى جمانه وعلّق محشّياً وحشّى معلّقاً خدمة للغرض المذكور، فكان لزاماً أن يُبذل الجهد من أجل الوقوف على ما جادت به أنامله لدقّة صنعته وحسن فطنته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الحاشية التي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إحدى نتاجاته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حاول فيها أن يصل إلى غاية الضبط فيما ينقله العلّامة فكانت حاشيته على خلاصة الأقوال، وكذا ما حشّى به والده فكانت حاشيته على حاشية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الحاشيتين لم تطلهما يد الإخراج من دائرة المخطوط، بل إنّ حاشيته على حاشية أبيه لم يُشَر إليها أصلاً، فكان حريّاً بنا أن نضع هاتين الحاشيتين بين يدي الباحثين والعارفين بأهمّيّتهما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ذلك بإيجازٍ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ما لا بُدّ من ذكره في أمثال المقام من نسبه ونشأته وذكر مشايخه وتلاميذه وأهمّ ما صنّفه</w:t>
      </w:r>
      <w:r>
        <w:rPr>
          <w:rFonts w:eastAsia="Amiri" w:cs="Amiri" w:ascii="Amiri" w:hAnsi="Amiri"/>
          <w:color w:val="111111"/>
          <w:sz w:val="28"/>
          <w:szCs w:val="28"/>
          <w:rtl w:val="true"/>
          <w:lang w:bidi="ar-SA"/>
        </w:rPr>
        <w:t xml:space="preserve">. </w:t>
      </w:r>
      <w:bookmarkStart w:id="490" w:name="pg9167_80437"/>
    </w:p>
    <w:p>
      <w:pPr>
        <w:pStyle w:val="Heading4"/>
        <w:numPr>
          <w:ilvl w:val="3"/>
          <w:numId w:val="1"/>
        </w:numPr>
        <w:rPr/>
      </w:pPr>
      <w:bookmarkStart w:id="491" w:name="__RefHeading___Toc3770135_2870459653"/>
      <w:bookmarkStart w:id="492" w:name="_Toc190"/>
      <w:bookmarkEnd w:id="490"/>
      <w:bookmarkEnd w:id="491"/>
      <w:r>
        <w:rPr>
          <w:rtl w:val="true"/>
        </w:rPr>
        <w:t>نبذة من حياة المؤلِّف</w:t>
      </w:r>
      <w:bookmarkEnd w:id="492"/>
    </w:p>
    <w:p>
      <w:pPr>
        <w:pStyle w:val="Heading5"/>
        <w:numPr>
          <w:ilvl w:val="4"/>
          <w:numId w:val="1"/>
        </w:numPr>
        <w:rPr/>
      </w:pPr>
      <w:bookmarkStart w:id="493" w:name="__RefHeading___Toc3770137_2870459653"/>
      <w:bookmarkStart w:id="494" w:name="_Toc191"/>
      <w:bookmarkEnd w:id="493"/>
      <w:r>
        <w:rPr>
          <w:rtl w:val="true"/>
        </w:rPr>
        <w:t>اسمه</w:t>
      </w:r>
      <w:bookmarkEnd w:id="494"/>
    </w:p>
    <w:p>
      <w:pPr>
        <w:pStyle w:val="BookText"/>
        <w:rPr/>
      </w:pPr>
      <w:r>
        <w:rPr>
          <w:rFonts w:ascii="Amiri" w:hAnsi="Amiri" w:eastAsia="Amiri" w:cs="Amiri"/>
          <w:color w:val="111111"/>
          <w:sz w:val="28"/>
          <w:sz w:val="28"/>
          <w:szCs w:val="28"/>
          <w:rtl w:val="true"/>
          <w:lang w:bidi="ar-SA"/>
        </w:rPr>
        <w:t>هو الشيخ جمال الدين أبو منصور الحسن ابن الشهيد الثاني زين الدين بن عليّ ابن أحمد بن محمّد بن عليّ بن جمال الدين بن تقي الدين بن صالح بن شرف العامليّ الجبعيّ الشاميّ</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3770139_2870459653"/>
      <w:bookmarkStart w:id="496" w:name="_Toc192"/>
      <w:bookmarkEnd w:id="495"/>
      <w:r>
        <w:rPr>
          <w:rtl w:val="true"/>
        </w:rPr>
        <w:t>مولده</w:t>
      </w:r>
      <w:bookmarkEnd w:id="496"/>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ﻫ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إليها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جبل عامل المحميّة موطن علماء الإماميّة،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أبيه أربع سنين في الظاهر كما عن أكثر كتب التراجم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3770141_2870459653"/>
      <w:bookmarkStart w:id="498" w:name="_Toc193"/>
      <w:bookmarkEnd w:id="497"/>
      <w:r>
        <w:rPr>
          <w:rtl w:val="true"/>
        </w:rPr>
        <w:t>أسرته ونشأته</w:t>
      </w:r>
      <w:bookmarkEnd w:id="498"/>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أسرة علميّة ذات وجاهة دينيّة واجتماعيّة، فوالده الشيخ زين الدين ابن عليّ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الفقيه المتكلّم، وظهور حاله في العلم والتقوى لا يحتاج إلى إيضاح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جدّه لأبيه هو الشيخ نور الدين عليّ بن أحمد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أفاضل عصره، وأمّا جدّه لأمّه فهو الشيخ الكامل الفاضل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bookmarkStart w:id="499" w:name="pg9167_80438"/>
    </w:p>
    <w:p>
      <w:pPr>
        <w:pStyle w:val="BookText"/>
        <w:rPr/>
      </w:pPr>
      <w:bookmarkEnd w:id="499"/>
      <w:r>
        <w:rPr>
          <w:rFonts w:ascii="Amiri" w:hAnsi="Amiri" w:eastAsia="Amiri" w:cs="Amiri"/>
          <w:color w:val="111111"/>
          <w:sz w:val="28"/>
          <w:sz w:val="28"/>
          <w:szCs w:val="28"/>
          <w:rtl w:val="true"/>
          <w:lang w:bidi="ar-SA"/>
        </w:rPr>
        <w:t xml:space="preserve">وأمّا ولداه فأحدهما الشيخ أبو جعفر محمّد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كلّ من الشيخ عليّ صاحب كتاب الدرّ المنثور، والشيخ زين الدين، والآخر الشيخ أبو الحسن عليّ، وهو مذكور في التراجم والفهارس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ونشأ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مكفولاً من السيّد عليّ بن الحسين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الشهيد الثاني ووالد السيّد محمّد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فقد والده الشهيد في أوائل سني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تولّى السيّد عليّ الصائغ والسيّد عليّ بن الحسين تربيته إلى أن كبر، وقد قرأ عليهما لا سيّما السيّد عليّ الصائغ هو والسيّد محمّد أكثر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معقول ومنقول وفروع وأصول وعربيّة، ولمّا انتقل السيّد عليّ إلى رحمة الله ورد الفاضل الكامل الشيخ عبد الله اليزديّ تلك البلاد، فقرأ عليه المنطق والمطوّل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هو والسيّد محمّد إلى العراق قاصدين الشيخ أحمد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عنده عدّة كتب في الأصول والمنطق والكلام، مثل شرح مختصر العضديّ وشرح الشمسيّة وشرح المطالع وغيرها،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شرحاً على الإرشاد ويعطيهما أجزاءً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في عبارته، وأصلحا منها ما شئتما، فإنّي أعلم أنّ بعض عباراته غير فصيح، وهذا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التواضع وعلو النفس</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3770143_2870459653"/>
      <w:bookmarkStart w:id="501" w:name="_Toc194"/>
      <w:bookmarkEnd w:id="500"/>
      <w:r>
        <w:rPr>
          <w:rtl w:val="true"/>
        </w:rPr>
        <w:t>وفاته ومدفنه</w:t>
      </w:r>
      <w:bookmarkEnd w:id="5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حفيده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انتقل إلى جوار الله في سنة إحدى عشرة وألف، ولا يحضرني </w:t>
      </w:r>
      <w:bookmarkStart w:id="502" w:name="pg9167_80439"/>
    </w:p>
    <w:p>
      <w:pPr>
        <w:pStyle w:val="BookText"/>
        <w:rPr/>
      </w:pPr>
      <w:bookmarkEnd w:id="502"/>
      <w:r>
        <w:rPr>
          <w:rFonts w:ascii="Amiri" w:hAnsi="Amiri" w:eastAsia="Amiri" w:cs="Amiri"/>
          <w:color w:val="111111"/>
          <w:sz w:val="28"/>
          <w:sz w:val="28"/>
          <w:szCs w:val="28"/>
          <w:rtl w:val="true"/>
          <w:lang w:bidi="ar-SA"/>
        </w:rPr>
        <w:t xml:space="preserve">خصوص الشهر واليوم، ودفن في بلدة جبع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سِنّه اثنين وخمسين سنة وشيئاً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3770145_2870459653"/>
      <w:bookmarkStart w:id="504" w:name="_Toc195"/>
      <w:bookmarkEnd w:id="503"/>
      <w:r>
        <w:rPr>
          <w:rtl w:val="true"/>
        </w:rPr>
        <w:t>ما قيل في حقّه</w:t>
      </w:r>
      <w:bookmarkEnd w:id="504"/>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فقيه، محقّق جليل، يروي عن أبيه وقد أجاز له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أبلغ ما قيل في حقّه هو ما قاله السيّد عليّ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حسن بن زين الدين الشهيد الثاني العامليّ، شيخ المشايخ الأجلّة، ورئيس المذهب والملّة، الواضح الطريق والسنن، الموضّح للفروض والسنن، يمّ العلم الذي يفيد ويفيض، وجمّ الفضل الذي لا يراع له يراع، والمدقّق الذي راق فضله وراع، المتفنّن في جميع الفنون، المفتخر به الآباء والبنون، قام مقام والده في تمهيد قواعد الشرائع، وشرح الصدور بتصنيفه الرائق وتأليفه الرائع، فنشر للفضائل حللاً مطرّزة الأكمام، وماط عن مباسم أزهار العلوم لثام الكمام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الأدب فهو روضه الأريض، ومالك زمام السجع منه والقريض، والناظم لقلائده وعقوده، والمميّز عروضه من نقوده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3770147_2870459653"/>
      <w:bookmarkStart w:id="506" w:name="_Toc196"/>
      <w:bookmarkEnd w:id="505"/>
      <w:r>
        <w:rPr>
          <w:rtl w:val="true"/>
        </w:rPr>
        <w:t>مشايخه</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أحمد الأردبيليّ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أحمد بن سليمان العامليّ</w:t>
      </w:r>
      <w:r>
        <w:rPr>
          <w:rFonts w:eastAsia="Amiri" w:cs="Amiri" w:ascii="Amiri" w:hAnsi="Amiri"/>
          <w:color w:val="111111"/>
          <w:sz w:val="28"/>
          <w:szCs w:val="28"/>
          <w:rtl w:val="true"/>
          <w:lang w:bidi="ar-SA"/>
        </w:rPr>
        <w:t xml:space="preserve">. </w:t>
      </w:r>
      <w:bookmarkStart w:id="507" w:name="pg9167_80440"/>
    </w:p>
    <w:p>
      <w:pPr>
        <w:pStyle w:val="BookText"/>
        <w:rPr/>
      </w:pPr>
      <w:bookmarkEnd w:id="5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الله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بن أبي الحسن صهر الشهيد الثاني، والد صاحب المدارك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بن الحسين الصائغ الحسينيّ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عزّ الدين حسين بن عبد الصمد، والد الشيخ البهائيّ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3770149_2870459653"/>
      <w:bookmarkStart w:id="509" w:name="_Toc197"/>
      <w:bookmarkEnd w:id="508"/>
      <w:r>
        <w:rPr>
          <w:rtl w:val="true"/>
        </w:rPr>
        <w:t>تلامذته والراوون عنه</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حسين بن الحسن الظهيريّ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نجيب الدين عليّ بن محمّد بن مكّيّ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زين العابدين بن محمّد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الحسن عليّ، وهو ابنه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معالي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محمّد بن مكّي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اللطيف بن عليّ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السلام بن محمّد الحرّ عمّ صاحب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جعفر محمّد، ابنه ووالد الشيخ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نجم الدين ابن السيّد محمّد الحسينيّ</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يسيرة عن قامة شامخة وجبل أشمّ لا تدركه هذه الكلمات القصار</w:t>
      </w:r>
      <w:r>
        <w:rPr>
          <w:rFonts w:eastAsia="Amiri" w:cs="Amiri" w:ascii="Amiri" w:hAnsi="Amiri"/>
          <w:color w:val="111111"/>
          <w:sz w:val="28"/>
          <w:szCs w:val="28"/>
          <w:rtl w:val="true"/>
          <w:lang w:bidi="ar-SA"/>
        </w:rPr>
        <w:t xml:space="preserve">. </w:t>
      </w:r>
      <w:bookmarkStart w:id="510" w:name="pg9167_80441"/>
    </w:p>
    <w:p>
      <w:pPr>
        <w:pStyle w:val="Heading5"/>
        <w:numPr>
          <w:ilvl w:val="4"/>
          <w:numId w:val="1"/>
        </w:numPr>
        <w:rPr/>
      </w:pPr>
      <w:bookmarkStart w:id="511" w:name="__RefHeading___Toc3770151_2870459653"/>
      <w:bookmarkStart w:id="512" w:name="_Toc198"/>
      <w:bookmarkEnd w:id="510"/>
      <w:bookmarkEnd w:id="511"/>
      <w:r>
        <w:rPr>
          <w:rtl w:val="true"/>
        </w:rPr>
        <w:t>مصنّفاته</w:t>
      </w:r>
      <w:bookmarkEnd w:id="512"/>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المؤلّفات، والظاهر أنّه لم يبلغ الغاية من تأليفه لأكثرها؛ ولعلّه لما أشار إليه صاحب الروضات من أنّه كان يشتغل بأكثر من مؤلّف واحد في زمان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 في الأحاديث الصحاح والحسان، خرج منه كتب العبادات، ولم يتمّه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وملاذ المجتهدين، خرج منه مقدّمة في الأصول وبعض كتاب الطهارة، ولم يتمّه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الطاووسيّ، وهو تهذيب لكتاب حلّ الإشكال للسيّد جمال الدين أحمد بن موسى بن طاووس، فرغ منه سنة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ألفيّة الشهيد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الاثني عشريّة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عدم جواز تقليد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القول السديد في تحقيق معنى الاجتهاد والتقليد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وعلى شرح اللمعة لوالده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تعاليقه على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والفقيه، والتهذيبين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المسائل المدنيّات الأولى والثانية والثالثة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الكبيرة للسيّد نجم الدين ابن السيّد محمّد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مشيخة من لا يحضره الفقيه، وفرغ منها سنة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تعليقاته على خلاصة الأقوال</w:t>
      </w:r>
      <w:r>
        <w:rPr>
          <w:rStyle w:val="FootnoteAnchor"/>
          <w:rtl w:val="true"/>
        </w:rPr>
        <w:footnoteReference w:id="715"/>
      </w:r>
      <w:r>
        <w:rPr>
          <w:rFonts w:ascii="Amiri" w:hAnsi="Amiri" w:eastAsia="Amiri" w:cs="Amiri"/>
          <w:color w:val="111111"/>
          <w:sz w:val="28"/>
          <w:sz w:val="28"/>
          <w:szCs w:val="28"/>
          <w:rtl w:val="true"/>
          <w:lang w:bidi="ar-SA"/>
        </w:rPr>
        <w:t>، وهو الذي بين يدي القارئ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تعليقاته على حاشية والده على خلاصة الأقوال، وهو الذي بين يدي القارئ الكريم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التعليقتين في العقد الرابع من عمره الشريف؛ حيث أرجع في تعليقته على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التحرير الطاووسيّ الذي أكمله ضحى يوم الأحد سابع شهر جمادى الأولى من سنة إحدى وتسعين وتسعمائة بحسب ما ورد في آخر المطبوع منه</w:t>
      </w:r>
      <w:r>
        <w:rPr>
          <w:rStyle w:val="FootnoteAnchor"/>
          <w:rtl w:val="true"/>
        </w:rPr>
        <w:footnoteReference w:id="716"/>
      </w:r>
      <w:r>
        <w:rPr>
          <w:rFonts w:ascii="Amiri" w:hAnsi="Amiri" w:eastAsia="Amiri" w:cs="Amiri"/>
          <w:color w:val="111111"/>
          <w:sz w:val="28"/>
          <w:sz w:val="28"/>
          <w:szCs w:val="28"/>
          <w:rtl w:val="true"/>
          <w:lang w:bidi="ar-SA"/>
        </w:rPr>
        <w:t xml:space="preserve">، وبما أنّه سنة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في عقده الرابع عند تعليقه على الخلاصة وعلى ما علّقه عليها والده الشهيد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المتعرّضين لترجمته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تعليقته على ما علقّه والده الشهيد الثاني على خلاصة الأقوال بحسب ما اطّلعت عليه، بل اكتفى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نظر إلى كلامه غير واحد ممّن ترجم للشيخ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حاشيته على الخلاصة فقط، وهذا لا يعني عدم وجود تعليقة له على تعليقة والده؛ إذ لعلّهم يتوسّعون في </w:t>
      </w:r>
    </w:p>
    <w:p>
      <w:pPr>
        <w:pStyle w:val="BookText"/>
        <w:rPr/>
      </w:pPr>
      <w:r>
        <w:rPr>
          <w:rFonts w:ascii="Amiri" w:hAnsi="Amiri" w:eastAsia="Amiri" w:cs="Amiri"/>
          <w:color w:val="111111"/>
          <w:sz w:val="28"/>
          <w:sz w:val="28"/>
          <w:szCs w:val="28"/>
          <w:rtl w:val="true"/>
          <w:lang w:bidi="ar-SA"/>
        </w:rPr>
        <w:t>إطلاق اسم حاشية الخلاصة حتّى على التعليق الذي يكون على حاشية عليها، بلحاظ رجوع الحاشيتين لخلاصة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فلإثبات نسبة الحاشية الموجودة فعلاً في المخطوطات إلى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سلوك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ما يدلّ على ذلك من قرائن في نفس النسخ المعتمدة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ما يدلّ عليه من خارج هذه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الأوّل عباراته الصريحة التي تبيّن الارتباط النَسبيّ بالشهيد الثاني، وقد جاء ذلك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الوالد، أو ما ذكره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ورد في 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 فالذي ورد فيه تعقيباً على كلام الشهيد،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ذكره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معاوية، وقد جاء فيه تعقيباً على كلام الشهيد،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يعضد ما ذكره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منصور، قال معقّباً على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ما ذكره الوالد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تعليقته على الخلاصة وحاشيتها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أشار فيها إلى إحدى أهمّ تعليقاته، وهي على ما جمعه من كتاب السيّد ابن طاووس،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وأوضحنا في الفوائد التي علّقناها على الكتاب الذي جمعناه من كتاب ابن طاووس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فلعلّ هذا من شواهد صدق نسبة هذه التعليقات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ذيّلت تعليقات الشيخ حسن في نسخة المسجد الأعظم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ﻫ ابن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ن ابن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ﻫ ح ن ابن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لم يوجب الاطمئنان بكونها للشيخ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بمقارنة هذه التعليقات ورموزها مع ما ورد في نسخة جامعة طهران من اشتمالها على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وحدة المضمون ووحدة الجهة التي صدرت منها هذه التعليقات، وبه ينحلّ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ن ابن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وينحلّ أيضاً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ﻫ ح ن ابن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أظنّ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حسن بن 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القرائن الخارجيّة الدالّة على نسبتها إلى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تقارب ما ورد في عدّة مواضع من تعليقته على حاشية والده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ذكره في تعليقته على التحرير الطاووسيّ ممّا يفيد بمجموعه الظنّ بوحدة كاتبها، منها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تعليقته على الخلاصة في ترجمة الحسين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المصنّف في الحسين بن عبد ربّه وهمٌ نسبه إليه السيّد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الوهم كان لقول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وكيلاً بطريق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أنّه كان وكيلاً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قريبة ممّا ذكره في تعليقته على التحرير الطاووسيّ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حيث قال هناك معقّباً على وصفه بأنّه كان وكيلاً، وبعين الطريق الذي ذكره </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شأن الحسين بن عبد ربّه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تعليقته على خلاصة الأقوال في ترجمة عيسى بن أبي منصور،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تنظر 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جاء في تعليقته على التحرير الطاووسيّ فهو مقارب له، حيث قال هناك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نقل الحديث الثاني زيادة، وهذا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عيسى ابن أبي 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إلى خيار في الدنيا وخيار في الآخرة فانظر إليه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في ترجمة يزيد بن إسحاق، بعد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يخفى أنّ الرواية صريحة في أنّ يزيد هو الذي كان يقول بحياة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أرفع الناس لهذا الأمر ليس من الرواية، وإنّما هو من كلام الحسن بن موسى، والظاهر أنّ المراد منه القول بالوقف، فهي تشير إلى ما تضمّنته الحكاية من حال يزيد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تعليقته على التحرير الطاووسيّ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يخفى أنّ الذي يدلّ عليه صريحاً هو أنّ يزيد كان يقول بحياة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محمّداً، وأيضاً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أرفع الناس لهذا الأمر ليس من الرواية، وإنّما هو من كلام الحسن بن موسى، والظاهر أنّ المراد منه كونه واقفياً، فهو يشير إلى أنّ الحكاية عنه، وكلام السيّد هنا موهوم، وقد تبعه فيه العلّامة في الخلاصة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513" w:name="pg9167_80446"/>
    </w:p>
    <w:p>
      <w:pPr>
        <w:pStyle w:val="Heading5"/>
        <w:numPr>
          <w:ilvl w:val="4"/>
          <w:numId w:val="1"/>
        </w:numPr>
        <w:rPr/>
      </w:pPr>
      <w:bookmarkStart w:id="514" w:name="__RefHeading___Toc3770153_2870459653"/>
      <w:bookmarkStart w:id="515" w:name="_Toc199"/>
      <w:bookmarkEnd w:id="513"/>
      <w:bookmarkEnd w:id="514"/>
      <w:r>
        <w:rPr>
          <w:rtl w:val="true"/>
        </w:rPr>
        <w:t>النسخ المعتمدة في التحقيق</w:t>
      </w:r>
      <w:bookmarkEnd w:id="515"/>
    </w:p>
    <w:p>
      <w:pPr>
        <w:pStyle w:val="Heading6"/>
        <w:numPr>
          <w:ilvl w:val="5"/>
          <w:numId w:val="1"/>
        </w:numPr>
        <w:rPr/>
      </w:pPr>
      <w:bookmarkStart w:id="516" w:name="__RefHeading___Toc3770155_2870459653"/>
      <w:bookmarkStart w:id="517" w:name="_Toc200"/>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ما اعتمدته في تحقيق هذه التعليقة للشيخ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خلاصة الأقوال للعلّامة الحلّيّ وعلى حاشية أبيه الشهيد الثاني على الخلاصة ثلاث نسخ</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770157_2870459653"/>
      <w:bookmarkStart w:id="519" w:name="_Toc201"/>
      <w:bookmarkEnd w:id="518"/>
      <w:r>
        <w:rPr>
          <w:rtl w:val="true"/>
        </w:rPr>
        <w:t>الأولى</w:t>
      </w:r>
      <w:bookmarkEnd w:id="519"/>
    </w:p>
    <w:p>
      <w:pPr>
        <w:pStyle w:val="BookText"/>
        <w:rPr/>
      </w:pPr>
      <w:r>
        <w:rPr>
          <w:rFonts w:ascii="Amiri" w:hAnsi="Amiri" w:eastAsia="Amiri" w:cs="Amiri"/>
          <w:color w:val="111111"/>
          <w:sz w:val="28"/>
          <w:sz w:val="28"/>
          <w:szCs w:val="28"/>
          <w:rtl w:val="true"/>
          <w:lang w:bidi="ar-SA"/>
        </w:rPr>
        <w:t xml:space="preserve">نسخة مكتبة المسجد الأعظم في قم المشرّفة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بخطّ النسخ، تاريخها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أبعاد الصفحة بحدود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سم، 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للصفحة الواحدة، وقد رمزت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أشرت لبعض ما يتعلّق بهذه المخطوطة من الخلاصة في مقدّمة تحقيقي لحاشية الشهيد الثاني على خلاصة الأقوال التي هي في طور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حاشية الشيخ حسن على القسم الأوّل من الخلاصة بإبراهيم بن عيسى، لتنتهي عند الفائدة العاشرة من خاتمة الخلاصة في طرقه 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مجموع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هو مجموع ما علّق عليه من خلاصة الأقوال،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هو مجموع ما علّق عليه من حاشية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وتمتاز هذه النسخة ببعض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حوت كلّ ما في المخطوطة الثانية إلّا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السلام بن صالح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كلّ ما في المخطوطة الثالثة إلّا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تضمّنها تعليقات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خلاصة الأقوال، وحاشية أبيه على القسم الأوّل والثاني والخاتمة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الحاشية جاءت هامشاً على متن الخلاصة، ونسخة الخلاصة هذه </w:t>
      </w:r>
      <w:bookmarkStart w:id="520" w:name="pg9167_80447"/>
    </w:p>
    <w:p>
      <w:pPr>
        <w:pStyle w:val="BookText"/>
        <w:rPr/>
      </w:pPr>
      <w:bookmarkEnd w:id="520"/>
      <w:r>
        <w:rPr>
          <w:rFonts w:ascii="Amiri" w:hAnsi="Amiri" w:eastAsia="Amiri" w:cs="Amiri"/>
          <w:color w:val="111111"/>
          <w:sz w:val="28"/>
          <w:sz w:val="28"/>
          <w:szCs w:val="28"/>
          <w:rtl w:val="true"/>
          <w:lang w:bidi="ar-SA"/>
        </w:rPr>
        <w:t xml:space="preserve">معتمدة عند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أنّها وصلت إلى ولده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لورود عبارة في آخر القسم الأوّل من الخلاصة، عبّر عنها الناسخ بأنّها صورة خطّ الشهيد، وصورتها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المقابلة على حسب الجهد والطاقة، إلّا ما زاغ عنه البصر بنسخة مكتوبة عن الأصل، وعليها 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والمقابلة وبالنسخ المكتوبة منها، وهي مقروءة على ولد المصنّف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آخرها يوم الثلاثاء خامس عشر شهر جمادى الآخر سنة إحدى وأربعين وتسعمائة، كتبه زين الدين بن عليّ بن الحاجة تجاوز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المقابلة بحسب الجهد والطاقة بنسخة مقروءة على ولد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وعليها إجازته، وبالنسخة المكتوبة منها ومقروءة على ولد المصنّف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تخالفا كتبتُ النسخة المقروءة على الهامش وجعلتُ علامتها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بعض الموارد ضبطها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أثبتنا في الهامش هذه الاختلافات التي ذكرها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بحسب التتبّع أنّها جمعت من نسخ مختلفة؛، إذ احتوت على تعلىقات متعدّدة مختلفة الخطّ والرمز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الاعتماد في ترتيب الأسماء على نسخة الخلاصة هذه فقد يجد القارئ الكريم بعض الاختلاف عن خلاصة الأقوال المطبوعة، وهو ما أشرت إليه في الهامش، وكذا الكلام في حاشية الشهيد الثاني</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770159_2870459653"/>
      <w:bookmarkStart w:id="522" w:name="_Toc202"/>
      <w:bookmarkEnd w:id="521"/>
      <w:r>
        <w:rPr>
          <w:rtl w:val="true"/>
        </w:rPr>
        <w:t>الثانية</w:t>
      </w:r>
      <w:bookmarkEnd w:id="52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مكتبة جامعة طهران، وردت ضمن مجموعة بالرقم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بخطّ النسخ، تاريخها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تشتمل كلّ صفحة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أبعاد كلّ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 وقد رمزت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523" w:name="pg9167_80448"/>
    </w:p>
    <w:p>
      <w:pPr>
        <w:pStyle w:val="BookText"/>
        <w:rPr/>
      </w:pPr>
      <w:bookmarkEnd w:id="523"/>
      <w:r>
        <w:rPr>
          <w:rFonts w:ascii="Amiri" w:hAnsi="Amiri" w:eastAsia="Amiri" w:cs="Amiri"/>
          <w:color w:val="111111"/>
          <w:sz w:val="28"/>
          <w:sz w:val="28"/>
          <w:szCs w:val="28"/>
          <w:rtl w:val="true"/>
          <w:lang w:bidi="ar-SA"/>
        </w:rPr>
        <w:t>متنها مؤلّف من متن الخلاصة المناسب لتعليقة الشهيد الثاني عليها، مع تعليقات الشهيد، وجاءت تعليقة الشيخ حسن عليها في الهامش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من القسم الأوّل بإبراهيم بن عيسى، لتنتهي مع نهاية هذا القسم عند هارون ابن موسى، فيكون مجموع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هي مجموع ما ذكر من تعليقاته على خلاصة الأقوال،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هي مجموع ما علّقه على حاشية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وتمتاز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وضوح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وضوح الرمز المشير للشيخ حسن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ما على متنها من الحواشي ممّا يسهّل الاطّلاع على حاشية الشيخ حسن من بين تلك الحواشي</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770161_2870459653"/>
      <w:bookmarkStart w:id="525" w:name="_Toc203"/>
      <w:bookmarkEnd w:id="524"/>
      <w:r>
        <w:rPr>
          <w:rtl w:val="true"/>
        </w:rPr>
        <w:t>الثالثة</w:t>
      </w:r>
      <w:bookmarkEnd w:id="525"/>
    </w:p>
    <w:p>
      <w:pPr>
        <w:pStyle w:val="BookText"/>
        <w:rPr/>
      </w:pPr>
      <w:r>
        <w:rPr>
          <w:rFonts w:ascii="Amiri" w:hAnsi="Amiri" w:eastAsia="Amiri" w:cs="Amiri"/>
          <w:color w:val="111111"/>
          <w:sz w:val="28"/>
          <w:sz w:val="28"/>
          <w:szCs w:val="28"/>
          <w:rtl w:val="true"/>
          <w:lang w:bidi="ar-SA"/>
        </w:rPr>
        <w:t xml:space="preserve">نسخة مكتبة جامعة طهران أيضاً، وقد وردت ضمن المجموعة التي وردت فيها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بخطّ النسخ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تشتمل كلّ صفحة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أبعاد كلّ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 وقد رمزتُ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متنها مؤلّف من متن الخلاصة وموارد قليلة من متن حاشية الشهيد المناسبة لتعليقة الشيخ حسن عليها، وتبدأ من القسم الأوّل من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بإبراهيم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 مع نهاية خلاصة الأقوال في الفائدة العاشرة من خاتمة الخلاصة في طرقه للشيخ أبي جعفر الطوسي من ذكر هارون بن محمّد موسى التلعكبريّ، فيكون مجموع ما ذُكر فيها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وهي في أغلبها على خلاصة الأقوال إلّا ثلاثة موارد هي للشيخ حسن على حاشية أبيه، كما هو مصرّح به فيها</w:t>
      </w:r>
      <w:r>
        <w:rPr>
          <w:rFonts w:eastAsia="Amiri" w:cs="Amiri" w:ascii="Amiri" w:hAnsi="Amiri"/>
          <w:color w:val="111111"/>
          <w:sz w:val="28"/>
          <w:szCs w:val="28"/>
          <w:rtl w:val="true"/>
          <w:lang w:bidi="ar-SA"/>
        </w:rPr>
        <w:t xml:space="preserve">. </w:t>
      </w:r>
      <w:bookmarkStart w:id="526" w:name="pg9167_80449"/>
    </w:p>
    <w:p>
      <w:pPr>
        <w:pStyle w:val="BookText"/>
        <w:rPr/>
      </w:pPr>
      <w:bookmarkEnd w:id="526"/>
      <w:r>
        <w:rPr>
          <w:rFonts w:ascii="Amiri" w:hAnsi="Amiri" w:eastAsia="Amiri" w:cs="Amiri"/>
          <w:color w:val="111111"/>
          <w:sz w:val="28"/>
          <w:sz w:val="28"/>
          <w:szCs w:val="28"/>
          <w:rtl w:val="true"/>
          <w:lang w:bidi="ar-SA"/>
        </w:rPr>
        <w:t>وأمّا جهات امتيازها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وضوح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تكون إليه هو الاختصاص بحاشية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خلاصة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تحمل رمزاً يرشد لكاتبها إلّا في مورد واحد، ولكنّها متّحدة مع النسختين الباقيتين لحاشية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امتازت أيضاً بذكر مترجَم لم تذكره النسختين الأخريين كما تقدّم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والملاحظ أنّ حاشية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تستوفِ جميع خلاصة الأقوال في القسمين والخاتمة، بل لم تستوف حاشية أبيه أيضاً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3770163_2870459653"/>
      <w:bookmarkStart w:id="528" w:name="_Toc204"/>
      <w:bookmarkEnd w:id="527"/>
      <w:r>
        <w:rPr>
          <w:rtl w:val="true"/>
        </w:rPr>
        <w:t>عملنا في التحقيق</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الحروف بالآلة الطابعة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المطبوع مع النسخ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النصّ، وتقطيعه وفق ما يؤدّي إلى فهم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الأقوال والأحاديث من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اعتمدت طريقة التلفيق بين النسخ لضبط المتن، وإثبات نقاط الاختلاف المهمّة بين النسخ في الهامش</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أن يتّضح مضمون تعليقات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ما ذكره يرتبط بخلاصة الأقوال أو بحاشية الشهيد أبرزت ما تعلّقت به، فإن كانت تتعلّق بالخلاصة فقط قدّمت عبارة الخلاصة يسبقها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تعليقته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تعليقته ترتبط بحاشية الشهيد ذكرت أوّلاً متن الخلاصة الذي يتعلّق به تعليق الشهيد، ثمّ </w:t>
      </w:r>
    </w:p>
    <w:p>
      <w:pPr>
        <w:pStyle w:val="BookText"/>
        <w:rPr/>
      </w:pPr>
      <w:r>
        <w:rPr>
          <w:rFonts w:ascii="Amiri" w:hAnsi="Amiri" w:eastAsia="Amiri" w:cs="Amiri"/>
          <w:color w:val="111111"/>
          <w:sz w:val="28"/>
          <w:sz w:val="28"/>
          <w:szCs w:val="28"/>
          <w:rtl w:val="true"/>
          <w:lang w:bidi="ar-SA"/>
        </w:rPr>
        <w:t>عقّبته بتعليق الشهيد يسبقه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 علّق به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اعتمدنا في عناوين الأبواب والفصول وترتيب الأسماء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متن الخلاصة مع هوامش الشهيد الثاني وولده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بعض التعليقات التوضيحيّة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أدّخر جهداً لإتمام العمل بأكمل وجه فمع قِصَره إلّا أنّه ليس كذلك على أمثالي؛ لقلّة الخبرة والبضاعة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يفوتني أن أكون من شاكري الجميل أقدّم ثنائي ووافر شكري وتقديري لإدارة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لاهتمامهم وتوجيههم، بل يدهم الطولى لإخراج هذه التّعليقة من طوامير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الحاشية في حقيقتها جزء من عملٍ أكبر، وهو تحقيقي لحاشية الشهيد الثاني على خلاصة الأقوال بعد أن دعت الحاجة إلى إعادة تحقيقها، إلّا أنّ طول الحاشيتين وتكثّر صفحاتهما معاً الذي يتنافى مع مقرّرات النشر في المجلّة العلميّة تلطّفت إدارة المجلّة بطبع حاشية الشيخ حسن لتناسب عدد صفحاتها مع تلك المقرّرات وما تزال يد لطفهم ممتدّة إلى حين طباعة الحاشيتين معاً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تعالى أن يمنّ عليهم بدوام توفيقاته وحسن رعايته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وأنهي كلامي هذا حامداً لله تعالى على عظيم منّه وتوفيقه، وأسأله تعالى أن يتقبّل هذا القليل بجوده وكرمه إنّه سميع 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قبل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 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529" w:name="pg9167_80457"/>
    </w:p>
    <w:p>
      <w:pPr>
        <w:pStyle w:val="Heading3"/>
        <w:numPr>
          <w:ilvl w:val="2"/>
          <w:numId w:val="1"/>
        </w:numPr>
        <w:rPr/>
      </w:pPr>
      <w:bookmarkStart w:id="530" w:name="__RefHeading___Toc3770165_2870459653"/>
      <w:bookmarkStart w:id="531" w:name="_Toc205"/>
      <w:bookmarkEnd w:id="529"/>
      <w:bookmarkEnd w:id="530"/>
      <w:r>
        <w:rPr>
          <w:rtl w:val="true"/>
        </w:rPr>
        <w:t xml:space="preserve">حاشية الشيخ حسن ابن الشهيد الثاني </w:t>
      </w:r>
      <w:r>
        <w:rPr>
          <w:rtl w:val="true"/>
        </w:rPr>
        <w:t>...</w:t>
      </w:r>
      <w:bookmarkEnd w:id="531"/>
    </w:p>
    <w:p>
      <w:pPr>
        <w:pStyle w:val="Heading4"/>
        <w:numPr>
          <w:ilvl w:val="3"/>
          <w:numId w:val="1"/>
        </w:numPr>
        <w:rPr/>
      </w:pPr>
      <w:bookmarkStart w:id="532" w:name="__RefHeading___Toc3770167_2870459653"/>
      <w:bookmarkStart w:id="533" w:name="_Toc206"/>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حاشية الشيخ حسن ابن الشهيد الثاني</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خلاصة الأقوال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w:t>
      </w:r>
    </w:p>
    <w:p>
      <w:pPr>
        <w:pStyle w:val="BookText"/>
        <w:rPr/>
      </w:pPr>
      <w:r>
        <w:rPr>
          <w:rFonts w:ascii="Amiri" w:hAnsi="Amiri" w:eastAsia="Amiri" w:cs="Amiri"/>
          <w:color w:val="111111"/>
          <w:sz w:val="28"/>
          <w:sz w:val="28"/>
          <w:szCs w:val="28"/>
          <w:rtl w:val="true"/>
          <w:lang w:bidi="ar-SA"/>
        </w:rPr>
        <w:t>حاشية والده على الخلاصة</w:t>
      </w:r>
    </w:p>
    <w:p>
      <w:pPr>
        <w:pStyle w:val="BookText"/>
        <w:rPr/>
      </w:pPr>
      <w:r>
        <w:rPr>
          <w:rFonts w:ascii="Amiri" w:hAnsi="Amiri" w:eastAsia="Amiri" w:cs="Amiri"/>
          <w:color w:val="111111"/>
          <w:sz w:val="28"/>
          <w:sz w:val="28"/>
          <w:szCs w:val="28"/>
          <w:rtl w:val="true"/>
          <w:lang w:bidi="ar-SA"/>
        </w:rPr>
        <w:t>تحقيق</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9167_80459"/>
      <w:bookmarkStart w:id="535" w:name="pg9167_80459"/>
      <w:bookmarkEnd w:id="535"/>
    </w:p>
    <w:p>
      <w:pPr>
        <w:pStyle w:val="Heading4"/>
        <w:numPr>
          <w:ilvl w:val="3"/>
          <w:numId w:val="1"/>
        </w:numPr>
        <w:rPr/>
      </w:pPr>
      <w:bookmarkStart w:id="536" w:name="pg9167_80459"/>
      <w:bookmarkStart w:id="537" w:name="__RefHeading___Toc3770169_2870459653"/>
      <w:bookmarkStart w:id="538" w:name="_Toc207"/>
      <w:bookmarkEnd w:id="536"/>
      <w:bookmarkEnd w:id="537"/>
      <w:r>
        <w:rPr>
          <w:rtl w:val="true"/>
        </w:rPr>
        <w:t>القسم الأول</w:t>
      </w:r>
      <w:bookmarkEnd w:id="538"/>
    </w:p>
    <w:p>
      <w:pPr>
        <w:pStyle w:val="Heading5"/>
        <w:numPr>
          <w:ilvl w:val="4"/>
          <w:numId w:val="1"/>
        </w:numPr>
        <w:rPr/>
      </w:pPr>
      <w:bookmarkStart w:id="539" w:name="__RefHeading___Toc3770171_2870459653"/>
      <w:bookmarkStart w:id="540" w:name="_Toc208"/>
      <w:bookmarkEnd w:id="539"/>
      <w:r>
        <w:rPr>
          <w:rtl w:val="true"/>
        </w:rPr>
        <w:t>الفصل الأوّل</w:t>
      </w:r>
      <w:r>
        <w:rPr>
          <w:rtl w:val="true"/>
        </w:rPr>
        <w:t xml:space="preserve">: </w:t>
      </w:r>
      <w:r>
        <w:rPr>
          <w:rtl w:val="true"/>
        </w:rPr>
        <w:t>في الهمزة</w:t>
      </w:r>
      <w:bookmarkEnd w:id="540"/>
    </w:p>
    <w:p>
      <w:pPr>
        <w:pStyle w:val="Heading6"/>
        <w:numPr>
          <w:ilvl w:val="5"/>
          <w:numId w:val="1"/>
        </w:numPr>
        <w:rPr/>
      </w:pPr>
      <w:bookmarkStart w:id="541" w:name="__RefHeading___Toc3770173_2870459653"/>
      <w:bookmarkStart w:id="542" w:name="_Toc209"/>
      <w:bookmarkEnd w:id="541"/>
      <w:r>
        <w:rPr>
          <w:rtl w:val="true"/>
        </w:rPr>
        <w:t>الباب الأوّل</w:t>
      </w:r>
      <w:r>
        <w:rPr>
          <w:rtl w:val="true"/>
        </w:rPr>
        <w:t xml:space="preserve">: </w:t>
      </w:r>
      <w:r>
        <w:rPr>
          <w:rtl w:val="true"/>
        </w:rPr>
        <w:t>في إبراهيم</w:t>
      </w:r>
      <w:bookmarkEnd w:id="542"/>
    </w:p>
    <w:p>
      <w:pPr>
        <w:pStyle w:val="Heading6"/>
        <w:numPr>
          <w:ilvl w:val="5"/>
          <w:numId w:val="1"/>
        </w:numPr>
        <w:rPr/>
      </w:pPr>
      <w:bookmarkStart w:id="543" w:name="__RefHeading___Toc3770175_2870459653"/>
      <w:bookmarkStart w:id="544" w:name="_Toc210"/>
      <w:bookmarkEnd w:id="543"/>
      <w:r>
        <w:rPr/>
        <w:t>1</w:t>
      </w:r>
      <w:r>
        <w:rPr>
          <w:rtl w:val="true"/>
        </w:rPr>
        <w:t xml:space="preserve"> - </w:t>
      </w:r>
      <w:r>
        <w:rPr>
          <w:rtl w:val="true"/>
        </w:rPr>
        <w:t>إبراهيم بن عيسى</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عيسى أبو أيّوب الخرّاز</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 في طرق الأخبار عن أبي أيّوب إبراهيم بن عثمان الخزّاز</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5" w:name="__RefHeading___Toc3770177_2870459653"/>
      <w:bookmarkStart w:id="546" w:name="_Toc211"/>
      <w:bookmarkEnd w:id="545"/>
      <w:r>
        <w:rPr/>
        <w:t>2</w:t>
      </w:r>
      <w:r>
        <w:rPr>
          <w:rtl w:val="true"/>
        </w:rPr>
        <w:t xml:space="preserve"> - </w:t>
      </w:r>
      <w:r>
        <w:rPr>
          <w:rtl w:val="true"/>
        </w:rPr>
        <w:t>إبراهيم بن عمر اليمانيّ</w:t>
      </w:r>
      <w:bookmarkEnd w:id="5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 اليمانيّ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والأرجح عندي قبول روايته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 ترجيح تعديله نظر</w:t>
      </w:r>
      <w:r>
        <w:rPr>
          <w:rFonts w:eastAsia="Amiri" w:cs="Amiri" w:ascii="Amiri" w:hAnsi="Amiri"/>
          <w:color w:val="111111"/>
          <w:sz w:val="28"/>
          <w:szCs w:val="28"/>
          <w:rtl w:val="true"/>
          <w:lang w:bidi="ar-SA"/>
        </w:rPr>
        <w:t xml:space="preserve">.. </w:t>
      </w:r>
      <w:bookmarkStart w:id="547" w:name="pg9167_80460"/>
    </w:p>
    <w:p>
      <w:pPr>
        <w:pStyle w:val="BookText"/>
        <w:rPr/>
      </w:pPr>
      <w:bookmarkEnd w:id="547"/>
      <w:r>
        <w:rPr>
          <w:rFonts w:ascii="Amiri" w:hAnsi="Amiri" w:eastAsia="Amiri" w:cs="Amiri"/>
          <w:color w:val="111111"/>
          <w:sz w:val="28"/>
          <w:sz w:val="28"/>
          <w:szCs w:val="28"/>
          <w:rtl w:val="true"/>
          <w:lang w:bidi="ar-SA"/>
        </w:rPr>
        <w:t>أمّا أوّلاً فلتعارض الجرح والتعديل، والأوّل مرجّح، مع أنّ كلَّاً من الجارح والمعدّل لم يذكر مستنداً لينظر في أمره، وأمّا ثانياً فلأنّ النجاشيّ نقل توثيقه وما معه عن أبي العبّاس وغيره كما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بأبي العبّاس هذا أحمد ابن عقدة، وهو زيديّ المذهب لا يعتمد على توثيقه، أو ابن نوح، ومع الاشتباه لا يفيد، وغيره مبهم لا يفيد فائدة يعتمد عليها، وأمّا غير هذين من مصنّفي الرجال كالشيخ الطوسيّ وغيره فلم ينصّوا عليه بجرح ولا تعديل</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لأنّ الجرح لا يقاوم التعديل هنا ليكون مقدّماً عليه، وكلام النجاشيّ</w:t>
      </w:r>
      <w:r>
        <w:rPr>
          <w:rStyle w:val="FootnoteAnchor"/>
          <w:rtl w:val="true"/>
        </w:rPr>
        <w:footnoteReference w:id="725"/>
      </w:r>
      <w:r>
        <w:rPr>
          <w:rFonts w:ascii="Amiri" w:hAnsi="Amiri" w:eastAsia="Amiri" w:cs="Amiri"/>
          <w:color w:val="111111"/>
          <w:sz w:val="28"/>
          <w:sz w:val="28"/>
          <w:szCs w:val="28"/>
          <w:rtl w:val="true"/>
          <w:lang w:bidi="ar-SA"/>
        </w:rPr>
        <w:t>ظاهر في الموافقة على التعديل وإن حكاه بعد ذلك عن أبي العبّاس وغيره، والمعهود</w:t>
      </w:r>
      <w:r>
        <w:rPr>
          <w:rStyle w:val="FootnoteAnchor"/>
          <w:rtl w:val="true"/>
        </w:rPr>
        <w:footnoteReference w:id="726"/>
      </w:r>
      <w:r>
        <w:rPr>
          <w:rFonts w:ascii="Amiri" w:hAnsi="Amiri" w:eastAsia="Amiri" w:cs="Amiri"/>
          <w:color w:val="111111"/>
          <w:sz w:val="28"/>
          <w:sz w:val="28"/>
          <w:szCs w:val="28"/>
          <w:rtl w:val="true"/>
          <w:lang w:bidi="ar-SA"/>
        </w:rPr>
        <w:t>من النجاشيّ في مثله إرادة ابن نوح، وهو أجلّ من أحمد ابن الحسين الغضائريّ صاحب كتاب الرجال الضعفاء، وانضمام غيره إليه زيادة في تحقيق الحكم، غير أنّ ما ذكرناه إنّما يتأتّى على الاكتفاء بتزكية الواحد كما لا يخفى</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770179_2870459653"/>
      <w:bookmarkStart w:id="549" w:name="_Toc212"/>
      <w:bookmarkEnd w:id="548"/>
      <w:r>
        <w:rPr/>
        <w:t>3</w:t>
      </w:r>
      <w:r>
        <w:rPr>
          <w:rtl w:val="true"/>
        </w:rPr>
        <w:t xml:space="preserve"> - </w:t>
      </w:r>
      <w:r>
        <w:rPr>
          <w:rtl w:val="true"/>
        </w:rPr>
        <w:t>إبراهيم بن محمّد الهمدانيّ</w:t>
      </w:r>
      <w:bookmarkEnd w:id="5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الكشّيّ في سند ذكرته في الكتاب الكبير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وأحمد بن أبي عبد الله البرقيّ بالعسكر، فورد علينا رسول من الرجل،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r>
        <w:rPr>
          <w:rStyle w:val="FootnoteAnchor"/>
          <w:rtl w:val="true"/>
        </w:rPr>
        <w:footnoteReference w:id="727"/>
      </w:r>
      <w:r>
        <w:rPr>
          <w:rFonts w:ascii="Amiri" w:hAnsi="Amiri" w:eastAsia="Amiri" w:cs="Amiri"/>
          <w:color w:val="111111"/>
          <w:sz w:val="28"/>
          <w:sz w:val="28"/>
          <w:szCs w:val="28"/>
          <w:rtl w:val="true"/>
          <w:lang w:bidi="ar-SA"/>
        </w:rPr>
        <w:t xml:space="preserve">ثقة، وأيّوب بن نوح، وإبراهيم بن محمّد الهمدانيّ، وأحمد </w:t>
      </w:r>
      <w:bookmarkStart w:id="550" w:name="pg9167_80461"/>
    </w:p>
    <w:p>
      <w:pPr>
        <w:pStyle w:val="BookText"/>
        <w:rPr/>
      </w:pPr>
      <w:bookmarkEnd w:id="550"/>
      <w:r>
        <w:rPr>
          <w:rFonts w:ascii="Amiri" w:hAnsi="Amiri" w:eastAsia="Amiri" w:cs="Amiri"/>
          <w:color w:val="111111"/>
          <w:sz w:val="28"/>
          <w:sz w:val="28"/>
          <w:szCs w:val="28"/>
          <w:rtl w:val="true"/>
          <w:lang w:bidi="ar-SA"/>
        </w:rPr>
        <w:t>ابن حمزة، وأحمد بن إسحاق ثقات جميعاً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وظاهر حال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علّق على نسخة من الخلاصة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بن محمّد الهمدانيّ وابن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سهو قلم، والأصل فيه كلام ابن طاووس</w:t>
      </w:r>
      <w:r>
        <w:rPr>
          <w:rStyle w:val="FootnoteAnchor"/>
          <w:rtl w:val="true"/>
        </w:rPr>
        <w:footnoteReference w:id="729"/>
      </w:r>
      <w:r>
        <w:rPr>
          <w:rFonts w:ascii="Amiri" w:hAnsi="Amiri" w:eastAsia="Amiri" w:cs="Amiri"/>
          <w:color w:val="111111"/>
          <w:sz w:val="28"/>
          <w:sz w:val="28"/>
          <w:szCs w:val="28"/>
          <w:rtl w:val="true"/>
          <w:lang w:bidi="ar-SA"/>
        </w:rPr>
        <w:t>، فإنّ في نسخ الاختيار للكشّيّ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بن محمّد الهمدانيّ وأحمد بن حمزة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3770181_2870459653"/>
      <w:bookmarkStart w:id="552" w:name="_Toc213"/>
      <w:bookmarkEnd w:id="551"/>
      <w:r>
        <w:rPr/>
        <w:t>4</w:t>
      </w:r>
      <w:r>
        <w:rPr>
          <w:rtl w:val="true"/>
        </w:rPr>
        <w:t xml:space="preserve"> - </w:t>
      </w:r>
      <w:r>
        <w:rPr>
          <w:rtl w:val="true"/>
        </w:rPr>
        <w:t>إبراهيم بن عبدة</w:t>
      </w:r>
      <w:bookmarkEnd w:id="5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الثقات بنيشابور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الحكاية بهذه الصورة مأخوذة من كتاب السيّد جمال الدين</w:t>
      </w:r>
      <w:r>
        <w:rPr>
          <w:rStyle w:val="FootnoteAnchor"/>
          <w:rtl w:val="true"/>
        </w:rPr>
        <w:footnoteReference w:id="734"/>
      </w:r>
      <w:r>
        <w:rPr>
          <w:rFonts w:ascii="Amiri" w:hAnsi="Amiri" w:eastAsia="Amiri" w:cs="Amiri"/>
          <w:color w:val="111111"/>
          <w:sz w:val="28"/>
          <w:sz w:val="28"/>
          <w:szCs w:val="28"/>
          <w:rtl w:val="true"/>
          <w:lang w:bidi="ar-SA"/>
        </w:rPr>
        <w:t xml:space="preserve">، والذي في نسختين عندي للاختيار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مقروءة على السيّد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حكى بعض الثقات</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 </w:t>
      </w:r>
      <w:bookmarkStart w:id="553" w:name="pg9167_80462"/>
    </w:p>
    <w:p>
      <w:pPr>
        <w:pStyle w:val="BookText"/>
        <w:rPr/>
      </w:pPr>
      <w:bookmarkEnd w:id="553"/>
      <w:r>
        <w:rPr>
          <w:rFonts w:ascii="Amiri" w:hAnsi="Amiri" w:eastAsia="Amiri" w:cs="Amiri"/>
          <w:color w:val="111111"/>
          <w:sz w:val="28"/>
          <w:sz w:val="28"/>
          <w:szCs w:val="28"/>
          <w:rtl w:val="true"/>
          <w:lang w:bidi="ar-SA"/>
        </w:rPr>
        <w:t>والتفاوت بين العبارتين ظاهر</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770183_2870459653"/>
      <w:bookmarkStart w:id="555" w:name="_Toc214"/>
      <w:bookmarkEnd w:id="554"/>
      <w:r>
        <w:rPr/>
        <w:t>5</w:t>
      </w:r>
      <w:r>
        <w:rPr>
          <w:rtl w:val="true"/>
        </w:rPr>
        <w:t xml:space="preserve"> - </w:t>
      </w:r>
      <w:r>
        <w:rPr>
          <w:rtl w:val="true"/>
        </w:rPr>
        <w:t>إبراهيم بن محمّد بن فارس</w:t>
      </w:r>
      <w:bookmarkEnd w:id="5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في نفسه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حكاه السيّد جمال الدين ابن طاووس عنه</w:t>
      </w:r>
      <w:r>
        <w:rPr>
          <w:rStyle w:val="FootnoteAnchor"/>
          <w:rtl w:val="true"/>
        </w:rPr>
        <w:footnoteReference w:id="740"/>
      </w:r>
      <w:r>
        <w:rPr>
          <w:rFonts w:ascii="Amiri" w:hAnsi="Amiri" w:eastAsia="Amiri" w:cs="Amiri"/>
          <w:color w:val="111111"/>
          <w:sz w:val="28"/>
          <w:sz w:val="28"/>
          <w:szCs w:val="28"/>
          <w:rtl w:val="true"/>
          <w:lang w:bidi="ar-SA"/>
        </w:rPr>
        <w:t>، وأمّا الذي في أصل الاختيار</w:t>
      </w:r>
      <w:r>
        <w:rPr>
          <w:rStyle w:val="FootnoteAnchor"/>
          <w:rtl w:val="true"/>
        </w:rPr>
        <w:footnoteReference w:id="741"/>
      </w:r>
      <w:r>
        <w:rPr>
          <w:rFonts w:ascii="Amiri" w:hAnsi="Amiri" w:eastAsia="Amiri" w:cs="Amiri"/>
          <w:color w:val="111111"/>
          <w:sz w:val="28"/>
          <w:sz w:val="28"/>
          <w:szCs w:val="28"/>
          <w:rtl w:val="true"/>
          <w:lang w:bidi="ar-SA"/>
        </w:rPr>
        <w:t>فكما ذكره المصنّف، ونِعمَ ما فعل هنا حيث لم يتّبع كلام السيّد، كما هو الغالب من طريقته في هذا الكتاب حتّى شاركه في كثير من الأوهام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والداعي للمراجعة هنا ما في الكلام من الحزازة، حتّى أنّ السيّد عَلّم عليه في حاشية نسخته، فلذلك سلّم المصنّف هذا الوهم، وقد اتّفق على ما حكيناه عن الاختيار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مقروءة على السيّد</w:t>
      </w:r>
      <w:r>
        <w:rPr>
          <w:rFonts w:eastAsia="Amiri" w:cs="Amiri" w:ascii="Amiri" w:hAnsi="Amiri"/>
          <w:color w:val="111111"/>
          <w:sz w:val="28"/>
          <w:szCs w:val="28"/>
          <w:rtl w:val="true"/>
          <w:lang w:bidi="ar-SA"/>
        </w:rPr>
        <w:t xml:space="preserve">. </w:t>
      </w:r>
      <w:bookmarkStart w:id="556" w:name="pg9167_80463"/>
    </w:p>
    <w:p>
      <w:pPr>
        <w:pStyle w:val="Heading6"/>
        <w:numPr>
          <w:ilvl w:val="5"/>
          <w:numId w:val="1"/>
        </w:numPr>
        <w:rPr/>
      </w:pPr>
      <w:bookmarkStart w:id="557" w:name="__RefHeading___Toc3770185_2870459653"/>
      <w:bookmarkStart w:id="558" w:name="_Toc215"/>
      <w:bookmarkEnd w:id="556"/>
      <w:bookmarkEnd w:id="557"/>
      <w:r>
        <w:rPr>
          <w:rtl w:val="true"/>
        </w:rPr>
        <w:t>الباب الثاني</w:t>
      </w:r>
      <w:r>
        <w:rPr>
          <w:rtl w:val="true"/>
        </w:rPr>
        <w:t xml:space="preserve">: </w:t>
      </w:r>
      <w:r>
        <w:rPr>
          <w:rtl w:val="true"/>
        </w:rPr>
        <w:t>في إسماعيل</w:t>
      </w:r>
      <w:bookmarkEnd w:id="558"/>
    </w:p>
    <w:p>
      <w:pPr>
        <w:pStyle w:val="Heading6"/>
        <w:numPr>
          <w:ilvl w:val="5"/>
          <w:numId w:val="1"/>
        </w:numPr>
        <w:rPr/>
      </w:pPr>
      <w:bookmarkStart w:id="559" w:name="__RefHeading___Toc3770187_2870459653"/>
      <w:bookmarkStart w:id="560" w:name="_Toc216"/>
      <w:bookmarkEnd w:id="559"/>
      <w:r>
        <w:rPr/>
        <w:t>6</w:t>
      </w:r>
      <w:r>
        <w:rPr>
          <w:rtl w:val="true"/>
        </w:rPr>
        <w:t xml:space="preserve"> - </w:t>
      </w:r>
      <w:r>
        <w:rPr>
          <w:rtl w:val="true"/>
        </w:rPr>
        <w:t>إسماعيل بن عبد الخالق</w:t>
      </w:r>
      <w:bookmarkEnd w:id="5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 الخالق</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بيت الشيعة، عمومته شهاب وعبد الرحمن ووهب، وأبوه عبد الخالق، كلّهم ثقات</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الاختيار ذكر عبد الرحمن سهواً في الكلام المحكيّ عن بعض المشايخ</w:t>
      </w:r>
      <w:r>
        <w:rPr>
          <w:rStyle w:val="FootnoteAnchor"/>
          <w:rtl w:val="true"/>
        </w:rPr>
        <w:footnoteReference w:id="744"/>
      </w:r>
      <w:r>
        <w:rPr>
          <w:rFonts w:ascii="Amiri" w:hAnsi="Amiri" w:eastAsia="Amiri" w:cs="Amiri"/>
          <w:color w:val="111111"/>
          <w:sz w:val="28"/>
          <w:sz w:val="28"/>
          <w:szCs w:val="28"/>
          <w:rtl w:val="true"/>
          <w:lang w:bidi="ar-SA"/>
        </w:rPr>
        <w:t>بعد أن ذكر في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بقيّة الجماعة المذكورين في ذلك الكلام المحكيّ</w:t>
      </w:r>
      <w:r>
        <w:rPr>
          <w:rStyle w:val="FootnoteAnchor"/>
          <w:rtl w:val="true"/>
        </w:rPr>
        <w:footnoteReference w:id="745"/>
      </w:r>
      <w:r>
        <w:rPr>
          <w:rFonts w:ascii="Amiri" w:hAnsi="Amiri" w:eastAsia="Amiri" w:cs="Amiri"/>
          <w:color w:val="111111"/>
          <w:sz w:val="28"/>
          <w:sz w:val="28"/>
          <w:szCs w:val="28"/>
          <w:rtl w:val="true"/>
          <w:lang w:bidi="ar-SA"/>
        </w:rPr>
        <w:t>، وقد حكاه المصنّف في ترجمة وهب</w:t>
      </w:r>
      <w:r>
        <w:rPr>
          <w:rStyle w:val="FootnoteAnchor"/>
          <w:rtl w:val="true"/>
        </w:rPr>
        <w:footnoteReference w:id="746"/>
      </w:r>
      <w:r>
        <w:rPr>
          <w:rFonts w:ascii="Amiri" w:hAnsi="Amiri" w:eastAsia="Amiri" w:cs="Amiri"/>
          <w:color w:val="111111"/>
          <w:sz w:val="28"/>
          <w:sz w:val="28"/>
          <w:szCs w:val="28"/>
          <w:rtl w:val="true"/>
          <w:lang w:bidi="ar-SA"/>
        </w:rPr>
        <w:t>، والنجاشيّ ذكر الجماعة وليس فيهم إلّا عبد الرحيم</w:t>
      </w:r>
      <w:r>
        <w:rPr>
          <w:rStyle w:val="FootnoteAnchor"/>
          <w:rtl w:val="true"/>
        </w:rPr>
        <w:footnoteReference w:id="747"/>
      </w:r>
      <w:r>
        <w:rPr>
          <w:rFonts w:ascii="Amiri" w:hAnsi="Amiri" w:eastAsia="Amiri" w:cs="Amiri"/>
          <w:color w:val="111111"/>
          <w:sz w:val="28"/>
          <w:sz w:val="28"/>
          <w:szCs w:val="28"/>
          <w:rtl w:val="true"/>
          <w:lang w:bidi="ar-SA"/>
        </w:rPr>
        <w:t>، فراجع كلامهم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3770189_2870459653"/>
      <w:bookmarkStart w:id="562" w:name="_Toc217"/>
      <w:bookmarkEnd w:id="561"/>
      <w:r>
        <w:rPr/>
        <w:t>7</w:t>
      </w:r>
      <w:r>
        <w:rPr>
          <w:rtl w:val="true"/>
        </w:rPr>
        <w:t xml:space="preserve"> - </w:t>
      </w:r>
      <w:r>
        <w:rPr>
          <w:rtl w:val="true"/>
        </w:rPr>
        <w:t>إسماعيل بن آدم</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آدم بن عبد الله بن سعد الأشعريّ من القمّيّين ثقة</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إسماعيل بن آدم هذا هو إسماعيل بن سعد السابق</w:t>
      </w:r>
      <w:r>
        <w:rPr>
          <w:rStyle w:val="FootnoteAnchor"/>
          <w:rtl w:val="true"/>
        </w:rPr>
        <w:footnoteReference w:id="750"/>
      </w:r>
      <w:bookmarkStart w:id="563" w:name="pg9167_80464"/>
    </w:p>
    <w:p>
      <w:pPr>
        <w:pStyle w:val="BookText"/>
        <w:rPr/>
      </w:pPr>
      <w:bookmarkEnd w:id="563"/>
      <w:r>
        <w:rPr>
          <w:rFonts w:ascii="Amiri" w:hAnsi="Amiri" w:eastAsia="Amiri" w:cs="Amiri"/>
          <w:color w:val="111111"/>
          <w:sz w:val="28"/>
          <w:sz w:val="28"/>
          <w:szCs w:val="28"/>
          <w:rtl w:val="true"/>
          <w:lang w:bidi="ar-SA"/>
        </w:rPr>
        <w:t>لأنّ النجاشيّ ذكره بهذه الترجمة</w:t>
      </w:r>
      <w:r>
        <w:rPr>
          <w:rStyle w:val="FootnoteAnchor"/>
          <w:rtl w:val="true"/>
        </w:rPr>
        <w:footnoteReference w:id="751"/>
      </w:r>
      <w:r>
        <w:rPr>
          <w:rFonts w:ascii="Amiri" w:hAnsi="Amiri" w:eastAsia="Amiri" w:cs="Amiri"/>
          <w:color w:val="111111"/>
          <w:sz w:val="28"/>
          <w:sz w:val="28"/>
          <w:szCs w:val="28"/>
          <w:rtl w:val="true"/>
          <w:lang w:bidi="ar-SA"/>
        </w:rPr>
        <w:t>، والشيخ ذكره بتلك</w:t>
      </w:r>
      <w:r>
        <w:rPr>
          <w:rStyle w:val="FootnoteAnchor"/>
          <w:rtl w:val="true"/>
        </w:rPr>
        <w:footnoteReference w:id="752"/>
      </w:r>
      <w:r>
        <w:rPr>
          <w:rFonts w:ascii="Amiri" w:hAnsi="Amiri" w:eastAsia="Amiri" w:cs="Amiri"/>
          <w:color w:val="111111"/>
          <w:sz w:val="28"/>
          <w:sz w:val="28"/>
          <w:szCs w:val="28"/>
          <w:rtl w:val="true"/>
          <w:lang w:bidi="ar-SA"/>
        </w:rPr>
        <w:t>، فربّما كان اختصاراً في النسب لا للمغايرة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في عمر بن أذينة نحو ما هنا</w:t>
      </w:r>
      <w:r>
        <w:rPr>
          <w:rStyle w:val="FootnoteAnchor"/>
          <w:rtl w:val="true"/>
        </w:rPr>
        <w:footnoteReference w:id="753"/>
      </w:r>
      <w:r>
        <w:rPr>
          <w:rFonts w:ascii="Amiri" w:hAnsi="Amiri" w:eastAsia="Amiri" w:cs="Amiri"/>
          <w:color w:val="111111"/>
          <w:sz w:val="28"/>
          <w:sz w:val="28"/>
          <w:szCs w:val="28"/>
          <w:rtl w:val="true"/>
          <w:lang w:bidi="ar-SA"/>
        </w:rPr>
        <w:t>، حيث حكى الوالد عن ابن داود أنّه توهّم فيه التعدّد</w:t>
      </w:r>
      <w:r>
        <w:rPr>
          <w:rStyle w:val="FootnoteAnchor"/>
          <w:rtl w:val="true"/>
        </w:rPr>
        <w:footnoteReference w:id="754"/>
      </w:r>
      <w:r>
        <w:rPr>
          <w:rFonts w:ascii="Amiri" w:hAnsi="Amiri" w:eastAsia="Amiri" w:cs="Amiri"/>
          <w:color w:val="111111"/>
          <w:sz w:val="28"/>
          <w:sz w:val="28"/>
          <w:szCs w:val="28"/>
          <w:rtl w:val="true"/>
          <w:lang w:bidi="ar-SA"/>
        </w:rPr>
        <w:t>لأنّ الشيخ اختصر في نسبه</w:t>
      </w:r>
      <w:r>
        <w:rPr>
          <w:rStyle w:val="FootnoteAnchor"/>
          <w:rtl w:val="true"/>
        </w:rPr>
        <w:footnoteReference w:id="755"/>
      </w:r>
      <w:r>
        <w:rPr>
          <w:rFonts w:ascii="Amiri" w:hAnsi="Amiri" w:eastAsia="Amiri" w:cs="Amiri"/>
          <w:color w:val="111111"/>
          <w:sz w:val="28"/>
          <w:sz w:val="28"/>
          <w:szCs w:val="28"/>
          <w:rtl w:val="true"/>
          <w:lang w:bidi="ar-SA"/>
        </w:rPr>
        <w:t>، والنجاشيّ زاد فيه زيادة أوهمت التعدّد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الذي يظهر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والمراجعة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واحد أيضاً بغير توقّف، فيجتمع له تزكية الشيخ والنجاشيّ</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3770191_2870459653"/>
      <w:bookmarkStart w:id="565" w:name="_Toc218"/>
      <w:bookmarkEnd w:id="564"/>
      <w:r>
        <w:rPr>
          <w:rtl w:val="true"/>
        </w:rPr>
        <w:t>الباب السابع</w:t>
      </w:r>
      <w:r>
        <w:rPr>
          <w:rtl w:val="true"/>
        </w:rPr>
        <w:t xml:space="preserve">: </w:t>
      </w:r>
      <w:r>
        <w:rPr>
          <w:rtl w:val="true"/>
        </w:rPr>
        <w:t>في أحمد</w:t>
      </w:r>
      <w:bookmarkEnd w:id="565"/>
    </w:p>
    <w:p>
      <w:pPr>
        <w:pStyle w:val="Heading6"/>
        <w:numPr>
          <w:ilvl w:val="5"/>
          <w:numId w:val="1"/>
        </w:numPr>
        <w:rPr/>
      </w:pPr>
      <w:bookmarkStart w:id="566" w:name="__RefHeading___Toc3770193_2870459653"/>
      <w:bookmarkStart w:id="567" w:name="_Toc219"/>
      <w:bookmarkEnd w:id="566"/>
      <w:r>
        <w:rPr/>
        <w:t>8</w:t>
      </w:r>
      <w:r>
        <w:rPr>
          <w:rtl w:val="true"/>
        </w:rPr>
        <w:t xml:space="preserve"> - </w:t>
      </w:r>
      <w:r>
        <w:rPr>
          <w:rtl w:val="true"/>
        </w:rPr>
        <w:t>أحمد بن يوسف</w:t>
      </w:r>
      <w:bookmarkEnd w:id="5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يوسف</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568" w:name="pg9167_80465"/>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الشيخ في الرجال</w:t>
      </w:r>
      <w:r>
        <w:rPr>
          <w:rStyle w:val="FootnoteAnchor"/>
          <w:rtl w:val="true"/>
        </w:rPr>
        <w:footnoteReference w:id="760"/>
      </w:r>
      <w:r>
        <w:rPr>
          <w:rFonts w:ascii="Amiri" w:hAnsi="Amiri" w:eastAsia="Amiri" w:cs="Amiri"/>
          <w:color w:val="111111"/>
          <w:sz w:val="28"/>
          <w:sz w:val="28"/>
          <w:szCs w:val="28"/>
          <w:rtl w:val="true"/>
          <w:lang w:bidi="ar-SA"/>
        </w:rPr>
        <w:t>، ولم يوثّقه النجاشيّ</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770195_2870459653"/>
      <w:bookmarkStart w:id="570" w:name="_Toc220"/>
      <w:bookmarkEnd w:id="569"/>
      <w:r>
        <w:rPr/>
        <w:t>9</w:t>
      </w:r>
      <w:r>
        <w:rPr>
          <w:rtl w:val="true"/>
        </w:rPr>
        <w:t xml:space="preserve"> - </w:t>
      </w:r>
      <w:r>
        <w:rPr>
          <w:rtl w:val="true"/>
        </w:rPr>
        <w:t>أحمد بن عمر الحلّال</w:t>
      </w:r>
      <w:bookmarkEnd w:id="57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 الحلّال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عمر الحلّال بالحاء غير المعجمة واللام المشدّدة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داود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 بالخاء</w:t>
      </w:r>
      <w:r>
        <w:rPr>
          <w:rStyle w:val="FootnoteAnchor"/>
          <w:rtl w:val="true"/>
        </w:rPr>
        <w:footnoteReference w:id="763"/>
      </w:r>
      <w:r>
        <w:rPr>
          <w:rFonts w:ascii="Amiri" w:hAnsi="Amiri" w:eastAsia="Amiri" w:cs="Amiri"/>
          <w:color w:val="111111"/>
          <w:sz w:val="28"/>
          <w:sz w:val="28"/>
          <w:szCs w:val="28"/>
          <w:rtl w:val="true"/>
          <w:lang w:bidi="ar-SA"/>
        </w:rPr>
        <w:t>وذكر أنّ الحلّال بالحاء المهملة رجل آخر لم يرو عن الأئمّة، نقل ذلك عن الشيخ الطوسيّ في رجاله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الرجلين الشيخ في كتاب الرجال، وضبط الأوّل بالخاء المعجمة، والثاني بالمهملة في نسخة معتبرة عندي عليها آثار التصحيح، والضبط المذكور في خطّ الكاتب، لا في كلام الشيخ، والأوّل مذكور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 في عداد من لم يروِ</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3770197_2870459653"/>
      <w:bookmarkStart w:id="572" w:name="_Toc221"/>
      <w:bookmarkEnd w:id="571"/>
      <w:r>
        <w:rPr/>
        <w:t>10</w:t>
      </w:r>
      <w:r>
        <w:rPr>
          <w:rtl w:val="true"/>
        </w:rPr>
        <w:t xml:space="preserve"> - </w:t>
      </w:r>
      <w:r>
        <w:rPr>
          <w:rtl w:val="true"/>
        </w:rPr>
        <w:t>أحمد بن الحسين بن عبد الملك</w:t>
      </w:r>
      <w:bookmarkEnd w:id="5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عبد الملك</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الأزديّ</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573" w:name="pg9167_80466"/>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w:t>
      </w:r>
      <w:r>
        <w:rPr>
          <w:rStyle w:val="FootnoteAnchor"/>
          <w:rtl w:val="true"/>
        </w:rPr>
        <w:footnoteReference w:id="769"/>
      </w:r>
      <w:r>
        <w:rPr>
          <w:rFonts w:ascii="Amiri" w:hAnsi="Amiri" w:eastAsia="Amiri" w:cs="Amiri"/>
          <w:color w:val="111111"/>
          <w:sz w:val="28"/>
          <w:sz w:val="28"/>
          <w:szCs w:val="28"/>
          <w:rtl w:val="true"/>
          <w:lang w:bidi="ar-SA"/>
        </w:rPr>
        <w:t>، ونسب الأزديّ إلى الوهم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تتبّعت الكتب لتحقيق ضبط هذه الكلمة فرأيتها مضطربة، فالتصحيف واقع قطعاً، ولكنّ الموجود في مظانّ الصحّة والمتكرّر كثيراً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والعجب أنّ الشيخ في الفهرست ذكره كذلك في باب أحمد</w:t>
      </w:r>
      <w:r>
        <w:rPr>
          <w:rStyle w:val="FootnoteAnchor"/>
          <w:rtl w:val="true"/>
        </w:rPr>
        <w:footnoteReference w:id="77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الحسن بن محبوب</w:t>
      </w:r>
      <w:r>
        <w:rPr>
          <w:rStyle w:val="FootnoteAnchor"/>
          <w:rtl w:val="true"/>
        </w:rPr>
        <w:footnoteReference w:id="773"/>
      </w:r>
      <w:r>
        <w:rPr>
          <w:rFonts w:ascii="Amiri" w:hAnsi="Amiri" w:eastAsia="Amiri" w:cs="Amiri"/>
          <w:color w:val="111111"/>
          <w:sz w:val="28"/>
          <w:sz w:val="28"/>
          <w:szCs w:val="28"/>
          <w:rtl w:val="true"/>
          <w:lang w:bidi="ar-SA"/>
        </w:rPr>
        <w:t>، وفي كتاب الرجال ذكره هكذا أيضاً</w:t>
      </w:r>
      <w:r>
        <w:rPr>
          <w:rStyle w:val="FootnoteAnchor"/>
          <w:rtl w:val="true"/>
        </w:rPr>
        <w:footnoteReference w:id="774"/>
      </w:r>
      <w:r>
        <w:rPr>
          <w:rFonts w:ascii="Amiri" w:hAnsi="Amiri" w:eastAsia="Amiri" w:cs="Amiri"/>
          <w:color w:val="111111"/>
          <w:sz w:val="28"/>
          <w:sz w:val="28"/>
          <w:szCs w:val="28"/>
          <w:rtl w:val="true"/>
          <w:lang w:bidi="ar-SA"/>
        </w:rPr>
        <w:t xml:space="preserve">، وحكاه السيّد جمال الدين ابن طاووس في كتابه عن الفهرست في ذكره لاسمه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وأظنّ أنّ تعويل المصنّف على ذلك</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770199_2870459653"/>
      <w:bookmarkStart w:id="575" w:name="_Toc222"/>
      <w:bookmarkEnd w:id="574"/>
      <w:r>
        <w:rPr/>
        <w:t>11</w:t>
      </w:r>
      <w:r>
        <w:rPr>
          <w:rtl w:val="true"/>
        </w:rPr>
        <w:t xml:space="preserve">- </w:t>
      </w:r>
      <w:r>
        <w:rPr>
          <w:rtl w:val="true"/>
        </w:rPr>
        <w:t>أحمد بن عليّ بن الحسن بن شاذان</w:t>
      </w:r>
      <w:bookmarkEnd w:id="57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الحسن بن شاذان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القاضي</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576" w:name="pg9167_80467"/>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بالفاء والميم بعد الألف</w:t>
      </w:r>
      <w:r>
        <w:rPr>
          <w:rStyle w:val="FootnoteAnchor"/>
          <w:rtl w:val="true"/>
        </w:rPr>
        <w:footnoteReference w:id="777"/>
      </w:r>
      <w:r>
        <w:rPr>
          <w:rFonts w:ascii="Amiri" w:hAnsi="Amiri" w:eastAsia="Amiri" w:cs="Amiri"/>
          <w:color w:val="111111"/>
          <w:sz w:val="28"/>
          <w:sz w:val="28"/>
          <w:szCs w:val="28"/>
          <w:rtl w:val="true"/>
          <w:lang w:bidi="ar-SA"/>
        </w:rPr>
        <w:t>، وكذا بخطّ ابن طاووس في كتاب النجاشيّ</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عين عبارة النجاشيّ في مجموع الكلام، والذي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3770201_2870459653"/>
      <w:bookmarkStart w:id="578" w:name="_Toc223"/>
      <w:bookmarkEnd w:id="577"/>
      <w:r>
        <w:rPr/>
        <w:t>12</w:t>
      </w:r>
      <w:r>
        <w:rPr>
          <w:rtl w:val="true"/>
        </w:rPr>
        <w:t xml:space="preserve">- </w:t>
      </w:r>
      <w:r>
        <w:rPr>
          <w:rtl w:val="true"/>
        </w:rPr>
        <w:t>أحمد بن عبد الواحد بن أحمد البزّاز</w:t>
      </w:r>
      <w:r>
        <w:rPr>
          <w:rtl w:val="true"/>
        </w:rPr>
        <w:t>.</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المعروف بابن عبدون،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يعرف بابن الحاشر</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w:t>
      </w:r>
      <w:r>
        <w:rPr>
          <w:rStyle w:val="FootnoteAnchor"/>
          <w:rtl w:val="true"/>
        </w:rPr>
        <w:footnoteReference w:id="781"/>
      </w:r>
      <w:r>
        <w:rPr>
          <w:rFonts w:ascii="Amiri" w:hAnsi="Amiri" w:eastAsia="Amiri" w:cs="Amiri"/>
          <w:color w:val="111111"/>
          <w:sz w:val="28"/>
          <w:sz w:val="28"/>
          <w:szCs w:val="28"/>
          <w:rtl w:val="true"/>
          <w:lang w:bidi="ar-SA"/>
        </w:rPr>
        <w:t>أن يكون ما حكاه المصنّف عن الشيخ في شأن ابن عبدون مأخوذاً من طرق الرواية عنه، ولا فائدة فيه مهمّة، ولو كان مأخوذاً من كلام الشيخ في كتاب الرجال لذكر ما هو أعمّ من ذلك ممّا قاله الشيخ في حقّه، وكأنّه لم يراعه، وهذه صورة كلام الشيخ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الواحد</w:t>
      </w:r>
      <w:r>
        <w:rPr>
          <w:rStyle w:val="FootnoteAnchor"/>
          <w:rtl w:val="true"/>
        </w:rPr>
        <w:footnoteReference w:id="782"/>
      </w:r>
      <w:r>
        <w:rPr>
          <w:rFonts w:ascii="Amiri" w:hAnsi="Amiri" w:eastAsia="Amiri" w:cs="Amiri"/>
          <w:color w:val="111111"/>
          <w:sz w:val="28"/>
          <w:sz w:val="28"/>
          <w:szCs w:val="28"/>
          <w:rtl w:val="true"/>
          <w:lang w:bidi="ar-SA"/>
        </w:rPr>
        <w:t>بن عبدون المعروف بابن الحاسر، يكنّى أبا عبد الله</w:t>
      </w:r>
      <w:r>
        <w:rPr>
          <w:rStyle w:val="FootnoteAnchor"/>
          <w:rtl w:val="true"/>
        </w:rPr>
        <w:footnoteReference w:id="783"/>
      </w:r>
      <w:r>
        <w:rPr>
          <w:rFonts w:ascii="Amiri" w:hAnsi="Amiri" w:eastAsia="Amiri" w:cs="Amiri"/>
          <w:color w:val="111111"/>
          <w:sz w:val="28"/>
          <w:sz w:val="28"/>
          <w:szCs w:val="28"/>
          <w:rtl w:val="true"/>
          <w:lang w:bidi="ar-SA"/>
        </w:rPr>
        <w:t xml:space="preserve">، كثير السماع والرواية، سمعنا منه، وأجاز لنا بجميع ما </w:t>
      </w:r>
      <w:bookmarkStart w:id="579" w:name="pg9167_80468"/>
    </w:p>
    <w:p>
      <w:pPr>
        <w:pStyle w:val="BookText"/>
        <w:rPr/>
      </w:pPr>
      <w:bookmarkEnd w:id="579"/>
      <w:r>
        <w:rPr>
          <w:rFonts w:ascii="Amiri" w:hAnsi="Amiri" w:eastAsia="Amiri" w:cs="Amiri"/>
          <w:color w:val="111111"/>
          <w:sz w:val="28"/>
          <w:sz w:val="28"/>
          <w:szCs w:val="28"/>
          <w:rtl w:val="true"/>
          <w:lang w:bidi="ar-SA"/>
        </w:rPr>
        <w:t>رواه، مات سنة ثلاث وعشرين وأربعمائة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النجاشيّ على ما حكاه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قويّاً في الأدب، قد قرأ كتب الأدب على شيوخ أهل الأدب، وكان قد لقي أبا الحسن عليّ بن محمّد القرشيّ المعروف بابن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علوّاً في الوقت</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ترى الشيخ يؤثر الرواية عنه كثيراً</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770203_2870459653"/>
      <w:bookmarkStart w:id="581" w:name="_Toc224"/>
      <w:bookmarkEnd w:id="580"/>
      <w:r>
        <w:rPr>
          <w:rtl w:val="true"/>
        </w:rPr>
        <w:t>الباب الثامن</w:t>
      </w:r>
      <w:r>
        <w:rPr>
          <w:rtl w:val="true"/>
        </w:rPr>
        <w:t xml:space="preserve">: </w:t>
      </w:r>
      <w:r>
        <w:rPr>
          <w:rtl w:val="true"/>
        </w:rPr>
        <w:t>في أبان</w:t>
      </w:r>
      <w:bookmarkEnd w:id="581"/>
    </w:p>
    <w:p>
      <w:pPr>
        <w:pStyle w:val="Heading6"/>
        <w:numPr>
          <w:ilvl w:val="5"/>
          <w:numId w:val="1"/>
        </w:numPr>
        <w:rPr/>
      </w:pPr>
      <w:bookmarkStart w:id="582" w:name="__RefHeading___Toc3770205_2870459653"/>
      <w:bookmarkStart w:id="583" w:name="_Toc225"/>
      <w:bookmarkEnd w:id="582"/>
      <w:r>
        <w:rPr/>
        <w:t>13</w:t>
      </w:r>
      <w:r>
        <w:rPr>
          <w:rtl w:val="true"/>
        </w:rPr>
        <w:t xml:space="preserve">- </w:t>
      </w:r>
      <w:r>
        <w:rPr>
          <w:rtl w:val="true"/>
        </w:rPr>
        <w:t>أبان بن عثمان الأحمر</w:t>
      </w:r>
      <w:bookmarkEnd w:id="58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عندي قبول روايته وإنْ كان فاسد المذهب؛ للإجماع المذكور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فساد مذهبه إلّا من الرواية التي ذكرها الكشّيّ</w:t>
      </w:r>
      <w:r>
        <w:rPr>
          <w:rStyle w:val="FootnoteAnchor"/>
          <w:rtl w:val="true"/>
        </w:rPr>
        <w:footnoteReference w:id="788"/>
      </w:r>
      <w:r>
        <w:rPr>
          <w:rFonts w:ascii="Amiri" w:hAnsi="Amiri" w:eastAsia="Amiri" w:cs="Amiri"/>
          <w:color w:val="111111"/>
          <w:sz w:val="28"/>
          <w:sz w:val="28"/>
          <w:szCs w:val="28"/>
          <w:rtl w:val="true"/>
          <w:lang w:bidi="ar-SA"/>
        </w:rPr>
        <w:t xml:space="preserve">، والنقل فيها عن عليّ بن الحسن بن فضّال، وهو فاسد المذهب، وحينئذٍ فلا يصلح قوله مخرجاً عمّا يفيده الإجماع المذكور، وقد مرّ في ترجمة إسماعيل بن مهران حكايته عن الكشّيّ عن </w:t>
      </w:r>
      <w:bookmarkStart w:id="584" w:name="pg9167_80469"/>
    </w:p>
    <w:p>
      <w:pPr>
        <w:pStyle w:val="BookText"/>
        <w:rPr/>
      </w:pPr>
      <w:bookmarkEnd w:id="584"/>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عن عليّ بن الحسن أنّ إسماعيل رمي بالغلوّ، وأنّ محمّد ابن مسعود كذّبهم في ذلك</w:t>
      </w:r>
      <w:r>
        <w:rPr>
          <w:rStyle w:val="FootnoteAnchor"/>
          <w:rtl w:val="true"/>
        </w:rPr>
        <w:footnoteReference w:id="789"/>
      </w:r>
      <w:r>
        <w:rPr>
          <w:rFonts w:ascii="Amiri" w:hAnsi="Amiri" w:eastAsia="Amiri" w:cs="Amiri"/>
          <w:color w:val="111111"/>
          <w:sz w:val="28"/>
          <w:sz w:val="28"/>
          <w:szCs w:val="28"/>
          <w:rtl w:val="true"/>
          <w:lang w:bidi="ar-SA"/>
        </w:rPr>
        <w:t>، وهو يؤنس بعدم قبول الرمي هنا، وإن كان بين الكلامين هنا فرق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الكشّيّ عن محمّد بن مسعود عن عليّ بن</w:t>
      </w:r>
      <w:r>
        <w:rPr>
          <w:rStyle w:val="FootnoteAnchor"/>
          <w:rtl w:val="true"/>
        </w:rPr>
        <w:footnoteReference w:id="790"/>
      </w:r>
      <w:r>
        <w:rPr>
          <w:rFonts w:ascii="Amiri" w:hAnsi="Amiri" w:eastAsia="Amiri" w:cs="Amiri"/>
          <w:color w:val="111111"/>
          <w:sz w:val="28"/>
          <w:sz w:val="28"/>
          <w:szCs w:val="28"/>
          <w:rtl w:val="true"/>
          <w:lang w:bidi="ar-SA"/>
        </w:rPr>
        <w:t>فضّال أنّه طعن في أبي حمزة الثماليّ</w:t>
      </w:r>
      <w:r>
        <w:rPr>
          <w:rStyle w:val="FootnoteAnchor"/>
          <w:rtl w:val="true"/>
        </w:rPr>
        <w:footnoteReference w:id="791"/>
      </w:r>
      <w:r>
        <w:rPr>
          <w:rFonts w:ascii="Amiri" w:hAnsi="Amiri" w:eastAsia="Amiri" w:cs="Amiri"/>
          <w:color w:val="111111"/>
          <w:sz w:val="28"/>
          <w:sz w:val="28"/>
          <w:szCs w:val="28"/>
          <w:rtl w:val="true"/>
          <w:lang w:bidi="ar-SA"/>
        </w:rPr>
        <w:t>، ولم يلتفتوا إلى كلامه فيه، فلا أدري كيف قبل في حقّ أبان</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770207_2870459653"/>
      <w:bookmarkStart w:id="586" w:name="_Toc226"/>
      <w:bookmarkEnd w:id="585"/>
      <w:r>
        <w:rPr>
          <w:rtl w:val="true"/>
        </w:rPr>
        <w:t>الفصل الثاني</w:t>
      </w:r>
      <w:r>
        <w:rPr>
          <w:rtl w:val="true"/>
        </w:rPr>
        <w:t xml:space="preserve">: </w:t>
      </w:r>
      <w:r>
        <w:rPr>
          <w:rtl w:val="true"/>
        </w:rPr>
        <w:t>في الباء</w:t>
      </w:r>
      <w:bookmarkEnd w:id="586"/>
    </w:p>
    <w:p>
      <w:pPr>
        <w:pStyle w:val="Heading6"/>
        <w:numPr>
          <w:ilvl w:val="5"/>
          <w:numId w:val="1"/>
        </w:numPr>
        <w:rPr/>
      </w:pPr>
      <w:bookmarkStart w:id="587" w:name="__RefHeading___Toc3770209_2870459653"/>
      <w:bookmarkStart w:id="588" w:name="_Toc227"/>
      <w:bookmarkEnd w:id="587"/>
      <w:r>
        <w:rPr>
          <w:rtl w:val="true"/>
        </w:rPr>
        <w:t>الباب الخامس</w:t>
      </w:r>
      <w:r>
        <w:rPr>
          <w:rtl w:val="true"/>
        </w:rPr>
        <w:t xml:space="preserve">( </w:t>
      </w:r>
      <w:r>
        <w:rPr>
          <w:rtl w:val="true"/>
        </w:rPr>
        <w:t>بكر</w:t>
      </w:r>
      <w:r>
        <w:rPr>
          <w:rtl w:val="true"/>
        </w:rPr>
        <w:t>)</w:t>
      </w:r>
      <w:bookmarkEnd w:id="588"/>
    </w:p>
    <w:p>
      <w:pPr>
        <w:pStyle w:val="Heading6"/>
        <w:numPr>
          <w:ilvl w:val="5"/>
          <w:numId w:val="1"/>
        </w:numPr>
        <w:rPr/>
      </w:pPr>
      <w:bookmarkStart w:id="589" w:name="__RefHeading___Toc3770211_2870459653"/>
      <w:bookmarkStart w:id="590" w:name="_Toc228"/>
      <w:bookmarkEnd w:id="589"/>
      <w:r>
        <w:rPr/>
        <w:t>14</w:t>
      </w:r>
      <w:r>
        <w:rPr>
          <w:rtl w:val="true"/>
        </w:rPr>
        <w:t xml:space="preserve">- </w:t>
      </w:r>
      <w:r>
        <w:rPr>
          <w:rtl w:val="true"/>
        </w:rPr>
        <w:t>بكر بن محمّد الأزديّ</w:t>
      </w:r>
      <w:bookmarkEnd w:id="5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الأزديّ</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بن محمّد بن عبد الرحمن بن نعيم الأزديّ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ابن محمّد الأزديّ ابن أخي سدير الصيرفيّ</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الشيخ في الفهرست</w:t>
      </w:r>
      <w:r>
        <w:rPr>
          <w:rStyle w:val="FootnoteAnchor"/>
          <w:rtl w:val="true"/>
        </w:rPr>
        <w:footnoteReference w:id="794"/>
      </w:r>
      <w:r>
        <w:rPr>
          <w:rFonts w:ascii="Amiri" w:hAnsi="Amiri" w:eastAsia="Amiri" w:cs="Amiri"/>
          <w:color w:val="111111"/>
          <w:sz w:val="28"/>
          <w:sz w:val="28"/>
          <w:szCs w:val="28"/>
          <w:rtl w:val="true"/>
          <w:lang w:bidi="ar-SA"/>
        </w:rPr>
        <w:t xml:space="preserve">، وكتاب الرجال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واحدة</w:t>
      </w:r>
      <w:r>
        <w:rPr>
          <w:rStyle w:val="FootnoteAnchor"/>
          <w:rtl w:val="true"/>
        </w:rPr>
        <w:footnoteReference w:id="795"/>
      </w:r>
      <w:r>
        <w:rPr>
          <w:rFonts w:ascii="Amiri" w:hAnsi="Amiri" w:eastAsia="Amiri" w:cs="Amiri"/>
          <w:color w:val="111111"/>
          <w:sz w:val="28"/>
          <w:sz w:val="28"/>
          <w:szCs w:val="28"/>
          <w:rtl w:val="true"/>
          <w:lang w:bidi="ar-SA"/>
        </w:rPr>
        <w:t>، وكذا النجاشيّ والكشّيّ</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وأمّا الكشّيّ فذكر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حيث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 حيث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وأرى أنّ عدّ المصنّف من سمّي بهذا الاسم رجلين وهمٌ، منشؤه أنّه تبع</w:t>
      </w:r>
      <w:r>
        <w:rPr>
          <w:rStyle w:val="FootnoteAnchor"/>
          <w:rtl w:val="true"/>
        </w:rPr>
        <w:footnoteReference w:id="797"/>
      </w:r>
      <w:r>
        <w:rPr>
          <w:rFonts w:ascii="Amiri" w:hAnsi="Amiri" w:eastAsia="Amiri" w:cs="Amiri"/>
          <w:color w:val="111111"/>
          <w:sz w:val="28"/>
          <w:sz w:val="28"/>
          <w:szCs w:val="28"/>
          <w:rtl w:val="true"/>
          <w:lang w:bidi="ar-SA"/>
        </w:rPr>
        <w:t xml:space="preserve">في هذا الكتاب كلام السيّد جمال الدين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حتّى أنّ من وقف على الكتابين تحقّق أنّ المصنّف لم يخرج في أكثره عن كتاب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الواضحة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كتاب السيّد مواضع بيّنة الغلط، وهي محكيّة عن بعض الكتب، ويوجد في المواضع المحكيّة عنها صحيحة، والمصنّف يذكرها على الوجه الذي ذكرها السيّد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يذكر في كتابه ملخّص كلام الجماعة في حال كلّ رجل، فذكر في كتاب النجاشيّ بكر بن محمّد بالصورة التي ذكرها المصنّف أوّلاً بعينها</w:t>
      </w:r>
      <w:r>
        <w:rPr>
          <w:rStyle w:val="FootnoteAnchor"/>
          <w:rtl w:val="true"/>
        </w:rPr>
        <w:footnoteReference w:id="799"/>
      </w:r>
      <w:r>
        <w:rPr>
          <w:rFonts w:ascii="Amiri" w:hAnsi="Amiri" w:eastAsia="Amiri" w:cs="Amiri"/>
          <w:color w:val="111111"/>
          <w:sz w:val="28"/>
          <w:sz w:val="28"/>
          <w:szCs w:val="28"/>
          <w:rtl w:val="true"/>
          <w:lang w:bidi="ar-SA"/>
        </w:rPr>
        <w:t xml:space="preserve">، وذكر عن </w:t>
      </w:r>
      <w:bookmarkStart w:id="591" w:name="pg9167_80471"/>
    </w:p>
    <w:p>
      <w:pPr>
        <w:pStyle w:val="BookText"/>
        <w:rPr/>
      </w:pPr>
      <w:bookmarkEnd w:id="591"/>
      <w:r>
        <w:rPr>
          <w:rFonts w:ascii="Amiri" w:hAnsi="Amiri" w:eastAsia="Amiri" w:cs="Amiri"/>
          <w:color w:val="111111"/>
          <w:sz w:val="28"/>
          <w:sz w:val="28"/>
          <w:szCs w:val="28"/>
          <w:rtl w:val="true"/>
          <w:lang w:bidi="ar-SA"/>
        </w:rPr>
        <w:t>كتاب الاختيار</w:t>
      </w:r>
      <w:r>
        <w:rPr>
          <w:rStyle w:val="FootnoteAnchor"/>
          <w:rtl w:val="true"/>
        </w:rPr>
        <w:footnoteReference w:id="800"/>
      </w:r>
      <w:r>
        <w:rPr>
          <w:rFonts w:ascii="Amiri" w:hAnsi="Amiri" w:eastAsia="Amiri" w:cs="Amiri"/>
          <w:color w:val="111111"/>
          <w:sz w:val="28"/>
          <w:sz w:val="28"/>
          <w:szCs w:val="28"/>
          <w:rtl w:val="true"/>
          <w:lang w:bidi="ar-SA"/>
        </w:rPr>
        <w:t>من كتاب الكشّيّ الكلام الذي ذكره المصنّف في التسمية الثانية بعين العبارة ما عدا قوله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الكلامان يشعر ظاهرهما بالتعدّد، ولكن مراجعة كلام النجاشيّ بمعونة ما سبق صحّته عند ذكر المصنّف لسدير الصيرفيّ</w:t>
      </w:r>
      <w:r>
        <w:rPr>
          <w:rStyle w:val="FootnoteAnchor"/>
          <w:rtl w:val="true"/>
        </w:rPr>
        <w:footnoteReference w:id="801"/>
      </w:r>
      <w:r>
        <w:rPr>
          <w:rFonts w:ascii="Amiri" w:hAnsi="Amiri" w:eastAsia="Amiri" w:cs="Amiri"/>
          <w:color w:val="111111"/>
          <w:sz w:val="28"/>
          <w:sz w:val="28"/>
          <w:szCs w:val="28"/>
          <w:rtl w:val="true"/>
          <w:lang w:bidi="ar-SA"/>
        </w:rPr>
        <w:t>يرشد إلى أنّ الموصوف بالكلامين رجل واحد، ولكن لمّا لم ينقل السيّد من كلامه إلّا هذا القدر وتبعه المصنّف وقع الوهم، وهو من آثار التقليد، وقلّة المراجعة</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3770213_2870459653"/>
      <w:bookmarkStart w:id="593" w:name="_Toc229"/>
      <w:bookmarkEnd w:id="592"/>
      <w:r>
        <w:rPr>
          <w:rtl w:val="true"/>
        </w:rPr>
        <w:t>الباب السادس</w:t>
      </w:r>
      <w:r>
        <w:rPr>
          <w:rtl w:val="true"/>
        </w:rPr>
        <w:t xml:space="preserve">: </w:t>
      </w:r>
      <w:r>
        <w:rPr>
          <w:rtl w:val="true"/>
        </w:rPr>
        <w:t>في بريد</w:t>
      </w:r>
      <w:bookmarkEnd w:id="593"/>
    </w:p>
    <w:p>
      <w:pPr>
        <w:pStyle w:val="Heading6"/>
        <w:numPr>
          <w:ilvl w:val="5"/>
          <w:numId w:val="1"/>
        </w:numPr>
        <w:rPr/>
      </w:pPr>
      <w:bookmarkStart w:id="594" w:name="__RefHeading___Toc3770215_2870459653"/>
      <w:bookmarkStart w:id="595" w:name="_Toc230"/>
      <w:bookmarkEnd w:id="594"/>
      <w:r>
        <w:rPr/>
        <w:t>15</w:t>
      </w:r>
      <w:r>
        <w:rPr>
          <w:rtl w:val="true"/>
        </w:rPr>
        <w:t xml:space="preserve">- </w:t>
      </w:r>
      <w:r>
        <w:rPr>
          <w:rtl w:val="true"/>
        </w:rPr>
        <w:t>بريد بن معاوية</w:t>
      </w:r>
      <w:bookmarkEnd w:id="59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نسخة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لأنّ من وصف بالثقة مرّتين مضبوط محفوظ في كتاب ابن داود وغيره، وليس هذا منه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 ما ذكر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وجه </w:t>
      </w:r>
      <w:bookmarkStart w:id="596" w:name="pg9167_80472"/>
    </w:p>
    <w:p>
      <w:pPr>
        <w:pStyle w:val="BookText"/>
        <w:rPr/>
      </w:pPr>
      <w:bookmarkEnd w:id="596"/>
      <w:r>
        <w:rPr>
          <w:rFonts w:ascii="IRNazanin" w:hAnsi="IRNazanin" w:eastAsia="IRNazanin"/>
          <w:color w:val="111111"/>
          <w:sz w:val="28"/>
          <w:sz w:val="28"/>
          <w:szCs w:val="28"/>
          <w:rtl w:val="true"/>
          <w:lang w:bidi="fa-IR"/>
        </w:rPr>
        <w:t xml:space="preserve">من وجوه أصحابنا، وفقيه أيضاً، له محلّ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3770217_2870459653"/>
      <w:bookmarkStart w:id="598" w:name="_Toc231"/>
      <w:bookmarkEnd w:id="597"/>
      <w:r>
        <w:rPr>
          <w:rtl w:val="true"/>
        </w:rPr>
        <w:t>الباب السابع</w:t>
      </w:r>
      <w:r>
        <w:rPr>
          <w:rtl w:val="true"/>
        </w:rPr>
        <w:t xml:space="preserve">: </w:t>
      </w:r>
      <w:r>
        <w:rPr>
          <w:rtl w:val="true"/>
        </w:rPr>
        <w:t>في الآحاد</w:t>
      </w:r>
      <w:bookmarkEnd w:id="598"/>
    </w:p>
    <w:p>
      <w:pPr>
        <w:pStyle w:val="Heading6"/>
        <w:numPr>
          <w:ilvl w:val="5"/>
          <w:numId w:val="1"/>
        </w:numPr>
        <w:rPr/>
      </w:pPr>
      <w:bookmarkStart w:id="599" w:name="__RefHeading___Toc3770219_2870459653"/>
      <w:bookmarkStart w:id="600" w:name="_Toc232"/>
      <w:bookmarkEnd w:id="599"/>
      <w:r>
        <w:rPr/>
        <w:t>16</w:t>
      </w:r>
      <w:r>
        <w:rPr>
          <w:rtl w:val="true"/>
        </w:rPr>
        <w:t xml:space="preserve">- </w:t>
      </w:r>
      <w:r>
        <w:rPr>
          <w:rtl w:val="true"/>
        </w:rPr>
        <w:t>بُكير بن أعين</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 حمدويه، عن يعقوب بن يزيد، عن ابن أبي عمير والفضل وإبراهيم بن محمّد الأشعريّين</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أنزله الله بين رسوله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وبخطّ السيّد مصغّر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فهرست الشيخ</w:t>
      </w:r>
      <w:r>
        <w:rPr>
          <w:rStyle w:val="FootnoteAnchor"/>
          <w:rtl w:val="true"/>
        </w:rPr>
        <w:footnoteReference w:id="812"/>
      </w:r>
      <w:r>
        <w:rPr>
          <w:rFonts w:ascii="Amiri" w:hAnsi="Amiri" w:eastAsia="Amiri" w:cs="Amiri"/>
          <w:color w:val="111111"/>
          <w:sz w:val="28"/>
          <w:sz w:val="28"/>
          <w:szCs w:val="28"/>
          <w:rtl w:val="true"/>
          <w:lang w:bidi="ar-SA"/>
        </w:rPr>
        <w:t>، وكتاب النجاشيّ الفضل بغير تصغير،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إبراهيم بن محمّد الأشعريّ، وأنّهما اشتركا في كتاب</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601" w:name="pg9167_80473"/>
    </w:p>
    <w:p>
      <w:pPr>
        <w:pStyle w:val="BookText"/>
        <w:rPr/>
      </w:pPr>
      <w:bookmarkEnd w:id="601"/>
      <w:r>
        <w:rPr>
          <w:rFonts w:ascii="IRNazanin" w:hAnsi="IRNazanin" w:eastAsia="IRNazanin"/>
          <w:color w:val="111111"/>
          <w:sz w:val="28"/>
          <w:sz w:val="28"/>
          <w:szCs w:val="28"/>
          <w:rtl w:val="true"/>
          <w:lang w:bidi="fa-IR"/>
        </w:rPr>
        <w:t>قلت</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أورد الحديث السيّد جمال الدين بن طاووس في كتابه</w:t>
      </w:r>
      <w:r>
        <w:rPr>
          <w:rStyle w:val="FootnoteAnchor"/>
          <w:rtl w:val="true"/>
        </w:rPr>
        <w:footnoteReference w:id="816"/>
      </w:r>
      <w:r>
        <w:rPr>
          <w:rFonts w:ascii="IRNazanin" w:hAnsi="IRNazanin" w:eastAsia="IRNazanin"/>
          <w:color w:val="111111"/>
          <w:sz w:val="28"/>
          <w:sz w:val="28"/>
          <w:szCs w:val="28"/>
          <w:rtl w:val="true"/>
          <w:lang w:bidi="fa-IR"/>
        </w:rPr>
        <w:t>، وتبعه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في اختيار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وإبراهيم ابني</w:t>
      </w:r>
      <w:r>
        <w:rPr>
          <w:rStyle w:val="FootnoteAnchor"/>
          <w:rtl w:val="true"/>
        </w:rPr>
        <w:footnoteReference w:id="817"/>
      </w:r>
      <w:r>
        <w:rPr>
          <w:rFonts w:ascii="Amiri" w:hAnsi="Amiri" w:eastAsia="Amiri" w:cs="Amiri"/>
          <w:color w:val="111111"/>
          <w:sz w:val="28"/>
          <w:sz w:val="28"/>
          <w:szCs w:val="28"/>
          <w:rtl w:val="true"/>
          <w:lang w:bidi="ar-SA"/>
        </w:rPr>
        <w:t>محمّد الأشعريّين</w:t>
      </w:r>
      <w:r>
        <w:rPr>
          <w:rStyle w:val="FootnoteAnchor"/>
          <w:rtl w:val="true"/>
        </w:rPr>
        <w:footnoteReference w:id="818"/>
      </w:r>
      <w:r>
        <w:rPr>
          <w:rFonts w:ascii="Amiri" w:hAnsi="Amiri" w:eastAsia="Amiri" w:cs="Amiri"/>
          <w:color w:val="111111"/>
          <w:sz w:val="28"/>
          <w:sz w:val="28"/>
          <w:szCs w:val="28"/>
          <w:rtl w:val="true"/>
          <w:lang w:bidi="ar-SA"/>
        </w:rPr>
        <w:t>، وهذا هو الصحيح بشهادة تتمّة الحديث هناك، ولكنّهما حيث تركاها اختصاراً لم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يقع الخلل</w:t>
      </w:r>
      <w:r>
        <w:rPr>
          <w:rStyle w:val="FootnoteAnchor"/>
          <w:rtl w:val="true"/>
        </w:rPr>
        <w:footnoteReference w:id="819"/>
      </w:r>
      <w:r>
        <w:rPr>
          <w:rFonts w:ascii="Amiri" w:hAnsi="Amiri" w:eastAsia="Amiri" w:cs="Amiri"/>
          <w:color w:val="111111"/>
          <w:sz w:val="28"/>
          <w:sz w:val="28"/>
          <w:szCs w:val="28"/>
          <w:rtl w:val="true"/>
          <w:lang w:bidi="ar-SA"/>
        </w:rPr>
        <w:t>في اختصار السيّد، ويتبعه المصنّف، فيشاركه في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والتتمّة 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وإبراهيم ابني</w:t>
      </w:r>
      <w:r>
        <w:rPr>
          <w:rStyle w:val="FootnoteAnchor"/>
          <w:rtl w:val="true"/>
        </w:rPr>
        <w:footnoteReference w:id="820"/>
      </w:r>
      <w:r>
        <w:rPr>
          <w:rFonts w:ascii="IRNazanin" w:hAnsi="IRNazanin" w:eastAsia="IRNazanin"/>
          <w:color w:val="111111"/>
          <w:sz w:val="28"/>
          <w:sz w:val="28"/>
          <w:szCs w:val="28"/>
          <w:rtl w:val="true"/>
          <w:lang w:bidi="fa-IR"/>
        </w:rPr>
        <w:t xml:space="preserve">محمّد الأشعريّين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3770221_2870459653"/>
      <w:bookmarkStart w:id="603" w:name="_Toc233"/>
      <w:bookmarkEnd w:id="602"/>
      <w:r>
        <w:rPr>
          <w:rtl w:val="true"/>
        </w:rPr>
        <w:t>الفصل الرابع</w:t>
      </w:r>
      <w:r>
        <w:rPr>
          <w:rtl w:val="true"/>
        </w:rPr>
        <w:t xml:space="preserve">: </w:t>
      </w:r>
      <w:r>
        <w:rPr>
          <w:rtl w:val="true"/>
        </w:rPr>
        <w:t xml:space="preserve">في الثاء </w:t>
      </w:r>
      <w:r>
        <w:rPr>
          <w:rtl w:val="true"/>
        </w:rPr>
        <w:t xml:space="preserve">- </w:t>
      </w:r>
      <w:r>
        <w:rPr>
          <w:rtl w:val="true"/>
        </w:rPr>
        <w:t>الآحاد</w:t>
      </w:r>
      <w:bookmarkEnd w:id="603"/>
    </w:p>
    <w:p>
      <w:pPr>
        <w:pStyle w:val="Heading6"/>
        <w:numPr>
          <w:ilvl w:val="5"/>
          <w:numId w:val="1"/>
        </w:numPr>
        <w:rPr/>
      </w:pPr>
      <w:bookmarkStart w:id="604" w:name="__RefHeading___Toc3770223_2870459653"/>
      <w:bookmarkStart w:id="605" w:name="_Toc234"/>
      <w:bookmarkEnd w:id="604"/>
      <w:r>
        <w:rPr/>
        <w:t>17</w:t>
      </w:r>
      <w:r>
        <w:rPr>
          <w:rtl w:val="true"/>
        </w:rPr>
        <w:t xml:space="preserve">- </w:t>
      </w:r>
      <w:r>
        <w:rPr>
          <w:rtl w:val="true"/>
        </w:rPr>
        <w:t>ثعلبة بن ميمون</w:t>
      </w:r>
      <w:bookmarkEnd w:id="60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وجيهاً</w:t>
      </w:r>
      <w:r>
        <w:rPr>
          <w:rStyle w:val="FootnoteAnchor"/>
          <w:rtl w:val="true"/>
        </w:rPr>
        <w:footnoteReference w:id="823"/>
      </w:r>
      <w:r>
        <w:rPr>
          <w:rFonts w:ascii="Amiri" w:hAnsi="Amiri" w:eastAsia="Amiri" w:cs="Amiri"/>
          <w:color w:val="111111"/>
          <w:sz w:val="28"/>
          <w:sz w:val="28"/>
          <w:szCs w:val="28"/>
          <w:rtl w:val="true"/>
          <w:lang w:bidi="ar-SA"/>
        </w:rPr>
        <w:t xml:space="preserve">في أصحابنا قارئاً فقيهاً نحويّاً لغويّاً راوية، وكان </w:t>
      </w:r>
      <w:bookmarkStart w:id="606" w:name="pg9167_80474"/>
    </w:p>
    <w:p>
      <w:pPr>
        <w:pStyle w:val="BookText"/>
        <w:rPr/>
      </w:pPr>
      <w:bookmarkEnd w:id="606"/>
      <w:r>
        <w:rPr>
          <w:rFonts w:ascii="IRNazanin" w:hAnsi="IRNazanin" w:eastAsia="IRNazanin"/>
          <w:color w:val="111111"/>
          <w:sz w:val="28"/>
          <w:sz w:val="28"/>
          <w:szCs w:val="28"/>
          <w:rtl w:val="true"/>
          <w:lang w:bidi="fa-IR"/>
        </w:rPr>
        <w:t xml:space="preserve">حسن العمل كثير العبادة والزهد، روى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فاضلاً متقدّماً معدوداً في العلماء والفقهاء الأجلّة في هذه العصابة، سمعه هارون الرشيد يدعو في الوتر فأعجبه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الأوّل على ثعلبة موجود في النجاشيّ</w:t>
      </w:r>
      <w:r>
        <w:rPr>
          <w:rStyle w:val="FootnoteAnchor"/>
          <w:rtl w:val="true"/>
        </w:rPr>
        <w:footnoteReference w:id="825"/>
      </w:r>
      <w:r>
        <w:rPr>
          <w:rFonts w:ascii="Amiri" w:hAnsi="Amiri" w:eastAsia="Amiri" w:cs="Amiri"/>
          <w:color w:val="111111"/>
          <w:sz w:val="28"/>
          <w:sz w:val="28"/>
          <w:szCs w:val="28"/>
          <w:rtl w:val="true"/>
          <w:lang w:bidi="ar-SA"/>
        </w:rPr>
        <w:t>بغير ما ذكره المصنّف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فاضلاً إلى قوله في هذه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الكشّيّ حكاية عن حمدويه، عن محمّد بن عيسى</w:t>
      </w:r>
      <w:r>
        <w:rPr>
          <w:rStyle w:val="FootnoteAnchor"/>
          <w:rtl w:val="true"/>
        </w:rPr>
        <w:footnoteReference w:id="826"/>
      </w:r>
      <w:r>
        <w:rPr>
          <w:rFonts w:ascii="Amiri" w:hAnsi="Amiri" w:eastAsia="Amiri" w:cs="Amiri"/>
          <w:color w:val="111111"/>
          <w:sz w:val="28"/>
          <w:sz w:val="28"/>
          <w:szCs w:val="28"/>
          <w:rtl w:val="true"/>
          <w:lang w:bidi="ar-SA"/>
        </w:rPr>
        <w:t>، وفي عبارة المصنّف نوع مخالفة لما في الكشّيّ، وقضيّة سماع الرشيد له ذكره النجاشيّ رواية</w:t>
      </w:r>
      <w:r>
        <w:rPr>
          <w:rStyle w:val="FootnoteAnchor"/>
          <w:rtl w:val="true"/>
        </w:rPr>
        <w:footnoteReference w:id="827"/>
      </w:r>
      <w:r>
        <w:rPr>
          <w:rFonts w:ascii="Amiri" w:hAnsi="Amiri" w:eastAsia="Amiri" w:cs="Amiri"/>
          <w:color w:val="111111"/>
          <w:sz w:val="28"/>
          <w:sz w:val="28"/>
          <w:szCs w:val="28"/>
          <w:rtl w:val="true"/>
          <w:lang w:bidi="ar-SA"/>
        </w:rPr>
        <w:t>في طريقها ضعف</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3770225_2870459653"/>
      <w:bookmarkStart w:id="608" w:name="_Toc235"/>
      <w:bookmarkEnd w:id="607"/>
      <w:r>
        <w:rPr>
          <w:rtl w:val="true"/>
        </w:rPr>
        <w:t>الفصل الخامس</w:t>
      </w:r>
      <w:r>
        <w:rPr>
          <w:rtl w:val="true"/>
        </w:rPr>
        <w:t xml:space="preserve">: </w:t>
      </w:r>
      <w:r>
        <w:rPr>
          <w:rtl w:val="true"/>
        </w:rPr>
        <w:t>في الجيم</w:t>
      </w:r>
      <w:bookmarkEnd w:id="608"/>
    </w:p>
    <w:p>
      <w:pPr>
        <w:pStyle w:val="Heading6"/>
        <w:numPr>
          <w:ilvl w:val="5"/>
          <w:numId w:val="1"/>
        </w:numPr>
        <w:rPr/>
      </w:pPr>
      <w:bookmarkStart w:id="609" w:name="__RefHeading___Toc3770227_2870459653"/>
      <w:bookmarkStart w:id="610" w:name="_Toc236"/>
      <w:bookmarkEnd w:id="609"/>
      <w:r>
        <w:rPr>
          <w:rtl w:val="true"/>
        </w:rPr>
        <w:t>الباب الأوَّل</w:t>
      </w:r>
      <w:r>
        <w:rPr>
          <w:rtl w:val="true"/>
        </w:rPr>
        <w:t xml:space="preserve">: </w:t>
      </w:r>
      <w:r>
        <w:rPr>
          <w:rtl w:val="true"/>
        </w:rPr>
        <w:t>في جعفر</w:t>
      </w:r>
      <w:bookmarkEnd w:id="610"/>
    </w:p>
    <w:p>
      <w:pPr>
        <w:pStyle w:val="Heading6"/>
        <w:numPr>
          <w:ilvl w:val="5"/>
          <w:numId w:val="1"/>
        </w:numPr>
        <w:rPr/>
      </w:pPr>
      <w:bookmarkStart w:id="611" w:name="__RefHeading___Toc3770229_2870459653"/>
      <w:bookmarkStart w:id="612" w:name="_Toc237"/>
      <w:bookmarkEnd w:id="611"/>
      <w:r>
        <w:rPr/>
        <w:t>18</w:t>
      </w:r>
      <w:r>
        <w:rPr>
          <w:rtl w:val="true"/>
        </w:rPr>
        <w:t xml:space="preserve">- </w:t>
      </w:r>
      <w:r>
        <w:rPr>
          <w:rtl w:val="true"/>
        </w:rPr>
        <w:t>جعفر بن سعيد</w:t>
      </w:r>
      <w:bookmarkEnd w:id="61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سعيد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على بعض</w:t>
      </w:r>
      <w:r>
        <w:rPr>
          <w:rStyle w:val="FootnoteAnchor"/>
          <w:rtl w:val="true"/>
        </w:rPr>
        <w:footnoteReference w:id="829"/>
      </w:r>
      <w:r>
        <w:rPr>
          <w:rFonts w:ascii="Amiri" w:hAnsi="Amiri" w:eastAsia="Amiri" w:cs="Amiri"/>
          <w:color w:val="111111"/>
          <w:sz w:val="28"/>
          <w:sz w:val="28"/>
          <w:szCs w:val="28"/>
          <w:rtl w:val="true"/>
          <w:lang w:bidi="ar-SA"/>
        </w:rPr>
        <w:t>نسخ الكتاب لبعض الفضلاء</w:t>
      </w:r>
      <w:r>
        <w:rPr>
          <w:rFonts w:eastAsia="Amiri" w:cs="Amiri" w:ascii="Amiri" w:hAnsi="Amiri"/>
          <w:color w:val="111111"/>
          <w:sz w:val="28"/>
          <w:szCs w:val="28"/>
          <w:rtl w:val="true"/>
          <w:lang w:bidi="ar-SA"/>
        </w:rPr>
        <w:t xml:space="preserve">: </w:t>
      </w:r>
      <w:bookmarkStart w:id="613" w:name="pg9167_80475"/>
    </w:p>
    <w:p>
      <w:pPr>
        <w:pStyle w:val="BookText"/>
        <w:rPr/>
      </w:pPr>
      <w:bookmarkEnd w:id="613"/>
      <w:r>
        <w:rPr>
          <w:rFonts w:ascii="Amiri" w:hAnsi="Amiri" w:eastAsia="Amiri" w:cs="Amiri"/>
          <w:color w:val="111111"/>
          <w:sz w:val="28"/>
          <w:sz w:val="28"/>
          <w:szCs w:val="28"/>
          <w:rtl w:val="true"/>
          <w:lang w:bidi="ar-SA"/>
        </w:rPr>
        <w:t xml:space="preserve">رحم الله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 من فضله بالمزيد</w:t>
      </w:r>
    </w:p>
    <w:p>
      <w:pPr>
        <w:pStyle w:val="BookText"/>
        <w:rPr/>
      </w:pPr>
      <w:r>
        <w:rPr>
          <w:rFonts w:ascii="IRNazanin" w:hAnsi="IRNazanin" w:eastAsia="IRNazanin"/>
          <w:color w:val="111111"/>
          <w:sz w:val="28"/>
          <w:sz w:val="28"/>
          <w:szCs w:val="28"/>
          <w:rtl w:val="true"/>
          <w:lang w:bidi="fa-IR"/>
        </w:rPr>
        <w:t>هو أصل الأصول والشرع</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والمعقول ثمّ التهذيب والتجريد</w:t>
      </w:r>
    </w:p>
    <w:p>
      <w:pPr>
        <w:pStyle w:val="BookText"/>
        <w:rPr/>
      </w:pPr>
      <w:r>
        <w:rPr>
          <w:rFonts w:ascii="Amiri" w:hAnsi="Amiri" w:eastAsia="Amiri" w:cs="Amiri"/>
          <w:color w:val="111111"/>
          <w:sz w:val="28"/>
          <w:sz w:val="28"/>
          <w:szCs w:val="28"/>
          <w:rtl w:val="true"/>
          <w:lang w:bidi="ar-SA"/>
        </w:rPr>
        <w:t xml:space="preserve">كيف ينسى وهو المذكّر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مقاصد المقصود</w:t>
      </w:r>
    </w:p>
    <w:p>
      <w:pPr>
        <w:pStyle w:val="BookText"/>
        <w:rPr/>
      </w:pPr>
      <w:r>
        <w:rPr>
          <w:rFonts w:ascii="Amiri" w:hAnsi="Amiri" w:eastAsia="Amiri" w:cs="Amiri"/>
          <w:color w:val="111111"/>
          <w:sz w:val="28"/>
          <w:sz w:val="28"/>
          <w:szCs w:val="28"/>
          <w:rtl w:val="true"/>
          <w:lang w:bidi="ar-SA"/>
        </w:rPr>
        <w:t xml:space="preserve">فعليه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تلي درس مدحه في الوجود</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في عدم ذكر المصنّف لشيخه المحقّق أنّه أخذ كتابه هذا من كتب المتقدّمين، ولم يزد على ما فيها من أسماء الرجال إلّا اسم نفسه مشياً على طريقتهم، فكتابه خال من جميع الرجال المتأخّرين،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جملتهم</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770231_2870459653"/>
      <w:bookmarkStart w:id="615" w:name="_Toc238"/>
      <w:bookmarkEnd w:id="614"/>
      <w:r>
        <w:rPr>
          <w:rtl w:val="true"/>
        </w:rPr>
        <w:t>الفصل السادس</w:t>
      </w:r>
      <w:r>
        <w:rPr>
          <w:rtl w:val="true"/>
        </w:rPr>
        <w:t xml:space="preserve">: </w:t>
      </w:r>
      <w:r>
        <w:rPr>
          <w:rtl w:val="true"/>
        </w:rPr>
        <w:t>في الحاء</w:t>
      </w:r>
      <w:bookmarkEnd w:id="615"/>
    </w:p>
    <w:p>
      <w:pPr>
        <w:pStyle w:val="Heading6"/>
        <w:numPr>
          <w:ilvl w:val="5"/>
          <w:numId w:val="1"/>
        </w:numPr>
        <w:rPr/>
      </w:pPr>
      <w:bookmarkStart w:id="616" w:name="__RefHeading___Toc3770233_2870459653"/>
      <w:bookmarkStart w:id="617" w:name="_Toc239"/>
      <w:bookmarkEnd w:id="616"/>
      <w:r>
        <w:rPr>
          <w:rtl w:val="true"/>
        </w:rPr>
        <w:t>الباب الأوَّل</w:t>
      </w:r>
      <w:r>
        <w:rPr>
          <w:rtl w:val="true"/>
        </w:rPr>
        <w:t xml:space="preserve">: </w:t>
      </w:r>
      <w:r>
        <w:rPr>
          <w:rtl w:val="true"/>
        </w:rPr>
        <w:t>في الحسن</w:t>
      </w:r>
      <w:bookmarkEnd w:id="617"/>
    </w:p>
    <w:p>
      <w:pPr>
        <w:pStyle w:val="Heading6"/>
        <w:numPr>
          <w:ilvl w:val="5"/>
          <w:numId w:val="1"/>
        </w:numPr>
        <w:rPr/>
      </w:pPr>
      <w:bookmarkStart w:id="618" w:name="__RefHeading___Toc3770235_2870459653"/>
      <w:bookmarkStart w:id="619" w:name="_Toc240"/>
      <w:bookmarkEnd w:id="618"/>
      <w:r>
        <w:rPr/>
        <w:t>19</w:t>
      </w:r>
      <w:r>
        <w:rPr>
          <w:rtl w:val="true"/>
        </w:rPr>
        <w:t xml:space="preserve">- </w:t>
      </w:r>
      <w:r>
        <w:rPr>
          <w:rtl w:val="true"/>
        </w:rPr>
        <w:t>الحسن بن محبوب</w:t>
      </w:r>
      <w:bookmarkEnd w:id="61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محبوب السرّاد، ويقال الزرّاد، يكنّى أبا عليّ، مولى بجيلة، كوفيّ ثقة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ذكر نسب الحسن بن محبوب عند ذكر ابنه هارون</w:t>
      </w:r>
      <w:r>
        <w:rPr>
          <w:rStyle w:val="FootnoteAnchor"/>
          <w:rtl w:val="true"/>
        </w:rPr>
        <w:footnoteReference w:id="834"/>
      </w:r>
      <w:r>
        <w:rPr>
          <w:rFonts w:ascii="IRNazanin" w:hAnsi="IRNazanin" w:eastAsia="IRNazanin"/>
          <w:color w:val="111111"/>
          <w:sz w:val="28"/>
          <w:sz w:val="28"/>
          <w:szCs w:val="28"/>
          <w:rtl w:val="true"/>
          <w:lang w:bidi="fa-IR"/>
        </w:rPr>
        <w:t xml:space="preserve">، وإنّما اقتصر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على ذكر أبيه لأنّ الشيخ ذكره كذلك</w:t>
      </w:r>
      <w:r>
        <w:rPr>
          <w:rStyle w:val="FootnoteAnchor"/>
          <w:rtl w:val="true"/>
        </w:rPr>
        <w:footnoteReference w:id="835"/>
      </w:r>
      <w:r>
        <w:rPr>
          <w:rFonts w:ascii="IRNazanin" w:hAnsi="IRNazanin" w:eastAsia="IRNazanin"/>
          <w:color w:val="111111"/>
          <w:sz w:val="28"/>
          <w:sz w:val="28"/>
          <w:szCs w:val="28"/>
          <w:rtl w:val="true"/>
          <w:lang w:bidi="fa-IR"/>
        </w:rPr>
        <w:t>، والنجاشيّ لم يذكره أصلاً، وذكر ابنه بالصورة التي في كلام المصنّف، وذكر الكشّيّ عن عليّ بن محمّد القتيبيّ، عن جعفر ابن محمّد بن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حدّثه بشيء من أحوال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بن وهب بن جعفر بن وهب، وكان وهب عبداً سِنديّاً مملوكاً لجرير بن عبد الله البجليّ، وكان زرّاداً، فصار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وسأله أن يبتاعه من جرير، فكره جرير أن يخرج من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حرّ، قد عتقته، فلمّا صحّ عتقه صار في خدمة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الحسن بن محبوب في آخر سنة أربع وعشرين ومائتين، وكان من أبناء خمس وسبعين سنة، وكان آدم شديد الأدمة</w:t>
      </w:r>
      <w:r>
        <w:rPr>
          <w:rStyle w:val="FootnoteAnchor"/>
          <w:rtl w:val="true"/>
        </w:rPr>
        <w:footnoteReference w:id="836"/>
      </w:r>
      <w:r>
        <w:rPr>
          <w:rFonts w:ascii="Amiri" w:hAnsi="Amiri" w:eastAsia="Amiri" w:cs="Amiri"/>
          <w:color w:val="111111"/>
          <w:sz w:val="28"/>
          <w:sz w:val="28"/>
          <w:szCs w:val="28"/>
          <w:rtl w:val="true"/>
          <w:lang w:bidi="ar-SA"/>
        </w:rPr>
        <w:t>أنزع سنياطاً</w:t>
      </w:r>
      <w:r>
        <w:rPr>
          <w:rStyle w:val="FootnoteAnchor"/>
          <w:rtl w:val="true"/>
        </w:rPr>
        <w:footnoteReference w:id="837"/>
      </w:r>
      <w:r>
        <w:rPr>
          <w:rFonts w:ascii="Amiri" w:hAnsi="Amiri" w:eastAsia="Amiri" w:cs="Amiri"/>
          <w:color w:val="111111"/>
          <w:sz w:val="28"/>
          <w:sz w:val="28"/>
          <w:szCs w:val="28"/>
          <w:rtl w:val="true"/>
          <w:lang w:bidi="ar-SA"/>
        </w:rPr>
        <w:t>خفيف العارضين، ربعة من الرجال، يخمع من وركه الأيمن</w:t>
      </w:r>
      <w:r>
        <w:rPr>
          <w:rStyle w:val="FootnoteAnchor"/>
          <w:rtl w:val="true"/>
        </w:rPr>
        <w:footnoteReference w:id="838"/>
      </w:r>
      <w:r>
        <w:rPr>
          <w:rFonts w:ascii="Amiri" w:hAnsi="Amiri" w:eastAsia="Amiri" w:cs="Amiri"/>
          <w:color w:val="111111"/>
          <w:sz w:val="28"/>
          <w:sz w:val="28"/>
          <w:szCs w:val="28"/>
          <w:rtl w:val="true"/>
          <w:lang w:bidi="ar-SA"/>
        </w:rPr>
        <w:t>،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أصحابنا أنّ محبوباً أبا حسن كان يعطي الحسن بكلّ حديث يكتبه عن عليّ بن رئاب درهماً واحداً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620" w:name="pg9167_80477"/>
    </w:p>
    <w:p>
      <w:pPr>
        <w:pStyle w:val="Heading6"/>
        <w:numPr>
          <w:ilvl w:val="5"/>
          <w:numId w:val="1"/>
        </w:numPr>
        <w:rPr/>
      </w:pPr>
      <w:bookmarkStart w:id="621" w:name="__RefHeading___Toc3770237_2870459653"/>
      <w:bookmarkStart w:id="622" w:name="_Toc241"/>
      <w:bookmarkEnd w:id="620"/>
      <w:bookmarkEnd w:id="621"/>
      <w:r>
        <w:rPr/>
        <w:t>20</w:t>
      </w:r>
      <w:r>
        <w:rPr>
          <w:rtl w:val="true"/>
        </w:rPr>
        <w:t xml:space="preserve">- </w:t>
      </w:r>
      <w:r>
        <w:rPr>
          <w:rtl w:val="true"/>
        </w:rPr>
        <w:t>الحسن بن عليّ بن فضّال</w:t>
      </w:r>
      <w:bookmarkEnd w:id="62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الكشّيّ، عن محمّد بن قولويه، عن سعد بن عبد الله القمّيّ، عن عليّ بن الريّان، عن محمّد بن عبد الله بن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جنازة الحسن بن عليّ بن فضّال، فالتفت إليّ وإلى محمّد بن الهيثم التميميّ،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أبشركما،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الحسن بن عليّ بن فضّال قبل وفاته، وهو في تلك الغمرات، وعنده محمّد بن الحسن بن جهم، فسمعته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تشهّد، فتشهّد الحسن، فعبر عبد الله، وصار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محمّد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عبد الله؟ فسكت، ثمّ عاد الثانية،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فتشهّد، وصار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عبد الله؟ فقال له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نظرنا في الكتب فلم نجد لعبد الله شيئاً</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السند محمّد بن عبد الله بن زرارة، وحاله مجهول، وفي هذا المتن أيضاً نظر؛ فإنّ المبشّر غير معلوم كما لا يخفى، فثبوت إيمانه بذلك غير واضح</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النجاشيّ ما يعطي أنّ محمّد بن عبد الله بن زرارة</w:t>
      </w:r>
      <w:r>
        <w:rPr>
          <w:rStyle w:val="FootnoteAnchor"/>
          <w:rtl w:val="true"/>
        </w:rPr>
        <w:footnoteReference w:id="843"/>
      </w:r>
      <w:r>
        <w:rPr>
          <w:rFonts w:ascii="Amiri" w:hAnsi="Amiri" w:eastAsia="Amiri" w:cs="Amiri"/>
          <w:color w:val="111111"/>
          <w:sz w:val="28"/>
          <w:sz w:val="28"/>
          <w:szCs w:val="28"/>
          <w:rtl w:val="true"/>
          <w:lang w:bidi="ar-SA"/>
        </w:rPr>
        <w:t xml:space="preserve">هو المبشّر </w:t>
      </w:r>
      <w:bookmarkStart w:id="623" w:name="pg9167_80478"/>
    </w:p>
    <w:p>
      <w:pPr>
        <w:pStyle w:val="BookText"/>
        <w:rPr/>
      </w:pPr>
      <w:bookmarkEnd w:id="623"/>
      <w:r>
        <w:rPr>
          <w:rFonts w:ascii="Amiri" w:hAnsi="Amiri" w:eastAsia="Amiri" w:cs="Amiri"/>
          <w:color w:val="111111"/>
          <w:sz w:val="28"/>
          <w:sz w:val="28"/>
          <w:szCs w:val="28"/>
          <w:rtl w:val="true"/>
          <w:lang w:bidi="ar-SA"/>
        </w:rPr>
        <w:t>لعليّ بن الريّان</w:t>
      </w:r>
      <w:r>
        <w:rPr>
          <w:rStyle w:val="FootnoteAnchor"/>
          <w:rtl w:val="true"/>
        </w:rPr>
        <w:footnoteReference w:id="844"/>
      </w:r>
      <w:r>
        <w:rPr>
          <w:rFonts w:ascii="Amiri" w:hAnsi="Amiri" w:eastAsia="Amiri" w:cs="Amiri"/>
          <w:color w:val="111111"/>
          <w:sz w:val="28"/>
          <w:sz w:val="28"/>
          <w:szCs w:val="28"/>
          <w:rtl w:val="true"/>
          <w:lang w:bidi="ar-SA"/>
        </w:rPr>
        <w:t>، وفيه أيضاً حكاية كلام أظنّه لعليّ بن الريّان يقتضي مدح محمّد بن عبد الله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3770239_2870459653"/>
      <w:bookmarkStart w:id="625" w:name="_Toc242"/>
      <w:bookmarkEnd w:id="624"/>
      <w:r>
        <w:rPr/>
        <w:t>21</w:t>
      </w:r>
      <w:r>
        <w:rPr>
          <w:rtl w:val="true"/>
        </w:rPr>
        <w:t xml:space="preserve">- </w:t>
      </w:r>
      <w:r>
        <w:rPr>
          <w:rtl w:val="true"/>
        </w:rPr>
        <w:t>الحسن بن عليّ بن يقطين</w:t>
      </w:r>
      <w:bookmarkEnd w:id="62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الحسن موسى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لفظ النجاشيّ في كتابه، وأمّا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 في كتابه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 النجاشيّ في التصريح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له كتاب مسائل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3770241_2870459653"/>
      <w:bookmarkStart w:id="627" w:name="_Toc243"/>
      <w:bookmarkEnd w:id="626"/>
      <w:r>
        <w:rPr>
          <w:rtl w:val="true"/>
        </w:rPr>
        <w:t>الباب الثاني</w:t>
      </w:r>
      <w:r>
        <w:rPr>
          <w:rtl w:val="true"/>
        </w:rPr>
        <w:t xml:space="preserve">: </w:t>
      </w:r>
      <w:r>
        <w:rPr>
          <w:rtl w:val="true"/>
        </w:rPr>
        <w:t>في الحسين</w:t>
      </w:r>
      <w:bookmarkEnd w:id="627"/>
    </w:p>
    <w:p>
      <w:pPr>
        <w:pStyle w:val="Heading6"/>
        <w:numPr>
          <w:ilvl w:val="5"/>
          <w:numId w:val="1"/>
        </w:numPr>
        <w:rPr/>
      </w:pPr>
      <w:bookmarkStart w:id="628" w:name="__RefHeading___Toc3770243_2870459653"/>
      <w:bookmarkStart w:id="629" w:name="_Toc244"/>
      <w:bookmarkEnd w:id="628"/>
      <w:r>
        <w:rPr/>
        <w:t>22</w:t>
      </w:r>
      <w:r>
        <w:rPr>
          <w:rtl w:val="true"/>
        </w:rPr>
        <w:t xml:space="preserve">- </w:t>
      </w:r>
      <w:r>
        <w:rPr>
          <w:rtl w:val="true"/>
        </w:rPr>
        <w:t>الحسين بن سعيد</w:t>
      </w:r>
      <w:bookmarkEnd w:id="62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جعفر الثاني، وعن أبي الحسن </w:t>
      </w:r>
      <w:bookmarkStart w:id="630" w:name="pg9167_80479"/>
    </w:p>
    <w:p>
      <w:pPr>
        <w:pStyle w:val="BookText"/>
        <w:rPr/>
      </w:pPr>
      <w:bookmarkEnd w:id="63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أصله كوفيّ، وانتقل مع أخيه الحسن إلى الأهواز، ثمّ تحوّل إلى قم، فنزل على الحسن بن أبان، وتوفّي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أبان غير مذكور في كتب الرجال مع أنّ هذا المذكور يدلّ على أنّه جليل مشهور، وابنه الحسين كثير الرواية خصوصاً عن الحسين بن سعيد، وليس بمذكور أيضاً، ورأيت بعض أصحابنا يعدّ روايته في الحسن بسبب أنّه ممدوح، وفيه نظر واضح</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كتاب الرجال الحسين بن الحسن بن أبان</w:t>
      </w:r>
      <w:r>
        <w:rPr>
          <w:rStyle w:val="FootnoteAnchor"/>
          <w:rtl w:val="true"/>
        </w:rPr>
        <w:footnoteReference w:id="853"/>
      </w:r>
      <w:r>
        <w:rPr>
          <w:rFonts w:ascii="Amiri" w:hAnsi="Amiri" w:eastAsia="Amiri" w:cs="Amiri"/>
          <w:color w:val="111111"/>
          <w:sz w:val="28"/>
          <w:sz w:val="28"/>
          <w:szCs w:val="28"/>
          <w:rtl w:val="true"/>
          <w:lang w:bidi="ar-SA"/>
        </w:rPr>
        <w:t>، ولكنّه لم يتعرّض لشيء من حاله</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3770245_2870459653"/>
      <w:bookmarkStart w:id="632" w:name="_Toc245"/>
      <w:bookmarkEnd w:id="631"/>
      <w:r>
        <w:rPr/>
        <w:t>23</w:t>
      </w:r>
      <w:r>
        <w:rPr>
          <w:rtl w:val="true"/>
        </w:rPr>
        <w:t xml:space="preserve">- </w:t>
      </w:r>
      <w:r>
        <w:rPr>
          <w:rtl w:val="true"/>
        </w:rPr>
        <w:t>الحسين بن بشّار</w:t>
      </w:r>
      <w:bookmarkEnd w:id="63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 القول بالوقف</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حديث رجوعه أبو سعيد الآدميّ، وهو ضعيف</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الآدميّ، هو سهل بن زياد، وقد ذكره المصنّف باسمه في قسم </w:t>
      </w:r>
      <w:bookmarkStart w:id="633" w:name="pg9167_80480"/>
    </w:p>
    <w:p>
      <w:pPr>
        <w:pStyle w:val="BookText"/>
        <w:rPr/>
      </w:pPr>
      <w:bookmarkEnd w:id="633"/>
      <w:r>
        <w:rPr>
          <w:rFonts w:ascii="Amiri" w:hAnsi="Amiri" w:eastAsia="Amiri" w:cs="Amiri"/>
          <w:color w:val="111111"/>
          <w:sz w:val="28"/>
          <w:sz w:val="28"/>
          <w:szCs w:val="28"/>
          <w:rtl w:val="true"/>
          <w:lang w:bidi="ar-SA"/>
        </w:rPr>
        <w:t>الضعفاء، وذكر بعد ذلك كنيته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بن حمّاد وقد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مختلط</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الطريق خلف بن حمّاد، إنّما فيه خلف بن حامد</w:t>
      </w:r>
      <w:r>
        <w:rPr>
          <w:rStyle w:val="FootnoteAnchor"/>
          <w:rtl w:val="true"/>
        </w:rPr>
        <w:footnoteReference w:id="860"/>
      </w:r>
      <w:r>
        <w:rPr>
          <w:rFonts w:ascii="IRNazanin" w:hAnsi="IRNazanin" w:eastAsia="IRNazanin"/>
          <w:color w:val="111111"/>
          <w:sz w:val="28"/>
          <w:sz w:val="28"/>
          <w:szCs w:val="28"/>
          <w:rtl w:val="true"/>
          <w:lang w:bidi="fa-IR"/>
        </w:rPr>
        <w:t>، وهو في رجال الكشّيّ يروي عنه كثيراً في ابتداء السند وحاله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خلف بن حمّاد الذي قال في حقّه ابن الغضائريّ ما قال فهو متقدّم،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الكشّيّ لم يصرّح بأنّه واقف، ولكن صدر الحديث يدلّ على ذلك، وآخره يدلّ على الرجوع، فكأنّه أراد التنبيه على إفادته الرجوع؛ دفعاً لاحتمال الوقف، وهذه صورة عبارته على أثر إيراده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 هذا الحديث على تركه الوقف</w:t>
      </w:r>
      <w:r>
        <w:rPr>
          <w:rStyle w:val="FootnoteAnchor"/>
          <w:rtl w:val="true"/>
        </w:rPr>
        <w:footnoteReference w:id="862"/>
      </w:r>
      <w:r>
        <w:rPr>
          <w:rFonts w:ascii="IRNazanin" w:hAnsi="IRNazanin" w:eastAsia="IRNazanin"/>
          <w:color w:val="111111"/>
          <w:sz w:val="28"/>
          <w:sz w:val="28"/>
          <w:szCs w:val="28"/>
          <w:rtl w:val="true"/>
          <w:lang w:bidi="fa-IR"/>
        </w:rPr>
        <w:t>وقوله بالحقّ</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4" w:name="__RefHeading___Toc3770247_2870459653"/>
      <w:bookmarkStart w:id="635" w:name="_Toc246"/>
      <w:bookmarkEnd w:id="634"/>
      <w:r>
        <w:rPr/>
        <w:t>24</w:t>
      </w:r>
      <w:r>
        <w:rPr>
          <w:rtl w:val="true"/>
        </w:rPr>
        <w:t xml:space="preserve">- </w:t>
      </w:r>
      <w:r>
        <w:rPr>
          <w:rtl w:val="true"/>
        </w:rPr>
        <w:t>الحسين بن عبد ربّه</w:t>
      </w:r>
      <w:bookmarkEnd w:id="63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ربّه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أنّه كان وكيلاً، وهذا سند صحيح</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بشأن الحسين بن عبد ربّه وهمٌ سبقه إليه السيّد جمال الدين بن طاووس في كتابه</w:t>
      </w:r>
      <w:r>
        <w:rPr>
          <w:rStyle w:val="FootnoteAnchor"/>
          <w:rtl w:val="true"/>
        </w:rPr>
        <w:footnoteReference w:id="866"/>
      </w:r>
      <w:r>
        <w:rPr>
          <w:rFonts w:ascii="Amiri" w:hAnsi="Amiri" w:eastAsia="Amiri" w:cs="Amiri"/>
          <w:color w:val="111111"/>
          <w:sz w:val="28"/>
          <w:sz w:val="28"/>
          <w:szCs w:val="28"/>
          <w:rtl w:val="true"/>
          <w:lang w:bidi="ar-SA"/>
        </w:rPr>
        <w:t>، واقتفى أثره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رواية الكشّيّ للوكالة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الذي أورده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بعليّ بن الحسين بن عبد ربّه</w:t>
      </w:r>
      <w:r>
        <w:rPr>
          <w:rStyle w:val="FootnoteAnchor"/>
          <w:rtl w:val="true"/>
        </w:rPr>
        <w:footnoteReference w:id="867"/>
      </w:r>
      <w:r>
        <w:rPr>
          <w:rFonts w:ascii="Amiri" w:hAnsi="Amiri" w:eastAsia="Amiri" w:cs="Amiri"/>
          <w:color w:val="111111"/>
          <w:sz w:val="28"/>
          <w:sz w:val="28"/>
          <w:szCs w:val="28"/>
          <w:rtl w:val="true"/>
          <w:lang w:bidi="ar-SA"/>
        </w:rPr>
        <w:t>، لا بالحسين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الكشّيّ من طريق ضعيف أنّ الحسين كان وكيلاً</w:t>
      </w:r>
      <w:r>
        <w:rPr>
          <w:rStyle w:val="FootnoteAnchor"/>
          <w:rtl w:val="true"/>
        </w:rPr>
        <w:footnoteReference w:id="868"/>
      </w:r>
      <w:r>
        <w:rPr>
          <w:rFonts w:ascii="Amiri" w:hAnsi="Amiri" w:eastAsia="Amiri" w:cs="Amiri"/>
          <w:color w:val="111111"/>
          <w:sz w:val="28"/>
          <w:sz w:val="28"/>
          <w:szCs w:val="28"/>
          <w:rtl w:val="true"/>
          <w:lang w:bidi="ar-SA"/>
        </w:rPr>
        <w:t>، والذي يظهر بعد المراجعة والتأمّل في الكشّيّ أنّه من أغلاط الكتاب، وأنّ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كما ورد بالطريق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وقع الغلط في إثبات اسم عليّ بن الحسين، ففي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الله</w:t>
      </w:r>
      <w:r>
        <w:rPr>
          <w:rStyle w:val="FootnoteAnchor"/>
          <w:rtl w:val="true"/>
        </w:rPr>
        <w:footnoteReference w:id="869"/>
      </w:r>
      <w:r>
        <w:rPr>
          <w:rFonts w:ascii="Amiri" w:hAnsi="Amiri" w:eastAsia="Amiri" w:cs="Amiri"/>
          <w:color w:val="111111"/>
          <w:sz w:val="28"/>
          <w:sz w:val="28"/>
          <w:szCs w:val="28"/>
          <w:rtl w:val="true"/>
          <w:lang w:bidi="ar-SA"/>
        </w:rPr>
        <w:t>، وتبعه السيّد جمال الدين في ذلك، وسيأتي بهذه الصورة في كلام المصنّف أيضاً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وبالتأمّل يعلم أنّه غلط، وأنّ عدم التعرّض للحديث الصحيح في شأنه من جملة الأوهام الناشئة عن الإعجال في النظر، وقلّة المراجعة</w:t>
      </w:r>
      <w:r>
        <w:rPr>
          <w:rFonts w:eastAsia="Amiri" w:cs="Amiri" w:ascii="Amiri" w:hAnsi="Amiri"/>
          <w:color w:val="111111"/>
          <w:sz w:val="28"/>
          <w:szCs w:val="28"/>
          <w:rtl w:val="true"/>
          <w:lang w:bidi="ar-SA"/>
        </w:rPr>
        <w:t xml:space="preserve">. </w:t>
      </w:r>
      <w:bookmarkStart w:id="636" w:name="pg9167_80482"/>
    </w:p>
    <w:p>
      <w:pPr>
        <w:pStyle w:val="Heading6"/>
        <w:numPr>
          <w:ilvl w:val="5"/>
          <w:numId w:val="1"/>
        </w:numPr>
        <w:rPr/>
      </w:pPr>
      <w:bookmarkStart w:id="637" w:name="__RefHeading___Toc3770249_2870459653"/>
      <w:bookmarkStart w:id="638" w:name="_Toc247"/>
      <w:bookmarkEnd w:id="636"/>
      <w:bookmarkEnd w:id="637"/>
      <w:r>
        <w:rPr>
          <w:rtl w:val="true"/>
        </w:rPr>
        <w:t>الباب الثالث</w:t>
      </w:r>
      <w:r>
        <w:rPr>
          <w:rtl w:val="true"/>
        </w:rPr>
        <w:t xml:space="preserve">: </w:t>
      </w:r>
      <w:r>
        <w:rPr>
          <w:rtl w:val="true"/>
        </w:rPr>
        <w:t>في حمزة</w:t>
      </w:r>
      <w:bookmarkEnd w:id="638"/>
    </w:p>
    <w:p>
      <w:pPr>
        <w:pStyle w:val="Heading6"/>
        <w:numPr>
          <w:ilvl w:val="5"/>
          <w:numId w:val="1"/>
        </w:numPr>
        <w:rPr/>
      </w:pPr>
      <w:bookmarkStart w:id="639" w:name="__RefHeading___Toc3770251_2870459653"/>
      <w:bookmarkStart w:id="640" w:name="_Toc248"/>
      <w:bookmarkEnd w:id="639"/>
      <w:r>
        <w:rPr/>
        <w:t>25</w:t>
      </w:r>
      <w:r>
        <w:rPr>
          <w:rtl w:val="true"/>
        </w:rPr>
        <w:t xml:space="preserve">- </w:t>
      </w:r>
      <w:r>
        <w:rPr>
          <w:rtl w:val="true"/>
        </w:rPr>
        <w:t>حمزة بن بزيع</w:t>
      </w:r>
      <w:bookmarkEnd w:id="64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بزيع من صالحي هذه الطائفة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 المصنّف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صالحي هذه الطائفة إلخ على ما سيأتي في باب محمّد من ذكر هذه العبارة بعد ذكر حمزة في جملة ولد بزيع</w:t>
      </w:r>
      <w:r>
        <w:rPr>
          <w:rStyle w:val="FootnoteAnchor"/>
          <w:rtl w:val="true"/>
        </w:rPr>
        <w:footnoteReference w:id="873"/>
      </w:r>
      <w:r>
        <w:rPr>
          <w:rFonts w:ascii="Amiri" w:hAnsi="Amiri" w:eastAsia="Amiri" w:cs="Amiri"/>
          <w:color w:val="111111"/>
          <w:sz w:val="28"/>
          <w:sz w:val="28"/>
          <w:szCs w:val="28"/>
          <w:rtl w:val="true"/>
          <w:lang w:bidi="ar-SA"/>
        </w:rPr>
        <w:t>، وتلك العبارة تبع فيها كتاب السيّد جمال الدين بن طاووس، والسيّد حكاها من كتاب النجاشيّ</w:t>
      </w:r>
      <w:r>
        <w:rPr>
          <w:rStyle w:val="FootnoteAnchor"/>
          <w:rtl w:val="true"/>
        </w:rPr>
        <w:footnoteReference w:id="874"/>
      </w:r>
      <w:r>
        <w:rPr>
          <w:rFonts w:ascii="Amiri" w:hAnsi="Amiri" w:eastAsia="Amiri" w:cs="Amiri"/>
          <w:color w:val="111111"/>
          <w:sz w:val="28"/>
          <w:sz w:val="28"/>
          <w:szCs w:val="28"/>
          <w:rtl w:val="true"/>
          <w:lang w:bidi="ar-SA"/>
        </w:rPr>
        <w:t>، ووقع في نقله خلل اقتضى توهّم كون الكلام متعلّقاً بحمزة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إنّما ذكر في شأن محمّد بن إسماعيل بن بزيع، فلا يكون لتوثيق حمزة وجه</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3770253_2870459653"/>
      <w:bookmarkStart w:id="642" w:name="_Toc249"/>
      <w:bookmarkEnd w:id="641"/>
      <w:r>
        <w:rPr>
          <w:rtl w:val="true"/>
        </w:rPr>
        <w:t>الباب الخامس</w:t>
      </w:r>
      <w:r>
        <w:rPr>
          <w:rtl w:val="true"/>
        </w:rPr>
        <w:t xml:space="preserve">: </w:t>
      </w:r>
      <w:r>
        <w:rPr>
          <w:rtl w:val="true"/>
        </w:rPr>
        <w:t>في حمّاد</w:t>
      </w:r>
      <w:bookmarkEnd w:id="642"/>
    </w:p>
    <w:p>
      <w:pPr>
        <w:pStyle w:val="Heading6"/>
        <w:numPr>
          <w:ilvl w:val="5"/>
          <w:numId w:val="1"/>
        </w:numPr>
        <w:rPr/>
      </w:pPr>
      <w:bookmarkStart w:id="643" w:name="__RefHeading___Toc3770255_2870459653"/>
      <w:bookmarkStart w:id="644" w:name="_Toc250"/>
      <w:bookmarkEnd w:id="643"/>
      <w:r>
        <w:rPr/>
        <w:t>26</w:t>
      </w:r>
      <w:r>
        <w:rPr>
          <w:rtl w:val="true"/>
        </w:rPr>
        <w:t xml:space="preserve">- </w:t>
      </w:r>
      <w:r>
        <w:rPr>
          <w:rtl w:val="true"/>
        </w:rPr>
        <w:t>حمّاد بن عثمان بن عمرو</w:t>
      </w:r>
      <w:bookmarkEnd w:id="64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بن عمرو</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عثمان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بن عمرو</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الثاني هو الأوّل بعينه؛ لأنّ الشيخ ذكر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645" w:name="pg9167_80483"/>
    </w:p>
    <w:p>
      <w:pPr>
        <w:pStyle w:val="BookText"/>
        <w:rPr/>
      </w:pPr>
      <w:bookmarkEnd w:id="645"/>
      <w:r>
        <w:rPr>
          <w:rFonts w:ascii="Amiri" w:hAnsi="Amiri" w:eastAsia="Amiri" w:cs="Amiri"/>
          <w:color w:val="111111"/>
          <w:sz w:val="28"/>
          <w:sz w:val="28"/>
          <w:szCs w:val="28"/>
          <w:rtl w:val="true"/>
          <w:lang w:bidi="ar-SA"/>
        </w:rPr>
        <w:t>كتاب الرجال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عثمان ذو الناب مولى غنيّ كوفيّ</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والكشّيّ قال في كتابه بعد أن ذكر ما حكاه عنه المصنّف في الترجمة الأولى، ما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عثمان مولى غنيّ مات سنة تسعين ومائة بالكوفة</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فالظاهر أنّ العلّامة أخذ ترجمة الأوّل من الكشّيّ ورجال الشيخ، والثاني من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والنجاشيّ لم يلقّب من ذكره بالناب،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تعدّد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قصرنا النظر على رجال الشيخ وما ذكره الكشّيّ لكان ما ذكره الشيخ حسن تامّاً، إلّا أنّ نظر العلّامة لما في النجاشيّ في ترجمة الآخر يظهر منه عدم الاتّحاد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اقتصار المصنّف على صحبة حمّاد الناب للكاظم والرضا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 الشيخ له في أصحاب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أيضاً</w:t>
      </w:r>
      <w:r>
        <w:rPr>
          <w:rStyle w:val="FootnoteAnchor"/>
          <w:rtl w:val="true"/>
        </w:rPr>
        <w:footnoteReference w:id="87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3770257_2870459653"/>
      <w:bookmarkStart w:id="647" w:name="_Toc251"/>
      <w:bookmarkEnd w:id="646"/>
      <w:r>
        <w:rPr>
          <w:rtl w:val="true"/>
        </w:rPr>
        <w:t>الباب الثامن</w:t>
      </w:r>
      <w:r>
        <w:rPr>
          <w:rtl w:val="true"/>
        </w:rPr>
        <w:t xml:space="preserve">: </w:t>
      </w:r>
      <w:r>
        <w:rPr>
          <w:rtl w:val="true"/>
        </w:rPr>
        <w:t>في حفص</w:t>
      </w:r>
      <w:bookmarkEnd w:id="647"/>
    </w:p>
    <w:p>
      <w:pPr>
        <w:pStyle w:val="Heading6"/>
        <w:numPr>
          <w:ilvl w:val="5"/>
          <w:numId w:val="1"/>
        </w:numPr>
        <w:rPr/>
      </w:pPr>
      <w:bookmarkStart w:id="648" w:name="__RefHeading___Toc3770259_2870459653"/>
      <w:bookmarkStart w:id="649" w:name="_Toc252"/>
      <w:bookmarkEnd w:id="648"/>
      <w:r>
        <w:rPr/>
        <w:t>27</w:t>
      </w:r>
      <w:r>
        <w:rPr>
          <w:rtl w:val="true"/>
        </w:rPr>
        <w:t xml:space="preserve"> - </w:t>
      </w:r>
      <w:r>
        <w:rPr>
          <w:rtl w:val="true"/>
        </w:rPr>
        <w:t>حفص بن سوقة</w:t>
      </w:r>
      <w:bookmarkEnd w:id="64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سوقة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أبو العبّاس وابن نوح في رجالهما، وأخواله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ومحمّد </w:t>
      </w:r>
      <w:bookmarkStart w:id="650" w:name="pg9167_80484"/>
    </w:p>
    <w:p>
      <w:pPr>
        <w:pStyle w:val="BookText"/>
        <w:rPr/>
      </w:pPr>
      <w:bookmarkEnd w:id="650"/>
      <w:r>
        <w:rPr>
          <w:rFonts w:ascii="Amiri" w:hAnsi="Amiri" w:eastAsia="Amiri" w:cs="Amiri"/>
          <w:color w:val="111111"/>
          <w:sz w:val="28"/>
          <w:sz w:val="28"/>
          <w:szCs w:val="28"/>
          <w:rtl w:val="true"/>
          <w:lang w:bidi="ar-SA"/>
        </w:rPr>
        <w:t>ابن سوقة أكثر منه رواية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النجاشيّ، والذي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ومحمّد ابنا سوقة</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والظاهر من عدم تعليق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 أنّ نسخته من هذا الكتاب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الصواب، وقد وقع هذا السهو في كتاب ابن طاووس، وتبعه المصنّف</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3770261_2870459653"/>
      <w:bookmarkStart w:id="652" w:name="_Toc253"/>
      <w:bookmarkEnd w:id="651"/>
      <w:r>
        <w:rPr>
          <w:rtl w:val="true"/>
        </w:rPr>
        <w:t>الباب التاسع</w:t>
      </w:r>
      <w:r>
        <w:rPr>
          <w:rtl w:val="true"/>
        </w:rPr>
        <w:t xml:space="preserve">: </w:t>
      </w:r>
      <w:r>
        <w:rPr>
          <w:rtl w:val="true"/>
        </w:rPr>
        <w:t>في حميد</w:t>
      </w:r>
      <w:bookmarkEnd w:id="652"/>
    </w:p>
    <w:p>
      <w:pPr>
        <w:pStyle w:val="Heading6"/>
        <w:numPr>
          <w:ilvl w:val="5"/>
          <w:numId w:val="1"/>
        </w:numPr>
        <w:rPr/>
      </w:pPr>
      <w:bookmarkStart w:id="653" w:name="__RefHeading___Toc3770263_2870459653"/>
      <w:bookmarkStart w:id="654" w:name="_Toc254"/>
      <w:bookmarkEnd w:id="653"/>
      <w:r>
        <w:rPr/>
        <w:t>28</w:t>
      </w:r>
      <w:r>
        <w:rPr>
          <w:rtl w:val="true"/>
        </w:rPr>
        <w:t xml:space="preserve"> - </w:t>
      </w:r>
      <w:r>
        <w:rPr>
          <w:rtl w:val="true"/>
        </w:rPr>
        <w:t>حميد بن المثنّى</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كوفيّاً مولى بني عجل، ثقة ثقة، ووثّقه أيضاً محمّد بن عليّ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الشيخ في الفهرست</w:t>
      </w:r>
      <w:r>
        <w:rPr>
          <w:rStyle w:val="FootnoteAnchor"/>
          <w:rtl w:val="true"/>
        </w:rPr>
        <w:footnoteReference w:id="884"/>
      </w:r>
      <w:r>
        <w:rPr>
          <w:rFonts w:ascii="Amiri" w:hAnsi="Amiri" w:eastAsia="Amiri" w:cs="Amiri"/>
          <w:color w:val="111111"/>
          <w:sz w:val="28"/>
          <w:sz w:val="28"/>
          <w:szCs w:val="28"/>
          <w:rtl w:val="true"/>
          <w:lang w:bidi="ar-SA"/>
        </w:rPr>
        <w:t xml:space="preserve">أيضاً، وما حكاه المصنّف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طرق من لا يحضره الفقيه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655" w:name="pg9167_80485"/>
    </w:p>
    <w:p>
      <w:pPr>
        <w:pStyle w:val="Heading6"/>
        <w:numPr>
          <w:ilvl w:val="5"/>
          <w:numId w:val="1"/>
        </w:numPr>
        <w:rPr/>
      </w:pPr>
      <w:bookmarkStart w:id="656" w:name="__RefHeading___Toc3770265_2870459653"/>
      <w:bookmarkStart w:id="657" w:name="_Toc255"/>
      <w:bookmarkEnd w:id="655"/>
      <w:bookmarkEnd w:id="656"/>
      <w:r>
        <w:rPr>
          <w:rtl w:val="true"/>
        </w:rPr>
        <w:t>الباب الثاني عشر</w:t>
      </w:r>
      <w:r>
        <w:rPr>
          <w:rtl w:val="true"/>
        </w:rPr>
        <w:t xml:space="preserve">: </w:t>
      </w:r>
      <w:r>
        <w:rPr>
          <w:rtl w:val="true"/>
        </w:rPr>
        <w:t>في حذيفة</w:t>
      </w:r>
      <w:bookmarkEnd w:id="657"/>
    </w:p>
    <w:p>
      <w:pPr>
        <w:pStyle w:val="Heading6"/>
        <w:numPr>
          <w:ilvl w:val="5"/>
          <w:numId w:val="1"/>
        </w:numPr>
        <w:rPr/>
      </w:pPr>
      <w:bookmarkStart w:id="658" w:name="__RefHeading___Toc3770267_2870459653"/>
      <w:bookmarkStart w:id="659" w:name="_Toc256"/>
      <w:bookmarkEnd w:id="658"/>
      <w:r>
        <w:rPr/>
        <w:t>29</w:t>
      </w:r>
      <w:r>
        <w:rPr>
          <w:rtl w:val="true"/>
        </w:rPr>
        <w:t xml:space="preserve">- </w:t>
      </w:r>
      <w:r>
        <w:rPr>
          <w:rtl w:val="true"/>
        </w:rPr>
        <w:t>حذيفة بن منصور</w:t>
      </w:r>
      <w:bookmarkEnd w:id="65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حديثاً في مدحه أحد رواته محمّد بن عيسى، وفيه قول،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غير نقي، يروي الصحيح والسقيم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رواه محمّد بن عيسى، عن يونس، وهو ضعف آخر؛ لأنّ بعض من عمل بروايته استثنى منها ما يرويه عن يونس</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ما ذكره الوالد في رواية محمّد بن عيسى لهذا الحديث عن يونس توهّماً نشأ من ذكر حديثٍ قبله بهذا الطريق</w:t>
      </w:r>
      <w:r>
        <w:rPr>
          <w:rStyle w:val="FootnoteAnchor"/>
          <w:rtl w:val="true"/>
        </w:rPr>
        <w:footnoteReference w:id="890"/>
      </w:r>
      <w:r>
        <w:rPr>
          <w:rFonts w:ascii="Amiri" w:hAnsi="Amiri" w:eastAsia="Amiri" w:cs="Amiri"/>
          <w:color w:val="111111"/>
          <w:sz w:val="28"/>
          <w:sz w:val="28"/>
          <w:szCs w:val="28"/>
          <w:rtl w:val="true"/>
          <w:lang w:bidi="ar-SA"/>
        </w:rPr>
        <w:t>، وإلّا فهو مذكور في موضعين من الكشّيّ برواية ابن عيسى عن صفوان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الكشّيّ من سند الحديث</w:t>
      </w:r>
      <w:r>
        <w:rPr>
          <w:rStyle w:val="FootnoteAnchor"/>
          <w:rtl w:val="true"/>
        </w:rPr>
        <w:footnoteReference w:id="89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حمدويه ومحمّد، </w:t>
      </w:r>
      <w:bookmarkStart w:id="660" w:name="pg9167_80486"/>
    </w:p>
    <w:p>
      <w:pPr>
        <w:pStyle w:val="BookText"/>
        <w:rPr/>
      </w:pPr>
      <w:bookmarkEnd w:id="660"/>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صفوان، عن عبد الرحمن بن الحجّاج</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3770269_2870459653"/>
      <w:bookmarkStart w:id="662" w:name="_Toc257"/>
      <w:bookmarkEnd w:id="661"/>
      <w:r>
        <w:rPr>
          <w:rtl w:val="true"/>
        </w:rPr>
        <w:t>الباب الخامس عشر</w:t>
      </w:r>
      <w:r>
        <w:rPr>
          <w:rtl w:val="true"/>
        </w:rPr>
        <w:t xml:space="preserve">: </w:t>
      </w:r>
      <w:r>
        <w:rPr>
          <w:rtl w:val="true"/>
        </w:rPr>
        <w:t>في الآحاد</w:t>
      </w:r>
      <w:bookmarkEnd w:id="662"/>
    </w:p>
    <w:p>
      <w:pPr>
        <w:pStyle w:val="Heading6"/>
        <w:numPr>
          <w:ilvl w:val="5"/>
          <w:numId w:val="1"/>
        </w:numPr>
        <w:rPr/>
      </w:pPr>
      <w:bookmarkStart w:id="663" w:name="__RefHeading___Toc3770271_2870459653"/>
      <w:bookmarkStart w:id="664" w:name="_Toc258"/>
      <w:bookmarkEnd w:id="663"/>
      <w:r>
        <w:rPr/>
        <w:t>30</w:t>
      </w:r>
      <w:r>
        <w:rPr>
          <w:rtl w:val="true"/>
        </w:rPr>
        <w:t xml:space="preserve">- </w:t>
      </w:r>
      <w:r>
        <w:rPr>
          <w:rtl w:val="true"/>
        </w:rPr>
        <w:t>حجّاج بن رفاعة</w:t>
      </w:r>
      <w:bookmarkEnd w:id="66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رفاعة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ذكره أبو العبّاس</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تكرير توثيقه مرّتين لم يذكره أحد من أصحاب الرجال غير المصنّف، والمعلوم من طريقة المصنّف أن ينقل في كتابه لفظ النجاشيّ في جميع الأبواب، ويزيد عليه ما يقبل الزيادة، ولفظ النجاشيّ هنا بعينه جميع ما ذكره المصنّف غير أنّه اقتصر على توثيقه مرّة واحدة، والنسخة بخطّ السيّد ابن طاووس</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النسخة التي عندي لأصل كتاب النجاشيّ</w:t>
      </w:r>
      <w:r>
        <w:rPr>
          <w:rStyle w:val="FootnoteAnchor"/>
          <w:rtl w:val="true"/>
        </w:rPr>
        <w:footnoteReference w:id="898"/>
      </w:r>
      <w:r>
        <w:rPr>
          <w:rFonts w:ascii="Amiri" w:hAnsi="Amiri" w:eastAsia="Amiri" w:cs="Amiri"/>
          <w:color w:val="111111"/>
          <w:sz w:val="28"/>
          <w:sz w:val="28"/>
          <w:szCs w:val="28"/>
          <w:rtl w:val="true"/>
          <w:lang w:bidi="ar-SA"/>
        </w:rPr>
        <w:t>، وهي مصحّحة من نسخةٍ قديمة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التي يشير إليها الوالد</w:t>
      </w:r>
      <w:r>
        <w:rPr>
          <w:rStyle w:val="FootnoteAnchor"/>
          <w:rtl w:val="true"/>
        </w:rPr>
        <w:footnoteReference w:id="899"/>
      </w:r>
      <w:r>
        <w:rPr>
          <w:rFonts w:ascii="Amiri" w:hAnsi="Amiri" w:eastAsia="Amiri" w:cs="Amiri"/>
          <w:color w:val="111111"/>
          <w:sz w:val="28"/>
          <w:sz w:val="28"/>
          <w:szCs w:val="28"/>
          <w:rtl w:val="true"/>
          <w:lang w:bidi="ar-SA"/>
        </w:rPr>
        <w:t xml:space="preserve">بخطّ السيّد ابن طاووس يريد بها نفس كتاب السيّد؛ لأنّه يحكي فيه عبارات الكتب، لا نسخة مستقلّة لكتاب </w:t>
      </w:r>
      <w:bookmarkStart w:id="665" w:name="pg9167_80487"/>
    </w:p>
    <w:p>
      <w:pPr>
        <w:pStyle w:val="BookText"/>
        <w:rPr/>
      </w:pPr>
      <w:bookmarkEnd w:id="665"/>
      <w:r>
        <w:rPr>
          <w:rFonts w:ascii="Amiri" w:hAnsi="Amiri" w:eastAsia="Amiri" w:cs="Amiri"/>
          <w:color w:val="111111"/>
          <w:sz w:val="28"/>
          <w:sz w:val="28"/>
          <w:szCs w:val="28"/>
          <w:rtl w:val="true"/>
          <w:lang w:bidi="ar-SA"/>
        </w:rPr>
        <w:t xml:space="preserve">النجاشيّ، والوجه في تفسير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بالعبارة التي ذكرها، وهو يكرّرها أيضاً أنّ السيّد أورد كلام النجاشيّ في كتابه بصورة إدخال الكتاب بجملته موزّعاً على الأبواب، والحال أنّه اختصار للكتاب لا مجموعه، وحيث لم يتيسّر للوالد الوقوف على أصل الكتاب ليتبيّن الحال، وبنى على ظاهر كلام السيّد ظنّ أنّه هو بعينه، وكم قد فات كتاب السيّد من فوائد ورجال لم يذكرها أصلاً، وهي في أصل الكتاب، مع إيهام كلامه خلاف ذلك</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3770273_2870459653"/>
      <w:bookmarkStart w:id="667" w:name="_Toc259"/>
      <w:bookmarkEnd w:id="666"/>
      <w:r>
        <w:rPr>
          <w:rtl w:val="true"/>
        </w:rPr>
        <w:t>الفصل الثامن</w:t>
      </w:r>
      <w:r>
        <w:rPr>
          <w:rtl w:val="true"/>
        </w:rPr>
        <w:t xml:space="preserve">: </w:t>
      </w:r>
      <w:r>
        <w:rPr>
          <w:rtl w:val="true"/>
        </w:rPr>
        <w:t>في الدالّ</w:t>
      </w:r>
      <w:bookmarkEnd w:id="667"/>
    </w:p>
    <w:p>
      <w:pPr>
        <w:pStyle w:val="Heading6"/>
        <w:numPr>
          <w:ilvl w:val="5"/>
          <w:numId w:val="1"/>
        </w:numPr>
        <w:rPr/>
      </w:pPr>
      <w:bookmarkStart w:id="668" w:name="__RefHeading___Toc3770275_2870459653"/>
      <w:bookmarkStart w:id="669" w:name="_Toc260"/>
      <w:bookmarkEnd w:id="668"/>
      <w:r>
        <w:rPr>
          <w:rtl w:val="true"/>
        </w:rPr>
        <w:t>الباب الأوّل</w:t>
      </w:r>
      <w:r>
        <w:rPr>
          <w:rtl w:val="true"/>
        </w:rPr>
        <w:t xml:space="preserve">: </w:t>
      </w:r>
      <w:r>
        <w:rPr>
          <w:rtl w:val="true"/>
        </w:rPr>
        <w:t>في داود</w:t>
      </w:r>
      <w:bookmarkEnd w:id="669"/>
    </w:p>
    <w:p>
      <w:pPr>
        <w:pStyle w:val="Heading6"/>
        <w:numPr>
          <w:ilvl w:val="5"/>
          <w:numId w:val="1"/>
        </w:numPr>
        <w:rPr/>
      </w:pPr>
      <w:bookmarkStart w:id="670" w:name="__RefHeading___Toc3770277_2870459653"/>
      <w:bookmarkStart w:id="671" w:name="_Toc261"/>
      <w:bookmarkEnd w:id="670"/>
      <w:r>
        <w:rPr/>
        <w:t>31</w:t>
      </w:r>
      <w:r>
        <w:rPr>
          <w:rtl w:val="true"/>
        </w:rPr>
        <w:t xml:space="preserve"> - </w:t>
      </w:r>
      <w:r>
        <w:rPr>
          <w:rtl w:val="true"/>
        </w:rPr>
        <w:t>داود بن زربي</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ذكره ابن عقدة</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النجاشيّ خالٍ من توثيق داود بن زربي</w:t>
      </w:r>
      <w:r>
        <w:rPr>
          <w:rStyle w:val="FootnoteAnchor"/>
          <w:rtl w:val="true"/>
        </w:rPr>
        <w:footnoteReference w:id="902"/>
      </w:r>
      <w:r>
        <w:rPr>
          <w:rFonts w:ascii="Amiri" w:hAnsi="Amiri" w:eastAsia="Amiri" w:cs="Amiri"/>
          <w:color w:val="111111"/>
          <w:sz w:val="28"/>
          <w:sz w:val="28"/>
          <w:szCs w:val="28"/>
          <w:rtl w:val="true"/>
          <w:lang w:bidi="ar-SA"/>
        </w:rPr>
        <w:t xml:space="preserve">، وحكاه ابن طاووس في </w:t>
      </w:r>
      <w:bookmarkStart w:id="672" w:name="pg9167_80488"/>
    </w:p>
    <w:p>
      <w:pPr>
        <w:pStyle w:val="BookText"/>
        <w:rPr/>
      </w:pPr>
      <w:bookmarkEnd w:id="672"/>
      <w:r>
        <w:rPr>
          <w:rFonts w:ascii="Amiri" w:hAnsi="Amiri" w:eastAsia="Amiri" w:cs="Amiri"/>
          <w:color w:val="111111"/>
          <w:sz w:val="28"/>
          <w:sz w:val="28"/>
          <w:szCs w:val="28"/>
          <w:rtl w:val="true"/>
          <w:lang w:bidi="ar-SA"/>
        </w:rPr>
        <w:t>كتابه على عادته، وليس فيه تعرّض لتوثيقه</w:t>
      </w:r>
      <w:r>
        <w:rPr>
          <w:rStyle w:val="FootnoteAnchor"/>
          <w:rtl w:val="true"/>
        </w:rPr>
        <w:footnoteReference w:id="903"/>
      </w:r>
      <w:r>
        <w:rPr>
          <w:rFonts w:ascii="Amiri" w:hAnsi="Amiri" w:eastAsia="Amiri" w:cs="Amiri"/>
          <w:color w:val="111111"/>
          <w:sz w:val="28"/>
          <w:sz w:val="28"/>
          <w:szCs w:val="28"/>
          <w:rtl w:val="true"/>
          <w:lang w:bidi="ar-SA"/>
        </w:rPr>
        <w:t>أيضاً، ويشبه</w:t>
      </w:r>
      <w:r>
        <w:rPr>
          <w:rStyle w:val="FootnoteAnchor"/>
          <w:rtl w:val="true"/>
        </w:rPr>
        <w:footnoteReference w:id="904"/>
      </w:r>
      <w:r>
        <w:rPr>
          <w:rFonts w:ascii="Amiri" w:hAnsi="Amiri" w:eastAsia="Amiri" w:cs="Amiri"/>
          <w:color w:val="111111"/>
          <w:sz w:val="28"/>
          <w:sz w:val="28"/>
          <w:szCs w:val="28"/>
          <w:rtl w:val="true"/>
          <w:lang w:bidi="ar-SA"/>
        </w:rPr>
        <w:t>أن يكون منشأ توهّم ذلك من كلام السيّد؛ فإنّ المصنّف كثير التقيّد</w:t>
      </w:r>
      <w:r>
        <w:rPr>
          <w:rStyle w:val="FootnoteAnchor"/>
          <w:rtl w:val="true"/>
        </w:rPr>
        <w:footnoteReference w:id="905"/>
      </w:r>
      <w:r>
        <w:rPr>
          <w:rFonts w:ascii="Amiri" w:hAnsi="Amiri" w:eastAsia="Amiri" w:cs="Amiri"/>
          <w:color w:val="111111"/>
          <w:sz w:val="28"/>
          <w:sz w:val="28"/>
          <w:szCs w:val="28"/>
          <w:rtl w:val="true"/>
          <w:lang w:bidi="ar-SA"/>
        </w:rPr>
        <w:t>به، وفي خطّ السيّد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تصحّف بلفظ ثقة، فلا يبعد أن يكون وقع تصحيفها بالفعل في</w:t>
      </w:r>
      <w:r>
        <w:rPr>
          <w:rStyle w:val="FootnoteAnchor"/>
          <w:rtl w:val="true"/>
        </w:rPr>
        <w:footnoteReference w:id="906"/>
      </w:r>
      <w:r>
        <w:rPr>
          <w:rFonts w:ascii="Amiri" w:hAnsi="Amiri" w:eastAsia="Amiri" w:cs="Amiri"/>
          <w:color w:val="111111"/>
          <w:sz w:val="28"/>
          <w:sz w:val="28"/>
          <w:szCs w:val="28"/>
          <w:rtl w:val="true"/>
          <w:lang w:bidi="ar-SA"/>
        </w:rPr>
        <w:t>بعض نسخ كتاب السيّد، أو توهّمها المصنّف</w:t>
      </w:r>
      <w:r>
        <w:rPr>
          <w:rStyle w:val="FootnoteAnchor"/>
          <w:rtl w:val="true"/>
        </w:rPr>
        <w:footnoteReference w:id="907"/>
      </w:r>
      <w:r>
        <w:rPr>
          <w:rFonts w:ascii="Amiri" w:hAnsi="Amiri" w:eastAsia="Amiri" w:cs="Amiri"/>
          <w:color w:val="111111"/>
          <w:sz w:val="28"/>
          <w:sz w:val="28"/>
          <w:szCs w:val="28"/>
          <w:rtl w:val="true"/>
          <w:lang w:bidi="ar-SA"/>
        </w:rPr>
        <w:t>كذلك إن كان استمداده من خطّ السيّد</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770279_2870459653"/>
      <w:bookmarkStart w:id="674" w:name="_Toc262"/>
      <w:bookmarkEnd w:id="673"/>
      <w:r>
        <w:rPr>
          <w:rtl w:val="true"/>
        </w:rPr>
        <w:t>الفصل العاشر</w:t>
      </w:r>
      <w:r>
        <w:rPr>
          <w:rtl w:val="true"/>
        </w:rPr>
        <w:t xml:space="preserve">: </w:t>
      </w:r>
      <w:r>
        <w:rPr>
          <w:rtl w:val="true"/>
        </w:rPr>
        <w:t>في الراء الآحاد</w:t>
      </w:r>
      <w:bookmarkEnd w:id="674"/>
    </w:p>
    <w:p>
      <w:pPr>
        <w:pStyle w:val="Heading6"/>
        <w:numPr>
          <w:ilvl w:val="5"/>
          <w:numId w:val="1"/>
        </w:numPr>
        <w:rPr/>
      </w:pPr>
      <w:bookmarkStart w:id="675" w:name="__RefHeading___Toc3770281_2870459653"/>
      <w:bookmarkStart w:id="676" w:name="_Toc263"/>
      <w:bookmarkEnd w:id="675"/>
      <w:r>
        <w:rPr/>
        <w:t>32</w:t>
      </w:r>
      <w:r>
        <w:rPr>
          <w:rtl w:val="true"/>
        </w:rPr>
        <w:t xml:space="preserve"> - </w:t>
      </w:r>
      <w:r>
        <w:rPr>
          <w:rtl w:val="true"/>
        </w:rPr>
        <w:t>رزيق بن مرزوق</w:t>
      </w:r>
      <w:bookmarkEnd w:id="67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رزيق بن مرزوق</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رزيق بن مرزوق كوفيّ ثقة</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ذكره النجاشيّ في باب الزاي، ونقله عنه السيّد جمال الدين</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677" w:name="pg9167_80489"/>
    </w:p>
    <w:p>
      <w:pPr>
        <w:pStyle w:val="BookText"/>
        <w:rPr/>
      </w:pPr>
      <w:bookmarkEnd w:id="67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عن النجاشيّ على نقل السيّد جمال الدين، ولم يكن كتاب النجاشيّ بعينه عنده، وحيث كان الظاهر من كلام السيّد أنّه ضمّن</w:t>
      </w:r>
      <w:r>
        <w:rPr>
          <w:rStyle w:val="FootnoteAnchor"/>
          <w:rtl w:val="true"/>
        </w:rPr>
        <w:footnoteReference w:id="911"/>
      </w:r>
      <w:r>
        <w:rPr>
          <w:rFonts w:ascii="Amiri" w:hAnsi="Amiri" w:eastAsia="Amiri" w:cs="Amiri"/>
          <w:color w:val="111111"/>
          <w:sz w:val="28"/>
          <w:sz w:val="28"/>
          <w:szCs w:val="28"/>
          <w:rtl w:val="true"/>
          <w:lang w:bidi="ar-SA"/>
        </w:rPr>
        <w:t>كتابه نفس كتاب النجاشيّ اكتفى الوالد بالنقل من كتاب السيّد في الحكاية عن النجاشيّ، والذي في كتاب النجاشيّ</w:t>
      </w:r>
      <w:r>
        <w:rPr>
          <w:rStyle w:val="FootnoteAnchor"/>
          <w:rtl w:val="true"/>
        </w:rPr>
        <w:footnoteReference w:id="912"/>
      </w:r>
      <w:r>
        <w:rPr>
          <w:rFonts w:ascii="Amiri" w:hAnsi="Amiri" w:eastAsia="Amiri" w:cs="Amiri"/>
          <w:color w:val="111111"/>
          <w:sz w:val="28"/>
          <w:sz w:val="28"/>
          <w:szCs w:val="28"/>
          <w:rtl w:val="true"/>
          <w:lang w:bidi="ar-SA"/>
        </w:rPr>
        <w:t>هنا موافقٌ لكلام المصنّف، وما أدري كيف توهّم السيّد جمال الدين حتّى حكاه عنه في باب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وقع ذكره في باب الراء متوسّطاً في الأثناء وبعده عدّة أسماء</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3770283_2870459653"/>
      <w:bookmarkStart w:id="679" w:name="_Toc264"/>
      <w:bookmarkEnd w:id="678"/>
      <w:r>
        <w:rPr>
          <w:rtl w:val="true"/>
        </w:rPr>
        <w:t>الفصل الحادي عشر</w:t>
      </w:r>
      <w:r>
        <w:rPr>
          <w:rtl w:val="true"/>
        </w:rPr>
        <w:t xml:space="preserve">: </w:t>
      </w:r>
      <w:r>
        <w:rPr>
          <w:rtl w:val="true"/>
        </w:rPr>
        <w:t>في الزاي</w:t>
      </w:r>
      <w:bookmarkEnd w:id="679"/>
    </w:p>
    <w:p>
      <w:pPr>
        <w:pStyle w:val="Heading6"/>
        <w:numPr>
          <w:ilvl w:val="5"/>
          <w:numId w:val="1"/>
        </w:numPr>
        <w:rPr/>
      </w:pPr>
      <w:bookmarkStart w:id="680" w:name="__RefHeading___Toc3770285_2870459653"/>
      <w:bookmarkStart w:id="681" w:name="_Toc265"/>
      <w:bookmarkEnd w:id="680"/>
      <w:r>
        <w:rPr>
          <w:rtl w:val="true"/>
        </w:rPr>
        <w:t>الباب الثالث</w:t>
      </w:r>
      <w:r>
        <w:rPr>
          <w:rtl w:val="true"/>
        </w:rPr>
        <w:t xml:space="preserve">: </w:t>
      </w:r>
      <w:r>
        <w:rPr>
          <w:rtl w:val="true"/>
        </w:rPr>
        <w:t>في زكريا</w:t>
      </w:r>
      <w:bookmarkEnd w:id="681"/>
    </w:p>
    <w:p>
      <w:pPr>
        <w:pStyle w:val="Heading6"/>
        <w:numPr>
          <w:ilvl w:val="5"/>
          <w:numId w:val="1"/>
        </w:numPr>
        <w:rPr/>
      </w:pPr>
      <w:bookmarkStart w:id="682" w:name="__RefHeading___Toc3770287_2870459653"/>
      <w:bookmarkStart w:id="683" w:name="_Toc266"/>
      <w:bookmarkEnd w:id="682"/>
      <w:r>
        <w:rPr/>
        <w:t>33</w:t>
      </w:r>
      <w:r>
        <w:rPr>
          <w:rtl w:val="true"/>
        </w:rPr>
        <w:t xml:space="preserve">- </w:t>
      </w:r>
      <w:r>
        <w:rPr>
          <w:rtl w:val="true"/>
        </w:rPr>
        <w:t>زكريا بن سابور</w:t>
      </w:r>
      <w:bookmarkEnd w:id="68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سابور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يوثّقه من الجماعة غير المصنّف</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سابور، لا هذا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وثّقه النجاشيّ</w:t>
      </w:r>
      <w:r>
        <w:rPr>
          <w:rStyle w:val="FootnoteAnchor"/>
          <w:rtl w:val="true"/>
        </w:rPr>
        <w:footnoteReference w:id="916"/>
      </w:r>
      <w:r>
        <w:rPr>
          <w:rFonts w:ascii="Amiri" w:hAnsi="Amiri" w:eastAsia="Amiri" w:cs="Amiri"/>
          <w:color w:val="111111"/>
          <w:sz w:val="28"/>
          <w:sz w:val="28"/>
          <w:szCs w:val="28"/>
          <w:rtl w:val="true"/>
          <w:lang w:bidi="ar-SA"/>
        </w:rPr>
        <w:t xml:space="preserve">عند ذكر أخيه بسطام، وتقدّم ذلك في كلام المصنّف </w:t>
      </w:r>
      <w:bookmarkStart w:id="684" w:name="pg9167_80490"/>
    </w:p>
    <w:p>
      <w:pPr>
        <w:pStyle w:val="BookText"/>
        <w:rPr/>
      </w:pPr>
      <w:bookmarkEnd w:id="684"/>
      <w:r>
        <w:rPr>
          <w:rFonts w:ascii="Amiri" w:hAnsi="Amiri" w:eastAsia="Amiri" w:cs="Amiri"/>
          <w:color w:val="111111"/>
          <w:sz w:val="28"/>
          <w:sz w:val="28"/>
          <w:szCs w:val="28"/>
          <w:rtl w:val="true"/>
          <w:lang w:bidi="ar-SA"/>
        </w:rPr>
        <w:t>تبعاً 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5" w:name="__RefHeading___Toc3770289_2870459653"/>
      <w:bookmarkStart w:id="686" w:name="_Toc267"/>
      <w:bookmarkEnd w:id="685"/>
      <w:r>
        <w:rPr>
          <w:rtl w:val="true"/>
        </w:rPr>
        <w:t>الباب الرابع</w:t>
      </w:r>
      <w:r>
        <w:rPr>
          <w:rtl w:val="true"/>
        </w:rPr>
        <w:t xml:space="preserve">: </w:t>
      </w:r>
      <w:r>
        <w:rPr>
          <w:rtl w:val="true"/>
        </w:rPr>
        <w:t>في الآحاد</w:t>
      </w:r>
      <w:bookmarkEnd w:id="686"/>
    </w:p>
    <w:p>
      <w:pPr>
        <w:pStyle w:val="Heading6"/>
        <w:numPr>
          <w:ilvl w:val="5"/>
          <w:numId w:val="1"/>
        </w:numPr>
        <w:rPr/>
      </w:pPr>
      <w:bookmarkStart w:id="687" w:name="__RefHeading___Toc3770291_2870459653"/>
      <w:bookmarkStart w:id="688" w:name="_Toc268"/>
      <w:bookmarkEnd w:id="687"/>
      <w:r>
        <w:rPr/>
        <w:t>34</w:t>
      </w:r>
      <w:r>
        <w:rPr>
          <w:rtl w:val="true"/>
        </w:rPr>
        <w:t xml:space="preserve">- </w:t>
      </w:r>
      <w:r>
        <w:rPr>
          <w:rtl w:val="true"/>
        </w:rPr>
        <w:t>زرارة بن أعين</w:t>
      </w:r>
      <w:bookmarkEnd w:id="68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الكشّيّ أحاديث تدلّ على عدالته، وعارضت تلك الأحاديث أخبار أخر تدلّ على القدح فيه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حاصل ما ذكره الكشّيّ في حقّ زرارة أحاديث تزيد عن العشرين تقتضي ذمّه، وكلّها ضعيفة السند جدّاً، وفي أكثرها محمّد بن عيسى العبيديّ، إلّا حديثاً واحداً طريقه صحيح، إلّا أنّه مرسل؛ لأنّ راويه محمّد بن قولويه، عن محمّد ابن أبي القاسم ماجيلويه، عن زياد بن أبي الحلال،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أنّ زياداً الذي هو من رجال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إلى زمن ابن ماجيلويه المعاصر لابن بابويه ومَن في طبقته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نظر واضح، والوالد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فيه السيّد جمال الدين ابن طاووس، ووجه النظر أنّ محمّد بن أبي القاسم ماجيلويه لم يكن معاصراً لأبي جعفر ابن بابويه، وإنّما المعاصر له محمّد بن عليّ ماجيلويه، والذي يظهر من كلام أبي جعفر </w:t>
      </w:r>
      <w:bookmarkStart w:id="689" w:name="pg9167_80491"/>
    </w:p>
    <w:p>
      <w:pPr>
        <w:pStyle w:val="BookText"/>
        <w:rPr/>
      </w:pPr>
      <w:bookmarkEnd w:id="689"/>
      <w:r>
        <w:rPr>
          <w:rFonts w:ascii="Amiri" w:hAnsi="Amiri" w:eastAsia="Amiri" w:cs="Amiri"/>
          <w:color w:val="111111"/>
          <w:sz w:val="28"/>
          <w:sz w:val="28"/>
          <w:szCs w:val="28"/>
          <w:rtl w:val="true"/>
          <w:lang w:bidi="ar-SA"/>
        </w:rPr>
        <w:t>ابن بابويه أنّ الأوّل عمّ الثاني، ذكر ذلك في أسانيد من لا يحضره الفقيه</w:t>
      </w:r>
      <w:r>
        <w:rPr>
          <w:rStyle w:val="FootnoteAnchor"/>
          <w:rtl w:val="true"/>
        </w:rPr>
        <w:footnoteReference w:id="921"/>
      </w:r>
      <w:r>
        <w:rPr>
          <w:rFonts w:ascii="Amiri" w:hAnsi="Amiri" w:eastAsia="Amiri" w:cs="Amiri"/>
          <w:color w:val="111111"/>
          <w:sz w:val="28"/>
          <w:sz w:val="28"/>
          <w:szCs w:val="28"/>
          <w:rtl w:val="true"/>
          <w:lang w:bidi="ar-SA"/>
        </w:rPr>
        <w:t>، وفي النجاشيّ ما يعطي أنّه جدّه لا عمّه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حال فاستبعاد لقائه لأصحاب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في الجواب عن أخبار الطعن حملها على التقيّة، وقد ورد ذلك في حديث رواه الكشّيّ</w:t>
      </w:r>
      <w:r>
        <w:rPr>
          <w:rStyle w:val="FootnoteAnchor"/>
          <w:rtl w:val="true"/>
        </w:rPr>
        <w:footnoteReference w:id="923"/>
      </w:r>
      <w:r>
        <w:rPr>
          <w:rFonts w:ascii="Amiri" w:hAnsi="Amiri" w:eastAsia="Amiri" w:cs="Amiri"/>
          <w:color w:val="111111"/>
          <w:sz w:val="28"/>
          <w:sz w:val="28"/>
          <w:szCs w:val="28"/>
          <w:rtl w:val="true"/>
          <w:lang w:bidi="ar-SA"/>
        </w:rPr>
        <w:t>، وطريقه وإن لم يكن صحيحاً لكنّه على وجه الحمل مساعد للاعتبار</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3770293_2870459653"/>
      <w:bookmarkStart w:id="691" w:name="_Toc269"/>
      <w:bookmarkEnd w:id="690"/>
      <w:r>
        <w:rPr/>
        <w:t>35</w:t>
      </w:r>
      <w:r>
        <w:rPr>
          <w:rtl w:val="true"/>
        </w:rPr>
        <w:t xml:space="preserve"> - </w:t>
      </w:r>
      <w:r>
        <w:rPr>
          <w:rtl w:val="true"/>
        </w:rPr>
        <w:t>زكّار</w:t>
      </w:r>
      <w:bookmarkEnd w:id="69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زكّار بن</w:t>
      </w:r>
      <w:r>
        <w:rPr>
          <w:rStyle w:val="FootnoteAnchor"/>
          <w:rtl w:val="true"/>
        </w:rPr>
        <w:footnoteReference w:id="925"/>
      </w:r>
      <w:r>
        <w:rPr>
          <w:rFonts w:ascii="IRNazanin" w:hAnsi="IRNazanin" w:eastAsia="IRNazanin"/>
          <w:color w:val="111111"/>
          <w:sz w:val="28"/>
          <w:sz w:val="28"/>
          <w:szCs w:val="28"/>
          <w:rtl w:val="true"/>
          <w:lang w:bidi="fa-IR"/>
        </w:rPr>
        <w:t>أبو</w:t>
      </w:r>
      <w:r>
        <w:rPr>
          <w:rStyle w:val="FootnoteAnchor"/>
          <w:rtl w:val="true"/>
        </w:rPr>
        <w:footnoteReference w:id="926"/>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692" w:name="pg9167_80492"/>
    </w:p>
    <w:p>
      <w:pPr>
        <w:pStyle w:val="BookText"/>
        <w:rPr/>
      </w:pPr>
      <w:bookmarkEnd w:id="6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 زكّار أبو الحسن، والظاهر أنّ هذه النسخة</w:t>
      </w:r>
      <w:r>
        <w:rPr>
          <w:rStyle w:val="FootnoteAnchor"/>
          <w:rtl w:val="true"/>
        </w:rPr>
        <w:footnoteReference w:id="928"/>
      </w:r>
      <w:r>
        <w:rPr>
          <w:rFonts w:ascii="Amiri" w:hAnsi="Amiri" w:eastAsia="Amiri" w:cs="Amiri"/>
          <w:color w:val="111111"/>
          <w:sz w:val="28"/>
          <w:sz w:val="28"/>
          <w:szCs w:val="28"/>
          <w:rtl w:val="true"/>
          <w:lang w:bidi="ar-SA"/>
        </w:rPr>
        <w:t>هي الصحيحة؛ لأنّ الشيخ في التهذيب روى عنه حديثاً في باب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زكّار بن فرقد</w:t>
      </w:r>
      <w:r>
        <w:rPr>
          <w:rStyle w:val="FootnoteAnchor"/>
          <w:rtl w:val="true"/>
        </w:rPr>
        <w:footnoteReference w:id="929"/>
      </w:r>
      <w:r>
        <w:rPr>
          <w:rFonts w:ascii="Amiri" w:hAnsi="Amiri" w:eastAsia="Amiri" w:cs="Amiri"/>
          <w:color w:val="111111"/>
          <w:sz w:val="28"/>
          <w:sz w:val="28"/>
          <w:szCs w:val="28"/>
          <w:rtl w:val="true"/>
          <w:lang w:bidi="ar-SA"/>
        </w:rPr>
        <w:t>، وهو ينافي ابن الحسن، لا أبو الحسن</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Style w:val="FootnoteAnchor"/>
          <w:rtl w:val="true"/>
        </w:rPr>
        <w:footnoteReference w:id="931"/>
      </w:r>
      <w:r>
        <w:rPr>
          <w:rFonts w:ascii="Amiri" w:hAnsi="Amiri" w:eastAsia="Amiri" w:cs="Amiri"/>
          <w:color w:val="111111"/>
          <w:sz w:val="28"/>
          <w:sz w:val="28"/>
          <w:szCs w:val="28"/>
          <w:rtl w:val="true"/>
          <w:lang w:bidi="ar-SA"/>
        </w:rPr>
        <w:t>غير هذا بشهادة تأمّل الطبقة والرجوع إلى القرائن الحاليّة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3770295_2870459653"/>
      <w:bookmarkStart w:id="694" w:name="_Toc270"/>
      <w:bookmarkEnd w:id="693"/>
      <w:r>
        <w:rPr>
          <w:rtl w:val="true"/>
        </w:rPr>
        <w:t>الفصل الثاني عشر</w:t>
      </w:r>
      <w:r>
        <w:rPr>
          <w:rtl w:val="true"/>
        </w:rPr>
        <w:t xml:space="preserve">: </w:t>
      </w:r>
      <w:r>
        <w:rPr>
          <w:rtl w:val="true"/>
        </w:rPr>
        <w:t>في السين</w:t>
      </w:r>
      <w:bookmarkEnd w:id="694"/>
    </w:p>
    <w:p>
      <w:pPr>
        <w:pStyle w:val="Heading6"/>
        <w:numPr>
          <w:ilvl w:val="5"/>
          <w:numId w:val="1"/>
        </w:numPr>
        <w:rPr/>
      </w:pPr>
      <w:bookmarkStart w:id="695" w:name="__RefHeading___Toc3770297_2870459653"/>
      <w:bookmarkStart w:id="696" w:name="_Toc271"/>
      <w:bookmarkEnd w:id="695"/>
      <w:r>
        <w:rPr>
          <w:rtl w:val="true"/>
        </w:rPr>
        <w:t>الباب الأوّل</w:t>
      </w:r>
      <w:r>
        <w:rPr>
          <w:rtl w:val="true"/>
        </w:rPr>
        <w:t xml:space="preserve">: </w:t>
      </w:r>
      <w:r>
        <w:rPr>
          <w:rtl w:val="true"/>
        </w:rPr>
        <w:t>في سليمان</w:t>
      </w:r>
      <w:bookmarkEnd w:id="696"/>
    </w:p>
    <w:p>
      <w:pPr>
        <w:pStyle w:val="Heading6"/>
        <w:numPr>
          <w:ilvl w:val="5"/>
          <w:numId w:val="1"/>
        </w:numPr>
        <w:rPr/>
      </w:pPr>
      <w:bookmarkStart w:id="697" w:name="__RefHeading___Toc3770299_2870459653"/>
      <w:bookmarkStart w:id="698" w:name="_Toc272"/>
      <w:bookmarkEnd w:id="697"/>
      <w:r>
        <w:rPr/>
        <w:t>36</w:t>
      </w:r>
      <w:r>
        <w:rPr>
          <w:rtl w:val="true"/>
        </w:rPr>
        <w:t xml:space="preserve"> - </w:t>
      </w:r>
      <w:r>
        <w:rPr>
          <w:rtl w:val="true"/>
        </w:rPr>
        <w:t>سليمان بن سفيان</w:t>
      </w:r>
      <w:bookmarkEnd w:id="69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سفيان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المسترقّ أبو داود، وهو المنشد، وكان ثقة</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لتوثيق أبي داود المسترقّ مأخذ إلّا ما ذكره في الكشّيّ عن محمّد </w:t>
      </w:r>
    </w:p>
    <w:p>
      <w:pPr>
        <w:pStyle w:val="BookText"/>
        <w:rPr/>
      </w:pP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الحسن بن فضّال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سليمان بن سفيان المسترقّ، وهو المنشد، وكان ثقةً</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فالأصل في توثيقه عليّ ابن الحسن، وحاله في المذهب</w:t>
      </w:r>
      <w:r>
        <w:rPr>
          <w:rStyle w:val="FootnoteAnchor"/>
          <w:rtl w:val="true"/>
        </w:rPr>
        <w:footnoteReference w:id="936"/>
      </w:r>
      <w:r>
        <w:rPr>
          <w:rFonts w:ascii="Amiri" w:hAnsi="Amiri" w:eastAsia="Amiri" w:cs="Amiri"/>
          <w:color w:val="111111"/>
          <w:sz w:val="28"/>
          <w:sz w:val="28"/>
          <w:szCs w:val="28"/>
          <w:rtl w:val="true"/>
          <w:lang w:bidi="ar-SA"/>
        </w:rPr>
        <w:t>معلوم، وفي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دلالة على أنّ المأخذ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السيّد جمال الدين ما يوهم أنّ التوثيق في كلام الكشّيّ، وليس كذلك</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سنة 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النجاشيّ أنّه مات سنة إحدى وثلاثين ومائتين، وذكر أيضاً عن بعض الناس أنّه رآه سنة خمس وعشرين ومائتين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المصنّف مذكور في اختيار الكشّيّ</w:t>
      </w:r>
      <w:r>
        <w:rPr>
          <w:rStyle w:val="FootnoteAnchor"/>
          <w:rtl w:val="true"/>
        </w:rPr>
        <w:footnoteReference w:id="939"/>
      </w:r>
      <w:r>
        <w:rPr>
          <w:rFonts w:ascii="Amiri" w:hAnsi="Amiri" w:eastAsia="Amiri" w:cs="Amiri"/>
          <w:color w:val="111111"/>
          <w:sz w:val="28"/>
          <w:sz w:val="28"/>
          <w:szCs w:val="28"/>
          <w:rtl w:val="true"/>
          <w:lang w:bidi="ar-SA"/>
        </w:rPr>
        <w:t xml:space="preserve">، وكلام النجاشيّ أحقّ بالاتّباع،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ذلك من كتاب ابن طاووس، وهو لم يذكر في هذا الموضع كلام النجاشيّ، بل اقتصر على حكاية هذا الكلام عن الكشّيّ، والمصنّف يكتفي بكلام السيّد عن مراجعة الكتب، كما تبيّن في تضاعيف كلامه، فلذلك لم يطّلع على ما ذكره النجاشيّ</w:t>
      </w:r>
      <w:r>
        <w:rPr>
          <w:rFonts w:eastAsia="Amiri" w:cs="Amiri" w:ascii="Amiri" w:hAnsi="Amiri"/>
          <w:color w:val="111111"/>
          <w:sz w:val="28"/>
          <w:szCs w:val="28"/>
          <w:rtl w:val="true"/>
          <w:lang w:bidi="ar-SA"/>
        </w:rPr>
        <w:t xml:space="preserve">. </w:t>
      </w:r>
      <w:bookmarkStart w:id="699" w:name="pg9167_80494"/>
    </w:p>
    <w:p>
      <w:pPr>
        <w:pStyle w:val="Heading6"/>
        <w:numPr>
          <w:ilvl w:val="5"/>
          <w:numId w:val="1"/>
        </w:numPr>
        <w:rPr/>
      </w:pPr>
      <w:bookmarkStart w:id="700" w:name="__RefHeading___Toc3770301_2870459653"/>
      <w:bookmarkStart w:id="701" w:name="_Toc273"/>
      <w:bookmarkEnd w:id="699"/>
      <w:bookmarkEnd w:id="700"/>
      <w:r>
        <w:rPr>
          <w:rtl w:val="true"/>
        </w:rPr>
        <w:t>الباب الرابع</w:t>
      </w:r>
      <w:r>
        <w:rPr>
          <w:rtl w:val="true"/>
        </w:rPr>
        <w:t xml:space="preserve">: </w:t>
      </w:r>
      <w:r>
        <w:rPr>
          <w:rtl w:val="true"/>
        </w:rPr>
        <w:t>في سهل</w:t>
      </w:r>
      <w:bookmarkEnd w:id="701"/>
    </w:p>
    <w:p>
      <w:pPr>
        <w:pStyle w:val="Heading6"/>
        <w:numPr>
          <w:ilvl w:val="5"/>
          <w:numId w:val="1"/>
        </w:numPr>
        <w:rPr/>
      </w:pPr>
      <w:bookmarkStart w:id="702" w:name="__RefHeading___Toc3770303_2870459653"/>
      <w:bookmarkStart w:id="703" w:name="_Toc274"/>
      <w:bookmarkEnd w:id="702"/>
      <w:r>
        <w:rPr/>
        <w:t>37</w:t>
      </w:r>
      <w:r>
        <w:rPr>
          <w:rtl w:val="true"/>
        </w:rPr>
        <w:t xml:space="preserve"> - </w:t>
      </w:r>
      <w:r>
        <w:rPr>
          <w:rtl w:val="true"/>
        </w:rPr>
        <w:t>سهل بن اليسع</w:t>
      </w:r>
      <w:bookmarkEnd w:id="703"/>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اليسع</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 ثقة ثقة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توثيق سهل بن اليسع، إلّا في كتاب النجاشيّ، واقتصر فيه على أنّه قمّيّ ثقة</w:t>
      </w:r>
      <w:r>
        <w:rPr>
          <w:rStyle w:val="FootnoteAnchor"/>
          <w:rtl w:val="true"/>
        </w:rPr>
        <w:footnoteReference w:id="942"/>
      </w:r>
      <w:r>
        <w:rPr>
          <w:rFonts w:ascii="Amiri" w:hAnsi="Amiri" w:eastAsia="Amiri" w:cs="Amiri"/>
          <w:color w:val="111111"/>
          <w:sz w:val="28"/>
          <w:sz w:val="28"/>
          <w:szCs w:val="28"/>
          <w:rtl w:val="true"/>
          <w:lang w:bidi="ar-SA"/>
        </w:rPr>
        <w:t>، وكذلك حكاه ابن طاووس، فلا يعرف الوجه فيما قاله المصنّف</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3770305_2870459653"/>
      <w:bookmarkStart w:id="705" w:name="_Toc275"/>
      <w:bookmarkEnd w:id="704"/>
      <w:r>
        <w:rPr>
          <w:rtl w:val="true"/>
        </w:rPr>
        <w:t>الباب العاشر</w:t>
      </w:r>
      <w:r>
        <w:rPr>
          <w:rtl w:val="true"/>
        </w:rPr>
        <w:t xml:space="preserve">: </w:t>
      </w:r>
      <w:r>
        <w:rPr>
          <w:rtl w:val="true"/>
        </w:rPr>
        <w:t>في الآحاد</w:t>
      </w:r>
      <w:bookmarkEnd w:id="705"/>
    </w:p>
    <w:p>
      <w:pPr>
        <w:pStyle w:val="Heading6"/>
        <w:numPr>
          <w:ilvl w:val="5"/>
          <w:numId w:val="1"/>
        </w:numPr>
        <w:rPr/>
      </w:pPr>
      <w:bookmarkStart w:id="706" w:name="__RefHeading___Toc3770307_2870459653"/>
      <w:bookmarkStart w:id="707" w:name="_Toc276"/>
      <w:bookmarkEnd w:id="706"/>
      <w:r>
        <w:rPr/>
        <w:t>38</w:t>
      </w:r>
      <w:r>
        <w:rPr>
          <w:rtl w:val="true"/>
        </w:rPr>
        <w:t xml:space="preserve">- </w:t>
      </w:r>
      <w:r>
        <w:rPr>
          <w:rtl w:val="true"/>
        </w:rPr>
        <w:t>سدير</w:t>
      </w:r>
      <w:bookmarkEnd w:id="70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الكشّيّ، عن عليّ بن محمّد القتيبيّ،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ابن أبي عمير، عن بكر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لي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لأطوف حول الكعبة، وكفّي في كفّ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ودموعه تجري على خدّيه،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شحّام ما رأيت ما صنع ربّي إليّ، ثمّ دعا وبكى،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شحّام، إنّي طلبت إلى إلهي في سدير وعبد السلام بن عبد الرحمن، وكانا في السجن، فوهبهما </w:t>
      </w:r>
    </w:p>
    <w:p>
      <w:pPr>
        <w:pStyle w:val="BookText"/>
        <w:rPr/>
      </w:pPr>
      <w:r>
        <w:rPr>
          <w:rFonts w:ascii="Amiri" w:hAnsi="Amiri" w:eastAsia="Amiri" w:cs="Amiri"/>
          <w:color w:val="111111"/>
          <w:sz w:val="28"/>
          <w:sz w:val="28"/>
          <w:szCs w:val="28"/>
          <w:rtl w:val="true"/>
          <w:lang w:bidi="ar-SA"/>
        </w:rPr>
        <w:t>لي، وخلّى سبيلهما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المصنّف هذا الحديث في بيان حال سدير الصيرفيّ اقتفاءٌ لأثر السيّد جمال الدين بن طاووس</w:t>
      </w:r>
      <w:r>
        <w:rPr>
          <w:rStyle w:val="FootnoteAnchor"/>
          <w:rtl w:val="true"/>
        </w:rPr>
        <w:footnoteReference w:id="945"/>
      </w:r>
      <w:r>
        <w:rPr>
          <w:rFonts w:ascii="Amiri" w:hAnsi="Amiri" w:eastAsia="Amiri" w:cs="Amiri"/>
          <w:color w:val="111111"/>
          <w:sz w:val="28"/>
          <w:sz w:val="28"/>
          <w:szCs w:val="28"/>
          <w:rtl w:val="true"/>
          <w:lang w:bidi="ar-SA"/>
        </w:rPr>
        <w:t>، والسيّد مشى في ذلك على ظاهر ما في الاختيار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في خاطري أنّه من مواضع الأغلاط الكثيرة التي ذكر النجاشيّ أنّها واقعة في الكشّيّ</w:t>
      </w:r>
      <w:r>
        <w:rPr>
          <w:rStyle w:val="FootnoteAnchor"/>
          <w:rtl w:val="true"/>
        </w:rPr>
        <w:footnoteReference w:id="947"/>
      </w:r>
      <w:r>
        <w:rPr>
          <w:rFonts w:ascii="IRNazanin" w:hAnsi="IRNazanin" w:eastAsia="IRNazanin"/>
          <w:color w:val="111111"/>
          <w:sz w:val="28"/>
          <w:sz w:val="28"/>
          <w:szCs w:val="28"/>
          <w:rtl w:val="true"/>
          <w:lang w:bidi="fa-IR"/>
        </w:rPr>
        <w:t xml:space="preserve">لأنّ الشيخ ذكر في كتاب الرجال في باب الشين المعجمة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بن عبد الرحمن الأزديّ</w:t>
      </w:r>
      <w:r>
        <w:rPr>
          <w:rStyle w:val="FootnoteAnchor"/>
          <w:rtl w:val="true"/>
        </w:rPr>
        <w:footnoteReference w:id="948"/>
      </w:r>
      <w:r>
        <w:rPr>
          <w:rFonts w:ascii="Amiri" w:hAnsi="Amiri" w:eastAsia="Amiri" w:cs="Amiri"/>
          <w:color w:val="111111"/>
          <w:sz w:val="28"/>
          <w:sz w:val="28"/>
          <w:szCs w:val="28"/>
          <w:rtl w:val="true"/>
          <w:lang w:bidi="ar-SA"/>
        </w:rPr>
        <w:t>، وذكر النجاشيّ في ترجمة بكر بن محمّد</w:t>
      </w:r>
      <w:r>
        <w:rPr>
          <w:rStyle w:val="FootnoteAnchor"/>
          <w:rtl w:val="true"/>
        </w:rPr>
        <w:footnoteReference w:id="949"/>
      </w:r>
      <w:r>
        <w:rPr>
          <w:rFonts w:ascii="Amiri" w:hAnsi="Amiri" w:eastAsia="Amiri" w:cs="Amiri"/>
          <w:color w:val="111111"/>
          <w:sz w:val="28"/>
          <w:sz w:val="28"/>
          <w:szCs w:val="28"/>
          <w:rtl w:val="true"/>
          <w:lang w:bidi="ar-SA"/>
        </w:rPr>
        <w:t>الأزديّ أنّ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وعبد السلام</w:t>
      </w:r>
      <w:r>
        <w:rPr>
          <w:rStyle w:val="FootnoteAnchor"/>
          <w:rtl w:val="true"/>
        </w:rPr>
        <w:footnoteReference w:id="950"/>
      </w:r>
      <w:r>
        <w:rPr>
          <w:rFonts w:ascii="Amiri" w:hAnsi="Amiri" w:eastAsia="Amiri" w:cs="Amiri"/>
          <w:color w:val="111111"/>
          <w:sz w:val="28"/>
          <w:sz w:val="28"/>
          <w:szCs w:val="28"/>
          <w:rtl w:val="true"/>
          <w:lang w:bidi="ar-SA"/>
        </w:rPr>
        <w:t>، وفي ترجمة زيد الشحّام أنّه مولى شديد بن عبد الرحمن الأزديّ</w:t>
      </w:r>
      <w:r>
        <w:rPr>
          <w:rStyle w:val="FootnoteAnchor"/>
          <w:rtl w:val="true"/>
        </w:rPr>
        <w:footnoteReference w:id="951"/>
      </w:r>
      <w:r>
        <w:rPr>
          <w:rFonts w:ascii="Amiri" w:hAnsi="Amiri" w:eastAsia="Amiri" w:cs="Amiri"/>
          <w:color w:val="111111"/>
          <w:sz w:val="28"/>
          <w:sz w:val="28"/>
          <w:szCs w:val="28"/>
          <w:rtl w:val="true"/>
          <w:lang w:bidi="ar-SA"/>
        </w:rPr>
        <w:t>، وذكر ذلك المصنّف أيضاً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أنّ الدعاء في الحديث للأخوين، فيكون المذكور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سديراً</w:t>
      </w:r>
      <w:r>
        <w:rPr>
          <w:rFonts w:eastAsia="Amiri" w:cs="Amiri" w:ascii="Amiri" w:hAnsi="Amiri"/>
          <w:color w:val="111111"/>
          <w:sz w:val="28"/>
          <w:szCs w:val="28"/>
          <w:rtl w:val="true"/>
          <w:lang w:bidi="ar-SA"/>
        </w:rPr>
        <w:t xml:space="preserve">). </w:t>
      </w:r>
      <w:bookmarkStart w:id="708" w:name="pg9167_80496"/>
    </w:p>
    <w:p>
      <w:pPr>
        <w:pStyle w:val="BookText"/>
        <w:rPr/>
      </w:pPr>
      <w:bookmarkEnd w:id="7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مثل هذا الغلط وقع في الاختيار في ترجمة بكر بن محمّد الأزديّ</w:t>
      </w:r>
      <w:r>
        <w:rPr>
          <w:rStyle w:val="FootnoteAnchor"/>
          <w:rtl w:val="true"/>
        </w:rPr>
        <w:footnoteReference w:id="953"/>
      </w:r>
      <w:r>
        <w:rPr>
          <w:rFonts w:ascii="Amiri" w:hAnsi="Amiri" w:eastAsia="Amiri" w:cs="Amiri"/>
          <w:color w:val="111111"/>
          <w:sz w:val="28"/>
          <w:sz w:val="28"/>
          <w:szCs w:val="28"/>
          <w:rtl w:val="true"/>
          <w:lang w:bidi="ar-SA"/>
        </w:rPr>
        <w:t>حيث ذكر أنّه ابن أخي سدير الصيرفيّ، وقد عرفت من كلام النجاشيّ أنّ عمّ بكر بن محمّد الأزديّ شديد لا سدير، فيقوى بذلك احتمال الغلط، كما هنا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الكشّيّ، عن محمّد بن مسعود، عن عليّ بن محمّد بن فيروزان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عدّة نسخ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w:t>
      </w:r>
      <w:r>
        <w:rPr>
          <w:rStyle w:val="FootnoteAnchor"/>
          <w:rtl w:val="true"/>
        </w:rPr>
        <w:footnoteReference w:id="956"/>
      </w:r>
      <w:r>
        <w:rPr>
          <w:rFonts w:ascii="Amiri" w:hAnsi="Amiri" w:eastAsia="Amiri" w:cs="Amiri"/>
          <w:color w:val="111111"/>
          <w:sz w:val="28"/>
          <w:sz w:val="28"/>
          <w:szCs w:val="28"/>
          <w:rtl w:val="true"/>
          <w:lang w:bidi="ar-SA"/>
        </w:rPr>
        <w:t>، وما ذكره المصنّف مأخوذ من كتاب السيّد جمال الدين، فإنّه أورد الطريق بهذه الصورة</w:t>
      </w:r>
      <w:r>
        <w:rPr>
          <w:rStyle w:val="FootnoteAnchor"/>
          <w:rtl w:val="true"/>
        </w:rPr>
        <w:footnoteReference w:id="957"/>
      </w:r>
      <w:r>
        <w:rPr>
          <w:rFonts w:ascii="Amiri" w:hAnsi="Amiri" w:eastAsia="Amiri" w:cs="Amiri"/>
          <w:color w:val="111111"/>
          <w:sz w:val="28"/>
          <w:sz w:val="28"/>
          <w:szCs w:val="28"/>
          <w:rtl w:val="true"/>
          <w:lang w:bidi="ar-SA"/>
        </w:rPr>
        <w:t>، وفي خطّ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مرزان، وفي نسخة للاختيار وعليها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فيروزان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3770309_2870459653"/>
      <w:bookmarkStart w:id="710" w:name="_Toc277"/>
      <w:bookmarkEnd w:id="709"/>
      <w:r>
        <w:rPr/>
        <w:t>39</w:t>
      </w:r>
      <w:r>
        <w:rPr>
          <w:rtl w:val="true"/>
        </w:rPr>
        <w:t xml:space="preserve"> - </w:t>
      </w:r>
      <w:r>
        <w:rPr>
          <w:rtl w:val="true"/>
        </w:rPr>
        <w:t>سُكَيْن</w:t>
      </w:r>
      <w:bookmarkEnd w:id="71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حديثاً يصف فيه تعبّده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الحميد، وهو واقفيّ، ومع ذلك لا دلالة في </w:t>
      </w:r>
      <w:bookmarkStart w:id="711" w:name="pg9167_80497"/>
    </w:p>
    <w:p>
      <w:pPr>
        <w:pStyle w:val="BookText"/>
        <w:rPr/>
      </w:pPr>
      <w:bookmarkEnd w:id="711"/>
      <w:r>
        <w:rPr>
          <w:rFonts w:ascii="Amiri" w:hAnsi="Amiri" w:eastAsia="Amiri" w:cs="Amiri"/>
          <w:color w:val="111111"/>
          <w:sz w:val="28"/>
          <w:sz w:val="28"/>
          <w:szCs w:val="28"/>
          <w:rtl w:val="true"/>
          <w:lang w:bidi="ar-SA"/>
        </w:rPr>
        <w:t>الحديث على قبول روايته؛ لأنّ حاصله أنّه لمّا حجّ ترك النساء والطيب والثياب والطعام الطيّب، وكان لا يرفع رأسه في داخل المسجد إلى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قسم الضعفاء سليمان النخعيّ، ويورد المصنّف هذا الحديث بعينه في شأنه، ثمّ يحكي كلام ابن الغضائريّ في ذلك</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بظاهر في التعلّق بالرجل الذي روى الحديث في شأنه، فالظاهر أنّ ذكر الحديث هناك ناشٍ عن تصحيف الاسم، وأنّه إنّما ورد في سكين، والمصنّف تبع كتاب ابن طاووس في ذلك، حيث أثبت الاسمين، وذكر الحديث مرّتين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3770311_2870459653"/>
      <w:bookmarkStart w:id="713" w:name="_Toc278"/>
      <w:bookmarkEnd w:id="712"/>
      <w:r>
        <w:rPr>
          <w:rtl w:val="true"/>
        </w:rPr>
        <w:t>الفصل الثالث عشر</w:t>
      </w:r>
      <w:r>
        <w:rPr>
          <w:rtl w:val="true"/>
        </w:rPr>
        <w:t xml:space="preserve">: </w:t>
      </w:r>
      <w:r>
        <w:rPr>
          <w:rtl w:val="true"/>
        </w:rPr>
        <w:t>في الشين الآحاد</w:t>
      </w:r>
      <w:bookmarkEnd w:id="713"/>
    </w:p>
    <w:p>
      <w:pPr>
        <w:pStyle w:val="Heading6"/>
        <w:numPr>
          <w:ilvl w:val="5"/>
          <w:numId w:val="1"/>
        </w:numPr>
        <w:rPr/>
      </w:pPr>
      <w:bookmarkStart w:id="714" w:name="__RefHeading___Toc3770313_2870459653"/>
      <w:bookmarkStart w:id="715" w:name="_Toc279"/>
      <w:bookmarkEnd w:id="714"/>
      <w:r>
        <w:rPr/>
        <w:t>40</w:t>
      </w:r>
      <w:r>
        <w:rPr>
          <w:rtl w:val="true"/>
        </w:rPr>
        <w:t xml:space="preserve">- </w:t>
      </w:r>
      <w:r>
        <w:rPr>
          <w:rtl w:val="true"/>
        </w:rPr>
        <w:t>شهاب بن عبد ربّه</w:t>
      </w:r>
      <w:bookmarkEnd w:id="715"/>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ما يتعلّق بذمّه ومدحه، وبيّناه في كتابنا الكبير</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المدح ضعيفة، والاعتماد في المدح على كلام الكشّيّ السابق الموجب لإدخاله في الحسن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716" w:name="pg9167_80498"/>
    </w:p>
    <w:p>
      <w:pPr>
        <w:pStyle w:val="BookText"/>
        <w:rPr/>
      </w:pPr>
      <w:bookmarkEnd w:id="71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النجاشيّ في كتابه على توثيق شهاب</w:t>
      </w:r>
      <w:r>
        <w:rPr>
          <w:rStyle w:val="FootnoteAnchor"/>
          <w:rtl w:val="true"/>
        </w:rPr>
        <w:footnoteReference w:id="968"/>
      </w:r>
      <w:r>
        <w:rPr>
          <w:rFonts w:ascii="Amiri" w:hAnsi="Amiri" w:eastAsia="Amiri" w:cs="Amiri"/>
          <w:color w:val="111111"/>
          <w:sz w:val="28"/>
          <w:sz w:val="28"/>
          <w:szCs w:val="28"/>
          <w:rtl w:val="true"/>
          <w:lang w:bidi="ar-SA"/>
        </w:rPr>
        <w:t>، وقال السيّد جمال الدين بن طاووس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ينبغي أن يكون البناء عليه تزكية شهاب بن عبد ربّه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حديث حسن بإبراهيم بن هاشم في باب إعطاء الزكاة لغير أهل الولاية يتضمّن ذمّ شهاب بن عبد ربّه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3770315_2870459653"/>
      <w:bookmarkStart w:id="718" w:name="_Toc280"/>
      <w:bookmarkEnd w:id="717"/>
      <w:r>
        <w:rPr>
          <w:rtl w:val="true"/>
        </w:rPr>
        <w:t>الفصل الثامن عشر</w:t>
      </w:r>
      <w:r>
        <w:rPr>
          <w:rtl w:val="true"/>
        </w:rPr>
        <w:t xml:space="preserve">: </w:t>
      </w:r>
      <w:r>
        <w:rPr>
          <w:rtl w:val="true"/>
        </w:rPr>
        <w:t>في العين</w:t>
      </w:r>
      <w:bookmarkEnd w:id="718"/>
    </w:p>
    <w:p>
      <w:pPr>
        <w:pStyle w:val="Heading6"/>
        <w:numPr>
          <w:ilvl w:val="5"/>
          <w:numId w:val="1"/>
        </w:numPr>
        <w:rPr/>
      </w:pPr>
      <w:bookmarkStart w:id="719" w:name="__RefHeading___Toc3770317_2870459653"/>
      <w:bookmarkStart w:id="720" w:name="_Toc281"/>
      <w:bookmarkEnd w:id="719"/>
      <w:r>
        <w:rPr>
          <w:rtl w:val="true"/>
        </w:rPr>
        <w:t>الباب الأوّل</w:t>
      </w:r>
      <w:r>
        <w:rPr>
          <w:rtl w:val="true"/>
        </w:rPr>
        <w:t xml:space="preserve">: </w:t>
      </w:r>
      <w:r>
        <w:rPr>
          <w:rtl w:val="true"/>
        </w:rPr>
        <w:t>في عليّ</w:t>
      </w:r>
      <w:bookmarkEnd w:id="720"/>
    </w:p>
    <w:p>
      <w:pPr>
        <w:pStyle w:val="Heading6"/>
        <w:numPr>
          <w:ilvl w:val="5"/>
          <w:numId w:val="1"/>
        </w:numPr>
        <w:rPr/>
      </w:pPr>
      <w:bookmarkStart w:id="721" w:name="__RefHeading___Toc3770319_2870459653"/>
      <w:bookmarkStart w:id="722" w:name="_Toc282"/>
      <w:bookmarkEnd w:id="721"/>
      <w:r>
        <w:rPr/>
        <w:t>41</w:t>
      </w:r>
      <w:r>
        <w:rPr>
          <w:rtl w:val="true"/>
        </w:rPr>
        <w:t xml:space="preserve">- </w:t>
      </w:r>
      <w:r>
        <w:rPr>
          <w:rtl w:val="true"/>
        </w:rPr>
        <w:t>عليّ بن السريّ الكرخيّ</w:t>
      </w:r>
      <w:bookmarkEnd w:id="72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السريّ الكرخيّ</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السريّ الكرخيّ،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نسخ الاختيار للكشّيّ</w:t>
      </w:r>
      <w:r>
        <w:rPr>
          <w:rStyle w:val="FootnoteAnchor"/>
          <w:rtl w:val="true"/>
        </w:rPr>
        <w:footnoteReference w:id="973"/>
      </w:r>
      <w:r>
        <w:rPr>
          <w:rFonts w:ascii="Amiri" w:hAnsi="Amiri" w:eastAsia="Amiri" w:cs="Amiri"/>
          <w:color w:val="111111"/>
          <w:sz w:val="28"/>
          <w:sz w:val="28"/>
          <w:szCs w:val="28"/>
          <w:rtl w:val="true"/>
          <w:lang w:bidi="ar-SA"/>
        </w:rPr>
        <w:t xml:space="preserve">، وحكاه السيّد جمال الدين بن </w:t>
      </w:r>
      <w:bookmarkStart w:id="723" w:name="pg9167_80499"/>
    </w:p>
    <w:p>
      <w:pPr>
        <w:pStyle w:val="BookText"/>
        <w:rPr/>
      </w:pPr>
      <w:bookmarkEnd w:id="723"/>
      <w:r>
        <w:rPr>
          <w:rFonts w:ascii="Amiri" w:hAnsi="Amiri" w:eastAsia="Amiri" w:cs="Amiri"/>
          <w:color w:val="111111"/>
          <w:sz w:val="28"/>
          <w:sz w:val="28"/>
          <w:szCs w:val="28"/>
          <w:rtl w:val="true"/>
          <w:lang w:bidi="ar-SA"/>
        </w:rPr>
        <w:t>طاووس أيضاً، وهو عليّ بن السدي، ويلقّب إسماعيل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فهو غير الرجل المبحوث عنه</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3770321_2870459653"/>
      <w:bookmarkStart w:id="725" w:name="_Toc283"/>
      <w:bookmarkEnd w:id="724"/>
      <w:r>
        <w:rPr/>
        <w:t>42</w:t>
      </w:r>
      <w:r>
        <w:rPr>
          <w:rtl w:val="true"/>
        </w:rPr>
        <w:t xml:space="preserve"> - </w:t>
      </w:r>
      <w:r>
        <w:rPr>
          <w:rtl w:val="true"/>
        </w:rPr>
        <w:t>عليّ بن الحكم</w:t>
      </w:r>
      <w:bookmarkEnd w:id="72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الحكم من أهل الأنبار، قال الكشّيّ، عن حمدويه،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الحكم هو ابن أخت داود بن النعمان بيّاع الأنماط</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هذا هو السابق</w:t>
      </w:r>
      <w:r>
        <w:rPr>
          <w:rStyle w:val="FootnoteAnchor"/>
          <w:rtl w:val="true"/>
        </w:rPr>
        <w:footnoteReference w:id="977"/>
      </w:r>
      <w:r>
        <w:rPr>
          <w:rFonts w:ascii="Amiri" w:hAnsi="Amiri" w:eastAsia="Amiri" w:cs="Amiri"/>
          <w:color w:val="111111"/>
          <w:sz w:val="28"/>
          <w:sz w:val="28"/>
          <w:szCs w:val="28"/>
          <w:rtl w:val="true"/>
          <w:lang w:bidi="ar-SA"/>
        </w:rPr>
        <w:t>الذي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كوفيّ ثقة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ومنشأ وهم التعدّد اختلاف عبارات المتقدّمين في ترجمته، فكلّ ذكره بعبارة، وليس بينهما منع جمع عند التحقيق، وإنّما ذكر كلّ واحد ما عرفه في شأنه، وقد اقتفى أثر المصنّف في الحكم بالتعدّد والمسمّى بهذا الاسم جماعةٌ، بل زاد بعضهم عليه</w:t>
      </w:r>
      <w:r>
        <w:rPr>
          <w:rStyle w:val="FootnoteAnchor"/>
          <w:rtl w:val="true"/>
        </w:rPr>
        <w:footnoteReference w:id="978"/>
      </w:r>
      <w:r>
        <w:rPr>
          <w:rFonts w:ascii="Amiri" w:hAnsi="Amiri" w:eastAsia="Amiri" w:cs="Amiri"/>
          <w:color w:val="111111"/>
          <w:sz w:val="28"/>
          <w:sz w:val="28"/>
          <w:szCs w:val="28"/>
          <w:rtl w:val="true"/>
          <w:lang w:bidi="ar-SA"/>
        </w:rPr>
        <w:t>، فليتدبّر</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3770323_2870459653"/>
      <w:bookmarkStart w:id="727" w:name="_Toc284"/>
      <w:bookmarkEnd w:id="726"/>
      <w:r>
        <w:rPr/>
        <w:t>43</w:t>
      </w:r>
      <w:r>
        <w:rPr>
          <w:rtl w:val="true"/>
        </w:rPr>
        <w:t xml:space="preserve"> - </w:t>
      </w:r>
      <w:r>
        <w:rPr>
          <w:rtl w:val="true"/>
        </w:rPr>
        <w:t>عليّ بن الحسين بن عبد الله</w:t>
      </w:r>
      <w:bookmarkEnd w:id="72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عبد الله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عليّ بن الحسين بن عبد الله </w:t>
      </w:r>
      <w:bookmarkStart w:id="728" w:name="pg9167_80500"/>
    </w:p>
    <w:p>
      <w:pPr>
        <w:pStyle w:val="BookText"/>
        <w:rPr/>
      </w:pPr>
      <w:bookmarkEnd w:id="728"/>
      <w:r>
        <w:rPr>
          <w:rFonts w:ascii="Amiri" w:hAnsi="Amiri" w:eastAsia="Amiri" w:cs="Amiri"/>
          <w:color w:val="111111"/>
          <w:sz w:val="28"/>
          <w:sz w:val="28"/>
          <w:szCs w:val="28"/>
          <w:rtl w:val="true"/>
          <w:lang w:bidi="ar-SA"/>
        </w:rPr>
        <w:t>يسأله عن الدعاء في زيادة عمره حتّى يرى ما يحبّ</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الفائدة التي كتبناها على ترجمة الحسين بن عبد ربّه إلى الغلط الذي وقع في ذكر اسم أبيه، وأنّ الأصل فيه كتاب الكشّيّ، وتبعه السيّد جمال الدين ابن طاووس، وبعده المصنّف، وأوضحنا في الفوائد التي علّقناها على الكتاب الذي جمعناه من كتاب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الذي حكاه المصنّف هنا ورد في شأن عليّ ابن الحسين بن عبد ربّه، فإثباته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Style w:val="FootnoteAnchor"/>
          <w:rtl w:val="true"/>
        </w:rPr>
        <w:footnoteReference w:id="981"/>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وبيّنّا في الموضعين أيضاً أنّ الحديث الصحيح الذي ذكره المصنّف في ترجمة الحسين بن عبد ربّه إنّما ورد في شأن عليّ بن الحسين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3770325_2870459653"/>
      <w:bookmarkStart w:id="730" w:name="_Toc285"/>
      <w:bookmarkEnd w:id="729"/>
      <w:r>
        <w:rPr/>
        <w:t>44</w:t>
      </w:r>
      <w:r>
        <w:rPr>
          <w:rtl w:val="true"/>
        </w:rPr>
        <w:t xml:space="preserve"> - </w:t>
      </w:r>
      <w:r>
        <w:rPr>
          <w:rtl w:val="true"/>
        </w:rPr>
        <w:t>عليّ بن سليمان بن الحسن</w:t>
      </w:r>
      <w:bookmarkEnd w:id="73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سليمان بن الحسن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الرازيّ</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 ونسب ما هنا إلى الوهم، وكذا جعله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 والمصنّف تبع النجاشيّ، فإنّه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وكتبه السيّد بخطّه كذلك</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731" w:name="pg9167_80501"/>
    </w:p>
    <w:p>
      <w:pPr>
        <w:pStyle w:val="BookText"/>
        <w:rPr/>
      </w:pPr>
      <w:bookmarkEnd w:id="73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نسخة السيّد اتّفقت كذلك، وقد ذكرنا أنّ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يحكي كلام النجاشيّ من كتاب السيّد، وإلّا فالذي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كما ذكره ابن داود</w:t>
      </w:r>
      <w:r>
        <w:rPr>
          <w:rStyle w:val="FootnoteAnchor"/>
          <w:rtl w:val="true"/>
        </w:rPr>
        <w:footnoteReference w:id="987"/>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3770327_2870459653"/>
      <w:bookmarkStart w:id="733" w:name="_Toc286"/>
      <w:bookmarkEnd w:id="732"/>
      <w:r>
        <w:rPr>
          <w:rtl w:val="true"/>
        </w:rPr>
        <w:t>الباب الثاني</w:t>
      </w:r>
      <w:r>
        <w:rPr>
          <w:rtl w:val="true"/>
        </w:rPr>
        <w:t xml:space="preserve">: </w:t>
      </w:r>
      <w:r>
        <w:rPr>
          <w:rtl w:val="true"/>
        </w:rPr>
        <w:t>في عبد الله</w:t>
      </w:r>
      <w:bookmarkEnd w:id="733"/>
    </w:p>
    <w:p>
      <w:pPr>
        <w:pStyle w:val="Heading6"/>
        <w:numPr>
          <w:ilvl w:val="5"/>
          <w:numId w:val="1"/>
        </w:numPr>
        <w:rPr/>
      </w:pPr>
      <w:bookmarkStart w:id="734" w:name="__RefHeading___Toc3770329_2870459653"/>
      <w:bookmarkStart w:id="735" w:name="_Toc287"/>
      <w:bookmarkEnd w:id="734"/>
      <w:r>
        <w:rPr/>
        <w:t>45</w:t>
      </w:r>
      <w:r>
        <w:rPr>
          <w:rtl w:val="true"/>
        </w:rPr>
        <w:t xml:space="preserve">- </w:t>
      </w:r>
      <w:r>
        <w:rPr>
          <w:rtl w:val="true"/>
        </w:rPr>
        <w:t>عبد الله بن طاهر</w:t>
      </w:r>
      <w:bookmarkEnd w:id="73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طاهر الثقاب ثقة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الثقار بالراء</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طاهر النقّار، ثقة حلوانيّ صالح ورع، يكنّى أبا القاسم، من أصحاب العيّاشيّ</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736" w:name="pg9167_80502"/>
    </w:p>
    <w:p>
      <w:pPr>
        <w:pStyle w:val="Heading6"/>
        <w:numPr>
          <w:ilvl w:val="5"/>
          <w:numId w:val="1"/>
        </w:numPr>
        <w:rPr/>
      </w:pPr>
      <w:bookmarkStart w:id="737" w:name="__RefHeading___Toc3770331_2870459653"/>
      <w:bookmarkStart w:id="738" w:name="_Toc288"/>
      <w:bookmarkEnd w:id="736"/>
      <w:bookmarkEnd w:id="737"/>
      <w:r>
        <w:rPr/>
        <w:t>46</w:t>
      </w:r>
      <w:r>
        <w:rPr>
          <w:rtl w:val="true"/>
        </w:rPr>
        <w:t xml:space="preserve">- </w:t>
      </w:r>
      <w:r>
        <w:rPr>
          <w:rtl w:val="true"/>
        </w:rPr>
        <w:t>عبد الله بن مسكان</w:t>
      </w:r>
      <w:bookmarkEnd w:id="73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لم يسمع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حديث من أدرك المشعر</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الكشّيّ؛ فإنّ كتاب النجاشيّ خال من هذا الكلام</w:t>
      </w:r>
      <w:r>
        <w:rPr>
          <w:rStyle w:val="FootnoteAnchor"/>
          <w:rtl w:val="true"/>
        </w:rPr>
        <w:footnoteReference w:id="995"/>
      </w:r>
      <w:r>
        <w:rPr>
          <w:rFonts w:ascii="Amiri" w:hAnsi="Amiri" w:eastAsia="Amiri" w:cs="Amiri"/>
          <w:color w:val="111111"/>
          <w:sz w:val="28"/>
          <w:sz w:val="28"/>
          <w:szCs w:val="28"/>
          <w:rtl w:val="true"/>
          <w:lang w:bidi="ar-SA"/>
        </w:rPr>
        <w:t>، وهو موجود في الكشّيّ</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3770333_2870459653"/>
      <w:bookmarkStart w:id="740" w:name="_Toc289"/>
      <w:bookmarkEnd w:id="739"/>
      <w:r>
        <w:rPr>
          <w:rtl w:val="true"/>
        </w:rPr>
        <w:t>الباب الرابع</w:t>
      </w:r>
      <w:r>
        <w:rPr>
          <w:rtl w:val="true"/>
        </w:rPr>
        <w:t xml:space="preserve">: </w:t>
      </w:r>
      <w:r>
        <w:rPr>
          <w:rtl w:val="true"/>
        </w:rPr>
        <w:t>في عبد الرحمن</w:t>
      </w:r>
      <w:bookmarkEnd w:id="740"/>
    </w:p>
    <w:p>
      <w:pPr>
        <w:pStyle w:val="Heading6"/>
        <w:numPr>
          <w:ilvl w:val="5"/>
          <w:numId w:val="1"/>
        </w:numPr>
        <w:rPr/>
      </w:pPr>
      <w:bookmarkStart w:id="741" w:name="__RefHeading___Toc3770335_2870459653"/>
      <w:bookmarkStart w:id="742" w:name="_Toc290"/>
      <w:bookmarkEnd w:id="741"/>
      <w:r>
        <w:rPr/>
        <w:t>47</w:t>
      </w:r>
      <w:r>
        <w:rPr>
          <w:rtl w:val="true"/>
        </w:rPr>
        <w:t xml:space="preserve"> - </w:t>
      </w:r>
      <w:r>
        <w:rPr>
          <w:rtl w:val="true"/>
        </w:rPr>
        <w:t>عبد الرحمن بن عبد ربّه</w:t>
      </w:r>
      <w:bookmarkEnd w:id="74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ربّه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حمدويه بن نصير، عن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خيّر فاضل كوفيّ</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إثبات المدح بذلك فضلاً عن التعديل نظر</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جمال الدين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ينبغي البناء عليه تزكية شهاب </w:t>
      </w:r>
      <w:bookmarkStart w:id="743" w:name="pg9167_80503"/>
    </w:p>
    <w:p>
      <w:pPr>
        <w:pStyle w:val="BookText"/>
        <w:rPr/>
      </w:pPr>
      <w:bookmarkEnd w:id="743"/>
      <w:r>
        <w:rPr>
          <w:rFonts w:ascii="IRNazanin" w:hAnsi="IRNazanin" w:eastAsia="IRNazanin"/>
          <w:color w:val="111111"/>
          <w:sz w:val="28"/>
          <w:sz w:val="28"/>
          <w:szCs w:val="28"/>
          <w:rtl w:val="true"/>
          <w:lang w:bidi="fa-IR"/>
        </w:rPr>
        <w:t>ابن عبد ربّه وعبد الرحمن وعبد الخالق</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الصواب عبد الرحيم، وأنّه</w:t>
      </w:r>
      <w:r>
        <w:rPr>
          <w:rStyle w:val="FootnoteAnchor"/>
          <w:rtl w:val="true"/>
        </w:rPr>
        <w:footnoteReference w:id="1001"/>
      </w:r>
      <w:r>
        <w:rPr>
          <w:rFonts w:ascii="Amiri" w:hAnsi="Amiri" w:eastAsia="Amiri" w:cs="Amiri"/>
          <w:color w:val="111111"/>
          <w:sz w:val="28"/>
          <w:sz w:val="28"/>
          <w:szCs w:val="28"/>
          <w:rtl w:val="true"/>
          <w:lang w:bidi="ar-SA"/>
        </w:rPr>
        <w:t>ليس في بني عبد ربّه من اسمه عبد الرحمن، ولكن اتّفق في الاختيار ذكر عبد الرحمن سهواً</w:t>
      </w:r>
      <w:r>
        <w:rPr>
          <w:rStyle w:val="FootnoteAnchor"/>
          <w:rtl w:val="true"/>
        </w:rPr>
        <w:footnoteReference w:id="1002"/>
      </w:r>
      <w:r>
        <w:rPr>
          <w:rFonts w:ascii="Amiri" w:hAnsi="Amiri" w:eastAsia="Amiri" w:cs="Amiri"/>
          <w:color w:val="111111"/>
          <w:sz w:val="28"/>
          <w:sz w:val="28"/>
          <w:szCs w:val="28"/>
          <w:rtl w:val="true"/>
          <w:lang w:bidi="ar-SA"/>
        </w:rPr>
        <w:t>في الكلام المحكيّ عن بعض المشايخ بعد أن ذكر في الترجمة عبد الرحيم مع بقيّة الجماعة المذكورين في ذلك الكلام المحكيّ</w:t>
      </w:r>
      <w:r>
        <w:rPr>
          <w:rStyle w:val="FootnoteAnchor"/>
          <w:rtl w:val="true"/>
        </w:rPr>
        <w:footnoteReference w:id="1003"/>
      </w:r>
      <w:r>
        <w:rPr>
          <w:rFonts w:ascii="Amiri" w:hAnsi="Amiri" w:eastAsia="Amiri" w:cs="Amiri"/>
          <w:color w:val="111111"/>
          <w:sz w:val="28"/>
          <w:sz w:val="28"/>
          <w:szCs w:val="28"/>
          <w:rtl w:val="true"/>
          <w:lang w:bidi="ar-SA"/>
        </w:rPr>
        <w:t>، وقد حكاه المصنّف في ترجمة وهب</w:t>
      </w:r>
      <w:r>
        <w:rPr>
          <w:rStyle w:val="FootnoteAnchor"/>
          <w:rtl w:val="true"/>
        </w:rPr>
        <w:footnoteReference w:id="1004"/>
      </w:r>
      <w:r>
        <w:rPr>
          <w:rFonts w:ascii="Amiri" w:hAnsi="Amiri" w:eastAsia="Amiri" w:cs="Amiri"/>
          <w:color w:val="111111"/>
          <w:sz w:val="28"/>
          <w:sz w:val="28"/>
          <w:szCs w:val="28"/>
          <w:rtl w:val="true"/>
          <w:lang w:bidi="ar-SA"/>
        </w:rPr>
        <w:t>، والنجاشيّ ذكر الجماعة، وليس بينهم إلّا عبد الرحيم</w:t>
      </w:r>
      <w:r>
        <w:rPr>
          <w:rStyle w:val="FootnoteAnchor"/>
          <w:rtl w:val="true"/>
        </w:rPr>
        <w:footnoteReference w:id="1005"/>
      </w:r>
      <w:r>
        <w:rPr>
          <w:rFonts w:ascii="Amiri" w:hAnsi="Amiri" w:eastAsia="Amiri" w:cs="Amiri"/>
          <w:color w:val="111111"/>
          <w:sz w:val="28"/>
          <w:sz w:val="28"/>
          <w:szCs w:val="28"/>
          <w:rtl w:val="true"/>
          <w:lang w:bidi="ar-SA"/>
        </w:rPr>
        <w:t>، فراجع كلامهم</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3770337_2870459653"/>
      <w:bookmarkStart w:id="745" w:name="_Toc291"/>
      <w:bookmarkEnd w:id="744"/>
      <w:r>
        <w:rPr/>
        <w:t>48</w:t>
      </w:r>
      <w:r>
        <w:rPr>
          <w:rtl w:val="true"/>
        </w:rPr>
        <w:t xml:space="preserve"> - </w:t>
      </w:r>
      <w:r>
        <w:rPr>
          <w:rtl w:val="true"/>
        </w:rPr>
        <w:t>عبد الرحمن بن محمّد بن أبي هاشم</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بن هاشم بن أبي هاشم البجليّ، أبو محمّد، جليل من أصحابنا، ثقة ثقة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كتاب النجاشيّ بخطّ السيّد بن طاووس ابن أبي هاشم مكرّراً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746" w:name="pg9167_80504"/>
    </w:p>
    <w:p>
      <w:pPr>
        <w:pStyle w:val="BookText"/>
        <w:rPr/>
      </w:pPr>
      <w:bookmarkEnd w:id="7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التكرار</w:t>
      </w:r>
      <w:r>
        <w:rPr>
          <w:rStyle w:val="FootnoteAnchor"/>
          <w:rtl w:val="true"/>
        </w:rPr>
        <w:footnoteReference w:id="1008"/>
      </w:r>
      <w:r>
        <w:rPr>
          <w:rFonts w:ascii="Amiri" w:hAnsi="Amiri" w:eastAsia="Amiri" w:cs="Amiri"/>
          <w:color w:val="111111"/>
          <w:sz w:val="28"/>
          <w:sz w:val="28"/>
          <w:szCs w:val="28"/>
          <w:rtl w:val="true"/>
          <w:lang w:bidi="ar-SA"/>
        </w:rPr>
        <w:t>المنسوب إلى كتاب النجاشيّ</w:t>
      </w:r>
      <w:r>
        <w:rPr>
          <w:rStyle w:val="FootnoteAnchor"/>
          <w:rtl w:val="true"/>
        </w:rPr>
        <w:footnoteReference w:id="1009"/>
      </w:r>
      <w:r>
        <w:rPr>
          <w:rFonts w:ascii="Amiri" w:hAnsi="Amiri" w:eastAsia="Amiri" w:cs="Amiri"/>
          <w:color w:val="111111"/>
          <w:sz w:val="28"/>
          <w:sz w:val="28"/>
          <w:szCs w:val="28"/>
          <w:rtl w:val="true"/>
          <w:lang w:bidi="ar-SA"/>
        </w:rPr>
        <w:t>غير موجود في النسخة التي عندي للكتاب، وهي مصحّحة بنسخة معتبرة قديمة، فالظاهر أنّه من سهو الناسخين، والمصنّف لا يتجاوز كتاب السيّد في الغالب، فلذلك وافقه هنا</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3770339_2870459653"/>
      <w:bookmarkStart w:id="748" w:name="_Toc292"/>
      <w:bookmarkEnd w:id="747"/>
      <w:r>
        <w:rPr/>
        <w:t>49</w:t>
      </w:r>
      <w:r>
        <w:rPr>
          <w:rtl w:val="true"/>
        </w:rPr>
        <w:t xml:space="preserve"> - </w:t>
      </w:r>
      <w:r>
        <w:rPr>
          <w:rtl w:val="true"/>
        </w:rPr>
        <w:t>عبد الرحمن بن جبرويه</w:t>
      </w:r>
      <w:bookmarkEnd w:id="74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جبرويه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جبرويه بالجيم قبل الباء المنقطة تحتها نقطة ثمّ الراء</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جعله بالياء المنقّطة تحتها نقطتين</w:t>
      </w:r>
      <w:r>
        <w:rPr>
          <w:rStyle w:val="FootnoteAnchor"/>
          <w:rtl w:val="true"/>
        </w:rPr>
        <w:footnoteReference w:id="1012"/>
      </w:r>
      <w:r>
        <w:rPr>
          <w:rFonts w:ascii="Amiri" w:hAnsi="Amiri" w:eastAsia="Amiri" w:cs="Amiri"/>
          <w:color w:val="111111"/>
          <w:sz w:val="28"/>
          <w:sz w:val="28"/>
          <w:szCs w:val="28"/>
          <w:rtl w:val="true"/>
          <w:lang w:bidi="ar-SA"/>
        </w:rPr>
        <w:t>، وابن داود وافق ما هنا، وجعله بالباء الموحّدة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9" w:name="__RefHeading___Toc3770341_2870459653"/>
      <w:bookmarkStart w:id="750" w:name="_Toc293"/>
      <w:bookmarkEnd w:id="749"/>
      <w:r>
        <w:rPr/>
        <w:t>50</w:t>
      </w:r>
      <w:r>
        <w:rPr>
          <w:rtl w:val="true"/>
        </w:rPr>
        <w:t xml:space="preserve"> - </w:t>
      </w:r>
      <w:r>
        <w:rPr>
          <w:rtl w:val="true"/>
        </w:rPr>
        <w:t>عبد الرحمن بن محمّد بن عبيد الله</w:t>
      </w:r>
      <w:bookmarkEnd w:id="750"/>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عبيد الله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الرزميّ بالزاي بعد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أبو محمّد</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كثير من نسخ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إضافته إلى الله، وهو في </w:t>
      </w:r>
      <w:bookmarkStart w:id="751" w:name="pg9167_80505"/>
    </w:p>
    <w:p>
      <w:pPr>
        <w:pStyle w:val="BookText"/>
        <w:rPr/>
      </w:pPr>
      <w:bookmarkEnd w:id="751"/>
      <w:r>
        <w:rPr>
          <w:rFonts w:ascii="Amiri" w:hAnsi="Amiri" w:eastAsia="Amiri" w:cs="Amiri"/>
          <w:color w:val="111111"/>
          <w:sz w:val="28"/>
          <w:sz w:val="28"/>
          <w:szCs w:val="28"/>
          <w:rtl w:val="true"/>
          <w:lang w:bidi="ar-SA"/>
        </w:rPr>
        <w:t>كتاب النجاشيّ بخطّ ابن طاووس كذلك،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عبيد الله، وكذلك صحّحه في الإيضاح، وذكره ابن داود والشيخ في كتابيه، وأمّا الزرميّ فلم يذكره النجاشيّ مع أنّ جميع اللفظ له، وذكره المصنّف في الإيضاح كذلك، والحقّ أنّه العرزميّ كما ذكره الشيخ في كتابيه الرجال والفهرست، وابن داود صرّح بأنّ ما ذكره المصنّف وهمٌ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النجاشيّ عوّل فيه على نقل ابن طاووس؛ إذ لم يكن لكتاب النجاشيّ عنده نسخة غير ما تضمّنه كتاب ابن طاووس منه، وهو موهم لأنّه مجموع الكتاب، وليس كذلك، وإنّما هو ملخّص منه، وقد فاته كثير من الخصوصيّات، وصورة ما في النسخة التي عندي الآن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منقولة من نسخة أظنّها بخطّ المحقّق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ومقابلة بها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عبد الرحمن بن محمّد بن عبيد الله الرزميّ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 التي هنا، فجميع الكلام من لفظ النجاشيّ ما عدا ضبط الرزميّ</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770343_2870459653"/>
      <w:bookmarkStart w:id="753" w:name="_Toc294"/>
      <w:bookmarkEnd w:id="752"/>
      <w:r>
        <w:rPr/>
        <w:t>51</w:t>
      </w:r>
      <w:r>
        <w:rPr>
          <w:rtl w:val="true"/>
        </w:rPr>
        <w:t xml:space="preserve"> - </w:t>
      </w:r>
      <w:r>
        <w:rPr>
          <w:rtl w:val="true"/>
        </w:rPr>
        <w:t>عبد الملك بن عمرو</w:t>
      </w:r>
      <w:bookmarkEnd w:id="75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عمرو</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 حمدويه، عن يعقوب بن يزيد، عن ابن أبي عمير، عن جميل بن صالح، عن عبد الملك بن عمرو</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صحيح، ولكنّه ينتهي إلى الممدوح، فهو شهادة لنفسه، ومع ذلك فهو مرجّح بسبب المدح، فيلحق بالحسن لولا ما ذكرنا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754" w:name="pg9167_80506"/>
    </w:p>
    <w:p>
      <w:pPr>
        <w:pStyle w:val="Heading6"/>
        <w:numPr>
          <w:ilvl w:val="5"/>
          <w:numId w:val="1"/>
        </w:numPr>
        <w:rPr/>
      </w:pPr>
      <w:bookmarkStart w:id="755" w:name="__RefHeading___Toc3770345_2870459653"/>
      <w:bookmarkStart w:id="756" w:name="_Toc295"/>
      <w:bookmarkEnd w:id="754"/>
      <w:bookmarkEnd w:id="755"/>
      <w:r>
        <w:rPr>
          <w:rtl w:val="true"/>
        </w:rPr>
        <w:t>الباب السادس</w:t>
      </w:r>
      <w:r>
        <w:rPr>
          <w:rtl w:val="true"/>
        </w:rPr>
        <w:t xml:space="preserve">: </w:t>
      </w:r>
      <w:r>
        <w:rPr>
          <w:rtl w:val="true"/>
        </w:rPr>
        <w:t>في عبد الحميد</w:t>
      </w:r>
      <w:bookmarkEnd w:id="756"/>
    </w:p>
    <w:p>
      <w:pPr>
        <w:pStyle w:val="Heading6"/>
        <w:numPr>
          <w:ilvl w:val="5"/>
          <w:numId w:val="1"/>
        </w:numPr>
        <w:rPr/>
      </w:pPr>
      <w:bookmarkStart w:id="757" w:name="__RefHeading___Toc3770347_2870459653"/>
      <w:bookmarkStart w:id="758" w:name="_Toc296"/>
      <w:bookmarkEnd w:id="757"/>
      <w:r>
        <w:rPr/>
        <w:t>52</w:t>
      </w:r>
      <w:r>
        <w:rPr>
          <w:rtl w:val="true"/>
        </w:rPr>
        <w:t xml:space="preserve"> - </w:t>
      </w:r>
      <w:r>
        <w:rPr>
          <w:rtl w:val="true"/>
        </w:rPr>
        <w:t>عبد الحميد بن أبي العلاء</w:t>
      </w:r>
      <w:bookmarkEnd w:id="758"/>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العلاء</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الأزديّ ثقة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للشيخ</w:t>
      </w:r>
      <w:r>
        <w:rPr>
          <w:rStyle w:val="FootnoteAnchor"/>
          <w:rtl w:val="true"/>
        </w:rPr>
        <w:footnoteReference w:id="1022"/>
      </w:r>
      <w:r>
        <w:rPr>
          <w:rFonts w:ascii="Amiri" w:hAnsi="Amiri" w:eastAsia="Amiri" w:cs="Amiri"/>
          <w:color w:val="111111"/>
          <w:sz w:val="28"/>
          <w:sz w:val="28"/>
          <w:szCs w:val="28"/>
          <w:rtl w:val="true"/>
          <w:lang w:bidi="ar-SA"/>
        </w:rPr>
        <w:t>، وأمّا النجاشيّ فلم يذكره أصلاً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3770349_2870459653"/>
      <w:bookmarkStart w:id="760" w:name="_Toc297"/>
      <w:bookmarkEnd w:id="759"/>
      <w:r>
        <w:rPr>
          <w:rtl w:val="true"/>
        </w:rPr>
        <w:t>الباب السابع</w:t>
      </w:r>
      <w:r>
        <w:rPr>
          <w:rtl w:val="true"/>
        </w:rPr>
        <w:t xml:space="preserve">: </w:t>
      </w:r>
      <w:r>
        <w:rPr>
          <w:rtl w:val="true"/>
        </w:rPr>
        <w:t>في عبد العزيز</w:t>
      </w:r>
      <w:bookmarkEnd w:id="760"/>
    </w:p>
    <w:p>
      <w:pPr>
        <w:pStyle w:val="Heading6"/>
        <w:numPr>
          <w:ilvl w:val="5"/>
          <w:numId w:val="1"/>
        </w:numPr>
        <w:rPr/>
      </w:pPr>
      <w:bookmarkStart w:id="761" w:name="__RefHeading___Toc3770351_2870459653"/>
      <w:bookmarkStart w:id="762" w:name="_Toc298"/>
      <w:bookmarkEnd w:id="761"/>
      <w:r>
        <w:rPr/>
        <w:t>53</w:t>
      </w:r>
      <w:r>
        <w:rPr>
          <w:rtl w:val="true"/>
        </w:rPr>
        <w:t xml:space="preserve"> - </w:t>
      </w:r>
      <w:r>
        <w:rPr>
          <w:rtl w:val="true"/>
        </w:rPr>
        <w:t>عبد العزيز بن المهتدي</w:t>
      </w:r>
      <w:bookmarkEnd w:id="762"/>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المهتدي</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 ولفظ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763" w:name="pg9167_80507"/>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لفظ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عليّ بن محمّد القتيبيّ</w:t>
      </w:r>
      <w:r>
        <w:rPr>
          <w:rFonts w:eastAsia="Amiri" w:cs="Amiri" w:ascii="Amiri" w:hAnsi="Amiri"/>
          <w:color w:val="111111"/>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6"/>
        <w:numPr>
          <w:ilvl w:val="5"/>
          <w:numId w:val="1"/>
        </w:numPr>
        <w:rPr/>
      </w:pPr>
      <w:bookmarkStart w:id="764" w:name="__RefHeading___Toc3770353_2870459653"/>
      <w:bookmarkStart w:id="765" w:name="_Toc299"/>
      <w:bookmarkEnd w:id="764"/>
      <w:r>
        <w:rPr>
          <w:rtl w:val="true"/>
        </w:rPr>
        <w:t>الباب الثامن</w:t>
      </w:r>
      <w:r>
        <w:rPr>
          <w:rtl w:val="true"/>
        </w:rPr>
        <w:t xml:space="preserve">: </w:t>
      </w:r>
      <w:r>
        <w:rPr>
          <w:rtl w:val="true"/>
        </w:rPr>
        <w:t>في عبد السلام</w:t>
      </w:r>
      <w:bookmarkEnd w:id="765"/>
    </w:p>
    <w:p>
      <w:pPr>
        <w:pStyle w:val="Heading6"/>
        <w:numPr>
          <w:ilvl w:val="5"/>
          <w:numId w:val="1"/>
        </w:numPr>
        <w:rPr/>
      </w:pPr>
      <w:bookmarkStart w:id="766" w:name="__RefHeading___Toc3770355_2870459653"/>
      <w:bookmarkStart w:id="767" w:name="_Toc300"/>
      <w:bookmarkEnd w:id="766"/>
      <w:r>
        <w:rPr/>
        <w:t>54</w:t>
      </w:r>
      <w:r>
        <w:rPr>
          <w:rtl w:val="true"/>
        </w:rPr>
        <w:t xml:space="preserve"> - </w:t>
      </w:r>
      <w:r>
        <w:rPr>
          <w:rtl w:val="true"/>
        </w:rPr>
        <w:t>عبد السلام بن عبد الرحمن</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إنّي طلبت إلى إلهي في سدير وعبد السلام ابن عبد الرحمن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w:t>
      </w:r>
      <w:r>
        <w:rPr>
          <w:rStyle w:val="FootnoteAnchor"/>
          <w:rtl w:val="true"/>
        </w:rPr>
        <w:footnoteReference w:id="1029"/>
      </w:r>
      <w:r>
        <w:rPr>
          <w:rFonts w:ascii="Amiri" w:hAnsi="Amiri" w:eastAsia="Amiri" w:cs="Amiri"/>
          <w:color w:val="111111"/>
          <w:sz w:val="28"/>
          <w:sz w:val="28"/>
          <w:szCs w:val="28"/>
          <w:rtl w:val="true"/>
          <w:lang w:bidi="ar-SA"/>
        </w:rPr>
        <w:t>فيما مضى أنّ الصواب كون المذكور في هذا الحديث شديدا بالشين المعجمة والدالين، لا سديرا</w:t>
      </w:r>
      <w:r>
        <w:rPr>
          <w:rStyle w:val="FootnoteAnchor"/>
          <w:rtl w:val="true"/>
        </w:rPr>
        <w:footnoteReference w:id="1030"/>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في شيوع هذا التصحيف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زيد الشحّام للخبر قرينة واضحة على ما قلناه يشهد بذلك ما ذكره المصنّف وغيره في ترجمة زيد أنّه مولى شديد بن عبد الرحمن</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الصواب في قوله هنا ابن عبد الرحمن أن يكون بلفظ التثنية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في الطريق بكر بن محمّد الأزديّ، وهو مشترك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ثقة، والآخر ابن أخي سدير</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768" w:name="pg9167_80508"/>
    </w:p>
    <w:p>
      <w:pPr>
        <w:pStyle w:val="BookText"/>
        <w:rPr/>
      </w:pPr>
      <w:bookmarkEnd w:id="76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w:t>
      </w:r>
      <w:r>
        <w:rPr>
          <w:rStyle w:val="FootnoteAnchor"/>
          <w:rtl w:val="true"/>
        </w:rPr>
        <w:footnoteReference w:id="1034"/>
      </w:r>
      <w:r>
        <w:rPr>
          <w:rFonts w:ascii="Amiri" w:hAnsi="Amiri" w:eastAsia="Amiri" w:cs="Amiri"/>
          <w:color w:val="111111"/>
          <w:sz w:val="28"/>
          <w:sz w:val="28"/>
          <w:szCs w:val="28"/>
          <w:rtl w:val="true"/>
          <w:lang w:bidi="ar-SA"/>
        </w:rPr>
        <w:t>فيما سبق أنّه لا اشتراك في بكر بن محمّد</w:t>
      </w:r>
      <w:r>
        <w:rPr>
          <w:rStyle w:val="FootnoteAnchor"/>
          <w:rtl w:val="true"/>
        </w:rPr>
        <w:footnoteReference w:id="1035"/>
      </w:r>
      <w:r>
        <w:rPr>
          <w:rFonts w:ascii="Amiri" w:hAnsi="Amiri" w:eastAsia="Amiri" w:cs="Amiri"/>
          <w:color w:val="111111"/>
          <w:sz w:val="28"/>
          <w:sz w:val="28"/>
          <w:szCs w:val="28"/>
          <w:rtl w:val="true"/>
          <w:lang w:bidi="ar-SA"/>
        </w:rPr>
        <w:t>، وأنّ ابن أخي سدير هو الأوّل بعينه، وأنّ الصواب في ذلك شديد، لا سدير</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3770357_2870459653"/>
      <w:bookmarkStart w:id="770" w:name="_Toc301"/>
      <w:bookmarkEnd w:id="769"/>
      <w:r>
        <w:rPr/>
        <w:t>55</w:t>
      </w:r>
      <w:r>
        <w:rPr>
          <w:rtl w:val="true"/>
        </w:rPr>
        <w:t xml:space="preserve"> - </w:t>
      </w:r>
      <w:r>
        <w:rPr>
          <w:rtl w:val="true"/>
        </w:rPr>
        <w:t>عبد السلام بن صالح أبو الصلت</w:t>
      </w:r>
      <w:bookmarkEnd w:id="77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 أبو الصلت</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بالصاد المهملة والتاء المنقّطة فوقها نقطتين، الخراسانيّ الهرويّ عامّيّ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كانا واحداً أمكن الجمع بينهما، فإنّ صحّة الحديث لا يستلزم كونه غير عامّيّ؛ لجواز أن يكون ثقة، وحديثه صحيح، كما نبّه عليه المصنّف في الفائدة الثانية آخر الكتاب، وإن كانا اثنين فلا تنافي</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فاسد، وليس في الفائدة المذكورة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الكشّيّ ما يؤيّده فإنّه روى بطريقين عامّيّين عن ابن نعيم وأحمد بن سعيد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مأمون الحديث، ولكنّه شيعيّ المذهب محبّ لآل الرسول، وهذا يشعر بأنّه مخالط للعامّة، وراوٍ لأخبارهم، فلذلك التبس أمره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لنسبة الالتباس في شأن الرجل إلى الشيخ؛ لأنّ كلام النجاشيّ </w:t>
      </w:r>
      <w:bookmarkStart w:id="771" w:name="pg9167_80509"/>
    </w:p>
    <w:p>
      <w:pPr>
        <w:pStyle w:val="BookText"/>
        <w:rPr/>
      </w:pPr>
      <w:bookmarkEnd w:id="771"/>
      <w:r>
        <w:rPr>
          <w:rFonts w:ascii="Amiri" w:hAnsi="Amiri" w:eastAsia="Amiri" w:cs="Amiri"/>
          <w:color w:val="111111"/>
          <w:sz w:val="28"/>
          <w:sz w:val="28"/>
          <w:szCs w:val="28"/>
          <w:rtl w:val="true"/>
          <w:lang w:bidi="ar-SA"/>
        </w:rPr>
        <w:t>لا يخلو من إشارة إلى اختصاص الصحّة بحديثه، وذلك باعتبار التوقّف من جهة دينه، والنجاشيّ يستعمل هذه التأدية في التصحيح والتضعيف كثيراً، ويقصد بها التنبيه على عدم اجتماع الثقة من الجهتين، وما ذكره الكشّيّ من محبّته لأهل البيت لا يزيد على حال السكونيّ، وأمره معلوم</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3770359_2870459653"/>
      <w:bookmarkStart w:id="773" w:name="_Toc302"/>
      <w:bookmarkEnd w:id="772"/>
      <w:r>
        <w:rPr>
          <w:rtl w:val="true"/>
        </w:rPr>
        <w:t>الباب الحادي عشر</w:t>
      </w:r>
      <w:r>
        <w:rPr>
          <w:rtl w:val="true"/>
        </w:rPr>
        <w:t xml:space="preserve">: </w:t>
      </w:r>
      <w:r>
        <w:rPr>
          <w:rtl w:val="true"/>
        </w:rPr>
        <w:t>في عمر</w:t>
      </w:r>
      <w:bookmarkEnd w:id="773"/>
    </w:p>
    <w:p>
      <w:pPr>
        <w:pStyle w:val="Heading6"/>
        <w:numPr>
          <w:ilvl w:val="5"/>
          <w:numId w:val="1"/>
        </w:numPr>
        <w:rPr/>
      </w:pPr>
      <w:bookmarkStart w:id="774" w:name="__RefHeading___Toc3770361_2870459653"/>
      <w:bookmarkStart w:id="775" w:name="_Toc303"/>
      <w:bookmarkEnd w:id="774"/>
      <w:r>
        <w:rPr/>
        <w:t>56</w:t>
      </w:r>
      <w:r>
        <w:rPr>
          <w:rtl w:val="true"/>
        </w:rPr>
        <w:t xml:space="preserve"> - </w:t>
      </w:r>
      <w:r>
        <w:rPr>
          <w:rtl w:val="true"/>
        </w:rPr>
        <w:t>عمر بن محمّد بن عبد الرحمن بن أذينة</w:t>
      </w:r>
      <w:bookmarkEnd w:id="77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عبد الرحمن بن أذينة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البصريّين</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خطّ ابن طاووس، والذي في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البصريّين</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 وهو المناسب</w:t>
      </w:r>
      <w:r>
        <w:rPr>
          <w:rFonts w:eastAsia="IRNazanin" w:cs="IRNazanin"/>
          <w:color w:val="111111"/>
          <w:sz w:val="28"/>
          <w:szCs w:val="28"/>
          <w:rtl w:val="true"/>
          <w:lang w:bidi="fa-IR"/>
        </w:rPr>
        <w:t>.</w:t>
      </w:r>
    </w:p>
    <w:p>
      <w:pPr>
        <w:pStyle w:val="Heading6"/>
        <w:numPr>
          <w:ilvl w:val="5"/>
          <w:numId w:val="1"/>
        </w:numPr>
        <w:rPr/>
      </w:pPr>
      <w:bookmarkStart w:id="776" w:name="__RefHeading___Toc3770363_2870459653"/>
      <w:bookmarkStart w:id="777" w:name="_Toc304"/>
      <w:bookmarkEnd w:id="776"/>
      <w:r>
        <w:rPr>
          <w:rtl w:val="true"/>
        </w:rPr>
        <w:t>الباب الثاني عشر</w:t>
      </w:r>
      <w:r>
        <w:rPr>
          <w:rtl w:val="true"/>
        </w:rPr>
        <w:t xml:space="preserve">: </w:t>
      </w:r>
      <w:r>
        <w:rPr>
          <w:rtl w:val="true"/>
        </w:rPr>
        <w:t>في عمرو</w:t>
      </w:r>
      <w:bookmarkEnd w:id="777"/>
    </w:p>
    <w:p>
      <w:pPr>
        <w:pStyle w:val="Heading6"/>
        <w:numPr>
          <w:ilvl w:val="5"/>
          <w:numId w:val="1"/>
        </w:numPr>
        <w:rPr/>
      </w:pPr>
      <w:bookmarkStart w:id="778" w:name="__RefHeading___Toc3770365_2870459653"/>
      <w:bookmarkStart w:id="779" w:name="_Toc305"/>
      <w:bookmarkEnd w:id="778"/>
      <w:r>
        <w:rPr/>
        <w:t>57</w:t>
      </w:r>
      <w:r>
        <w:rPr>
          <w:rtl w:val="true"/>
        </w:rPr>
        <w:t xml:space="preserve"> - </w:t>
      </w:r>
      <w:r>
        <w:rPr>
          <w:rtl w:val="true"/>
        </w:rPr>
        <w:t>عمرو بن إلياس بن عمرو بن إلياس البجليّ</w:t>
      </w:r>
      <w:bookmarkEnd w:id="77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إلياس بن عمرو بن إلياس البجليّ</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إلياس بن عمرو بن إلياس البجلي أيضاً ابن ابن ذاك،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780" w:name="pg9167_80510"/>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عبارة النجاشيّ</w:t>
      </w:r>
      <w:r>
        <w:rPr>
          <w:rStyle w:val="FootnoteAnchor"/>
          <w:rtl w:val="true"/>
        </w:rPr>
        <w:footnoteReference w:id="1044"/>
      </w:r>
      <w:r>
        <w:rPr>
          <w:rFonts w:ascii="Amiri" w:hAnsi="Amiri" w:eastAsia="Amiri" w:cs="Amiri"/>
          <w:color w:val="111111"/>
          <w:sz w:val="28"/>
          <w:sz w:val="28"/>
          <w:szCs w:val="28"/>
          <w:rtl w:val="true"/>
          <w:lang w:bidi="ar-SA"/>
        </w:rPr>
        <w:t>أيضاً، وأمرها ملتبس</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المواضع الدالّة على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الغالب يتجاوز ابن طاووس في المراجعة، فإنّه اتّفق فيه مثل ما هنا، وهو ناشٍ عن عدم تأمّل، وفرط استعجال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والكلام في أصل كتاب النجاشيّ واضح الالتباس فيه،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إلياس البجليّ كوفيّ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أبو إلياس بن عمرو، روى عنه ابن جبلة، 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طريقه إليه،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إلياس ابن عمرو بن إلياس بن البجليّ أيضاً ابن ابن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الكلام الذي ذكره المصنّف في شأنه، ونسبة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 المشاركة لما هنا في الالتباس تعويل على ما حكاه ابن طاووس عن كتاب النجاشيّ، لا نقل من الكتاب، فإنّه لم يكن عنده</w:t>
      </w:r>
      <w:r>
        <w:rPr>
          <w:rFonts w:eastAsia="IRNazanin" w:cs="IRNazanin"/>
          <w:color w:val="111111"/>
          <w:sz w:val="28"/>
          <w:szCs w:val="28"/>
          <w:rtl w:val="true"/>
          <w:lang w:bidi="fa-IR"/>
        </w:rPr>
        <w:t>.</w:t>
      </w:r>
    </w:p>
    <w:p>
      <w:pPr>
        <w:pStyle w:val="Heading6"/>
        <w:numPr>
          <w:ilvl w:val="5"/>
          <w:numId w:val="1"/>
        </w:numPr>
        <w:rPr/>
      </w:pPr>
      <w:bookmarkStart w:id="781" w:name="__RefHeading___Toc3770367_2870459653"/>
      <w:bookmarkStart w:id="782" w:name="_Toc306"/>
      <w:bookmarkEnd w:id="781"/>
      <w:r>
        <w:rPr>
          <w:rtl w:val="true"/>
        </w:rPr>
        <w:t>الباب الثالث عشر</w:t>
      </w:r>
      <w:r>
        <w:rPr>
          <w:rtl w:val="true"/>
        </w:rPr>
        <w:t xml:space="preserve">: </w:t>
      </w:r>
      <w:r>
        <w:rPr>
          <w:rtl w:val="true"/>
        </w:rPr>
        <w:t>في عيسى</w:t>
      </w:r>
      <w:bookmarkEnd w:id="782"/>
    </w:p>
    <w:p>
      <w:pPr>
        <w:pStyle w:val="Heading6"/>
        <w:numPr>
          <w:ilvl w:val="5"/>
          <w:numId w:val="1"/>
        </w:numPr>
        <w:rPr/>
      </w:pPr>
      <w:bookmarkStart w:id="783" w:name="__RefHeading___Toc3770369_2870459653"/>
      <w:bookmarkStart w:id="784" w:name="_Toc307"/>
      <w:bookmarkEnd w:id="783"/>
      <w:r>
        <w:rPr/>
        <w:t>58</w:t>
      </w:r>
      <w:r>
        <w:rPr>
          <w:rtl w:val="true"/>
        </w:rPr>
        <w:t xml:space="preserve"> - </w:t>
      </w:r>
      <w:r>
        <w:rPr>
          <w:rtl w:val="true"/>
        </w:rPr>
        <w:t>عيسى ابن أبي منصور</w:t>
      </w:r>
      <w:bookmarkEnd w:id="784"/>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ابن أبي منصور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أبو جعفر ابن بابويه في ثبت أسماء رجاله عن محمّد بن الوليد، عن ابن أبي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عيسى بن أبي 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ننظر إليه خياراً في الدنيا خياراً في الآخرة فلينظر إليه، </w:t>
      </w:r>
      <w:bookmarkStart w:id="785" w:name="pg9167_80511"/>
    </w:p>
    <w:p>
      <w:pPr>
        <w:pStyle w:val="BookText"/>
        <w:rPr/>
      </w:pPr>
      <w:bookmarkEnd w:id="785"/>
      <w:r>
        <w:rPr>
          <w:rFonts w:ascii="Amiri" w:hAnsi="Amiri" w:eastAsia="Amiri" w:cs="Amiri"/>
          <w:color w:val="111111"/>
          <w:sz w:val="28"/>
          <w:sz w:val="28"/>
          <w:szCs w:val="28"/>
          <w:rtl w:val="true"/>
          <w:lang w:bidi="ar-SA"/>
        </w:rPr>
        <w:t>وهذا طريق حسن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كتاب 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ننظر خياراً</w:t>
      </w:r>
      <w:r>
        <w:rPr>
          <w:rFonts w:eastAsia="Amiri" w:cs="Amiri" w:ascii="Amiri" w:hAnsi="Amiri"/>
          <w:color w:val="111111"/>
          <w:sz w:val="28"/>
          <w:szCs w:val="28"/>
          <w:rtl w:val="true"/>
          <w:lang w:bidi="ar-SA"/>
        </w:rPr>
        <w:t>)</w:t>
      </w:r>
      <w:r>
        <w:rPr>
          <w:rStyle w:val="FootnoteAnchor"/>
          <w:rtl w:val="true"/>
        </w:rPr>
        <w:footnoteReference w:id="104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6"/>
        <w:numPr>
          <w:ilvl w:val="5"/>
          <w:numId w:val="1"/>
        </w:numPr>
        <w:rPr/>
      </w:pPr>
      <w:bookmarkStart w:id="786" w:name="__RefHeading___Toc3770371_2870459653"/>
      <w:bookmarkStart w:id="787" w:name="_Toc308"/>
      <w:bookmarkEnd w:id="786"/>
      <w:r>
        <w:rPr>
          <w:rtl w:val="true"/>
        </w:rPr>
        <w:t>الباب الخامس والعشرون</w:t>
      </w:r>
      <w:r>
        <w:rPr>
          <w:rtl w:val="true"/>
        </w:rPr>
        <w:t xml:space="preserve">: </w:t>
      </w:r>
      <w:r>
        <w:rPr>
          <w:rtl w:val="true"/>
        </w:rPr>
        <w:t>في الآحاد</w:t>
      </w:r>
      <w:bookmarkEnd w:id="787"/>
    </w:p>
    <w:p>
      <w:pPr>
        <w:pStyle w:val="Heading6"/>
        <w:numPr>
          <w:ilvl w:val="5"/>
          <w:numId w:val="1"/>
        </w:numPr>
        <w:rPr/>
      </w:pPr>
      <w:bookmarkStart w:id="788" w:name="__RefHeading___Toc3770373_2870459653"/>
      <w:bookmarkStart w:id="789" w:name="_Toc309"/>
      <w:bookmarkEnd w:id="788"/>
      <w:r>
        <w:rPr/>
        <w:t>59</w:t>
      </w:r>
      <w:r>
        <w:rPr>
          <w:rtl w:val="true"/>
        </w:rPr>
        <w:t xml:space="preserve"> - </w:t>
      </w:r>
      <w:r>
        <w:rPr>
          <w:rtl w:val="true"/>
        </w:rPr>
        <w:t>عبد المؤمن بن قيس بن قيس</w:t>
      </w:r>
      <w:bookmarkEnd w:id="789"/>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المؤمن بن قيس بن قيس</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المؤمن بن قيس بن قيس بن قهد</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عبد المؤمن بن القاسم بن قيس</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المصنّف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أخو أبي مريم عبد 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ذلك، لا سيّما إذا روجع موضع ذكر الأخ</w:t>
      </w:r>
      <w:r>
        <w:rPr>
          <w:rStyle w:val="FootnoteAnchor"/>
          <w:rtl w:val="true"/>
        </w:rPr>
        <w:footnoteReference w:id="1052"/>
      </w:r>
      <w:r>
        <w:rPr>
          <w:rFonts w:ascii="Amiri" w:hAnsi="Amiri" w:eastAsia="Amiri" w:cs="Amiri"/>
          <w:color w:val="111111"/>
          <w:sz w:val="28"/>
          <w:sz w:val="28"/>
          <w:szCs w:val="28"/>
          <w:rtl w:val="true"/>
          <w:lang w:bidi="ar-SA"/>
        </w:rPr>
        <w:t>، ولكن تبعيّة المصنّف لكلام ابن طاووس واقتصاره في المراجعة على كتابه توقع في أمثال هذا الخلل، فإنّ في كتاب ابن طاووس كما هنا، وهو سهو قلم من السيّد، وشاركه فيه المصنّف</w:t>
      </w:r>
      <w:r>
        <w:rPr>
          <w:rFonts w:eastAsia="Amiri" w:cs="Amiri" w:ascii="Amiri" w:hAnsi="Amiri"/>
          <w:color w:val="111111"/>
          <w:sz w:val="28"/>
          <w:szCs w:val="28"/>
          <w:rtl w:val="true"/>
          <w:lang w:bidi="ar-SA"/>
        </w:rPr>
        <w:t xml:space="preserve">. </w:t>
      </w:r>
      <w:bookmarkStart w:id="790" w:name="pg9167_80512"/>
    </w:p>
    <w:p>
      <w:pPr>
        <w:pStyle w:val="Heading5"/>
        <w:numPr>
          <w:ilvl w:val="4"/>
          <w:numId w:val="1"/>
        </w:numPr>
        <w:rPr/>
      </w:pPr>
      <w:bookmarkStart w:id="791" w:name="__RefHeading___Toc3770375_2870459653"/>
      <w:bookmarkStart w:id="792" w:name="_Toc310"/>
      <w:bookmarkEnd w:id="790"/>
      <w:bookmarkEnd w:id="791"/>
      <w:r>
        <w:rPr>
          <w:rtl w:val="true"/>
        </w:rPr>
        <w:t>الفصل الثالث والعشرون</w:t>
      </w:r>
      <w:r>
        <w:rPr>
          <w:rtl w:val="true"/>
        </w:rPr>
        <w:t xml:space="preserve">: </w:t>
      </w:r>
      <w:r>
        <w:rPr>
          <w:rtl w:val="true"/>
        </w:rPr>
        <w:t>في الميم</w:t>
      </w:r>
      <w:bookmarkEnd w:id="792"/>
    </w:p>
    <w:p>
      <w:pPr>
        <w:pStyle w:val="Heading6"/>
        <w:numPr>
          <w:ilvl w:val="5"/>
          <w:numId w:val="1"/>
        </w:numPr>
        <w:rPr/>
      </w:pPr>
      <w:bookmarkStart w:id="793" w:name="__RefHeading___Toc3770377_2870459653"/>
      <w:bookmarkStart w:id="794" w:name="_Toc311"/>
      <w:bookmarkEnd w:id="793"/>
      <w:r>
        <w:rPr>
          <w:rtl w:val="true"/>
        </w:rPr>
        <w:t>الباب الأوّل</w:t>
      </w:r>
      <w:r>
        <w:rPr>
          <w:rtl w:val="true"/>
        </w:rPr>
        <w:t xml:space="preserve">: </w:t>
      </w:r>
      <w:r>
        <w:rPr>
          <w:rtl w:val="true"/>
        </w:rPr>
        <w:t>في محمّد</w:t>
      </w:r>
      <w:bookmarkEnd w:id="794"/>
    </w:p>
    <w:p>
      <w:pPr>
        <w:pStyle w:val="Heading6"/>
        <w:numPr>
          <w:ilvl w:val="5"/>
          <w:numId w:val="1"/>
        </w:numPr>
        <w:rPr/>
      </w:pPr>
      <w:bookmarkStart w:id="795" w:name="__RefHeading___Toc3770379_2870459653"/>
      <w:bookmarkStart w:id="796" w:name="_Toc312"/>
      <w:bookmarkEnd w:id="795"/>
      <w:r>
        <w:rPr/>
        <w:t>60</w:t>
      </w:r>
      <w:r>
        <w:rPr>
          <w:rtl w:val="true"/>
        </w:rPr>
        <w:t xml:space="preserve"> - </w:t>
      </w:r>
      <w:r>
        <w:rPr>
          <w:rtl w:val="true"/>
        </w:rPr>
        <w:t>محمّد بن خالد بن عبد الرحمن</w:t>
      </w:r>
      <w:bookmarkEnd w:id="79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بن عبد الرحمن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الحديث</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ويمكن أن يكون مراده منها ما ذكره المصنّف</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3770381_2870459653"/>
      <w:bookmarkStart w:id="798" w:name="_Toc313"/>
      <w:bookmarkEnd w:id="797"/>
      <w:r>
        <w:rPr/>
        <w:t>61</w:t>
      </w:r>
      <w:r>
        <w:rPr>
          <w:rtl w:val="true"/>
        </w:rPr>
        <w:t xml:space="preserve"> - </w:t>
      </w:r>
      <w:r>
        <w:rPr>
          <w:rtl w:val="true"/>
        </w:rPr>
        <w:t>محمّد بن إسماعيل بن بزيع</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بزيع</w:t>
      </w:r>
      <w:r>
        <w:rPr>
          <w:rStyle w:val="FootnoteAnchor"/>
          <w:rtl w:val="true"/>
        </w:rPr>
        <w:footnoteReference w:id="1056"/>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صالحي هذه الطائفة</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صالحي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فيه كتاب السيّد جمال الدين ابن طاووس، فإنّه حكى فيه كلام النجاشيّ بهذه الصورة، وكثيراً ما يقع في نقل السيّد الخلل، والمصنِّف يتبعه فيشاركه فيه، وعبارة النجاشيّ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بن بزيع أبو جعفر مولى المنصور أبي جعفر، وولد بزيع بيت، منهم حمزة بن بزيع كان من صالحي هذه الطائفة وثقاتهم، كثير العمل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ثواب </w:t>
      </w:r>
    </w:p>
    <w:p>
      <w:pPr>
        <w:pStyle w:val="BookText"/>
        <w:rPr/>
      </w:pPr>
      <w:r>
        <w:rPr>
          <w:rFonts w:ascii="Amiri" w:hAnsi="Amiri" w:eastAsia="Amiri" w:cs="Amiri"/>
          <w:color w:val="111111"/>
          <w:sz w:val="28"/>
          <w:sz w:val="28"/>
          <w:szCs w:val="28"/>
          <w:rtl w:val="true"/>
          <w:lang w:bidi="ar-SA"/>
        </w:rPr>
        <w:t>الحجّ وكتاب الحجّ</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ولا يخفى أنّ ترك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 توهّم كون الكلام متعلّقاً بحمزة، لا سيّما بمعونة ترك ذكر الكتب، فإنّ الظاهر من العبارة حينئذٍ التعلّق بحمزة، ولذلك</w:t>
      </w:r>
      <w:r>
        <w:rPr>
          <w:rStyle w:val="FootnoteAnchor"/>
          <w:rtl w:val="true"/>
        </w:rPr>
        <w:footnoteReference w:id="1059"/>
      </w:r>
      <w:r>
        <w:rPr>
          <w:rFonts w:ascii="Amiri" w:hAnsi="Amiri" w:eastAsia="Amiri" w:cs="Amiri"/>
          <w:color w:val="111111"/>
          <w:sz w:val="28"/>
          <w:sz w:val="28"/>
          <w:szCs w:val="28"/>
          <w:rtl w:val="true"/>
          <w:lang w:bidi="ar-SA"/>
        </w:rPr>
        <w:t xml:space="preserve">ذكرها المصنِّف في شأن حمزة عند ذكره له، وليس لما قاله في شأنه مأخذ، إلّا هذه العبارة، وبمراجعة كلام النجاشيّ لا مجال لتطرّق هذا الوهم، فإنّ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إسماعيل قطعاً، وتعليق الكلام الذي قبله بحمزة يقتضي اختلاف مرجع الضمائر من غير قرينة واضحة، بل مع دلالة القرينة الحاليّة على خلافه، وهي كون المقام مقام بيان حال محمّد لا حمزة، وهذا في غاية البعد</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بنان بن محمّد</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أنّ بيان بالياء لكن لم يذكر له أباً، وسيأتي في قسم الضعفاء بنان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عيسى الأسديّ الملقّب ببنان، ولم يضبطه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 الكشّيّ أنّ عبد الله بن محمّد الأسديّ الملقّب ببنان مذكور في ترجمة محمّد بن سنان</w:t>
      </w:r>
      <w:r>
        <w:rPr>
          <w:rStyle w:val="FootnoteAnchor"/>
          <w:rtl w:val="true"/>
        </w:rPr>
        <w:footnoteReference w:id="1063"/>
      </w:r>
      <w:r>
        <w:rPr>
          <w:rFonts w:ascii="Amiri" w:hAnsi="Amiri" w:eastAsia="Amiri" w:cs="Amiri"/>
          <w:color w:val="111111"/>
          <w:sz w:val="28"/>
          <w:sz w:val="28"/>
          <w:szCs w:val="28"/>
          <w:rtl w:val="true"/>
          <w:lang w:bidi="ar-SA"/>
        </w:rPr>
        <w:t xml:space="preserve">، وهو مصحّف، وصوابه الأشعريّ، وقد ذكره الكشّيّ </w:t>
      </w:r>
      <w:bookmarkStart w:id="799" w:name="pg9167_80514"/>
    </w:p>
    <w:p>
      <w:pPr>
        <w:pStyle w:val="BookText"/>
        <w:rPr/>
      </w:pPr>
      <w:bookmarkEnd w:id="799"/>
      <w:r>
        <w:rPr>
          <w:rFonts w:ascii="Amiri" w:hAnsi="Amiri" w:eastAsia="Amiri" w:cs="Amiri"/>
          <w:color w:val="111111"/>
          <w:sz w:val="28"/>
          <w:sz w:val="28"/>
          <w:szCs w:val="28"/>
          <w:rtl w:val="true"/>
          <w:lang w:bidi="ar-SA"/>
        </w:rPr>
        <w:t>معنوناً باسمه واسم أخيه أحمد بن محمّد بن عيسى، وقال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ملقّب ببنان</w:t>
      </w:r>
      <w:r>
        <w:rPr>
          <w:rStyle w:val="FootnoteAnchor"/>
          <w:rtl w:val="true"/>
        </w:rPr>
        <w:footnoteReference w:id="1064"/>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0" w:name="__RefHeading___Toc3770383_2870459653"/>
      <w:bookmarkStart w:id="801" w:name="_Toc314"/>
      <w:bookmarkEnd w:id="800"/>
      <w:r>
        <w:rPr/>
        <w:t>62</w:t>
      </w:r>
      <w:r>
        <w:rPr>
          <w:rtl w:val="true"/>
        </w:rPr>
        <w:t xml:space="preserve"> - </w:t>
      </w:r>
      <w:r>
        <w:rPr>
          <w:rtl w:val="true"/>
        </w:rPr>
        <w:t>محمّد بن قيس البجليّ</w:t>
      </w:r>
      <w:bookmarkEnd w:id="80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 البجليّ</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يساوي كتاب محمّد بن قيس الأسديّ أبي عبد الله، وهذا محمّد بن قيس البجليّ، يكنّى أبا عبد الله أيضاً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كلام النجاشيّ</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تعويل المصنّف في تأديته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محمّد بن قيس البجليّ يساوي كتاب محمّد بن قيس الأسديّ المكنّى بأبي نصر، لا المكنّى بأبي عبد الله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2" w:name="__RefHeading___Toc3770385_2870459653"/>
      <w:bookmarkStart w:id="803" w:name="_Toc315"/>
      <w:bookmarkEnd w:id="802"/>
      <w:r>
        <w:rPr/>
        <w:t>63</w:t>
      </w:r>
      <w:r>
        <w:rPr>
          <w:rtl w:val="true"/>
        </w:rPr>
        <w:t xml:space="preserve"> - </w:t>
      </w:r>
      <w:r>
        <w:rPr>
          <w:rtl w:val="true"/>
        </w:rPr>
        <w:t>محمّد بن إسحاق</w:t>
      </w:r>
      <w:bookmarkEnd w:id="803"/>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الكشّيّ عن حمدويه، عن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شعر أنّ محمّداً أخاه كان يقول بحياة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بالحقّ</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804" w:name="pg9167_80515"/>
    </w:p>
    <w:p>
      <w:pPr>
        <w:pStyle w:val="BookText"/>
        <w:rPr/>
      </w:pPr>
      <w:bookmarkEnd w:id="80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المحكيّ عن الكشّيّ وهمٌ، والمصنّف تبع في ذلك كلام السيّد جمال الدين ابن طاووس</w:t>
      </w:r>
      <w:r>
        <w:rPr>
          <w:rStyle w:val="FootnoteAnchor"/>
          <w:rtl w:val="true"/>
        </w:rPr>
        <w:footnoteReference w:id="1072"/>
      </w:r>
      <w:r>
        <w:rPr>
          <w:rFonts w:ascii="Amiri" w:hAnsi="Amiri" w:eastAsia="Amiri" w:cs="Amiri"/>
          <w:color w:val="111111"/>
          <w:sz w:val="28"/>
          <w:sz w:val="28"/>
          <w:szCs w:val="28"/>
          <w:rtl w:val="true"/>
          <w:lang w:bidi="ar-SA"/>
        </w:rPr>
        <w:t>، وقد بيّنّا الحال فيما يأتي عند ذكر أخيه يزيد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5" w:name="__RefHeading___Toc3770387_2870459653"/>
      <w:bookmarkStart w:id="806" w:name="_Toc316"/>
      <w:bookmarkEnd w:id="805"/>
      <w:r>
        <w:rPr/>
        <w:t>64</w:t>
      </w:r>
      <w:r>
        <w:rPr>
          <w:rtl w:val="true"/>
        </w:rPr>
        <w:t xml:space="preserve"> - </w:t>
      </w:r>
      <w:r>
        <w:rPr>
          <w:rtl w:val="true"/>
        </w:rPr>
        <w:t>محمّد بن سليمان بن الحسن بن الجهم</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طاهر الرازيّ</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الزراريّ، وما وقع هنا تقليد لكتاب ابن طاووس في نقله عن النجاشيّ، وفي نسخة كتاب النجاشيّ</w:t>
      </w:r>
      <w:r>
        <w:rPr>
          <w:rStyle w:val="FootnoteAnchor"/>
          <w:rtl w:val="true"/>
        </w:rPr>
        <w:footnoteReference w:id="1075"/>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3770389_2870459653"/>
      <w:bookmarkStart w:id="808" w:name="_Toc317"/>
      <w:bookmarkEnd w:id="807"/>
      <w:r>
        <w:rPr>
          <w:rtl w:val="true"/>
        </w:rPr>
        <w:t>الباب العاشر</w:t>
      </w:r>
      <w:r>
        <w:rPr>
          <w:rtl w:val="true"/>
        </w:rPr>
        <w:t xml:space="preserve">: </w:t>
      </w:r>
      <w:r>
        <w:rPr>
          <w:rtl w:val="true"/>
        </w:rPr>
        <w:t>في معمر</w:t>
      </w:r>
      <w:bookmarkEnd w:id="808"/>
    </w:p>
    <w:p>
      <w:pPr>
        <w:pStyle w:val="Heading6"/>
        <w:numPr>
          <w:ilvl w:val="5"/>
          <w:numId w:val="1"/>
        </w:numPr>
        <w:rPr/>
      </w:pPr>
      <w:bookmarkStart w:id="809" w:name="__RefHeading___Toc3770391_2870459653"/>
      <w:bookmarkStart w:id="810" w:name="_Toc318"/>
      <w:bookmarkEnd w:id="809"/>
      <w:r>
        <w:rPr/>
        <w:t>65</w:t>
      </w:r>
      <w:r>
        <w:rPr>
          <w:rtl w:val="true"/>
        </w:rPr>
        <w:t xml:space="preserve"> - </w:t>
      </w:r>
      <w:r>
        <w:rPr>
          <w:rtl w:val="true"/>
        </w:rPr>
        <w:t>معمر بن يحيى بن مسافر العجليّ الكوفيّ</w:t>
      </w:r>
      <w:bookmarkEnd w:id="81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يحيى بن مسافر العجليّ الكوفيّ</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صميم</w:t>
      </w:r>
      <w:r>
        <w:rPr>
          <w:rStyle w:val="FootnoteAnchor"/>
          <w:rtl w:val="true"/>
        </w:rPr>
        <w:footnoteReference w:id="1077"/>
      </w:r>
      <w:r>
        <w:rPr>
          <w:rFonts w:ascii="Amiri" w:hAnsi="Amiri" w:eastAsia="Amiri" w:cs="Amiri"/>
          <w:color w:val="111111"/>
          <w:sz w:val="28"/>
          <w:sz w:val="28"/>
          <w:szCs w:val="28"/>
          <w:rtl w:val="true"/>
          <w:lang w:bidi="ar-SA"/>
        </w:rPr>
        <w:t>ثقة متفقّه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تكرّرت الإشارة إلى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عبارة هذا الكتاب كلام النجاشيّ، ولفظ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صميم ثقة متقدّم</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 ولا ينبغي التوقّف في أنّ ما </w:t>
      </w:r>
      <w:bookmarkStart w:id="811" w:name="pg9167_80516"/>
    </w:p>
    <w:p>
      <w:pPr>
        <w:pStyle w:val="BookText"/>
        <w:rPr/>
      </w:pPr>
      <w:bookmarkEnd w:id="811"/>
      <w:r>
        <w:rPr>
          <w:rFonts w:ascii="Amiri" w:hAnsi="Amiri" w:eastAsia="Amiri" w:cs="Amiri"/>
          <w:color w:val="111111"/>
          <w:sz w:val="28"/>
          <w:sz w:val="28"/>
          <w:szCs w:val="28"/>
          <w:rtl w:val="true"/>
          <w:lang w:bidi="ar-SA"/>
        </w:rPr>
        <w:t>هنا تصحيف</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3770393_2870459653"/>
      <w:bookmarkStart w:id="813" w:name="_Toc319"/>
      <w:bookmarkEnd w:id="812"/>
      <w:r>
        <w:rPr>
          <w:rtl w:val="true"/>
        </w:rPr>
        <w:t>الباب الحادي عشر</w:t>
      </w:r>
      <w:r>
        <w:rPr>
          <w:rtl w:val="true"/>
        </w:rPr>
        <w:t xml:space="preserve">: </w:t>
      </w:r>
      <w:r>
        <w:rPr>
          <w:rtl w:val="true"/>
        </w:rPr>
        <w:t>في الآحاد</w:t>
      </w:r>
      <w:bookmarkEnd w:id="813"/>
    </w:p>
    <w:p>
      <w:pPr>
        <w:pStyle w:val="Heading6"/>
        <w:numPr>
          <w:ilvl w:val="5"/>
          <w:numId w:val="1"/>
        </w:numPr>
        <w:rPr/>
      </w:pPr>
      <w:bookmarkStart w:id="814" w:name="__RefHeading___Toc3770395_2870459653"/>
      <w:bookmarkStart w:id="815" w:name="_Toc320"/>
      <w:bookmarkEnd w:id="814"/>
      <w:r>
        <w:rPr/>
        <w:t>66</w:t>
      </w:r>
      <w:r>
        <w:rPr>
          <w:rtl w:val="true"/>
        </w:rPr>
        <w:t xml:space="preserve"> - </w:t>
      </w:r>
      <w:r>
        <w:rPr>
          <w:rtl w:val="true"/>
        </w:rPr>
        <w:t>معروف بن خرّبوذ</w:t>
      </w:r>
      <w:bookmarkEnd w:id="81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بن خرّبوذ بالخاء المفتوحة والراء المشدّدة</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معدود في جملة الجماعة الذين نقل الكشّيّ الإجماع على تصحيح ما يصحّ عنهم، وجملتهم ثمانية عشر رجلاً، أوّلهم زرارة، وثانيهم معروف بن خرّبوذ</w:t>
      </w:r>
      <w:r>
        <w:rPr>
          <w:rStyle w:val="FootnoteAnchor"/>
          <w:rtl w:val="true"/>
        </w:rPr>
        <w:footnoteReference w:id="1082"/>
      </w:r>
      <w:r>
        <w:rPr>
          <w:rFonts w:ascii="Amiri" w:hAnsi="Amiri" w:eastAsia="Amiri" w:cs="Amiri"/>
          <w:color w:val="111111"/>
          <w:sz w:val="28"/>
          <w:sz w:val="28"/>
          <w:szCs w:val="28"/>
          <w:rtl w:val="true"/>
          <w:lang w:bidi="ar-SA"/>
        </w:rPr>
        <w:t>، والباقون مذكورون في مواضعهم</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3770397_2870459653"/>
      <w:bookmarkStart w:id="817" w:name="_Toc321"/>
      <w:bookmarkEnd w:id="816"/>
      <w:r>
        <w:rPr/>
        <w:t>67</w:t>
      </w:r>
      <w:r>
        <w:rPr>
          <w:rtl w:val="true"/>
        </w:rPr>
        <w:t xml:space="preserve"> - </w:t>
      </w:r>
      <w:r>
        <w:rPr>
          <w:rtl w:val="true"/>
        </w:rPr>
        <w:t>مسمع بن مالك</w:t>
      </w:r>
      <w:bookmarkEnd w:id="817"/>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 بن مالك</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مسمع بن 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الملك الملقّب كردين</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 الشهيد،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كردويه وكردين إسمان لمسمع</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الكشّيّ عن محمّد 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 بن </w:t>
      </w:r>
      <w:bookmarkStart w:id="818" w:name="pg9167_80517"/>
    </w:p>
    <w:p>
      <w:pPr>
        <w:pStyle w:val="BookText"/>
        <w:rPr/>
      </w:pPr>
      <w:bookmarkEnd w:id="818"/>
      <w:r>
        <w:rPr>
          <w:rFonts w:ascii="Amiri" w:hAnsi="Amiri" w:eastAsia="Amiri" w:cs="Amiri"/>
          <w:color w:val="111111"/>
          <w:sz w:val="28"/>
          <w:sz w:val="28"/>
          <w:szCs w:val="28"/>
          <w:rtl w:val="true"/>
          <w:lang w:bidi="ar-SA"/>
        </w:rPr>
        <w:t>فضّال عن مسمع كردين،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مالك من أهل البصرة، وكان ثقة</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ينقل ذلك في كتاب السيّد جمال الدين ابن طاووس</w:t>
      </w:r>
      <w:r>
        <w:rPr>
          <w:rStyle w:val="FootnoteAnchor"/>
          <w:rtl w:val="true"/>
        </w:rPr>
        <w:footnoteReference w:id="1087"/>
      </w:r>
      <w:r>
        <w:rPr>
          <w:rFonts w:ascii="IRNazanin" w:hAnsi="IRNazanin" w:eastAsia="IRNazanin"/>
          <w:color w:val="111111"/>
          <w:sz w:val="28"/>
          <w:sz w:val="28"/>
          <w:szCs w:val="28"/>
          <w:rtl w:val="true"/>
          <w:lang w:bidi="fa-IR"/>
        </w:rPr>
        <w:t>، فتبعه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في ترجمة أبي داود المسترقّ أنّا لم نرَ مأخذاً لتوثيق المصنّف له إلّا حكاية الكشّيّ عن عليّ بن فضّال بنحو ما هنا، فلعلّ المصنّف لو كان وقف على ما ذكره الكشّيّ هنا لوثّق مسمعاً</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3770399_2870459653"/>
      <w:bookmarkStart w:id="820" w:name="_Toc322"/>
      <w:bookmarkEnd w:id="819"/>
      <w:r>
        <w:rPr/>
        <w:t>68</w:t>
      </w:r>
      <w:r>
        <w:rPr>
          <w:rtl w:val="true"/>
        </w:rPr>
        <w:t xml:space="preserve"> - </w:t>
      </w:r>
      <w:r>
        <w:rPr>
          <w:rtl w:val="true"/>
        </w:rPr>
        <w:t>مروان بن موسى</w:t>
      </w:r>
      <w:bookmarkEnd w:id="82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موسى</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بن موسى كوفيّ ثقة</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مسلم كوفيّ ثقة، ولم يذكر غيره 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كما ذكره المصنّف</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التي عندي لكتاب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مقابلة بنسخة قديمة معتبرة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مروان بن مسلم</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كما ذكر ابن داود</w:t>
      </w:r>
      <w:r>
        <w:rPr>
          <w:rStyle w:val="FootnoteAnchor"/>
          <w:rtl w:val="true"/>
        </w:rPr>
        <w:footnoteReference w:id="1092"/>
      </w:r>
      <w:r>
        <w:rPr>
          <w:rFonts w:ascii="Amiri" w:hAnsi="Amiri" w:eastAsia="Amiri" w:cs="Amiri"/>
          <w:color w:val="111111"/>
          <w:sz w:val="28"/>
          <w:sz w:val="28"/>
          <w:szCs w:val="28"/>
          <w:rtl w:val="true"/>
          <w:lang w:bidi="ar-SA"/>
        </w:rPr>
        <w:t xml:space="preserve">، وما حكاه الوالد عنه مأخوذ من كتاب ابن طاووس، فإنّه ينقل فيه كلام النجاشيّ، وذكره ابن موسى، ولم يكن </w:t>
      </w:r>
      <w:bookmarkStart w:id="821" w:name="pg9167_80518"/>
    </w:p>
    <w:p>
      <w:pPr>
        <w:pStyle w:val="BookText"/>
        <w:rPr/>
      </w:pPr>
      <w:bookmarkEnd w:id="821"/>
      <w:r>
        <w:rPr>
          <w:rFonts w:ascii="Amiri" w:hAnsi="Amiri" w:eastAsia="Amiri" w:cs="Amiri"/>
          <w:color w:val="111111"/>
          <w:sz w:val="28"/>
          <w:sz w:val="28"/>
          <w:szCs w:val="28"/>
          <w:rtl w:val="true"/>
          <w:lang w:bidi="ar-SA"/>
        </w:rPr>
        <w:t xml:space="preserve">عند الوالد نسخة لكتاب النجاشيّ غيره،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يأخذ، فلذلك جعله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يقتضيه التتبّع أنّ المصنّف لا يتجاوز غالباً في المراجعة كتاب ابن طاووس، فمهما وجده هناك أثبته، فليُعلم</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3770401_2870459653"/>
      <w:bookmarkStart w:id="823" w:name="_Toc323"/>
      <w:bookmarkEnd w:id="822"/>
      <w:r>
        <w:rPr>
          <w:rtl w:val="true"/>
        </w:rPr>
        <w:t>الفصل الرابع والعشرون</w:t>
      </w:r>
      <w:r>
        <w:rPr>
          <w:rtl w:val="true"/>
        </w:rPr>
        <w:t xml:space="preserve">: </w:t>
      </w:r>
      <w:r>
        <w:rPr>
          <w:rtl w:val="true"/>
        </w:rPr>
        <w:t>في النون</w:t>
      </w:r>
      <w:bookmarkEnd w:id="823"/>
    </w:p>
    <w:p>
      <w:pPr>
        <w:pStyle w:val="Heading6"/>
        <w:numPr>
          <w:ilvl w:val="5"/>
          <w:numId w:val="1"/>
        </w:numPr>
        <w:rPr/>
      </w:pPr>
      <w:bookmarkStart w:id="824" w:name="__RefHeading___Toc3770403_2870459653"/>
      <w:bookmarkStart w:id="825" w:name="_Toc324"/>
      <w:bookmarkEnd w:id="824"/>
      <w:r>
        <w:rPr>
          <w:rtl w:val="true"/>
        </w:rPr>
        <w:t>الباب الثالث</w:t>
      </w:r>
      <w:r>
        <w:rPr>
          <w:rtl w:val="true"/>
        </w:rPr>
        <w:t xml:space="preserve">: </w:t>
      </w:r>
      <w:r>
        <w:rPr>
          <w:rtl w:val="true"/>
        </w:rPr>
        <w:t>في نوح</w:t>
      </w:r>
      <w:bookmarkEnd w:id="825"/>
    </w:p>
    <w:p>
      <w:pPr>
        <w:pStyle w:val="Heading6"/>
        <w:numPr>
          <w:ilvl w:val="5"/>
          <w:numId w:val="1"/>
        </w:numPr>
        <w:rPr/>
      </w:pPr>
      <w:bookmarkStart w:id="826" w:name="__RefHeading___Toc3770405_2870459653"/>
      <w:bookmarkStart w:id="827" w:name="_Toc325"/>
      <w:bookmarkEnd w:id="826"/>
      <w:r>
        <w:rPr/>
        <w:t>69</w:t>
      </w:r>
      <w:r>
        <w:rPr>
          <w:rtl w:val="true"/>
        </w:rPr>
        <w:t xml:space="preserve"> - </w:t>
      </w:r>
      <w:r>
        <w:rPr>
          <w:rtl w:val="true"/>
        </w:rPr>
        <w:t>نوح بن شعيب</w:t>
      </w:r>
      <w:bookmarkEnd w:id="827"/>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شعيب</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فقيهاً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حكى السيّد جمال الدين ابن طاووس في كتابه عن كتاب الرجال للشيخ، وهو اختصار مخلّ، وكثيراً ما يتّفق للسيّد مثله، والمصنّف يتبعه، فيشاركه فيما وقع فيه، وكلام الشيخ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الفضل بن شاذان أنّه كان فقيهاً عالماً صالحاً مرضيّاً،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نوح بن صالح</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828" w:name="pg9167_80519"/>
    </w:p>
    <w:p>
      <w:pPr>
        <w:pStyle w:val="Heading5"/>
        <w:numPr>
          <w:ilvl w:val="4"/>
          <w:numId w:val="1"/>
        </w:numPr>
        <w:rPr/>
      </w:pPr>
      <w:bookmarkStart w:id="829" w:name="__RefHeading___Toc3770407_2870459653"/>
      <w:bookmarkStart w:id="830" w:name="_Toc326"/>
      <w:bookmarkEnd w:id="828"/>
      <w:bookmarkEnd w:id="829"/>
      <w:r>
        <w:rPr>
          <w:rtl w:val="true"/>
        </w:rPr>
        <w:t>الفصل السادس والعشرون</w:t>
      </w:r>
      <w:r>
        <w:rPr>
          <w:rtl w:val="true"/>
        </w:rPr>
        <w:t xml:space="preserve">: </w:t>
      </w:r>
      <w:r>
        <w:rPr>
          <w:rtl w:val="true"/>
        </w:rPr>
        <w:t>في الهاء</w:t>
      </w:r>
      <w:bookmarkEnd w:id="830"/>
    </w:p>
    <w:p>
      <w:pPr>
        <w:pStyle w:val="Heading6"/>
        <w:numPr>
          <w:ilvl w:val="5"/>
          <w:numId w:val="1"/>
        </w:numPr>
        <w:rPr/>
      </w:pPr>
      <w:bookmarkStart w:id="831" w:name="__RefHeading___Toc3770409_2870459653"/>
      <w:bookmarkStart w:id="832" w:name="_Toc327"/>
      <w:bookmarkEnd w:id="831"/>
      <w:r>
        <w:rPr>
          <w:rtl w:val="true"/>
        </w:rPr>
        <w:t>الباب الأوّل</w:t>
      </w:r>
      <w:r>
        <w:rPr>
          <w:rtl w:val="true"/>
        </w:rPr>
        <w:t xml:space="preserve">: </w:t>
      </w:r>
      <w:r>
        <w:rPr>
          <w:rtl w:val="true"/>
        </w:rPr>
        <w:t>في هشام</w:t>
      </w:r>
      <w:bookmarkEnd w:id="832"/>
    </w:p>
    <w:p>
      <w:pPr>
        <w:pStyle w:val="Heading6"/>
        <w:numPr>
          <w:ilvl w:val="5"/>
          <w:numId w:val="1"/>
        </w:numPr>
        <w:rPr/>
      </w:pPr>
      <w:bookmarkStart w:id="833" w:name="__RefHeading___Toc3770411_2870459653"/>
      <w:bookmarkStart w:id="834" w:name="_Toc328"/>
      <w:bookmarkEnd w:id="833"/>
      <w:r>
        <w:rPr/>
        <w:t>70</w:t>
      </w:r>
      <w:r>
        <w:rPr>
          <w:rtl w:val="true"/>
        </w:rPr>
        <w:t xml:space="preserve"> - </w:t>
      </w:r>
      <w:r>
        <w:rPr>
          <w:rtl w:val="true"/>
        </w:rPr>
        <w:t>هشام بن محمّد بن السائب</w:t>
      </w:r>
      <w:bookmarkEnd w:id="83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محمّد بن السائب</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المنذر الناسب، العالم المشهور بالفضل والعلم العارف بالأيّام</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بالإمام المشهور بالفضل والعلم، وكان يختصّ بمذهبنا، وله الحديث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6"/>
        <w:numPr>
          <w:ilvl w:val="5"/>
          <w:numId w:val="1"/>
        </w:numPr>
        <w:rPr/>
      </w:pPr>
      <w:bookmarkStart w:id="835" w:name="__RefHeading___Toc3770413_2870459653"/>
      <w:bookmarkStart w:id="836" w:name="_Toc329"/>
      <w:bookmarkEnd w:id="835"/>
      <w:r>
        <w:rPr>
          <w:rtl w:val="true"/>
        </w:rPr>
        <w:t>الباب الرابع</w:t>
      </w:r>
      <w:r>
        <w:rPr>
          <w:rtl w:val="true"/>
        </w:rPr>
        <w:t xml:space="preserve">: </w:t>
      </w:r>
      <w:r>
        <w:rPr>
          <w:rtl w:val="true"/>
        </w:rPr>
        <w:t>في هارون</w:t>
      </w:r>
      <w:bookmarkEnd w:id="836"/>
    </w:p>
    <w:p>
      <w:pPr>
        <w:pStyle w:val="Heading6"/>
        <w:numPr>
          <w:ilvl w:val="5"/>
          <w:numId w:val="1"/>
        </w:numPr>
        <w:rPr/>
      </w:pPr>
      <w:bookmarkStart w:id="837" w:name="__RefHeading___Toc3770415_2870459653"/>
      <w:bookmarkStart w:id="838" w:name="_Toc330"/>
      <w:bookmarkEnd w:id="837"/>
      <w:r>
        <w:rPr/>
        <w:t>71</w:t>
      </w:r>
      <w:r>
        <w:rPr>
          <w:rtl w:val="true"/>
        </w:rPr>
        <w:t xml:space="preserve"> - </w:t>
      </w:r>
      <w:r>
        <w:rPr>
          <w:rtl w:val="true"/>
        </w:rPr>
        <w:t>هارون بن الجهم</w:t>
      </w:r>
      <w:bookmarkEnd w:id="838"/>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الجهم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الجهم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الجهم روى</w:t>
      </w:r>
      <w:r>
        <w:rPr>
          <w:rFonts w:eastAsia="Amiri" w:cs="Amiri" w:ascii="Amiri" w:hAnsi="Amiri"/>
          <w:color w:val="111111"/>
          <w:sz w:val="28"/>
          <w:szCs w:val="28"/>
          <w:rtl w:val="true"/>
          <w:lang w:bidi="ar-SA"/>
        </w:rPr>
        <w:t>..)</w:t>
      </w:r>
      <w:r>
        <w:rPr>
          <w:rStyle w:val="FootnoteAnchor"/>
          <w:rtl w:val="true"/>
        </w:rPr>
        <w:footnoteReference w:id="1101"/>
      </w:r>
      <w:r>
        <w:rPr>
          <w:rFonts w:ascii="IRNazanin" w:hAnsi="IRNazanin" w:eastAsia="IRNazanin"/>
          <w:color w:val="111111"/>
          <w:sz w:val="28"/>
          <w:sz w:val="28"/>
          <w:szCs w:val="28"/>
          <w:rtl w:val="true"/>
          <w:lang w:bidi="fa-IR"/>
        </w:rPr>
        <w:t>إلخ، وهو الصواب</w:t>
      </w:r>
      <w:r>
        <w:rPr>
          <w:rFonts w:eastAsia="IRNazanin" w:cs="IRNazanin"/>
          <w:color w:val="111111"/>
          <w:sz w:val="28"/>
          <w:szCs w:val="28"/>
          <w:rtl w:val="true"/>
          <w:lang w:bidi="fa-IR"/>
        </w:rPr>
        <w:t xml:space="preserve">. </w:t>
      </w:r>
      <w:bookmarkStart w:id="839" w:name="pg9167_80520"/>
    </w:p>
    <w:p>
      <w:pPr>
        <w:pStyle w:val="Heading5"/>
        <w:numPr>
          <w:ilvl w:val="4"/>
          <w:numId w:val="1"/>
        </w:numPr>
        <w:rPr/>
      </w:pPr>
      <w:bookmarkStart w:id="840" w:name="__RefHeading___Toc3770417_2870459653"/>
      <w:bookmarkStart w:id="841" w:name="_Toc331"/>
      <w:bookmarkEnd w:id="839"/>
      <w:bookmarkEnd w:id="840"/>
      <w:r>
        <w:rPr>
          <w:rtl w:val="true"/>
        </w:rPr>
        <w:t>الفصل السابع والعشرون</w:t>
      </w:r>
      <w:r>
        <w:rPr>
          <w:rtl w:val="true"/>
        </w:rPr>
        <w:t xml:space="preserve">: </w:t>
      </w:r>
      <w:r>
        <w:rPr>
          <w:rtl w:val="true"/>
        </w:rPr>
        <w:t>في الياء</w:t>
      </w:r>
      <w:bookmarkEnd w:id="841"/>
    </w:p>
    <w:p>
      <w:pPr>
        <w:pStyle w:val="Heading6"/>
        <w:numPr>
          <w:ilvl w:val="5"/>
          <w:numId w:val="1"/>
        </w:numPr>
        <w:rPr/>
      </w:pPr>
      <w:bookmarkStart w:id="842" w:name="__RefHeading___Toc3770419_2870459653"/>
      <w:bookmarkStart w:id="843" w:name="_Toc332"/>
      <w:bookmarkEnd w:id="842"/>
      <w:r>
        <w:rPr>
          <w:rtl w:val="true"/>
        </w:rPr>
        <w:t>الباب الثاني</w:t>
      </w:r>
      <w:r>
        <w:rPr>
          <w:rtl w:val="true"/>
        </w:rPr>
        <w:t xml:space="preserve">: </w:t>
      </w:r>
      <w:r>
        <w:rPr>
          <w:rtl w:val="true"/>
        </w:rPr>
        <w:t>في يزيد</w:t>
      </w:r>
      <w:bookmarkEnd w:id="843"/>
    </w:p>
    <w:p>
      <w:pPr>
        <w:pStyle w:val="Heading6"/>
        <w:numPr>
          <w:ilvl w:val="5"/>
          <w:numId w:val="1"/>
        </w:numPr>
        <w:rPr/>
      </w:pPr>
      <w:bookmarkStart w:id="844" w:name="__RefHeading___Toc3770421_2870459653"/>
      <w:bookmarkStart w:id="845" w:name="_Toc333"/>
      <w:bookmarkEnd w:id="844"/>
      <w:r>
        <w:rPr/>
        <w:t>72</w:t>
      </w:r>
      <w:r>
        <w:rPr>
          <w:rtl w:val="true"/>
        </w:rPr>
        <w:t xml:space="preserve"> - </w:t>
      </w:r>
      <w:r>
        <w:rPr>
          <w:rtl w:val="true"/>
        </w:rPr>
        <w:t>يزيد بن إسحاق شعر</w:t>
      </w:r>
      <w:bookmarkEnd w:id="845"/>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إسحاق شعر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الكشّيّ، عن حمدويه، عن الحسن بن موسى، عن يزيد بن إسحاق، أنّه كان من أرفع الناس لهذا الأمر، وأنّ أخاه محمّداً كان يقول بحياة الكاظم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حتّى قال بالحقّ</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المصنّف هنا عن الكشّيّ في شأن يزيد هذا مأخوذ من كتاب السيّد جمال الدين بن طاووس</w:t>
      </w:r>
      <w:r>
        <w:rPr>
          <w:rStyle w:val="FootnoteAnchor"/>
          <w:rtl w:val="true"/>
        </w:rPr>
        <w:footnoteReference w:id="1104"/>
      </w:r>
      <w:r>
        <w:rPr>
          <w:rFonts w:ascii="Amiri" w:hAnsi="Amiri" w:eastAsia="Amiri" w:cs="Amiri"/>
          <w:color w:val="111111"/>
          <w:sz w:val="28"/>
          <w:sz w:val="28"/>
          <w:szCs w:val="28"/>
          <w:rtl w:val="true"/>
          <w:lang w:bidi="ar-SA"/>
        </w:rPr>
        <w:t xml:space="preserve">، كما هي عادة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هذا الكتاب، وقد وهم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وسرى الوهم إلى المصنّف بتقليده له، وأنا أذكر صورة كلام الكشّيّ بعينها، ليتّضح الأمر، قال في 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إسحاق وكان من أرفع الناس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وكان مستوياً،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لمّا طال الكلام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صاحبك بالمنزلة التي تقول فسله أن يدعو الله لي حتّى أرجع إلى قولكم،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أخاً، وهو أسنّ منّي، وهو يقول بحياة أبيك، وأنا كثيراً ما أناظره، فقال لي 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صاحبك إن كان بالمنزل الذي ذكرت أن يدعو الله لي حتّى أصير إلى قولكم، فأنا أحبّ أن تدعو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القبلة، فذكر ما شاء الله أن يذكر،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بسمعه وبصره ومجامع قلبه، حتّى ترده إلى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هذا وهو رافع يده اليمنى،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أخبرني بما كان، فوالله ما لبثت إلّا يسيراً حتّى قلت بالحقّ</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الرواية صريحة في أنّ يزيد هو الذي كان يقول بحياة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أرفع الناس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الرواية، وإنّما هو من كلام الحسن بن موسى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منه القول بالوقف، فهو يشير إلى ما تضمّنته الحكاية من حال يزيد</w:t>
      </w:r>
      <w:r>
        <w:rPr>
          <w:rFonts w:eastAsia="Amiri" w:cs="Amiri" w:ascii="Amiri" w:hAnsi="Amiri"/>
          <w:color w:val="111111"/>
          <w:sz w:val="28"/>
          <w:szCs w:val="28"/>
          <w:rtl w:val="true"/>
          <w:lang w:bidi="ar-SA"/>
        </w:rPr>
        <w:t xml:space="preserve">. </w:t>
      </w:r>
      <w:bookmarkStart w:id="846" w:name="pg9167_80522"/>
    </w:p>
    <w:p>
      <w:pPr>
        <w:pStyle w:val="Heading5"/>
        <w:numPr>
          <w:ilvl w:val="4"/>
          <w:numId w:val="1"/>
        </w:numPr>
        <w:rPr/>
      </w:pPr>
      <w:bookmarkStart w:id="847" w:name="__RefHeading___Toc3770423_2870459653"/>
      <w:bookmarkStart w:id="848" w:name="_Toc334"/>
      <w:bookmarkEnd w:id="846"/>
      <w:bookmarkEnd w:id="847"/>
      <w:r>
        <w:rPr>
          <w:rtl w:val="true"/>
        </w:rPr>
        <w:t>الفصل الثامن والعشرون</w:t>
      </w:r>
      <w:r>
        <w:rPr>
          <w:rtl w:val="true"/>
        </w:rPr>
        <w:t xml:space="preserve">: </w:t>
      </w:r>
      <w:r>
        <w:rPr>
          <w:rtl w:val="true"/>
        </w:rPr>
        <w:t>في الكنى</w:t>
      </w:r>
      <w:bookmarkEnd w:id="848"/>
    </w:p>
    <w:p>
      <w:pPr>
        <w:pStyle w:val="Heading6"/>
        <w:numPr>
          <w:ilvl w:val="5"/>
          <w:numId w:val="1"/>
        </w:numPr>
        <w:rPr/>
      </w:pPr>
      <w:bookmarkStart w:id="849" w:name="__RefHeading___Toc3770425_2870459653"/>
      <w:bookmarkStart w:id="850" w:name="_Toc335"/>
      <w:bookmarkEnd w:id="849"/>
      <w:r>
        <w:rPr/>
        <w:t>73</w:t>
      </w:r>
      <w:r>
        <w:rPr>
          <w:rtl w:val="true"/>
        </w:rPr>
        <w:t xml:space="preserve"> - </w:t>
      </w:r>
      <w:r>
        <w:rPr>
          <w:rtl w:val="true"/>
        </w:rPr>
        <w:t>باب الكنى</w:t>
      </w:r>
      <w:bookmarkEnd w:id="850"/>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الكنى</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ما في إيراد المصنّف لهذه الأسماء المسرودة من هنا إلى آخر الكتاب من غير فصل بينها وبين ما قبلها، حيث كان معقوداً لذكر الكنى، والسبب في هذا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كتابه هذا من كتاب السيّد جمال الدين بن طاووس، كما يرشد إليه الاعتبار والتتبّع، وهذا الذي وقع هنا من جملة شواهده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ديباجة كتابه أنّه بعد تصنيف الكتاب وقف على كتاب أحمد بن محمّد بن خالد البرقيّ، فأحبّ أن ينقل منه أسماء بعض الرجال، فألحق من ذلك جملة في المواضع اللائقة بها من 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أجعل رجال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البرقيّ مرتّبة على حروف المعجم؛ إذ الرجال المشار إليهم نقل الرواية عنهم، بل جعلتهم في آخر الكتاب</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وقع إيراد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الأسماء في آخر الكتاب بوجه حسن، حيث بيّن أوّلاً أنّها مأخوذة من كتاب البرقيّ، وفصلها فصلاً بيّناً عن باب الكنى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التبعيّة في إيراد الأسماء المذكورة أخيراً، وقد كان الأولى فصلها بوجه عمّا قبلها، ليزول استغراب كونها في باب الكنى</w:t>
      </w:r>
      <w:r>
        <w:rPr>
          <w:rFonts w:eastAsia="Amiri" w:cs="Amiri" w:ascii="Amiri" w:hAnsi="Amiri"/>
          <w:color w:val="111111"/>
          <w:sz w:val="28"/>
          <w:szCs w:val="28"/>
          <w:rtl w:val="true"/>
          <w:lang w:bidi="ar-SA"/>
        </w:rPr>
        <w:t xml:space="preserve">. </w:t>
      </w:r>
      <w:bookmarkStart w:id="851" w:name="pg9167_80523"/>
    </w:p>
    <w:p>
      <w:pPr>
        <w:pStyle w:val="Heading6"/>
        <w:numPr>
          <w:ilvl w:val="5"/>
          <w:numId w:val="1"/>
        </w:numPr>
        <w:rPr/>
      </w:pPr>
      <w:bookmarkStart w:id="852" w:name="__RefHeading___Toc3770427_2870459653"/>
      <w:bookmarkStart w:id="853" w:name="_Toc336"/>
      <w:bookmarkEnd w:id="851"/>
      <w:bookmarkEnd w:id="852"/>
      <w:r>
        <w:rPr/>
        <w:t>74</w:t>
      </w:r>
      <w:r>
        <w:rPr>
          <w:rtl w:val="true"/>
        </w:rPr>
        <w:t xml:space="preserve"> -</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بن الأجدع بالجيم والدالّ المهملة ابن أشد</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السيّد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راشد</w:t>
      </w:r>
      <w:r>
        <w:rPr>
          <w:rStyle w:val="FootnoteAnchor"/>
          <w:rtl w:val="true"/>
        </w:rPr>
        <w:footnoteReference w:id="1111"/>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3770429_2870459653"/>
      <w:bookmarkStart w:id="855" w:name="_Toc337"/>
      <w:bookmarkEnd w:id="854"/>
      <w:r>
        <w:rPr>
          <w:rtl w:val="true"/>
        </w:rPr>
        <w:t>القسم الثاني</w:t>
      </w:r>
      <w:bookmarkEnd w:id="855"/>
    </w:p>
    <w:p>
      <w:pPr>
        <w:pStyle w:val="Heading5"/>
        <w:numPr>
          <w:ilvl w:val="4"/>
          <w:numId w:val="1"/>
        </w:numPr>
        <w:rPr/>
      </w:pPr>
      <w:bookmarkStart w:id="856" w:name="__RefHeading___Toc3770431_2870459653"/>
      <w:bookmarkStart w:id="857" w:name="_Toc338"/>
      <w:bookmarkEnd w:id="856"/>
      <w:r>
        <w:rPr>
          <w:rtl w:val="true"/>
        </w:rPr>
        <w:t>الفصل الأوّل</w:t>
      </w:r>
      <w:bookmarkEnd w:id="857"/>
    </w:p>
    <w:p>
      <w:pPr>
        <w:pStyle w:val="Heading6"/>
        <w:numPr>
          <w:ilvl w:val="5"/>
          <w:numId w:val="1"/>
        </w:numPr>
        <w:rPr/>
      </w:pPr>
      <w:bookmarkStart w:id="858" w:name="__RefHeading___Toc3770433_2870459653"/>
      <w:bookmarkStart w:id="859" w:name="_Toc339"/>
      <w:bookmarkEnd w:id="858"/>
      <w:r>
        <w:rPr>
          <w:rtl w:val="true"/>
        </w:rPr>
        <w:t>الباب الأوّل</w:t>
      </w:r>
      <w:r>
        <w:rPr>
          <w:rtl w:val="true"/>
        </w:rPr>
        <w:t xml:space="preserve">: </w:t>
      </w:r>
      <w:r>
        <w:rPr>
          <w:rtl w:val="true"/>
        </w:rPr>
        <w:t>في إبراهيم</w:t>
      </w:r>
      <w:bookmarkEnd w:id="859"/>
    </w:p>
    <w:p>
      <w:pPr>
        <w:pStyle w:val="Heading6"/>
        <w:numPr>
          <w:ilvl w:val="5"/>
          <w:numId w:val="1"/>
        </w:numPr>
        <w:rPr/>
      </w:pPr>
      <w:bookmarkStart w:id="860" w:name="__RefHeading___Toc3770435_2870459653"/>
      <w:bookmarkStart w:id="861" w:name="_Toc340"/>
      <w:bookmarkEnd w:id="860"/>
      <w:r>
        <w:rPr/>
        <w:t>75</w:t>
      </w:r>
      <w:r>
        <w:rPr>
          <w:rtl w:val="true"/>
        </w:rPr>
        <w:t xml:space="preserve"> - </w:t>
      </w:r>
      <w:r>
        <w:rPr>
          <w:rtl w:val="true"/>
        </w:rPr>
        <w:t>إبراهيم بن إسحاق</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ضعيفاً في حديثه، قد ضعّفه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الفهرست، وقال في كتاب الرجال 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إسحاق ثقة، فإن يكون هو هذا فلا تعويل على روايته، وقال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إسحاق بن أزور شيخ لا بأس به</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الشيخ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الأحمريّ</w:t>
      </w:r>
      <w:r>
        <w:rPr>
          <w:rStyle w:val="FootnoteAnchor"/>
          <w:rtl w:val="true"/>
        </w:rPr>
        <w:footnoteReference w:id="1114"/>
      </w:r>
      <w:r>
        <w:rPr>
          <w:rFonts w:ascii="IRNazanin" w:hAnsi="IRNazanin" w:eastAsia="IRNazanin"/>
          <w:color w:val="111111"/>
          <w:sz w:val="28"/>
          <w:sz w:val="28"/>
          <w:szCs w:val="28"/>
          <w:rtl w:val="true"/>
          <w:lang w:bidi="fa-IR"/>
        </w:rPr>
        <w:t xml:space="preserve">في باب من لم يروِ عن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وضعّفه، فكيف يحتمل أن يكون الموثّق من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Style w:val="FootnoteAnchor"/>
          <w:rtl w:val="true"/>
        </w:rPr>
        <w:footnoteReference w:id="11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62" w:name="pg9167_80524"/>
    </w:p>
    <w:p>
      <w:pPr>
        <w:pStyle w:val="Heading6"/>
        <w:numPr>
          <w:ilvl w:val="5"/>
          <w:numId w:val="1"/>
        </w:numPr>
        <w:rPr/>
      </w:pPr>
      <w:bookmarkStart w:id="863" w:name="__RefHeading___Toc3770437_2870459653"/>
      <w:bookmarkStart w:id="864" w:name="_Toc341"/>
      <w:bookmarkEnd w:id="862"/>
      <w:bookmarkEnd w:id="863"/>
      <w:r>
        <w:rPr>
          <w:rtl w:val="true"/>
        </w:rPr>
        <w:t>الباب الرابع</w:t>
      </w:r>
      <w:r>
        <w:rPr>
          <w:rtl w:val="true"/>
        </w:rPr>
        <w:t xml:space="preserve">: </w:t>
      </w:r>
      <w:r>
        <w:rPr>
          <w:rtl w:val="true"/>
        </w:rPr>
        <w:t>في أحمد</w:t>
      </w:r>
      <w:bookmarkEnd w:id="864"/>
    </w:p>
    <w:p>
      <w:pPr>
        <w:pStyle w:val="Heading6"/>
        <w:numPr>
          <w:ilvl w:val="5"/>
          <w:numId w:val="1"/>
        </w:numPr>
        <w:rPr/>
      </w:pPr>
      <w:bookmarkStart w:id="865" w:name="__RefHeading___Toc3770439_2870459653"/>
      <w:bookmarkStart w:id="866" w:name="_Toc342"/>
      <w:bookmarkEnd w:id="865"/>
      <w:r>
        <w:rPr/>
        <w:t>76</w:t>
      </w:r>
      <w:r>
        <w:rPr>
          <w:rtl w:val="true"/>
        </w:rPr>
        <w:t xml:space="preserve"> - </w:t>
      </w:r>
      <w:r>
        <w:rPr>
          <w:rtl w:val="true"/>
        </w:rPr>
        <w:t>أحمد بن الحسن بن إسماعيل</w:t>
      </w:r>
      <w:r>
        <w:rPr>
          <w:rtl w:val="true"/>
        </w:rPr>
        <w:t>.</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 بن إسماعيل بن شعيب بن ميثم التمّار مولى بني أسد،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ثقة صحيح الحديث معتمد عليه، وعندي فيه توقّف</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توقّف المصنّف في شأن الميثميّ لفساد مذهبه مع مبالغة النجاشيّ في تعديله</w:t>
      </w:r>
      <w:r>
        <w:rPr>
          <w:rStyle w:val="FootnoteAnchor"/>
          <w:rtl w:val="true"/>
        </w:rPr>
        <w:footnoteReference w:id="1117"/>
      </w:r>
      <w:r>
        <w:rPr>
          <w:rFonts w:ascii="Amiri" w:hAnsi="Amiri" w:eastAsia="Amiri" w:cs="Amiri"/>
          <w:color w:val="111111"/>
          <w:sz w:val="28"/>
          <w:sz w:val="28"/>
          <w:szCs w:val="28"/>
          <w:rtl w:val="true"/>
          <w:lang w:bidi="ar-SA"/>
        </w:rPr>
        <w:t>، وجزم مشاركة ابني فضّال له في فساد المذهب وغيرهما، وقد قدّم في القسم الأوّل أنّه يعتمد على رواياتهم، وسيأتي في هذا القسم ترجيحه للعمل برواية يحيى بن القاسم أبي بصير وإن كان مذهبه فاسداً</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3770441_2870459653"/>
      <w:bookmarkStart w:id="868" w:name="_Toc343"/>
      <w:bookmarkEnd w:id="867"/>
      <w:r>
        <w:rPr/>
        <w:t>77</w:t>
      </w:r>
      <w:r>
        <w:rPr>
          <w:rtl w:val="true"/>
        </w:rPr>
        <w:t xml:space="preserve"> - </w:t>
      </w:r>
      <w:r>
        <w:rPr>
          <w:rtl w:val="true"/>
        </w:rPr>
        <w:t>أحمد بن بشير</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بشير وأحمد بن الحسين بن سعيد روى عنهما أحمد بن محمّد بن يحيى</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ما في كتاب الرجال للشيخ من أنّ الذي روى عنهما محمّد بن أحمد بن يحيى</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869" w:name="pg9167_80525"/>
    </w:p>
    <w:p>
      <w:pPr>
        <w:pStyle w:val="Heading5"/>
        <w:numPr>
          <w:ilvl w:val="4"/>
          <w:numId w:val="1"/>
        </w:numPr>
        <w:rPr/>
      </w:pPr>
      <w:bookmarkStart w:id="870" w:name="__RefHeading___Toc3770443_2870459653"/>
      <w:bookmarkStart w:id="871" w:name="_Toc344"/>
      <w:bookmarkEnd w:id="869"/>
      <w:bookmarkEnd w:id="870"/>
      <w:r>
        <w:rPr>
          <w:rtl w:val="true"/>
        </w:rPr>
        <w:t>الفصل الخامس</w:t>
      </w:r>
      <w:r>
        <w:rPr>
          <w:rtl w:val="true"/>
        </w:rPr>
        <w:t xml:space="preserve">: </w:t>
      </w:r>
      <w:r>
        <w:rPr>
          <w:rtl w:val="true"/>
        </w:rPr>
        <w:t>في الجيم</w:t>
      </w:r>
      <w:bookmarkEnd w:id="871"/>
    </w:p>
    <w:p>
      <w:pPr>
        <w:pStyle w:val="Heading6"/>
        <w:numPr>
          <w:ilvl w:val="5"/>
          <w:numId w:val="1"/>
        </w:numPr>
        <w:rPr/>
      </w:pPr>
      <w:bookmarkStart w:id="872" w:name="__RefHeading___Toc3770445_2870459653"/>
      <w:bookmarkStart w:id="873" w:name="_Toc345"/>
      <w:bookmarkEnd w:id="872"/>
      <w:r>
        <w:rPr>
          <w:rtl w:val="true"/>
        </w:rPr>
        <w:t>الباب الأوّل</w:t>
      </w:r>
      <w:r>
        <w:rPr>
          <w:rtl w:val="true"/>
        </w:rPr>
        <w:t xml:space="preserve">: </w:t>
      </w:r>
      <w:r>
        <w:rPr>
          <w:rtl w:val="true"/>
        </w:rPr>
        <w:t>في جعفر</w:t>
      </w:r>
      <w:bookmarkEnd w:id="873"/>
    </w:p>
    <w:p>
      <w:pPr>
        <w:pStyle w:val="Heading6"/>
        <w:numPr>
          <w:ilvl w:val="5"/>
          <w:numId w:val="1"/>
        </w:numPr>
        <w:rPr/>
      </w:pPr>
      <w:bookmarkStart w:id="874" w:name="__RefHeading___Toc3770447_2870459653"/>
      <w:bookmarkStart w:id="875" w:name="_Toc346"/>
      <w:bookmarkEnd w:id="874"/>
      <w:r>
        <w:rPr/>
        <w:t>78</w:t>
      </w:r>
      <w:r>
        <w:rPr>
          <w:rtl w:val="true"/>
        </w:rPr>
        <w:t xml:space="preserve"> - </w:t>
      </w:r>
      <w:r>
        <w:rPr>
          <w:rtl w:val="true"/>
        </w:rPr>
        <w:t>جعفر بن محمّد بن مالك</w:t>
      </w:r>
      <w:r>
        <w:rPr>
          <w:rtl w:val="true"/>
        </w:rPr>
        <w:t>.</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مالك بن عيسى بن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روى عنه شيخنا النبيل الثقة أبو عليّ بن همّام، وشيخنا الجليل الثقة أبو غالب الرازيّ؟</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الزراريّ، وهو كذلك في كتاب النجاشيّ</w:t>
      </w:r>
      <w:r>
        <w:rPr>
          <w:rStyle w:val="FootnoteAnchor"/>
          <w:rtl w:val="true"/>
        </w:rPr>
        <w:footnoteReference w:id="112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770449_2870459653"/>
      <w:bookmarkStart w:id="877" w:name="_Toc347"/>
      <w:bookmarkEnd w:id="876"/>
      <w:r>
        <w:rPr>
          <w:rtl w:val="true"/>
        </w:rPr>
        <w:t>الفصل السادس</w:t>
      </w:r>
      <w:r>
        <w:rPr>
          <w:rtl w:val="true"/>
        </w:rPr>
        <w:t xml:space="preserve">: </w:t>
      </w:r>
      <w:r>
        <w:rPr>
          <w:rtl w:val="true"/>
        </w:rPr>
        <w:t>في الحاء</w:t>
      </w:r>
      <w:bookmarkEnd w:id="877"/>
    </w:p>
    <w:p>
      <w:pPr>
        <w:pStyle w:val="Heading6"/>
        <w:numPr>
          <w:ilvl w:val="5"/>
          <w:numId w:val="1"/>
        </w:numPr>
        <w:rPr/>
      </w:pPr>
      <w:bookmarkStart w:id="878" w:name="__RefHeading___Toc3770451_2870459653"/>
      <w:bookmarkStart w:id="879" w:name="_Toc348"/>
      <w:bookmarkEnd w:id="878"/>
      <w:r>
        <w:rPr>
          <w:rtl w:val="true"/>
        </w:rPr>
        <w:t>الباب الثاني</w:t>
      </w:r>
      <w:r>
        <w:rPr>
          <w:rtl w:val="true"/>
        </w:rPr>
        <w:t xml:space="preserve">: </w:t>
      </w:r>
      <w:r>
        <w:rPr>
          <w:rtl w:val="true"/>
        </w:rPr>
        <w:t>في الحسين</w:t>
      </w:r>
      <w:bookmarkEnd w:id="879"/>
    </w:p>
    <w:p>
      <w:pPr>
        <w:pStyle w:val="Heading6"/>
        <w:numPr>
          <w:ilvl w:val="5"/>
          <w:numId w:val="1"/>
        </w:numPr>
        <w:rPr/>
      </w:pPr>
      <w:bookmarkStart w:id="880" w:name="__RefHeading___Toc3770453_2870459653"/>
      <w:bookmarkStart w:id="881" w:name="_Toc349"/>
      <w:bookmarkEnd w:id="880"/>
      <w:r>
        <w:rPr/>
        <w:t>79</w:t>
      </w:r>
      <w:r>
        <w:rPr>
          <w:rtl w:val="true"/>
        </w:rPr>
        <w:t xml:space="preserve"> - </w:t>
      </w:r>
      <w:r>
        <w:rPr>
          <w:rtl w:val="true"/>
        </w:rPr>
        <w:t>الحسين بن مهران</w:t>
      </w:r>
      <w:bookmarkEnd w:id="881"/>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مهران</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محمّد بن أبي نصر السكونيّ</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882" w:name="pg9167_80526"/>
    </w:p>
    <w:p>
      <w:pPr>
        <w:pStyle w:val="BookText"/>
        <w:rPr/>
      </w:pPr>
      <w:bookmarkEnd w:id="8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السلوليّ بلامين منسوب إلى سلول أم بني جندل بن مرّة بني صعصعة بن معاوية بن بكر بن هوازن، وقد ذكره الحازميّ في العجالة، ونسب قول المصنّف إلى الوهم</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ذكره إنّما هو في حصين بن مخارق</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3770455_2870459653"/>
      <w:bookmarkStart w:id="884" w:name="_Toc350"/>
      <w:bookmarkEnd w:id="883"/>
      <w:r>
        <w:rPr>
          <w:rtl w:val="true"/>
        </w:rPr>
        <w:t>الفصل الحادي عشر</w:t>
      </w:r>
      <w:r>
        <w:rPr>
          <w:rtl w:val="true"/>
        </w:rPr>
        <w:t xml:space="preserve">: </w:t>
      </w:r>
      <w:r>
        <w:rPr>
          <w:rtl w:val="true"/>
        </w:rPr>
        <w:t>في السين</w:t>
      </w:r>
      <w:bookmarkEnd w:id="884"/>
    </w:p>
    <w:p>
      <w:pPr>
        <w:pStyle w:val="Heading6"/>
        <w:numPr>
          <w:ilvl w:val="5"/>
          <w:numId w:val="1"/>
        </w:numPr>
        <w:rPr/>
      </w:pPr>
      <w:bookmarkStart w:id="885" w:name="__RefHeading___Toc3770457_2870459653"/>
      <w:bookmarkStart w:id="886" w:name="_Toc351"/>
      <w:bookmarkEnd w:id="885"/>
      <w:r>
        <w:rPr>
          <w:rtl w:val="true"/>
        </w:rPr>
        <w:t>الباب الأوّل</w:t>
      </w:r>
      <w:r>
        <w:rPr>
          <w:rtl w:val="true"/>
        </w:rPr>
        <w:t xml:space="preserve">: </w:t>
      </w:r>
      <w:r>
        <w:rPr>
          <w:rtl w:val="true"/>
        </w:rPr>
        <w:t>في سليمان</w:t>
      </w:r>
      <w:bookmarkEnd w:id="886"/>
    </w:p>
    <w:p>
      <w:pPr>
        <w:pStyle w:val="Heading6"/>
        <w:numPr>
          <w:ilvl w:val="5"/>
          <w:numId w:val="1"/>
        </w:numPr>
        <w:rPr/>
      </w:pPr>
      <w:bookmarkStart w:id="887" w:name="__RefHeading___Toc3770459_2870459653"/>
      <w:bookmarkStart w:id="888" w:name="_Toc352"/>
      <w:bookmarkEnd w:id="887"/>
      <w:r>
        <w:rPr/>
        <w:t>80</w:t>
      </w:r>
      <w:r>
        <w:rPr>
          <w:rtl w:val="true"/>
        </w:rPr>
        <w:t xml:space="preserve"> - </w:t>
      </w:r>
      <w:r>
        <w:rPr>
          <w:rtl w:val="true"/>
        </w:rPr>
        <w:t>سليمان النخعيّ</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النخعيّ حجّ، فتعبّد، وترك النساء والطيب والطعام الطيّب</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باب السين في القسم الأوّل إلى أنّ الحديث المذكور إنّما ورد في شأن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 ابن الغضائريّ ظاهر التعلّق بسليمان، فهو وجه مصحّح لذكر المصنّف هذا الاسم هنا، بخلاف ما وقع في كتاب ابن طاووس،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النخعيّ</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ولم يزد في شأنه على الحديث</w:t>
      </w:r>
      <w:r>
        <w:rPr>
          <w:rFonts w:eastAsia="Amiri" w:cs="Amiri" w:ascii="Amiri" w:hAnsi="Amiri"/>
          <w:color w:val="111111"/>
          <w:sz w:val="28"/>
          <w:szCs w:val="28"/>
          <w:rtl w:val="true"/>
          <w:lang w:bidi="ar-SA"/>
        </w:rPr>
        <w:t xml:space="preserve">. </w:t>
      </w:r>
      <w:bookmarkStart w:id="889" w:name="pg9167_80527"/>
    </w:p>
    <w:p>
      <w:pPr>
        <w:pStyle w:val="BookText"/>
        <w:rPr/>
      </w:pPr>
      <w:bookmarkEnd w:id="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هارون النخعيّ أبو داود، يقال له كذّاب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 سليمان بن عمر أبو داود النخعيّ يروي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يلقّبه المحدّثون كذّاب النخع</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 الطرق سليمان بن عمرو النخعيّ</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3770461_2870459653"/>
      <w:bookmarkStart w:id="891" w:name="_Toc353"/>
      <w:bookmarkEnd w:id="890"/>
      <w:r>
        <w:rPr>
          <w:rtl w:val="true"/>
        </w:rPr>
        <w:t>الفصل الثاني والعشرون</w:t>
      </w:r>
      <w:r>
        <w:rPr>
          <w:rtl w:val="true"/>
        </w:rPr>
        <w:t xml:space="preserve">: </w:t>
      </w:r>
      <w:r>
        <w:rPr>
          <w:rtl w:val="true"/>
        </w:rPr>
        <w:t>في الميم</w:t>
      </w:r>
      <w:bookmarkEnd w:id="891"/>
    </w:p>
    <w:p>
      <w:pPr>
        <w:pStyle w:val="Heading6"/>
        <w:numPr>
          <w:ilvl w:val="5"/>
          <w:numId w:val="1"/>
        </w:numPr>
        <w:rPr/>
      </w:pPr>
      <w:bookmarkStart w:id="892" w:name="__RefHeading___Toc3770463_2870459653"/>
      <w:bookmarkStart w:id="893" w:name="_Toc354"/>
      <w:bookmarkEnd w:id="892"/>
      <w:r>
        <w:rPr>
          <w:rtl w:val="true"/>
        </w:rPr>
        <w:t>الباب الأوّل</w:t>
      </w:r>
      <w:r>
        <w:rPr>
          <w:rtl w:val="true"/>
        </w:rPr>
        <w:t xml:space="preserve">: </w:t>
      </w:r>
      <w:r>
        <w:rPr>
          <w:rtl w:val="true"/>
        </w:rPr>
        <w:t>في محمّد</w:t>
      </w:r>
      <w:bookmarkEnd w:id="893"/>
    </w:p>
    <w:p>
      <w:pPr>
        <w:pStyle w:val="Heading6"/>
        <w:numPr>
          <w:ilvl w:val="5"/>
          <w:numId w:val="1"/>
        </w:numPr>
        <w:rPr/>
      </w:pPr>
      <w:bookmarkStart w:id="894" w:name="__RefHeading___Toc3770465_2870459653"/>
      <w:bookmarkStart w:id="895" w:name="_Toc355"/>
      <w:bookmarkEnd w:id="894"/>
      <w:r>
        <w:rPr/>
        <w:t>81</w:t>
      </w:r>
      <w:r>
        <w:rPr>
          <w:rtl w:val="true"/>
        </w:rPr>
        <w:t xml:space="preserve"> - </w:t>
      </w:r>
      <w:r>
        <w:rPr>
          <w:rtl w:val="true"/>
        </w:rPr>
        <w:t>محمّد بن سنان</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ضعّفه، وكذا النجاشيّ</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من التضعيف لمحمّد بن سنان محكيّ عن ابن عقدة</w:t>
      </w:r>
      <w:r>
        <w:rPr>
          <w:rStyle w:val="FootnoteAnchor"/>
          <w:rtl w:val="true"/>
        </w:rPr>
        <w:footnoteReference w:id="1131"/>
      </w:r>
      <w:r>
        <w:rPr>
          <w:rFonts w:ascii="Amiri" w:hAnsi="Amiri" w:eastAsia="Amiri" w:cs="Amiri"/>
          <w:color w:val="111111"/>
          <w:sz w:val="28"/>
          <w:sz w:val="28"/>
          <w:szCs w:val="28"/>
          <w:rtl w:val="true"/>
          <w:lang w:bidi="ar-SA"/>
        </w:rPr>
        <w:t>، وليس من كلامه، ولكنّه بمظنّة أن يتوهّم فيه ذلك، ثمّ إنّه حكى على إثر ذلك كلام الكشّيّ، 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يدلّ على اضطراب كان وزال</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6" w:name="__RefHeading___Toc3770467_2870459653"/>
      <w:bookmarkStart w:id="897" w:name="_Toc356"/>
      <w:bookmarkEnd w:id="896"/>
      <w:r>
        <w:rPr/>
        <w:t>82</w:t>
      </w:r>
      <w:r>
        <w:rPr>
          <w:rtl w:val="true"/>
        </w:rPr>
        <w:t xml:space="preserve"> - </w:t>
      </w:r>
      <w:r>
        <w:rPr>
          <w:rtl w:val="true"/>
        </w:rPr>
        <w:t>معلّى بن خنيس</w:t>
      </w:r>
      <w:bookmarkEnd w:id="89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مولى الصادق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الكشّيّ في شأن المعلّى أخباراً كثيرة، وأقربها إسناداً ما رواه عن 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العبيديّ، عن ابن أبي عمير، عن عبد الرحمن بن الحجّاج، عن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ومحصّل متنه أنّ إسماعيل كان مجاوراً بمكّة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حتّى تأتي مرّ وعسفان، فسل هل حدث في المدينة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حتّى أتيت عسفان، فلم يلقني أحد، فارتحلت منها، فلقيني عير تحمل زيتاً،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بالمدينة 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هذا العراقيّ الذي يقال له المعلّى بن خنيس، فانصرفت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المعلّى بن خنيس؟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دخل الجنّة</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جمال الدين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بعد ذكر معنى</w:t>
      </w:r>
      <w:r>
        <w:rPr>
          <w:rStyle w:val="FootnoteAnchor"/>
          <w:rtl w:val="true"/>
        </w:rPr>
        <w:footnoteReference w:id="1135"/>
      </w:r>
      <w:r>
        <w:rPr>
          <w:rFonts w:ascii="Amiri" w:hAnsi="Amiri" w:eastAsia="Amiri" w:cs="Amiri"/>
          <w:color w:val="111111"/>
          <w:sz w:val="28"/>
          <w:sz w:val="28"/>
          <w:szCs w:val="28"/>
          <w:rtl w:val="true"/>
          <w:lang w:bidi="ar-SA"/>
        </w:rPr>
        <w:t>جملة من الأخبار التي وردت في شأن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ظهر لي أنّه من أهل الجنّة</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 xml:space="preserve">، وروى الكلينيّ، عن عليّ بن إبراهيم، عن أبيه، عن ابن أبي عمير،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فألقى إليّ ثياباً،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وليد، ردّها على مطاويها، فقمت بين يديه،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المعلّى بن خنيس، فظننت أنّه </w:t>
      </w:r>
      <w:bookmarkStart w:id="898" w:name="pg9167_80529"/>
    </w:p>
    <w:p>
      <w:pPr>
        <w:pStyle w:val="BookText"/>
        <w:rPr/>
      </w:pPr>
      <w:bookmarkEnd w:id="898"/>
      <w:r>
        <w:rPr>
          <w:rFonts w:ascii="Amiri" w:hAnsi="Amiri" w:eastAsia="Amiri" w:cs="Amiri"/>
          <w:color w:val="111111"/>
          <w:sz w:val="28"/>
          <w:sz w:val="28"/>
          <w:szCs w:val="28"/>
          <w:rtl w:val="true"/>
          <w:lang w:bidi="ar-SA"/>
        </w:rPr>
        <w:t>شبّه قيامي بين يديه بقيام المعلّى بين يديه</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770469_2870459653"/>
      <w:bookmarkStart w:id="900" w:name="_Toc357"/>
      <w:bookmarkEnd w:id="899"/>
      <w:r>
        <w:rPr>
          <w:rtl w:val="true"/>
        </w:rPr>
        <w:t>الفصل السابع والعشرون</w:t>
      </w:r>
      <w:r>
        <w:rPr>
          <w:rtl w:val="true"/>
        </w:rPr>
        <w:t xml:space="preserve">: </w:t>
      </w:r>
      <w:r>
        <w:rPr>
          <w:rtl w:val="true"/>
        </w:rPr>
        <w:t>في الكنى</w:t>
      </w:r>
      <w:bookmarkEnd w:id="900"/>
    </w:p>
    <w:p>
      <w:pPr>
        <w:pStyle w:val="Heading6"/>
        <w:numPr>
          <w:ilvl w:val="5"/>
          <w:numId w:val="1"/>
        </w:numPr>
        <w:rPr/>
      </w:pPr>
      <w:bookmarkStart w:id="901" w:name="__RefHeading___Toc3770471_2870459653"/>
      <w:bookmarkStart w:id="902" w:name="_Toc358"/>
      <w:bookmarkEnd w:id="901"/>
      <w:r>
        <w:rPr/>
        <w:t>83</w:t>
      </w:r>
      <w:r>
        <w:rPr>
          <w:rtl w:val="true"/>
        </w:rPr>
        <w:t xml:space="preserve"> - </w:t>
      </w:r>
      <w:r>
        <w:rPr>
          <w:rtl w:val="true"/>
        </w:rPr>
        <w:t>أبو عليّ الأشعريّ</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محمّد بن عيسى بن عبد الله بن سعد</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يشترك فيه جماعة، والأغلب فيه إرادة أحمد بن إدريس</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3770473_2870459653"/>
      <w:bookmarkStart w:id="904" w:name="_Toc359"/>
      <w:bookmarkEnd w:id="903"/>
      <w:r>
        <w:rPr/>
        <w:t>84</w:t>
      </w:r>
      <w:r>
        <w:rPr>
          <w:rtl w:val="true"/>
        </w:rPr>
        <w:t xml:space="preserve"> - </w:t>
      </w:r>
      <w:r>
        <w:rPr>
          <w:rtl w:val="true"/>
        </w:rPr>
        <w:t>الفائدة الثامنة</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أبي جعفر محمّد ابن بابويه 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مريم الأنصاريّ صحيح وإن كان في طريقه أبان بن عثمان، وهو فطحيّ</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أبان إلى الفطحيّة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إنّه من الناووسيّة</w:t>
      </w:r>
      <w:r>
        <w:rPr>
          <w:rStyle w:val="FootnoteAnchor"/>
          <w:rtl w:val="true"/>
        </w:rPr>
        <w:footnoteReference w:id="1140"/>
      </w:r>
      <w:r>
        <w:rPr>
          <w:rFonts w:ascii="Amiri" w:hAnsi="Amiri" w:eastAsia="Amiri" w:cs="Amiri"/>
          <w:color w:val="111111"/>
          <w:sz w:val="28"/>
          <w:sz w:val="28"/>
          <w:szCs w:val="28"/>
          <w:rtl w:val="true"/>
          <w:lang w:bidi="ar-SA"/>
        </w:rPr>
        <w:t>، وليس ثابت</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3770475_2870459653"/>
      <w:bookmarkStart w:id="906" w:name="_Toc360"/>
      <w:bookmarkEnd w:id="905"/>
      <w:r>
        <w:rPr/>
        <w:t>85</w:t>
      </w:r>
      <w:r>
        <w:rPr>
          <w:rtl w:val="true"/>
        </w:rPr>
        <w:t xml:space="preserve"> - </w:t>
      </w:r>
      <w:r>
        <w:rPr>
          <w:rtl w:val="true"/>
        </w:rPr>
        <w:t>الفائدة العاشرة</w:t>
      </w:r>
      <w:bookmarkEnd w:id="90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 عن الشيخ أبي جعفر الطوسيّ، عن أبي محمّد هارون ابن موسى التلعكبريّ</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وهمٌ واضح؛ فإنّ الشيخ لم يلقَ التلعكبريّ، وإنّما يروي عنه بواسطة، وذلك متكرّر في كتبه، فراجع الفهرست وكتاب الرجال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bookmarkStart w:id="907" w:name="pg9167_80531"/>
    </w:p>
    <w:p>
      <w:pPr>
        <w:pStyle w:val="Heading4"/>
        <w:numPr>
          <w:ilvl w:val="3"/>
          <w:numId w:val="1"/>
        </w:numPr>
        <w:rPr/>
      </w:pPr>
      <w:bookmarkStart w:id="908" w:name="__RefHeading___Toc3770477_2870459653"/>
      <w:bookmarkStart w:id="909" w:name="_Toc361"/>
      <w:bookmarkEnd w:id="907"/>
      <w:bookmarkEnd w:id="908"/>
      <w:r>
        <w:rPr>
          <w:rtl w:val="true"/>
        </w:rPr>
        <w:t>مصادرالتحقيق</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الاشتباه، الشيخ أبو منصور الحسن بن يوسف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الخامسة،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الشيخ محمّد بن الحسن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السيّد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مطبعة بعثت،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الطاووسيّ، الشيخ حسن بن زين الدين العامليّ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المرعشيّة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الخيّام،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خلاصة الأقوال ضمن رسائل الشهيد الثاني، الشيخ زين الدين بن عليّ العامليّ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المركز العالميّ للعلوم والثقافة الإسلاميّة، مطبعة الباقريّ، الطبعة الأولى،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الشيخ أبو منصور الحسن بن يوسف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الشيخ أبو منصور الحسن بن يوسف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المأثور وغير المأثور، الشيخ عليّ بن محمّد بن الحسن بن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 الشيخ تقي الدين الحسن بن عليّ بن داود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في أحوال العلماء والسادات، السيّد محمّد بن باقر الموسويّ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العلماء وحياض الفضلاء، الميرزا عبد الله الأفنديّ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الأشكوريّ، منشورات مكتبة السيّد المرعشيّ العامّة، قم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نشر الفقاهة، مطبعة مؤسّسة النشر الإسلاميّ، قم المقدّسة،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أبو جعفر محمّد بن عليّ بن الحسين ابن بابويه القمّيّ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 التبليغ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وأكسير السعادتين مع تعليقات الخواجوئيّ، الشيخ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الطبع والنشر التابعة للآستانة الرضويّة المقدّسة،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الخوئيّ الإسلاميّة،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مصفّى المقال في مصنّفي علم الرجال،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الشيخ محمّد بن الحسن بن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قسيمة الاشتراك السنوي</w:t>
      </w:r>
    </w:p>
    <w:p>
      <w:pPr>
        <w:pStyle w:val="BookText"/>
        <w:rPr/>
      </w:pPr>
      <w:r>
        <w:rPr>
          <w:rFonts w:ascii="Amiri" w:hAnsi="Amiri" w:eastAsia="Amiri" w:cs="Amiri"/>
          <w:color w:val="111111"/>
          <w:sz w:val="28"/>
          <w:sz w:val="28"/>
          <w:szCs w:val="28"/>
          <w:rtl w:val="true"/>
          <w:lang w:bidi="ar-SA"/>
        </w:rPr>
        <w:t>أرجو قبول اشتراكي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سنوات</w:t>
      </w:r>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تملاً هذه القسيمة وترسل مع قيمة الاشتراك إلى أحد مراكز التوزيع المذكورة، أو إلى مقر المجلة على العنوان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للاستفسار</w:t>
      </w:r>
      <w:r>
        <w:rPr>
          <w:rFonts w:eastAsia="IRNazanin" w:cs="IRNazanin"/>
          <w:color w:val="111111"/>
          <w:sz w:val="28"/>
          <w:szCs w:val="28"/>
          <w:rtl w:val="true"/>
          <w:lang w:bidi="fa-IR"/>
        </w:rPr>
        <w:t xml:space="preserve">: </w:t>
      </w:r>
      <w:r>
        <w:rPr>
          <w:rFonts w:eastAsia="IRNazanin" w:cs="IRNazanin"/>
          <w:color w:val="111111"/>
          <w:sz w:val="28"/>
          <w:szCs w:val="28"/>
          <w:lang w:bidi="fa-IR"/>
        </w:rPr>
        <w:t>7800093930</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الاشتراك السنوي</w:t>
      </w:r>
    </w:p>
    <w:p>
      <w:pPr>
        <w:pStyle w:val="BookText"/>
        <w:rPr/>
      </w:pPr>
      <w:r>
        <w:rPr>
          <w:rFonts w:ascii="IRNazanin" w:hAnsi="IRNazanin" w:eastAsia="IRNazanin"/>
          <w:color w:val="111111"/>
          <w:sz w:val="28"/>
          <w:sz w:val="28"/>
          <w:szCs w:val="28"/>
          <w:rtl w:val="true"/>
          <w:lang w:bidi="fa-IR"/>
        </w:rPr>
        <w:t>داخل العراق</w:t>
      </w:r>
      <w:r>
        <w:rPr>
          <w:rFonts w:eastAsia="IRNazanin" w:cs="IRNazanin"/>
          <w:color w:val="111111"/>
          <w:sz w:val="28"/>
          <w:szCs w:val="28"/>
          <w:rtl w:val="true"/>
          <w:lang w:bidi="fa-IR"/>
        </w:rPr>
        <w:t>: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أو ما يعادلها </w:t>
      </w:r>
    </w:p>
    <w:p>
      <w:pPr>
        <w:pStyle w:val="BookText"/>
        <w:rPr/>
      </w:pPr>
      <w:r>
        <w:rPr>
          <w:rFonts w:ascii="Amiri" w:hAnsi="Amiri" w:eastAsia="Amiri" w:cs="Amiri"/>
          <w:color w:val="111111"/>
          <w:sz w:val="28"/>
          <w:sz w:val="28"/>
          <w:szCs w:val="28"/>
          <w:rtl w:val="true"/>
          <w:lang w:bidi="ar-SA"/>
        </w:rPr>
        <w:t>مراكز التوزيع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البذرة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07802450230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القاموسي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المحسن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مستشقى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07901770672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فندق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07834413784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مجاور جامع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07807976000</w:t>
      </w:r>
    </w:p>
    <w:p>
      <w:pPr>
        <w:pStyle w:val="BookText"/>
        <w:rPr/>
      </w:pPr>
      <w:r>
        <w:rPr>
          <w:rFonts w:ascii="Amiri" w:hAnsi="Amiri" w:eastAsia="Amiri" w:cs="Amiri"/>
          <w:color w:val="111111"/>
          <w:sz w:val="28"/>
          <w:sz w:val="28"/>
          <w:szCs w:val="28"/>
          <w:rtl w:val="true"/>
          <w:lang w:bidi="ar-SA"/>
        </w:rPr>
        <w:t>مراكز التوزيع خارج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37838212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50699880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مداد للثقافة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تفصيله لاحقاً إن شاء الله تعالى في الجواب عمّا قيل بأنَّ الرواية التي جاء فيها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بأحدهما أنَّها صدرت تقيّة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ما يقرأ به في المغرب،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وفاته فقيل توفي سنة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قراءة السور في الركعة، ح</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في القرآن الكريم في معاني القرآن الكريم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ما يقرأ به في المغرب،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يعلم أنَّ ما قاله المحقّق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العثور على قول للصدوق في المسألة منشؤه عدم الوقوف على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نهاية التقرير في مباحث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البروجرديّ 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حاشية شرائع الإسلام المطبوعة ضمن حياة المحقّق الكركيّ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المقاصد العليّة في شرح الرسالة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شرح الألفيّة للشيخ حسين ابن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منهاج الصالحين للسيّد محمّد صادق الروحانيّ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تفسير القرآن والنكت المستخرجة من كتاب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الأقطاب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مجمع البيان في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الاثنا عشرية للشيخ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المحرّر في الفتوى المطبوعة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الرسالة الجعفريّة المطبوعة ضمن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شرح الألفيّة المطبوعة ضمن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وسيلة النجاة مع تعليقة السيّد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وسيلة النجاة مع تعليقة السيّد الگلپايگانيّ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منهاج الصالحين للسيّد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هداية العباد للسيّد الگلپايگانيّ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منهاج الصالحين للسيّد محمّد الروحانيّ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كلمة التقوى للشيخ زين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الأحكام الواضحة للشيخ 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منهاج الصالحين للشيخ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هداية العباد للشيخ الصافي الگلپايگانيّ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توضيح المسائل للشيخ بهجت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الأولى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منهاج الصالحين للسيّد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الاتّحاد الحكميّ أنَّهما متعدّدان حقيقة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شيخ الشريعة للشيخ محمّد حسين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الشيخ عبد الكريم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في شرح النخبة المحسنيّة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المحقّق النائينيّ للعلّامة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المحقّق الداماد للآمليّ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تعليقة العروة الوثقى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منهاج الصالحين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منهاج الصالحين للسيّد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 ت</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 ت</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جرير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إجماع جميع المسلمين على 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سورتي الفيل والإيلاف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سورتان تامّتان كلّ واحدة منهما منفصلة عن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ما ذكرناه في صدر الدليل الأوّل من جمع المصاحف في عهد عثمان وكان ذلك بمرأى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وأجيب بأنَّ جمعاً أثبتوا الفصل في مصحف أُبيّ، والمثبت مقدّم على النافي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وبأنَّ خبر ابن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سلّمت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لعدم سماعه، ولعلّه قرأها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كونها سورة مستقلّة ما أخرج البخاريّ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ولنذكر طرفاً من تلك الموارد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وعبّرنا بالخبر؛ لأنَّ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الرازيّ وضعّفه كلٌّ من ابن الغضائريّ في كتاب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فصل فيما نذكره من هذا المجلّد من كتاب تجزئة القرآن تلخيص أبي الحسين أحمد بن جعفر بن محمّد بن عبد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فصل فيما نذكره من كتاب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اتّفقوا في نزوله من السور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غزوة حنين وما جاء فيها،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ولملاحظة المزيد ممّا ورد في أسماء السور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القراءة في الظهر والعصر، باب القراءة في الصبح، باب القراءة في العشاء،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في تخفيف الصلاة، ح</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قدر القراءة في صلاة الظهر والعصر، ح</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قدر القراءة في المغرب، ح</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من رأى التخفيف فيها، 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ما جاء حول أنَّ عليّاً أوّل من آمن برسول الله صلّى الله عليه وآله وسلّم،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صلاة لوجع الصدر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فصل فيما نذكره من عمل الليلة الثالثة والعشرين من رجب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الباب التاسع عشر في بعض ما رأيته من مشاورة الله جلّ جلاله برقعتين في الطين والماء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والدرع الحصين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صلوات شهر رجب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في ذلك وبالله 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الثواب هو لمن كان إمامه مخالفاً لمذهبه فيصلّي معه تقيّة، ثُمَّ يصلّي هذه الأربع ركعات للعيد، فأمّا إذا كان الإمام إماماً من الله عزّ وجلّ واجب الطاعة على العباد فصلّى خلفه صلاة العيد لم يكن له أن يصلّي بعد ذلك صلاة حتّى تزول الشمس، وكذلك من كان إمامه موافقاً لمذهبه إن لم يكن مفروض الطاعة صلّى معه العيد لم يكن له أن يصلّي بعد ذلك صلاة حتّى تزول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والمعتمد أنَّه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أنَّه لا يقرأ في الفريضة بأقلّ من سورة ولا بأكثر منها،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 هذا المطلب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المنع من الإنجاب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ودرس بحث الحجّ ليوم السبت الخامس من جمادى الأولى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غير معتبرة من جهة القرويّ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ذكر له في كتب الرجال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 الرواية إلى المفضّل بن صالح؛ لأنَّه مَن يروي عنه البزنطيّ، بقرينة باقي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وغير ذلك كثير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ابن الغضائريّ أشدّ تضعيف، وعدّه النجاشيّ في ضمن رجال غمز فيهم وضُعِّفوا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جابر بن يزيد الجعفيّ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حول الذبح بغير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توثيق 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توثيقه بناءً على كبرى وثاقة المشايخ الثلاثة؛ لرواية ابن أبي عمير عنه كما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المؤمن وعلاماته وصفاته،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وقت الإفطار،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وغيرها من الموارد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في ترجمة ابنه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شجرة بن ميمون بن أبي أراكة النبّال مولى كندة،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أبوه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وأخوه الحسن بن شجرة روى، وكلّهم ثقات وجوه 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بن سيّار أبو عبد الله الكاتب، بصريّ، كان من كُتّاب آل طاهر في زمن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بالسيّاريّ، ضعيف الحديث، فاسد المذهب، ذكر ذلك لنا 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 الرواية، كثير المراسيل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علماء الرجال أشدّ 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الميم،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الطريقين غير معتبر بالإضافة إلى السيّاريّ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عين، كما في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مبنى مَن يبني على عدم وثاقة مشايخ الثلاثة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أبواب القراءة، باب أنَّ الضحى وألم نشرح سورة واحدة وكذا الفيل،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الشيخ إلى الحسين بن سعيد في المشيخة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والحسين بن عبيد الله وأحمد بن عبدون كلّهم، عن أحمد بن محمّد بن الحسن بن الوليد، عن أبيه محمّد بن الحسن بن الوليد، وأخبرني به أيضاً أبو الحسين بن أبي جيد القمّيّ، عن محمّد بن الحسن بن الوليد، عن الحسين بن الحسن بن أبان، عن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النجاشيّ عن الحسين بن يزيد السورائيّ أنَّه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شريك أخيه الحسين في جميع رجاله إلّا في زرعة بن محمّد الحضرميّ وفضالة بن أيّوب، فإنَّ الحسين كان يروي عن أخيه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يضرّ باعتبار الطريق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كيفيّة الصلاة وصفتها،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الورع،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كلٌّ من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استصغار الذنب،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وثّقه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ما يجب على الحائض في أوقات الصلاة،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حكم الحيض والاستحاضة والنفاس والطهارة من ذلك،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من الأجلّة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عمّار، ابن أخي إسحاق بن عمّار بقرينة ما ورد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وقال النجاشيّ في ترجمة إسحاق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وجوه من روى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إبراهيم بن عيسى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وثّقه عليّ بن الحسن ابن فضّال والنجاشيّ والشيخ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ابتياع الحيوان،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أعيان الطائفة كما في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باب إحرام الحائض والمستحاضة،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من الزيادات في فقه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إلى محمّد بن عليّ بن محبوب في المشيخة معتبر؛ إذ طريقه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 الله، عن أحمد بن محمّد بن يحيى العطّار، عن أبيه محمّد بن يحيى، عن 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عثمان في هذه الطبقة مشترك بين اثنين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وثّقهما النجاشيّ في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وراوي كتابهما ابن أبي عمير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القِران بين السورتين في الفريضة، ذيل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القادمة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نذكر رواية ابن مسكان لأنَّها مجملة لا تدلّ على واقعة أخرى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حصل لأبان بن تغلب حيث صلّى مع الإمام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بالمزدلفة لأكثر من موسم حيث نقل تفاصيل مختلفة لكلّ 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من حافظ على صلاته أو ضيّعها،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وكما حصل لصفوان الجمّال حيث إنَّه صلّى خلف الإمام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قراءة السور في الركعة، ح</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ما يقرأ به في المغرب،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يزيد النخعيّ، أبو عمران الكوفيّ، فقيه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كبير مخضرم أسلم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يرَه، ثُمَّ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التسلسلات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عدّهما سورة واحدة من الصحابة والتابعين عند العامّة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مذكور في غير موضع من كتاب 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الاقتصاد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 مستدلِّاً لكلام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قبضه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الأسهم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ينتقل إلى وارثه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ضرورة صيرورته حينئذٍ كسائر أمواله التي فرض الله تقسيمها على الوارث، واحتمال اختصاص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أيضاً لقبض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بمنصب النبوّة أيضاً باطل قطعاً؛ إذ هو وإن كان كذلك لكنَّه صار ملكاً من أملاكه بقبضه وإن كان سببه منصب النبوّة، وفرق واضح بينه وبين انتقال الاستحقاق السابق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مختار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وتبعه بعض تلامذته، منهم 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الدرس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كتاب الخمس، أبواب قسمة الخمس، باب أنَّه يقسّم ستّة أقسام ثلاثة للإمام وثلاثة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عدم وجوب استيعاب كلّ طائفة من مستحقّي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الْأَنفَالِ قُلِ الْأَنفَالُ لِلَّهِ وَالرَّسُولِ فَاتَّقُوا اللَّهَ وَأَصْلِحُوا ذَاتَ بَيْنِكُمْ وَأَطِيعُوا اللَّهَ وَرَسُولَهُ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أَفَاءَ اللَّهُ عَلَىٰ رَسُولِهِ مِنْهُمْ فَمَا أَوْجَفْتُمْ عَلَيْهِ مِنْ خَيْلٍ وَلَا رِكَابٍ وَلَٰكِنَّ اللَّهَ يُسَلِّطُ رُسُلَهُ عَلَىٰ مَن يَشَاءُ وَاللَّهُ عَلَىٰ كُلِّ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أبواب الأنفال وما يختصّ بالإمام، باب أنّ الأنفال كلّها للإمام خاصّة لا يجوز التصرّف في شيء منها إلّا بإذنه،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أبواب الأنفال وما يختصّ بالإمام، باب إباحة حصّة الإمام من الخمس للشيعة مع تعذّر إيصالها إليه،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أبواب قسمة الخمس، باب عدم وجوب استيعاب كلّ طائفة من مستحقّي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أبواب قسمة الخمس، باب أنَّه يقسّم ستّة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أبواب قسمة الخمس، باب أنَّه يقسّم ستّة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أبواب ما يجب فيه الخمس، باب وجوب الخمس في غنائم دار الحرب، وفي مال الحربيّ، والناصب،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وجوب الخمس فيما يفضل عن مؤونة السنة له ولعياله من أرباح التجارات والصناعات،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أبواب الأنفال وما يختصّ بالإمام،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الأنفال كلّ ما يصطفيه من الغنيمة، وكلّ أرض ملكت بغير قتال،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فتاوى في الأموال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باب أنَّ المسلم إذا قتله مسلم وليس له وليّ إلّا ذمّيّ،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أبواب الأنفال وما يختصّ بالإمام، باب أنَّ الأنفال كلّ ما يصطفيه من الغنيمة، وكلّ أرض ملكت بغير قتال،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أبواب الأنفال وما يختصّ بالإمام، باب أنَّ الأنفال كلّ ما يصطفيه من الغنيمة، وكلّ أرض ملكت بغير قتال،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 البنوك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درس الشيخ الإيروانيّ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مستحدثات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ما يكتسب به، باب جواز قبول الولاية من قبل الجائر مع الضرورة،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أبواب ما يكتسب به، باب جواز الولاية من قبل الجائر لنفع المؤمنين،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أبواب ما يكتسب به، باب أنَّ جوائز الظالم وطعامه حلال وإن لم يكن 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ملكيّة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أبواب ما يكتسب به، باب جواز الولاية من قبل الجائر لنفع المؤمنين،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أبواب ما يكتسب به، باب جواز الولاية من قبل الجائر لنفع المؤمنين،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أبواب الأنفال، باب إباحة حصّة الإمام من الخمس للشيعة مع تعذّر إيصالها إليه، وعدم احتياج السادات،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أبواب ما يكتسب به، باب أنَّ جوائز الظالم وطعامه حلال وإن لم يكن 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أبواب ما يكتسب به، باب أنَّ جوائز الظالم وطعامه حلال وإن لم يكن له،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أبواب ما يكتسب به، باب أنَّ جوائز الظالم وطعامه حلال وإن لم يكن 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أبواب ما يكتسب به، باب أنَّ جوائز الظالم وطعامه حلال وإن لم يكن له،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الأخبار سيأتي ذكر بعضها في أثناء البحث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ورسائل في مختلف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موسوعة الإمام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المرأة يبلغها نعي زوجها أو طلاقه فتتزوّج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 فلا تحلّ له أبداً،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تكملة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 فلا تحلّ له أبداً،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عدّة الحبلى المتوفّى عنها زوجها ونفقتها،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طبعة دار الحديث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نسخة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من يحرم نكاحهن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 فلا تحلّ له أبداً،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المدالسة في النكاح وما تردّ منه المرأة،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وعليّ بن الحسن هو ابن فضّال، وإكثاره الرواية عن جعفر بن محمّد بن حكيم كافٍ في توثيقه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في ذلك مجلّة دراسات علميّة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المرأة يبلغها نعي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عبد الله بن المغيرة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ويونس بن عبد الرحمن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وأكثر عنه صفوان من المشايخ الثلاثة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كما روى عنه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 صفوان بن يحيى ومحمّد بن أبي عمير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المرأة يبلغها نعي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واختاره من الأصوليّين الشيخ الأنصاريّ في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واختاره من الأصوليّين السيّد الشهيد الصدر في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تحقيق حال قرينيّة الخاصّ، وهل أنَّها بملاك الأخصّيّة مباشرةً، أم بملاك كونها أقوى الدليلين ظهوراً؟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أنَّه لا يثبت الربا بين الوالد والولد، ح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مَن شكّ في صلاته كلّها ولم يدرِ زاد أو نقص،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أحكام الجماعة وأقلّ الجماعة وصفة الإمام،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 جواز الكلام في الطواف الواجب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السيّد الطباطبائيّ في كتاب التعارض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جماعة إنكار الجمع الدلاليّ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يظهر من كلمات صاحب الحدائق واعتراضاته على حمل الأصوليّين الأمر على الاستحباب، أو حمل النهي على الكراهة عند المعارضة، بعدم ورود ذلك في النصوص، ولا بُدَّية إعمال المرجّحات المنصوصة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المعجم الأصوليّ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القواعد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الأصوليّ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قيّدنا بذلك احترازاً عمّا يُقَوِّم أصل الحجّة ويميّزها عن اللاحجّة، فالجهة التي تكون من مقوّمات الحجّة مع قطع النظر عن المعارضة، لا تدخل في مرجّحات باب التعارض، بل تكون من باب تمييز الحجّة عن اللاحجّة، لذلك يجب التنبّه إلى أنّ الروايات المذكورة في باب الترجيحات هل هي واردة في صدد ترجيح الحجّة على الحجّة، أو تمييز الحجّة عن اللاحجّة؟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الأصوليّ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الجمع التورّعيّ؛ لمناسبة تقتضيه،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لورع الفقيه من طرح روايات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ما ذكره بعض أعاظم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تجدر الإشارة إليه أنّه قد وقع الخلاف في إفادة النصوص مرجّحيّة بعضها مثل الترجيح بالصفات والأحدثيّة، والتي ذهب كثير من الأصوليّين إلى عدمه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احتمال كون مثل هذا الخبر صادراً لأجل التقيّة، أمّا بناءً على أنّ الوجه في الترجيح بها هو ما ورد 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 في 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من المرجّحات الراجعة إلى المضمون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عبّرنا بالأوّل والثاني ولم نعبّر بالعامّ والخاصّ؛ لأنّ في المسألة صورتين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تقدّم العامّ زماناً على الخاصّ، بحيث يصدر الخاصّ بعد وقت الحاجة للعمل بالعامّ،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الجري العمليّ بالفعل أو بالقوّة على طبق العامّ، والثانية بالعكس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هذه الصورة هي محلّ الابتلاء؛ لأنّه يمكن جريان البحث في العرف العامّ الذي يحمل المتأخّر على النسخ بلا إشكال، ويحكم بتغيّر رأيه في حصّة من حصص موضوع العامّ؛ لقبح تأخير البيان عن وقت الحاجة عند العرف، وهو قبيح ذاتاً أو اقتضاءً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نفسه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البدع والرأي والمقاييس،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أبوال الدواب وأرواثها،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أبوال الدواب وأرواثها،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أحد الدليلين واجداً لمزيّة يفتقدها الآخر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الاتّفاق على عدلين في الحكومة، ح</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من الزيادات في القضايا والأحكام،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الشيخ الأعظم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توهّم بعض من عاصره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النراقيّ في العوائد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بملاحظة العامّ بعد تخصيصه ببعض الأفراد بإجماع ونحوه مع الخاصّ المطلق الآخر، فتنقلب النسبة، وسيأتي بيان ذلك في الحلقة الثانية عند الحديث عن الصورة الثانية من النوع الأوّل من صور انقلاب النسبة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أنَّه ليس بين الرجل وبين ولده وما يملكه ربا،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الربا، ح</w:t>
      </w:r>
      <w:r>
        <w:rPr>
          <w:rFonts w:eastAsia="IRNazanin" w:cs="IRNazanin"/>
          <w:b w:val="false"/>
          <w:bCs w:val="false"/>
          <w:i w:val="false"/>
          <w:iCs w:val="false"/>
          <w:color w:val="333333"/>
          <w:sz w:val="20"/>
          <w:szCs w:val="20"/>
        </w:rPr>
        <w:t>4000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فضل التجارة وآدابها،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أنَّه لا ربا بين المسلم وبين أهل الحرب،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مرّة أخرى عن هذه الصورة في الحلقة الثانية في أولى صور النوع الثاني، وهل يمكن أن تكون من صور انقلاب النسبة أو لا؟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الحلقة الثانية عند الحديث عن صور انقلاب النسبة صورٌ أخرى لخفاء مورد المعارضة، مثل صورة ورود عامّين بينهما عموم من وجه، وورد خاصّ لكلّ واحد من هذين العامّين يعارضه في مورد افتراقه عن العامّ المعارض له، وهي الصورة الثالثة من النوع الثاني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القول بثبوت الواسطة بين العدالة والفسق، وذلك بناءً على تفسير العدالة بملكة عدم ارتكاب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يتَّفق للإنسان في أوَّل بلوغهِ من عدم ارتكاب الكبائر من دون أن يكون ذلك 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حمله على الفرد النادر الذي هو لا عادل ولا فاسق، وهو التخصيص المُستهجَن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السيّد الخوئيّ في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مع اختلاف في ترتيب الصور، وذكرت متفرّقة في كلمات غيره من الأعلام كالمحقّق النائينيّ في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والمحقّق العراقيّ في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لعلّه يلوح من عبارة شيخ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نسختين من الكافي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المطابق لما في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وعلى هذ ه الطبعة سيتمّ الاعتماد في جميع التخريجات التالية لكتاب الكافي إلّا ما صُرّح فيه بالنقل عن طبعة دار الحديث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نسختين من الكافي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في الوافي والوسائل عن الكافي،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فالفرق بين التهذيب والكافي في هذه الكلمة نتيجة لاختلاف النسخ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المطبوع من التهذيب، ولكنّ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الشيخ ذكر في عقب طريقه إلى الحسين بن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ذكرته عن الحسين بن سعيد عن الحسن عن زرعة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رويته بهذه الأسانيد عن الحسين بن سعيد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الطريق هو المذكور في السند أعلاه، هذا مضافاً إلى أنّ الموجود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موافق للكافي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هذه الزيادة في النسخ المعتمدة في تحقيق الكتاب، وكذلك في الوسائل نقلاً عن الكافي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رواية محمّد بن يعقوب عن معلّى بن محمّد إلى آخر السند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نسخة من الكافي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ثواب صلاة النوافل،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المطبوع من الكافي، ولعلّ ما في التهذيب من رواية محمّد بن حمران عن زرارة ومحمّد بن مسلم هو الصحيح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مصفّى المقال في مصنّفي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لما ورد تحت 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من المأثور وغير 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من المأثور وغير 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 في محاسن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في مصنّفي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لجميع ما تقدّم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وأمّا ترتيب مشيخة الفقيه فقد ذكرت في مصفّى المقال فقط،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النماذج المختارة هي من حاشيته في ضمن مجموعة حواشٍ ذكرت على متن الخلاصة التي هي من محفوظات المسجد الأعظم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أيّوب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 القول في الإصباح والإمساء،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والمعهود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الغائب العليل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وأحمد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المكتبة الحيدريّة من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حمزة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التعليقة للشهيد،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إلى الشيخ حسن، والمظنون أنّها للشيخ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لأنّها لم تذكر كتعليقة للشهيد في مخطوطة مركز التراث، ولا مخطوطة جامعة طهران المختصّتين بحاشية الشهيد، مضافاً لسياقها القريب من تعليقات الشيخ حسن، لذا صحّ اعتبارها من الموارد الجديدة المضافة لحاشية الشيخ حسن على خلاصة الأقوال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 عين ما نقله عنه الشهيد الثاني،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في نفسه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وورد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في نفسه لابأس 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التعليقة إلى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القمّيّين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القمّيّين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هو إسماعيل بن سعد الأحوص الأشعريّ القمّيّ، ثقة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سعد الأحوص الأشعريّ القمّيّ ثقة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محمّد بن عبد الرحمن بن أذينة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ما بين القوسين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وسكت عنه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 وفيهما بالحاء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العنوان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ذكر الأوديّ في المطبوع من تهذيب الأحكام في موارد كثيرة،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حكم الحيض والاستحاضة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ذكرته عن الحسن بن محبوب ما أخذته من كتبه ومصنّفاته فقد أخبرني بها أحمد بن عبدون، عن عليّ بن محمّد بن الزبير القرشيّ، عن أحمد بن الحسين بن عبد الملك الأزديّ، عن الحسن بن محبوب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العنوان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 من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إلّا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 كنسخة المسجد الأعظم من الخلاصة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عبيد 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الحاشر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حيث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محمّد العابديّ،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حيث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محمّد الأزديّ،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حيث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ابن محمّد بن جناح، والعلّامة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الظاهر تبع الشيخ في رجاله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حيث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محمّد بن عبد الرحمن،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بن جناح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حيث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محمّد بن الأزديّ،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بن جناح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الفضل وإبراهيم ابني محمّد الأشعريّ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ولم يرد فيها مورد تعليقة الشيخ حسن على حاشية أبيه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التعليقة على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والفضل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التعليقة من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تتعلّق بقول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والفضل وإبراهيم بن محمّد الأشعريّين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 في الكتاب وكون الفضل أخا إبراهيم ذكره الشيخ في ترجمة الفضل، وأمّا النجاشيّ فذكر ذلك في ترجمة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ما بين القوسين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جاءت هذه التعليقة على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والفضل وإبراهيم بن محمّد الأشعريّين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 خ 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العصابة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العنوان في خلاصة الأقوال لكن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بما عرفت، وعلّق عليه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يرد ذكر العنوان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بعض</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للشرع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المطبوع من آثار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في موردين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وفيه ذكر أنّه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ولم يذكر نسبه،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ولم يذكر نسبه فيه أيضاً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ستباطاً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الصحيح سناطاً، ففي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 الذي لا لحية له أصلاً، أو الخفيف العارض، ولم يبلغ الكوسج</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الزيّات، عن محمّد بن عبد الله بن زرارة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زرارة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المدح جاءت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والله محمّد بن عبد الله أصدق عندي لهجةً من أحمد بن الحسن، فإنّه رجل فاضل ديّن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الحاشية في المطبوع من حاشية الشهيد على الخلاصة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ولم يرد فيها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موضعين 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في المتن، بشهادة أنّ العلّامة لم يذكر لسهل كتباً، بل ذكر اسمه وكنيته والأقوال فيه،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وورد فيه ما ينفع في ردّ الاتّحاد الذي أشار إليه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أشياخي يذكرون أنّ حمّاداً وجعفراً والحسين بني عثمان بن زياد الرواسيّ، وحمّاد يلقّب بالناب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فاختلاف النسب واضح بين حمّاد الأوّل الذي ذكره الكشّيّ وحمّاد الثاني الذي هو حمّاد بن عثمان بن عمرو بن خالد الفزاريّ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وأخوه زياد ومحمّد ابنا 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وأخواه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ومحمّد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الصدوق عن شيخه محمّد بن الحسن بن الوليد،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وسند الحديث 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عن يونس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بعض الحواشي هكذا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 ذكر التوثيق مرّة واحدة، وفي نسخة أخرى ورد التوثيق مرّتين،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وورد فيه التوثيق مرّة واحدة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التعليقة بطولها إلى حجّاج بن رفاعة،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حسّان بن مهران، والظاهر أنّ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الصواب؛ لأنّ حجّاج هذا هو من لم يكرّر معه لفظ ثقة في كتاب النجاشيّ،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حسّان بن مهران فقد تكرّر معه الوصف،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فيكون ما ذكره الشهيد متطابقاً مع كون المترجم له حجّاج بن رفاعة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داود بن زربي أبو سليمان الخندقيّ البندار،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ذكره ابن عقدة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ونسبة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بالنقل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 في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جابر بن يزيد الجعفيّ فقد رويته عن 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عمّه محمّد بن أبي القاسم، عن أحمد بن محمّد بن خالد البرقيّ، عن أبيه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وقد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عليّ بن محمّد بن أبي القاسم ماجيلويه، عن جدّه أحمد بن محمّد بن خالد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ترجمة محمّد بن أبي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القاسم، عبيد الله بن عمران الجنابيّ البرقيّ أبو عبد الله، الملقّب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ماجيلويه، وأبو القاسم يلقّب بندار، سيّد من أصحابنا القمّيّين، ثقة، عالم، فقيه، عارف بالأدب والشعر والغريب، وهو صهر أحمد بن أبي عبد الله البرقيّ على ابنته، وابنه عليّ بن محمّد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ماجيلويه،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عليّ بن محمّد، عن أبيه محمّد بن أبي القاسم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الناسخ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نقاط ثلاث باللون الأحمر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نسخة الخلاصة المقروءة على فخر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آداب الأحداث الموجبة للطهارات،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حيث ذكر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من جملة كلام عليّ بن فضّال، وربّما أوهمت عبارة هذا الكتاب أنّه من كلام الكشّيّ، وليس كذلك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لم يرد توثيقه فيها إلّا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نسخة المسجد الأعظم ورد التوثيق مكرّراً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بكى ودعا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لما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شديد بن عبد الرحمن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فروزان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تعليق على كلام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النجاشيّ على توثيقه في ترجمة ابن أخيه إسماعيل بن عبد الخالق بن عبد ربّه،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 الرجل يعطي من زكاة من يظنّ أنّه معسر،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يسأله الزيادة في عمره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الحسن الزراريّ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هذه التعليقة بتمامها مقابل إلى عليّ بن محمّد بن إبراهيم، إذ قال العلّامة عند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إبراهيم بن أبان الرازيّ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هو الذي أوقع الناسخ في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مقابل عليّ بن سليمان بن الحسن، وهو الصواب؛ لأنّه الموافق لما في رجال ابن داود، فلاحظ</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النقّار ثقة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وعبد الرحيم وعبد الخالق ووهب ولد عبد ربّه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محمّد بن أبي هاشم بن أبي هاشم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التكرير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هذه التعليقة إلى الشهيد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موضعين من رجاله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يوثّقه فيهما،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ولم يذكره في الفهرست أصلاً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النجاشيّ ذكره وتوثيقه،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بين القوسين أعلاه مقابل لكلام الشهيد في تعليقته على قول العلّامة في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السلام بن صالح أبو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وضع الناسخ في نهايتها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عادةً بحسب المتعارف إلى أنّها جزء من المتن، ولكن لم يبيّن محلّها من المتن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لاختيار معرفة الرجال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خيار في الدنيا وخيار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خياراً في الدنيا خياراً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المؤمن بن القاسم بن قيس بن قيس بن قهد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ما بين القوسين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التعليقة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إسحاق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بالعلم والفضل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بالأيّام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الجهم روى</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محمّد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باب الكنى</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الهامش، مع اختلاف يسير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أسد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ماويّة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هذا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بشر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العنوان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والثياب والطعام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عمر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أنّ الصدقة تدفع البلاء،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قال النجاشيّ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وكان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يتزوّد،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3.jpeg"/><Relationship Id="rId349" Type="http://schemas.openxmlformats.org/officeDocument/2006/relationships/image" Target="media/image3.jpeg"/><Relationship Id="rId350" Type="http://schemas.openxmlformats.org/officeDocument/2006/relationships/footer" Target="footer343.xml"/><Relationship Id="rId351" Type="http://schemas.openxmlformats.org/officeDocument/2006/relationships/image" Target="media/image4.jpeg"/><Relationship Id="rId352" Type="http://schemas.openxmlformats.org/officeDocument/2006/relationships/image" Target="media/image4.jpeg"/><Relationship Id="rId353" Type="http://schemas.openxmlformats.org/officeDocument/2006/relationships/footer" Target="footer344.xml"/><Relationship Id="rId354" Type="http://schemas.openxmlformats.org/officeDocument/2006/relationships/image" Target="media/image5.jpeg"/><Relationship Id="rId355" Type="http://schemas.openxmlformats.org/officeDocument/2006/relationships/image" Target="media/image5.jpeg"/><Relationship Id="rId356" Type="http://schemas.openxmlformats.org/officeDocument/2006/relationships/footer" Target="footer345.xml"/><Relationship Id="rId357" Type="http://schemas.openxmlformats.org/officeDocument/2006/relationships/image" Target="media/image6.jpeg"/><Relationship Id="rId358" Type="http://schemas.openxmlformats.org/officeDocument/2006/relationships/image" Target="media/image6.jpeg"/><Relationship Id="rId359" Type="http://schemas.openxmlformats.org/officeDocument/2006/relationships/footer" Target="footer346.xml"/><Relationship Id="rId360" Type="http://schemas.openxmlformats.org/officeDocument/2006/relationships/image" Target="media/image7.jpeg"/><Relationship Id="rId361" Type="http://schemas.openxmlformats.org/officeDocument/2006/relationships/image" Target="media/image7.jpeg"/><Relationship Id="rId362" Type="http://schemas.openxmlformats.org/officeDocument/2006/relationships/footer" Target="footer347.xml"/><Relationship Id="rId363" Type="http://schemas.openxmlformats.org/officeDocument/2006/relationships/image" Target="media/image8.jpeg"/><Relationship Id="rId364" Type="http://schemas.openxmlformats.org/officeDocument/2006/relationships/image" Target="media/image8.jpeg"/><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29.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45563</Words>
  <Characters>200605</Characters>
  <CharactersWithSpaces>244741</CharactersWithSpaces>
  <Paragraphs>1708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2026-08-20T10:32:46Z</dcterms:created>
  <dc:creator>ghaemiyeh.com</dc:creator>
  <dc:description/>
  <dc:language>en-US</dc:language>
  <cp:lastModifiedBy/>
  <dcterms:modified xsi:type="dcterms:W3CDTF">2026-08-20T14:03:02Z</dcterms:modified>
  <cp:revision>1</cp:revision>
  <dc:subject/>
  <dc:title>دراسات علمیة - 19 و 20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