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7</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4130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44132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44134_2870459653">
            <w:r>
              <w:rPr>
                <w:webHidden/>
                <w:rStyle w:val="IndexLink"/>
                <w:rtl w:val="true"/>
              </w:rPr>
              <w:t>تحلیل آموزۀ امامت در زیارت نامۀ اربعین</w:t>
            </w:r>
            <w:r>
              <w:rPr>
                <w:rStyle w:val="IndexLink"/>
                <w:rtl w:val="true"/>
              </w:rPr>
              <w:tab/>
            </w:r>
            <w:r>
              <w:rPr>
                <w:rStyle w:val="IndexLink"/>
              </w:rPr>
              <w:t>11</w:t>
            </w:r>
          </w:hyperlink>
        </w:p>
        <w:p>
          <w:pPr>
            <w:pStyle w:val="Contents3"/>
            <w:tabs>
              <w:tab w:val="clear" w:pos="8459"/>
              <w:tab w:val="right" w:pos="9026" w:leader="dot"/>
            </w:tabs>
            <w:rPr/>
          </w:pPr>
          <w:hyperlink w:anchor="__RefHeading___Toc1744136_2870459653">
            <w:r>
              <w:rPr>
                <w:webHidden/>
                <w:rStyle w:val="IndexLink"/>
                <w:rtl w:val="true"/>
              </w:rPr>
              <w:t xml:space="preserve">دکترمحمد رنجبرحسینی </w:t>
            </w:r>
            <w:r>
              <w:rPr>
                <w:rStyle w:val="IndexLink"/>
                <w:rtl w:val="true"/>
              </w:rPr>
              <w:t xml:space="preserve">- </w:t>
            </w:r>
            <w:r>
              <w:rPr>
                <w:rStyle w:val="IndexLink"/>
                <w:rtl w:val="true"/>
              </w:rPr>
              <w:t>نجمه صنعتیان</w:t>
            </w:r>
            <w:r>
              <w:rPr>
                <w:rStyle w:val="IndexLink"/>
                <w:rtl w:val="true"/>
              </w:rPr>
              <w:tab/>
            </w:r>
            <w:r>
              <w:rPr>
                <w:rStyle w:val="IndexLink"/>
              </w:rPr>
              <w:t>11</w:t>
            </w:r>
          </w:hyperlink>
        </w:p>
        <w:p>
          <w:pPr>
            <w:pStyle w:val="Contents3"/>
            <w:tabs>
              <w:tab w:val="clear" w:pos="8459"/>
              <w:tab w:val="right" w:pos="9026" w:leader="dot"/>
            </w:tabs>
            <w:rPr/>
          </w:pPr>
          <w:hyperlink w:anchor="__RefHeading___Toc1744138_2870459653">
            <w:r>
              <w:rPr>
                <w:webHidden/>
                <w:rStyle w:val="IndexLink"/>
                <w:rtl w:val="true"/>
              </w:rPr>
              <w:t>چکیده</w:t>
            </w:r>
            <w:r>
              <w:rPr>
                <w:rStyle w:val="IndexLink"/>
                <w:rtl w:val="true"/>
              </w:rPr>
              <w:tab/>
            </w:r>
            <w:r>
              <w:rPr>
                <w:rStyle w:val="IndexLink"/>
              </w:rPr>
              <w:t>11</w:t>
            </w:r>
          </w:hyperlink>
        </w:p>
        <w:p>
          <w:pPr>
            <w:pStyle w:val="Contents3"/>
            <w:tabs>
              <w:tab w:val="clear" w:pos="8459"/>
              <w:tab w:val="right" w:pos="9026" w:leader="dot"/>
            </w:tabs>
            <w:rPr/>
          </w:pPr>
          <w:hyperlink w:anchor="__RefHeading___Toc1744140_2870459653">
            <w:r>
              <w:rPr>
                <w:webHidden/>
                <w:rStyle w:val="IndexLink"/>
                <w:rtl w:val="true"/>
              </w:rPr>
              <w:t>مقدمه</w:t>
            </w:r>
            <w:r>
              <w:rPr>
                <w:rStyle w:val="IndexLink"/>
                <w:rtl w:val="true"/>
              </w:rPr>
              <w:tab/>
            </w:r>
            <w:r>
              <w:rPr>
                <w:rStyle w:val="IndexLink"/>
              </w:rPr>
              <w:t>12</w:t>
            </w:r>
          </w:hyperlink>
        </w:p>
        <w:p>
          <w:pPr>
            <w:pStyle w:val="Contents4"/>
            <w:tabs>
              <w:tab w:val="clear" w:pos="8176"/>
              <w:tab w:val="right" w:pos="9026" w:leader="dot"/>
            </w:tabs>
            <w:rPr/>
          </w:pPr>
          <w:hyperlink w:anchor="__RefHeading___Toc1744142_2870459653">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1744144_2870459653">
            <w:r>
              <w:rPr>
                <w:webHidden/>
                <w:rStyle w:val="IndexLink"/>
              </w:rPr>
              <w:t>1</w:t>
            </w:r>
            <w:r>
              <w:rPr>
                <w:rStyle w:val="IndexLink"/>
                <w:rtl w:val="true"/>
              </w:rPr>
              <w:t xml:space="preserve">. </w:t>
            </w:r>
            <w:r>
              <w:rPr>
                <w:rStyle w:val="IndexLink"/>
                <w:rtl w:val="true"/>
              </w:rPr>
              <w:t>متن زیارت نامه</w:t>
            </w:r>
            <w:r>
              <w:rPr>
                <w:rStyle w:val="IndexLink"/>
                <w:rtl w:val="true"/>
              </w:rPr>
              <w:tab/>
            </w:r>
            <w:r>
              <w:rPr>
                <w:rStyle w:val="IndexLink"/>
              </w:rPr>
              <w:t>12</w:t>
            </w:r>
          </w:hyperlink>
        </w:p>
        <w:p>
          <w:pPr>
            <w:pStyle w:val="Contents4"/>
            <w:tabs>
              <w:tab w:val="clear" w:pos="8176"/>
              <w:tab w:val="right" w:pos="9026" w:leader="dot"/>
            </w:tabs>
            <w:rPr/>
          </w:pPr>
          <w:hyperlink w:anchor="__RefHeading___Toc1744146_2870459653">
            <w:r>
              <w:rPr>
                <w:webHidden/>
                <w:rStyle w:val="IndexLink"/>
              </w:rPr>
              <w:t>2</w:t>
            </w:r>
            <w:r>
              <w:rPr>
                <w:rStyle w:val="IndexLink"/>
                <w:rtl w:val="true"/>
              </w:rPr>
              <w:t xml:space="preserve">. </w:t>
            </w:r>
            <w:r>
              <w:rPr>
                <w:rStyle w:val="IndexLink"/>
                <w:rtl w:val="true"/>
              </w:rPr>
              <w:t>شرح مفاهیم</w:t>
            </w:r>
            <w:r>
              <w:rPr>
                <w:rStyle w:val="IndexLink"/>
                <w:rtl w:val="true"/>
              </w:rPr>
              <w:tab/>
            </w:r>
            <w:r>
              <w:rPr>
                <w:rStyle w:val="IndexLink"/>
              </w:rPr>
              <w:t>15</w:t>
            </w:r>
          </w:hyperlink>
        </w:p>
        <w:p>
          <w:pPr>
            <w:pStyle w:val="Contents3"/>
            <w:tabs>
              <w:tab w:val="clear" w:pos="8459"/>
              <w:tab w:val="right" w:pos="9026" w:leader="dot"/>
            </w:tabs>
            <w:rPr/>
          </w:pPr>
          <w:hyperlink w:anchor="__RefHeading___Toc1744148_2870459653">
            <w:r>
              <w:rPr>
                <w:webHidden/>
                <w:rStyle w:val="IndexLink"/>
                <w:rtl w:val="true"/>
              </w:rPr>
              <w:t>منابع</w:t>
            </w:r>
            <w:r>
              <w:rPr>
                <w:rStyle w:val="IndexLink"/>
                <w:rtl w:val="true"/>
              </w:rPr>
              <w:tab/>
            </w:r>
            <w:r>
              <w:rPr>
                <w:rStyle w:val="IndexLink"/>
              </w:rPr>
              <w:t>26</w:t>
            </w:r>
          </w:hyperlink>
        </w:p>
        <w:p>
          <w:pPr>
            <w:pStyle w:val="Contents2"/>
            <w:tabs>
              <w:tab w:val="clear" w:pos="8743"/>
              <w:tab w:val="right" w:pos="9026" w:leader="dot"/>
            </w:tabs>
            <w:rPr/>
          </w:pPr>
          <w:hyperlink w:anchor="__RefHeading___Toc1744150_2870459653">
            <w:r>
              <w:rPr>
                <w:webHidden/>
                <w:rStyle w:val="IndexLink"/>
                <w:rtl w:val="true"/>
              </w:rPr>
              <w:t>تأملی در منابع و تاریخ نگاری عاشورا در دو قرن نخستین اسلامی</w:t>
            </w:r>
            <w:r>
              <w:rPr>
                <w:rStyle w:val="IndexLink"/>
                <w:rtl w:val="true"/>
              </w:rPr>
              <w:tab/>
            </w:r>
            <w:r>
              <w:rPr>
                <w:rStyle w:val="IndexLink"/>
              </w:rPr>
              <w:t>29</w:t>
            </w:r>
          </w:hyperlink>
        </w:p>
        <w:p>
          <w:pPr>
            <w:pStyle w:val="Contents3"/>
            <w:tabs>
              <w:tab w:val="clear" w:pos="8459"/>
              <w:tab w:val="right" w:pos="9026" w:leader="dot"/>
            </w:tabs>
            <w:rPr/>
          </w:pPr>
          <w:hyperlink w:anchor="__RefHeading___Toc1744152_2870459653">
            <w:r>
              <w:rPr>
                <w:webHidden/>
                <w:rStyle w:val="IndexLink"/>
                <w:rtl w:val="true"/>
              </w:rPr>
              <w:t>سینا میرشاهی</w:t>
            </w:r>
            <w:r>
              <w:rPr>
                <w:rStyle w:val="IndexLink"/>
                <w:rtl w:val="true"/>
              </w:rPr>
              <w:tab/>
            </w:r>
            <w:r>
              <w:rPr>
                <w:rStyle w:val="IndexLink"/>
              </w:rPr>
              <w:t>29</w:t>
            </w:r>
          </w:hyperlink>
        </w:p>
        <w:p>
          <w:pPr>
            <w:pStyle w:val="Contents3"/>
            <w:tabs>
              <w:tab w:val="clear" w:pos="8459"/>
              <w:tab w:val="right" w:pos="9026" w:leader="dot"/>
            </w:tabs>
            <w:rPr/>
          </w:pPr>
          <w:hyperlink w:anchor="__RefHeading___Toc1744154_2870459653">
            <w:r>
              <w:rPr>
                <w:webHidden/>
                <w:rStyle w:val="IndexLink"/>
                <w:rtl w:val="true"/>
              </w:rPr>
              <w:t>چکیده</w:t>
            </w:r>
            <w:r>
              <w:rPr>
                <w:rStyle w:val="IndexLink"/>
                <w:rtl w:val="true"/>
              </w:rPr>
              <w:tab/>
            </w:r>
            <w:r>
              <w:rPr>
                <w:rStyle w:val="IndexLink"/>
              </w:rPr>
              <w:t>29</w:t>
            </w:r>
          </w:hyperlink>
        </w:p>
        <w:p>
          <w:pPr>
            <w:pStyle w:val="Contents3"/>
            <w:tabs>
              <w:tab w:val="clear" w:pos="8459"/>
              <w:tab w:val="right" w:pos="9026" w:leader="dot"/>
            </w:tabs>
            <w:rPr/>
          </w:pPr>
          <w:hyperlink w:anchor="__RefHeading___Toc1744156_2870459653">
            <w:r>
              <w:rPr>
                <w:webHidden/>
                <w:rStyle w:val="IndexLink"/>
                <w:rtl w:val="true"/>
              </w:rPr>
              <w:t>مقدمه</w:t>
            </w:r>
            <w:r>
              <w:rPr>
                <w:rStyle w:val="IndexLink"/>
                <w:rtl w:val="true"/>
              </w:rPr>
              <w:tab/>
            </w:r>
            <w:r>
              <w:rPr>
                <w:rStyle w:val="IndexLink"/>
              </w:rPr>
              <w:t>30</w:t>
            </w:r>
          </w:hyperlink>
        </w:p>
        <w:p>
          <w:pPr>
            <w:pStyle w:val="Contents4"/>
            <w:tabs>
              <w:tab w:val="clear" w:pos="8176"/>
              <w:tab w:val="right" w:pos="9026" w:leader="dot"/>
            </w:tabs>
            <w:rPr/>
          </w:pPr>
          <w:hyperlink w:anchor="__RefHeading___Toc1744158_2870459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744160_2870459653">
            <w:r>
              <w:rPr>
                <w:webHidden/>
                <w:rStyle w:val="IndexLink"/>
              </w:rPr>
              <w:t>1</w:t>
            </w:r>
            <w:r>
              <w:rPr>
                <w:rStyle w:val="IndexLink"/>
                <w:rtl w:val="true"/>
              </w:rPr>
              <w:t xml:space="preserve">. </w:t>
            </w:r>
            <w:r>
              <w:rPr>
                <w:rStyle w:val="IndexLink"/>
                <w:rtl w:val="true"/>
              </w:rPr>
              <w:t>پیشینۀ پژوهش</w:t>
            </w:r>
            <w:r>
              <w:rPr>
                <w:rStyle w:val="IndexLink"/>
                <w:rtl w:val="true"/>
              </w:rPr>
              <w:tab/>
            </w:r>
            <w:r>
              <w:rPr>
                <w:rStyle w:val="IndexLink"/>
              </w:rPr>
              <w:t>31</w:t>
            </w:r>
          </w:hyperlink>
        </w:p>
        <w:p>
          <w:pPr>
            <w:pStyle w:val="Contents4"/>
            <w:tabs>
              <w:tab w:val="clear" w:pos="8176"/>
              <w:tab w:val="right" w:pos="9026" w:leader="dot"/>
            </w:tabs>
            <w:rPr/>
          </w:pPr>
          <w:hyperlink w:anchor="__RefHeading___Toc1744162_2870459653">
            <w:r>
              <w:rPr>
                <w:webHidden/>
                <w:rStyle w:val="IndexLink"/>
              </w:rPr>
              <w:t>2</w:t>
            </w:r>
            <w:r>
              <w:rPr>
                <w:rStyle w:val="IndexLink"/>
                <w:rtl w:val="true"/>
              </w:rPr>
              <w:t xml:space="preserve">. </w:t>
            </w:r>
            <w:r>
              <w:rPr>
                <w:rStyle w:val="IndexLink"/>
                <w:rtl w:val="true"/>
              </w:rPr>
              <w:t>مفهوم تاریخ نگاری عاشورا</w:t>
            </w:r>
            <w:r>
              <w:rPr>
                <w:rStyle w:val="IndexLink"/>
                <w:rtl w:val="true"/>
              </w:rPr>
              <w:tab/>
            </w:r>
            <w:r>
              <w:rPr>
                <w:rStyle w:val="IndexLink"/>
              </w:rPr>
              <w:t>31</w:t>
            </w:r>
          </w:hyperlink>
        </w:p>
        <w:p>
          <w:pPr>
            <w:pStyle w:val="Contents4"/>
            <w:tabs>
              <w:tab w:val="clear" w:pos="8176"/>
              <w:tab w:val="right" w:pos="9026" w:leader="dot"/>
            </w:tabs>
            <w:rPr/>
          </w:pPr>
          <w:hyperlink w:anchor="__RefHeading___Toc1744164_2870459653">
            <w:r>
              <w:rPr>
                <w:webHidden/>
                <w:rStyle w:val="IndexLink"/>
              </w:rPr>
              <w:t>3</w:t>
            </w:r>
            <w:r>
              <w:rPr>
                <w:rStyle w:val="IndexLink"/>
                <w:rtl w:val="true"/>
              </w:rPr>
              <w:t xml:space="preserve">. </w:t>
            </w:r>
            <w:r>
              <w:rPr>
                <w:rStyle w:val="IndexLink"/>
                <w:rtl w:val="true"/>
              </w:rPr>
              <w:t>تأملی در منابع و تاریخ نگاری عاشورا در دو قرن نخستین اسلامی</w:t>
            </w:r>
            <w:r>
              <w:rPr>
                <w:rStyle w:val="IndexLink"/>
                <w:rtl w:val="true"/>
              </w:rPr>
              <w:tab/>
            </w:r>
            <w:r>
              <w:rPr>
                <w:rStyle w:val="IndexLink"/>
              </w:rPr>
              <w:t>32</w:t>
            </w:r>
          </w:hyperlink>
        </w:p>
        <w:p>
          <w:pPr>
            <w:pStyle w:val="Contents4"/>
            <w:tabs>
              <w:tab w:val="clear" w:pos="8176"/>
              <w:tab w:val="right" w:pos="9026" w:leader="dot"/>
            </w:tabs>
            <w:rPr/>
          </w:pPr>
          <w:hyperlink w:anchor="__RefHeading___Toc1744166_2870459653">
            <w:r>
              <w:rPr>
                <w:webHidden/>
                <w:rStyle w:val="IndexLink"/>
              </w:rPr>
              <w:t>4</w:t>
            </w:r>
            <w:r>
              <w:rPr>
                <w:rStyle w:val="IndexLink"/>
                <w:rtl w:val="true"/>
              </w:rPr>
              <w:t xml:space="preserve">. </w:t>
            </w:r>
            <w:r>
              <w:rPr>
                <w:rStyle w:val="IndexLink"/>
                <w:rtl w:val="true"/>
              </w:rPr>
              <w:t>معروف ترین تاریخ نگاران عاشورا در دو قرون نخستین اسلامی</w:t>
            </w:r>
            <w:r>
              <w:rPr>
                <w:rStyle w:val="IndexLink"/>
                <w:rtl w:val="true"/>
              </w:rPr>
              <w:tab/>
            </w:r>
            <w:r>
              <w:rPr>
                <w:rStyle w:val="IndexLink"/>
              </w:rPr>
              <w:t>39</w:t>
            </w:r>
          </w:hyperlink>
        </w:p>
        <w:p>
          <w:pPr>
            <w:pStyle w:val="Contents3"/>
            <w:tabs>
              <w:tab w:val="clear" w:pos="8459"/>
              <w:tab w:val="right" w:pos="9026" w:leader="dot"/>
            </w:tabs>
            <w:rPr/>
          </w:pPr>
          <w:hyperlink w:anchor="__RefHeading___Toc1744168_2870459653">
            <w:r>
              <w:rPr>
                <w:webHidden/>
                <w:rStyle w:val="IndexLink"/>
                <w:rtl w:val="true"/>
              </w:rPr>
              <w:t>نتیجه</w:t>
            </w:r>
            <w:r>
              <w:rPr>
                <w:rStyle w:val="IndexLink"/>
                <w:rtl w:val="true"/>
              </w:rPr>
              <w:tab/>
            </w:r>
            <w:r>
              <w:rPr>
                <w:rStyle w:val="IndexLink"/>
              </w:rPr>
              <w:t>42</w:t>
            </w:r>
          </w:hyperlink>
        </w:p>
        <w:p>
          <w:pPr>
            <w:pStyle w:val="Contents3"/>
            <w:tabs>
              <w:tab w:val="clear" w:pos="8459"/>
              <w:tab w:val="right" w:pos="9026" w:leader="dot"/>
            </w:tabs>
            <w:rPr/>
          </w:pPr>
          <w:hyperlink w:anchor="__RefHeading___Toc1744170_2870459653">
            <w:r>
              <w:rPr>
                <w:webHidden/>
                <w:rStyle w:val="IndexLink"/>
                <w:rtl w:val="true"/>
              </w:rPr>
              <w:t>منابع</w:t>
            </w:r>
            <w:r>
              <w:rPr>
                <w:rStyle w:val="IndexLink"/>
                <w:rtl w:val="true"/>
              </w:rPr>
              <w:t>:</w:t>
              <w:tab/>
            </w:r>
            <w:r>
              <w:rPr>
                <w:rStyle w:val="IndexLink"/>
              </w:rPr>
              <w:t>45</w:t>
            </w:r>
          </w:hyperlink>
        </w:p>
        <w:p>
          <w:pPr>
            <w:pStyle w:val="Contents2"/>
            <w:tabs>
              <w:tab w:val="clear" w:pos="8743"/>
              <w:tab w:val="right" w:pos="9026" w:leader="dot"/>
            </w:tabs>
            <w:rPr/>
          </w:pPr>
          <w:hyperlink w:anchor="__RefHeading___Toc1744172_2870459653">
            <w:r>
              <w:rPr>
                <w:webHidden/>
                <w:rStyle w:val="IndexLink"/>
                <w:rtl w:val="true"/>
              </w:rPr>
              <w:t>تبیین اعلام جغرافیایی مسیر کاروان حسینی با تأکید بر کتاب ارشاد شیخ مفید</w:t>
            </w:r>
            <w:r>
              <w:rPr>
                <w:rStyle w:val="IndexLink"/>
                <w:rtl w:val="true"/>
              </w:rPr>
              <w:t>(</w:t>
            </w:r>
            <w:r>
              <w:rPr>
                <w:rStyle w:val="IndexLink"/>
                <w:rtl w:val="true"/>
              </w:rPr>
              <w:t>ره</w:t>
            </w:r>
            <w:r>
              <w:rPr>
                <w:rStyle w:val="IndexLink"/>
                <w:rtl w:val="true"/>
              </w:rPr>
              <w:t>)</w:t>
              <w:tab/>
            </w:r>
            <w:r>
              <w:rPr>
                <w:rStyle w:val="IndexLink"/>
              </w:rPr>
              <w:t>49</w:t>
            </w:r>
          </w:hyperlink>
        </w:p>
        <w:p>
          <w:pPr>
            <w:pStyle w:val="Contents3"/>
            <w:tabs>
              <w:tab w:val="clear" w:pos="8459"/>
              <w:tab w:val="right" w:pos="9026" w:leader="dot"/>
            </w:tabs>
            <w:rPr/>
          </w:pPr>
          <w:hyperlink w:anchor="__RefHeading___Toc1744174_2870459653">
            <w:r>
              <w:rPr>
                <w:webHidden/>
                <w:rStyle w:val="IndexLink"/>
                <w:rtl w:val="true"/>
              </w:rPr>
              <w:t xml:space="preserve">حسن فضل </w:t>
            </w:r>
            <w:r>
              <w:rPr>
                <w:rStyle w:val="IndexLink"/>
                <w:rtl w:val="true"/>
              </w:rPr>
              <w:t xml:space="preserve">- </w:t>
            </w:r>
            <w:r>
              <w:rPr>
                <w:rStyle w:val="IndexLink"/>
                <w:rtl w:val="true"/>
              </w:rPr>
              <w:t xml:space="preserve">دکتر اردشیر اسد بیگی </w:t>
            </w:r>
            <w:r>
              <w:rPr>
                <w:rStyle w:val="IndexLink"/>
                <w:rtl w:val="true"/>
              </w:rPr>
              <w:t xml:space="preserve">- </w:t>
            </w:r>
            <w:r>
              <w:rPr>
                <w:rStyle w:val="IndexLink"/>
                <w:rtl w:val="true"/>
              </w:rPr>
              <w:t>دکتر محمود دامغانی</w:t>
            </w:r>
            <w:r>
              <w:rPr>
                <w:rStyle w:val="IndexLink"/>
                <w:rtl w:val="true"/>
              </w:rPr>
              <w:tab/>
            </w:r>
            <w:r>
              <w:rPr>
                <w:rStyle w:val="IndexLink"/>
              </w:rPr>
              <w:t>49</w:t>
            </w:r>
          </w:hyperlink>
        </w:p>
        <w:p>
          <w:pPr>
            <w:pStyle w:val="Contents3"/>
            <w:tabs>
              <w:tab w:val="clear" w:pos="8459"/>
              <w:tab w:val="right" w:pos="9026" w:leader="dot"/>
            </w:tabs>
            <w:rPr/>
          </w:pPr>
          <w:hyperlink w:anchor="__RefHeading___Toc1744176_2870459653">
            <w:r>
              <w:rPr>
                <w:webHidden/>
                <w:rStyle w:val="IndexLink"/>
                <w:rtl w:val="true"/>
              </w:rPr>
              <w:t>چکیده</w:t>
            </w:r>
            <w:r>
              <w:rPr>
                <w:rStyle w:val="IndexLink"/>
                <w:rtl w:val="true"/>
              </w:rPr>
              <w:tab/>
            </w:r>
            <w:r>
              <w:rPr>
                <w:rStyle w:val="IndexLink"/>
              </w:rPr>
              <w:t>49</w:t>
            </w:r>
          </w:hyperlink>
        </w:p>
        <w:p>
          <w:pPr>
            <w:pStyle w:val="Contents3"/>
            <w:tabs>
              <w:tab w:val="clear" w:pos="8459"/>
              <w:tab w:val="right" w:pos="9026" w:leader="dot"/>
            </w:tabs>
            <w:rPr/>
          </w:pPr>
          <w:hyperlink w:anchor="__RefHeading___Toc1744178_2870459653">
            <w:r>
              <w:rPr>
                <w:webHidden/>
                <w:rStyle w:val="IndexLink"/>
                <w:rtl w:val="true"/>
              </w:rPr>
              <w:t>مقدمه</w:t>
            </w:r>
            <w:r>
              <w:rPr>
                <w:rStyle w:val="IndexLink"/>
                <w:rtl w:val="true"/>
              </w:rPr>
              <w:tab/>
            </w:r>
            <w:r>
              <w:rPr>
                <w:rStyle w:val="IndexLink"/>
              </w:rPr>
              <w:t>50</w:t>
            </w:r>
          </w:hyperlink>
        </w:p>
        <w:p>
          <w:pPr>
            <w:pStyle w:val="Contents4"/>
            <w:tabs>
              <w:tab w:val="clear" w:pos="8176"/>
              <w:tab w:val="right" w:pos="9026" w:leader="dot"/>
            </w:tabs>
            <w:rPr/>
          </w:pPr>
          <w:hyperlink w:anchor="__RefHeading___Toc1744180_2870459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744182_2870459653">
            <w:r>
              <w:rPr>
                <w:webHidden/>
                <w:rStyle w:val="IndexLink"/>
              </w:rPr>
              <w:t>1</w:t>
            </w:r>
            <w:r>
              <w:rPr>
                <w:rStyle w:val="IndexLink"/>
                <w:rtl w:val="true"/>
              </w:rPr>
              <w:t xml:space="preserve">. </w:t>
            </w:r>
            <w:r>
              <w:rPr>
                <w:rStyle w:val="IndexLink"/>
                <w:rtl w:val="true"/>
              </w:rPr>
              <w:t>مدینه</w:t>
            </w:r>
            <w:r>
              <w:rPr>
                <w:rStyle w:val="IndexLink"/>
                <w:rtl w:val="true"/>
              </w:rPr>
              <w:tab/>
            </w:r>
            <w:r>
              <w:rPr>
                <w:rStyle w:val="IndexLink"/>
              </w:rPr>
              <w:t>51</w:t>
            </w:r>
          </w:hyperlink>
        </w:p>
        <w:p>
          <w:pPr>
            <w:pStyle w:val="Contents4"/>
            <w:tabs>
              <w:tab w:val="clear" w:pos="8176"/>
              <w:tab w:val="right" w:pos="9026" w:leader="dot"/>
            </w:tabs>
            <w:rPr/>
          </w:pPr>
          <w:hyperlink w:anchor="__RefHeading___Toc1744184_2870459653">
            <w:r>
              <w:rPr>
                <w:webHidden/>
                <w:rStyle w:val="IndexLink"/>
              </w:rPr>
              <w:t>2</w:t>
            </w:r>
            <w:r>
              <w:rPr>
                <w:rStyle w:val="IndexLink"/>
                <w:rtl w:val="true"/>
              </w:rPr>
              <w:t xml:space="preserve">. </w:t>
            </w:r>
            <w:r>
              <w:rPr>
                <w:rStyle w:val="IndexLink"/>
                <w:rtl w:val="true"/>
              </w:rPr>
              <w:t>مکه</w:t>
            </w:r>
            <w:r>
              <w:rPr>
                <w:rStyle w:val="IndexLink"/>
                <w:rtl w:val="true"/>
              </w:rPr>
              <w:tab/>
            </w:r>
            <w:r>
              <w:rPr>
                <w:rStyle w:val="IndexLink"/>
              </w:rPr>
              <w:t>53</w:t>
            </w:r>
          </w:hyperlink>
        </w:p>
        <w:p>
          <w:pPr>
            <w:pStyle w:val="Contents4"/>
            <w:tabs>
              <w:tab w:val="clear" w:pos="8176"/>
              <w:tab w:val="right" w:pos="9026" w:leader="dot"/>
            </w:tabs>
            <w:rPr/>
          </w:pPr>
          <w:hyperlink w:anchor="__RefHeading___Toc1744186_2870459653">
            <w:r>
              <w:rPr>
                <w:webHidden/>
                <w:rStyle w:val="IndexLink"/>
              </w:rPr>
              <w:t>3</w:t>
            </w:r>
            <w:r>
              <w:rPr>
                <w:rStyle w:val="IndexLink"/>
                <w:rtl w:val="true"/>
              </w:rPr>
              <w:t xml:space="preserve">. </w:t>
            </w:r>
            <w:r>
              <w:rPr>
                <w:rStyle w:val="IndexLink"/>
                <w:rtl w:val="true"/>
              </w:rPr>
              <w:t>تنعیم</w:t>
            </w:r>
            <w:r>
              <w:rPr>
                <w:rStyle w:val="IndexLink"/>
                <w:rtl w:val="true"/>
              </w:rPr>
              <w:tab/>
            </w:r>
            <w:r>
              <w:rPr>
                <w:rStyle w:val="IndexLink"/>
              </w:rPr>
              <w:t>56</w:t>
            </w:r>
          </w:hyperlink>
        </w:p>
        <w:p>
          <w:pPr>
            <w:pStyle w:val="Contents4"/>
            <w:tabs>
              <w:tab w:val="clear" w:pos="8176"/>
              <w:tab w:val="right" w:pos="9026" w:leader="dot"/>
            </w:tabs>
            <w:rPr/>
          </w:pPr>
          <w:hyperlink w:anchor="__RefHeading___Toc1744188_2870459653">
            <w:r>
              <w:rPr>
                <w:webHidden/>
                <w:rStyle w:val="IndexLink"/>
              </w:rPr>
              <w:t>4</w:t>
            </w:r>
            <w:r>
              <w:rPr>
                <w:rStyle w:val="IndexLink"/>
                <w:rtl w:val="true"/>
              </w:rPr>
              <w:t xml:space="preserve">- </w:t>
            </w:r>
            <w:r>
              <w:rPr>
                <w:rStyle w:val="IndexLink"/>
                <w:rtl w:val="true"/>
              </w:rPr>
              <w:t>ذات عِرق</w:t>
            </w:r>
            <w:r>
              <w:rPr>
                <w:rStyle w:val="IndexLink"/>
                <w:rtl w:val="true"/>
              </w:rPr>
              <w:tab/>
            </w:r>
            <w:r>
              <w:rPr>
                <w:rStyle w:val="IndexLink"/>
              </w:rPr>
              <w:t>57</w:t>
            </w:r>
          </w:hyperlink>
        </w:p>
        <w:p>
          <w:pPr>
            <w:pStyle w:val="Contents4"/>
            <w:tabs>
              <w:tab w:val="clear" w:pos="8176"/>
              <w:tab w:val="right" w:pos="9026" w:leader="dot"/>
            </w:tabs>
            <w:rPr/>
          </w:pPr>
          <w:hyperlink w:anchor="__RefHeading___Toc1744190_2870459653">
            <w:r>
              <w:rPr>
                <w:webHidden/>
                <w:rStyle w:val="IndexLink"/>
              </w:rPr>
              <w:t>5</w:t>
            </w:r>
            <w:r>
              <w:rPr>
                <w:rStyle w:val="IndexLink"/>
                <w:rtl w:val="true"/>
              </w:rPr>
              <w:t xml:space="preserve">. </w:t>
            </w:r>
            <w:r>
              <w:rPr>
                <w:rStyle w:val="IndexLink"/>
                <w:rtl w:val="true"/>
              </w:rPr>
              <w:t xml:space="preserve">حاجز </w:t>
            </w:r>
            <w:r>
              <w:rPr>
                <w:rStyle w:val="IndexLink"/>
                <w:rtl w:val="true"/>
              </w:rPr>
              <w:t>(</w:t>
            </w:r>
            <w:r>
              <w:rPr>
                <w:rStyle w:val="IndexLink"/>
                <w:rtl w:val="true"/>
              </w:rPr>
              <w:t>حاجر</w:t>
            </w:r>
            <w:r>
              <w:rPr>
                <w:rStyle w:val="IndexLink"/>
                <w:rtl w:val="true"/>
              </w:rPr>
              <w:t>)</w:t>
              <w:tab/>
            </w:r>
            <w:r>
              <w:rPr>
                <w:rStyle w:val="IndexLink"/>
              </w:rPr>
              <w:t>57</w:t>
            </w:r>
          </w:hyperlink>
        </w:p>
        <w:p>
          <w:pPr>
            <w:pStyle w:val="Contents4"/>
            <w:tabs>
              <w:tab w:val="clear" w:pos="8176"/>
              <w:tab w:val="right" w:pos="9026" w:leader="dot"/>
            </w:tabs>
            <w:rPr/>
          </w:pPr>
          <w:hyperlink w:anchor="__RefHeading___Toc1744192_2870459653">
            <w:r>
              <w:rPr>
                <w:webHidden/>
                <w:rStyle w:val="IndexLink"/>
              </w:rPr>
              <w:t>6</w:t>
            </w:r>
            <w:r>
              <w:rPr>
                <w:rStyle w:val="IndexLink"/>
                <w:rtl w:val="true"/>
              </w:rPr>
              <w:t xml:space="preserve">. </w:t>
            </w:r>
            <w:r>
              <w:rPr>
                <w:rStyle w:val="IndexLink"/>
                <w:rtl w:val="true"/>
              </w:rPr>
              <w:t>بطن الرُّمَّه</w:t>
            </w:r>
            <w:r>
              <w:rPr>
                <w:rStyle w:val="IndexLink"/>
                <w:rtl w:val="true"/>
              </w:rPr>
              <w:tab/>
            </w:r>
            <w:r>
              <w:rPr>
                <w:rStyle w:val="IndexLink"/>
              </w:rPr>
              <w:t>58</w:t>
            </w:r>
          </w:hyperlink>
        </w:p>
        <w:p>
          <w:pPr>
            <w:pStyle w:val="Contents4"/>
            <w:tabs>
              <w:tab w:val="clear" w:pos="8176"/>
              <w:tab w:val="right" w:pos="9026" w:leader="dot"/>
            </w:tabs>
            <w:rPr/>
          </w:pPr>
          <w:hyperlink w:anchor="__RefHeading___Toc1744194_2870459653">
            <w:r>
              <w:rPr>
                <w:webHidden/>
                <w:rStyle w:val="IndexLink"/>
              </w:rPr>
              <w:t>7</w:t>
            </w:r>
            <w:r>
              <w:rPr>
                <w:rStyle w:val="IndexLink"/>
                <w:rtl w:val="true"/>
              </w:rPr>
              <w:t xml:space="preserve">. </w:t>
            </w:r>
            <w:r>
              <w:rPr>
                <w:rStyle w:val="IndexLink"/>
                <w:rtl w:val="true"/>
              </w:rPr>
              <w:t>زَرود</w:t>
            </w:r>
            <w:r>
              <w:rPr>
                <w:rStyle w:val="IndexLink"/>
                <w:rtl w:val="true"/>
              </w:rPr>
              <w:tab/>
            </w:r>
            <w:r>
              <w:rPr>
                <w:rStyle w:val="IndexLink"/>
              </w:rPr>
              <w:t>58</w:t>
            </w:r>
          </w:hyperlink>
        </w:p>
        <w:p>
          <w:pPr>
            <w:pStyle w:val="Contents4"/>
            <w:tabs>
              <w:tab w:val="clear" w:pos="8176"/>
              <w:tab w:val="right" w:pos="9026" w:leader="dot"/>
            </w:tabs>
            <w:rPr/>
          </w:pPr>
          <w:hyperlink w:anchor="__RefHeading___Toc1744196_2870459653">
            <w:r>
              <w:rPr>
                <w:webHidden/>
                <w:rStyle w:val="IndexLink"/>
              </w:rPr>
              <w:t>8</w:t>
            </w:r>
            <w:r>
              <w:rPr>
                <w:rStyle w:val="IndexLink"/>
                <w:rtl w:val="true"/>
              </w:rPr>
              <w:t xml:space="preserve">. </w:t>
            </w:r>
            <w:r>
              <w:rPr>
                <w:rStyle w:val="IndexLink"/>
                <w:rtl w:val="true"/>
              </w:rPr>
              <w:t>ثعلبیه</w:t>
            </w:r>
            <w:r>
              <w:rPr>
                <w:rStyle w:val="IndexLink"/>
                <w:rtl w:val="true"/>
              </w:rPr>
              <w:tab/>
            </w:r>
            <w:r>
              <w:rPr>
                <w:rStyle w:val="IndexLink"/>
              </w:rPr>
              <w:t>59</w:t>
            </w:r>
          </w:hyperlink>
        </w:p>
        <w:p>
          <w:pPr>
            <w:pStyle w:val="Contents4"/>
            <w:tabs>
              <w:tab w:val="clear" w:pos="8176"/>
              <w:tab w:val="right" w:pos="9026" w:leader="dot"/>
            </w:tabs>
            <w:rPr/>
          </w:pPr>
          <w:hyperlink w:anchor="__RefHeading___Toc1744198_2870459653">
            <w:r>
              <w:rPr>
                <w:webHidden/>
                <w:rStyle w:val="IndexLink"/>
              </w:rPr>
              <w:t>9</w:t>
            </w:r>
            <w:r>
              <w:rPr>
                <w:rStyle w:val="IndexLink"/>
                <w:rtl w:val="true"/>
              </w:rPr>
              <w:t xml:space="preserve">- </w:t>
            </w:r>
            <w:r>
              <w:rPr>
                <w:rStyle w:val="IndexLink"/>
                <w:rtl w:val="true"/>
              </w:rPr>
              <w:t>زُباله</w:t>
            </w:r>
            <w:r>
              <w:rPr>
                <w:rStyle w:val="IndexLink"/>
                <w:rtl w:val="true"/>
              </w:rPr>
              <w:tab/>
            </w:r>
            <w:r>
              <w:rPr>
                <w:rStyle w:val="IndexLink"/>
              </w:rPr>
              <w:t>59</w:t>
            </w:r>
          </w:hyperlink>
        </w:p>
        <w:p>
          <w:pPr>
            <w:pStyle w:val="Contents4"/>
            <w:tabs>
              <w:tab w:val="clear" w:pos="8176"/>
              <w:tab w:val="right" w:pos="9026" w:leader="dot"/>
            </w:tabs>
            <w:rPr/>
          </w:pPr>
          <w:hyperlink w:anchor="__RefHeading___Toc1744200_2870459653">
            <w:r>
              <w:rPr>
                <w:webHidden/>
                <w:rStyle w:val="IndexLink"/>
              </w:rPr>
              <w:t>10</w:t>
            </w:r>
            <w:r>
              <w:rPr>
                <w:rStyle w:val="IndexLink"/>
                <w:rtl w:val="true"/>
              </w:rPr>
              <w:t xml:space="preserve">. </w:t>
            </w:r>
            <w:r>
              <w:rPr>
                <w:rStyle w:val="IndexLink"/>
                <w:rtl w:val="true"/>
              </w:rPr>
              <w:t>بطن عقبه</w:t>
            </w:r>
            <w:r>
              <w:rPr>
                <w:rStyle w:val="IndexLink"/>
                <w:rtl w:val="true"/>
              </w:rPr>
              <w:tab/>
            </w:r>
            <w:r>
              <w:rPr>
                <w:rStyle w:val="IndexLink"/>
              </w:rPr>
              <w:t>60</w:t>
            </w:r>
          </w:hyperlink>
        </w:p>
        <w:p>
          <w:pPr>
            <w:pStyle w:val="Contents4"/>
            <w:tabs>
              <w:tab w:val="clear" w:pos="8176"/>
              <w:tab w:val="right" w:pos="9026" w:leader="dot"/>
            </w:tabs>
            <w:rPr/>
          </w:pPr>
          <w:hyperlink w:anchor="__RefHeading___Toc1744202_2870459653">
            <w:r>
              <w:rPr>
                <w:webHidden/>
                <w:rStyle w:val="IndexLink"/>
              </w:rPr>
              <w:t>11</w:t>
            </w:r>
            <w:r>
              <w:rPr>
                <w:rStyle w:val="IndexLink"/>
                <w:rtl w:val="true"/>
              </w:rPr>
              <w:t xml:space="preserve">. </w:t>
            </w:r>
            <w:r>
              <w:rPr>
                <w:rStyle w:val="IndexLink"/>
                <w:rtl w:val="true"/>
              </w:rPr>
              <w:t>شَراف</w:t>
            </w:r>
            <w:r>
              <w:rPr>
                <w:rStyle w:val="IndexLink"/>
                <w:rtl w:val="true"/>
              </w:rPr>
              <w:tab/>
            </w:r>
            <w:r>
              <w:rPr>
                <w:rStyle w:val="IndexLink"/>
              </w:rPr>
              <w:t>60</w:t>
            </w:r>
          </w:hyperlink>
        </w:p>
        <w:p>
          <w:pPr>
            <w:pStyle w:val="Contents4"/>
            <w:tabs>
              <w:tab w:val="clear" w:pos="8176"/>
              <w:tab w:val="right" w:pos="9026" w:leader="dot"/>
            </w:tabs>
            <w:rPr/>
          </w:pPr>
          <w:hyperlink w:anchor="__RefHeading___Toc1744204_2870459653">
            <w:r>
              <w:rPr>
                <w:webHidden/>
                <w:rStyle w:val="IndexLink"/>
              </w:rPr>
              <w:t>12</w:t>
            </w:r>
            <w:r>
              <w:rPr>
                <w:rStyle w:val="IndexLink"/>
                <w:rtl w:val="true"/>
              </w:rPr>
              <w:t xml:space="preserve">. </w:t>
            </w:r>
            <w:r>
              <w:rPr>
                <w:rStyle w:val="IndexLink"/>
                <w:rtl w:val="true"/>
              </w:rPr>
              <w:t>ذُوحُسم</w:t>
            </w:r>
            <w:r>
              <w:rPr>
                <w:rStyle w:val="IndexLink"/>
                <w:rtl w:val="true"/>
              </w:rPr>
              <w:tab/>
            </w:r>
            <w:r>
              <w:rPr>
                <w:rStyle w:val="IndexLink"/>
              </w:rPr>
              <w:t>61</w:t>
            </w:r>
          </w:hyperlink>
        </w:p>
        <w:p>
          <w:pPr>
            <w:pStyle w:val="Contents4"/>
            <w:tabs>
              <w:tab w:val="clear" w:pos="8176"/>
              <w:tab w:val="right" w:pos="9026" w:leader="dot"/>
            </w:tabs>
            <w:rPr/>
          </w:pPr>
          <w:hyperlink w:anchor="__RefHeading___Toc1744206_2870459653">
            <w:r>
              <w:rPr>
                <w:webHidden/>
                <w:rStyle w:val="IndexLink"/>
              </w:rPr>
              <w:t>13</w:t>
            </w:r>
            <w:r>
              <w:rPr>
                <w:rStyle w:val="IndexLink"/>
                <w:rtl w:val="true"/>
              </w:rPr>
              <w:t xml:space="preserve">. </w:t>
            </w:r>
            <w:r>
              <w:rPr>
                <w:rStyle w:val="IndexLink"/>
                <w:rtl w:val="true"/>
              </w:rPr>
              <w:t>عُذَیب الهِجانات</w:t>
            </w:r>
            <w:r>
              <w:rPr>
                <w:rStyle w:val="IndexLink"/>
                <w:rtl w:val="true"/>
              </w:rPr>
              <w:tab/>
            </w:r>
            <w:r>
              <w:rPr>
                <w:rStyle w:val="IndexLink"/>
              </w:rPr>
              <w:t>61</w:t>
            </w:r>
          </w:hyperlink>
        </w:p>
        <w:p>
          <w:pPr>
            <w:pStyle w:val="Contents4"/>
            <w:tabs>
              <w:tab w:val="clear" w:pos="8176"/>
              <w:tab w:val="right" w:pos="9026" w:leader="dot"/>
            </w:tabs>
            <w:rPr/>
          </w:pPr>
          <w:hyperlink w:anchor="__RefHeading___Toc1744208_2870459653">
            <w:r>
              <w:rPr>
                <w:webHidden/>
                <w:rStyle w:val="IndexLink"/>
              </w:rPr>
              <w:t>14</w:t>
            </w:r>
            <w:r>
              <w:rPr>
                <w:rStyle w:val="IndexLink"/>
                <w:rtl w:val="true"/>
              </w:rPr>
              <w:t xml:space="preserve">. </w:t>
            </w:r>
            <w:r>
              <w:rPr>
                <w:rStyle w:val="IndexLink"/>
                <w:rtl w:val="true"/>
              </w:rPr>
              <w:t>قصر بنی مقتل ها</w:t>
            </w:r>
            <w:r>
              <w:rPr>
                <w:rStyle w:val="IndexLink"/>
                <w:rtl w:val="true"/>
              </w:rPr>
              <w:tab/>
            </w:r>
            <w:r>
              <w:rPr>
                <w:rStyle w:val="IndexLink"/>
              </w:rPr>
              <w:t>62</w:t>
            </w:r>
          </w:hyperlink>
        </w:p>
        <w:p>
          <w:pPr>
            <w:pStyle w:val="Contents4"/>
            <w:tabs>
              <w:tab w:val="clear" w:pos="8176"/>
              <w:tab w:val="right" w:pos="9026" w:leader="dot"/>
            </w:tabs>
            <w:rPr/>
          </w:pPr>
          <w:hyperlink w:anchor="__RefHeading___Toc1744210_2870459653">
            <w:r>
              <w:rPr>
                <w:webHidden/>
                <w:rStyle w:val="IndexLink"/>
              </w:rPr>
              <w:t>15</w:t>
            </w:r>
            <w:r>
              <w:rPr>
                <w:rStyle w:val="IndexLink"/>
                <w:rtl w:val="true"/>
              </w:rPr>
              <w:t xml:space="preserve">. </w:t>
            </w:r>
            <w:r>
              <w:rPr>
                <w:rStyle w:val="IndexLink"/>
                <w:rtl w:val="true"/>
              </w:rPr>
              <w:t>نینوا</w:t>
            </w:r>
            <w:r>
              <w:rPr>
                <w:rStyle w:val="IndexLink"/>
                <w:rtl w:val="true"/>
              </w:rPr>
              <w:tab/>
            </w:r>
            <w:r>
              <w:rPr>
                <w:rStyle w:val="IndexLink"/>
              </w:rPr>
              <w:t>62</w:t>
            </w:r>
          </w:hyperlink>
        </w:p>
        <w:p>
          <w:pPr>
            <w:pStyle w:val="Contents4"/>
            <w:tabs>
              <w:tab w:val="clear" w:pos="8176"/>
              <w:tab w:val="right" w:pos="9026" w:leader="dot"/>
            </w:tabs>
            <w:rPr/>
          </w:pPr>
          <w:hyperlink w:anchor="__RefHeading___Toc1744212_2870459653">
            <w:r>
              <w:rPr>
                <w:webHidden/>
                <w:rStyle w:val="IndexLink"/>
              </w:rPr>
              <w:t>16</w:t>
            </w:r>
            <w:r>
              <w:rPr>
                <w:rStyle w:val="IndexLink"/>
                <w:rtl w:val="true"/>
              </w:rPr>
              <w:t xml:space="preserve">. </w:t>
            </w:r>
            <w:r>
              <w:rPr>
                <w:rStyle w:val="IndexLink"/>
                <w:rtl w:val="true"/>
              </w:rPr>
              <w:t xml:space="preserve">غاضریّه و </w:t>
            </w:r>
            <w:r>
              <w:rPr>
                <w:rStyle w:val="IndexLink"/>
              </w:rPr>
              <w:t>17</w:t>
            </w:r>
            <w:r>
              <w:rPr>
                <w:rStyle w:val="IndexLink"/>
                <w:rtl w:val="true"/>
              </w:rPr>
              <w:t xml:space="preserve">. </w:t>
            </w:r>
            <w:r>
              <w:rPr>
                <w:rStyle w:val="IndexLink"/>
                <w:rtl w:val="true"/>
              </w:rPr>
              <w:t>شُفَیَّه</w:t>
            </w:r>
            <w:r>
              <w:rPr>
                <w:rStyle w:val="IndexLink"/>
                <w:rtl w:val="true"/>
              </w:rPr>
              <w:tab/>
            </w:r>
            <w:r>
              <w:rPr>
                <w:rStyle w:val="IndexLink"/>
              </w:rPr>
              <w:t>63</w:t>
            </w:r>
          </w:hyperlink>
        </w:p>
        <w:p>
          <w:pPr>
            <w:pStyle w:val="Contents4"/>
            <w:tabs>
              <w:tab w:val="clear" w:pos="8176"/>
              <w:tab w:val="right" w:pos="9026" w:leader="dot"/>
            </w:tabs>
            <w:rPr/>
          </w:pPr>
          <w:hyperlink w:anchor="__RefHeading___Toc1744214_2870459653">
            <w:r>
              <w:rPr>
                <w:webHidden/>
                <w:rStyle w:val="IndexLink"/>
              </w:rPr>
              <w:t>18</w:t>
            </w:r>
            <w:r>
              <w:rPr>
                <w:rStyle w:val="IndexLink"/>
                <w:rtl w:val="true"/>
              </w:rPr>
              <w:t xml:space="preserve">. </w:t>
            </w:r>
            <w:r>
              <w:rPr>
                <w:rStyle w:val="IndexLink"/>
                <w:rtl w:val="true"/>
              </w:rPr>
              <w:t>کربلا</w:t>
            </w:r>
            <w:r>
              <w:rPr>
                <w:rStyle w:val="IndexLink"/>
                <w:rtl w:val="true"/>
              </w:rPr>
              <w:tab/>
            </w:r>
            <w:r>
              <w:rPr>
                <w:rStyle w:val="IndexLink"/>
              </w:rPr>
              <w:t>63</w:t>
            </w:r>
          </w:hyperlink>
        </w:p>
        <w:p>
          <w:pPr>
            <w:pStyle w:val="Contents4"/>
            <w:tabs>
              <w:tab w:val="clear" w:pos="8176"/>
              <w:tab w:val="right" w:pos="9026" w:leader="dot"/>
            </w:tabs>
            <w:rPr/>
          </w:pPr>
          <w:hyperlink w:anchor="__RefHeading___Toc1744216_2870459653">
            <w:r>
              <w:rPr>
                <w:webHidden/>
                <w:rStyle w:val="IndexLink"/>
              </w:rPr>
              <w:t>19</w:t>
            </w:r>
            <w:r>
              <w:rPr>
                <w:rStyle w:val="IndexLink"/>
                <w:rtl w:val="true"/>
              </w:rPr>
              <w:t xml:space="preserve">. </w:t>
            </w:r>
            <w:r>
              <w:rPr>
                <w:rStyle w:val="IndexLink"/>
                <w:rtl w:val="true"/>
              </w:rPr>
              <w:t>کوفه</w:t>
            </w:r>
            <w:r>
              <w:rPr>
                <w:rStyle w:val="IndexLink"/>
                <w:rtl w:val="true"/>
              </w:rPr>
              <w:tab/>
            </w:r>
            <w:r>
              <w:rPr>
                <w:rStyle w:val="IndexLink"/>
              </w:rPr>
              <w:t>64</w:t>
            </w:r>
          </w:hyperlink>
        </w:p>
        <w:p>
          <w:pPr>
            <w:pStyle w:val="Contents4"/>
            <w:tabs>
              <w:tab w:val="clear" w:pos="8176"/>
              <w:tab w:val="right" w:pos="9026" w:leader="dot"/>
            </w:tabs>
            <w:rPr/>
          </w:pPr>
          <w:hyperlink w:anchor="__RefHeading___Toc1744218_2870459653">
            <w:r>
              <w:rPr>
                <w:webHidden/>
                <w:rStyle w:val="IndexLink"/>
              </w:rPr>
              <w:t>20</w:t>
            </w:r>
            <w:r>
              <w:rPr>
                <w:rStyle w:val="IndexLink"/>
                <w:rtl w:val="true"/>
              </w:rPr>
              <w:t xml:space="preserve">. </w:t>
            </w:r>
            <w:r>
              <w:rPr>
                <w:rStyle w:val="IndexLink"/>
                <w:rtl w:val="true"/>
              </w:rPr>
              <w:t>دمشق</w:t>
            </w:r>
            <w:r>
              <w:rPr>
                <w:rStyle w:val="IndexLink"/>
                <w:rtl w:val="true"/>
              </w:rPr>
              <w:tab/>
            </w:r>
            <w:r>
              <w:rPr>
                <w:rStyle w:val="IndexLink"/>
              </w:rPr>
              <w:t>66</w:t>
            </w:r>
          </w:hyperlink>
        </w:p>
        <w:p>
          <w:pPr>
            <w:pStyle w:val="Contents3"/>
            <w:tabs>
              <w:tab w:val="clear" w:pos="8459"/>
              <w:tab w:val="right" w:pos="9026" w:leader="dot"/>
            </w:tabs>
            <w:rPr/>
          </w:pPr>
          <w:hyperlink w:anchor="__RefHeading___Toc1744220_2870459653">
            <w:r>
              <w:rPr>
                <w:webHidden/>
                <w:rStyle w:val="IndexLink"/>
                <w:rtl w:val="true"/>
              </w:rPr>
              <w:t>نتیجه گیری</w:t>
            </w:r>
            <w:r>
              <w:rPr>
                <w:rStyle w:val="IndexLink"/>
                <w:rtl w:val="true"/>
              </w:rPr>
              <w:tab/>
            </w:r>
            <w:r>
              <w:rPr>
                <w:rStyle w:val="IndexLink"/>
              </w:rPr>
              <w:t>69</w:t>
            </w:r>
          </w:hyperlink>
        </w:p>
        <w:p>
          <w:pPr>
            <w:pStyle w:val="Contents3"/>
            <w:tabs>
              <w:tab w:val="clear" w:pos="8459"/>
              <w:tab w:val="right" w:pos="9026" w:leader="dot"/>
            </w:tabs>
            <w:rPr/>
          </w:pPr>
          <w:hyperlink w:anchor="__RefHeading___Toc1744222_2870459653">
            <w:r>
              <w:rPr>
                <w:webHidden/>
                <w:rStyle w:val="IndexLink"/>
                <w:rtl w:val="true"/>
              </w:rPr>
              <w:t>منابع</w:t>
            </w:r>
            <w:r>
              <w:rPr>
                <w:rStyle w:val="IndexLink"/>
                <w:rtl w:val="true"/>
              </w:rPr>
              <w:tab/>
            </w:r>
            <w:r>
              <w:rPr>
                <w:rStyle w:val="IndexLink"/>
              </w:rPr>
              <w:t>70</w:t>
            </w:r>
          </w:hyperlink>
        </w:p>
        <w:p>
          <w:pPr>
            <w:pStyle w:val="Contents2"/>
            <w:tabs>
              <w:tab w:val="clear" w:pos="8743"/>
              <w:tab w:val="right" w:pos="9026" w:leader="dot"/>
            </w:tabs>
            <w:rPr/>
          </w:pPr>
          <w:hyperlink w:anchor="__RefHeading___Toc1744224_2870459653">
            <w:r>
              <w:rPr>
                <w:webHidden/>
                <w:rStyle w:val="IndexLink"/>
                <w:rtl w:val="true"/>
              </w:rPr>
              <w:t>جایگاه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تفاسیر دانشمندان اهل سنت</w:t>
            </w:r>
            <w:r>
              <w:rPr>
                <w:rStyle w:val="IndexLink"/>
                <w:rtl w:val="true"/>
              </w:rPr>
              <w:tab/>
            </w:r>
            <w:r>
              <w:rPr>
                <w:rStyle w:val="IndexLink"/>
              </w:rPr>
              <w:t>73</w:t>
            </w:r>
          </w:hyperlink>
        </w:p>
        <w:p>
          <w:pPr>
            <w:pStyle w:val="Contents3"/>
            <w:tabs>
              <w:tab w:val="clear" w:pos="8459"/>
              <w:tab w:val="right" w:pos="9026" w:leader="dot"/>
            </w:tabs>
            <w:rPr/>
          </w:pPr>
          <w:hyperlink w:anchor="__RefHeading___Toc1744226_2870459653">
            <w:r>
              <w:rPr>
                <w:webHidden/>
                <w:rStyle w:val="IndexLink"/>
                <w:rtl w:val="true"/>
              </w:rPr>
              <w:t xml:space="preserve">محمد اسماعیل عبدالهی </w:t>
            </w:r>
            <w:r>
              <w:rPr>
                <w:rStyle w:val="IndexLink"/>
                <w:rtl w:val="true"/>
              </w:rPr>
              <w:t xml:space="preserve">- </w:t>
            </w:r>
            <w:r>
              <w:rPr>
                <w:rStyle w:val="IndexLink"/>
                <w:rtl w:val="true"/>
              </w:rPr>
              <w:t>محمد کرمی نیا</w:t>
            </w:r>
            <w:r>
              <w:rPr>
                <w:rStyle w:val="IndexLink"/>
                <w:rtl w:val="true"/>
              </w:rPr>
              <w:tab/>
            </w:r>
            <w:r>
              <w:rPr>
                <w:rStyle w:val="IndexLink"/>
              </w:rPr>
              <w:t>73</w:t>
            </w:r>
          </w:hyperlink>
        </w:p>
        <w:p>
          <w:pPr>
            <w:pStyle w:val="Contents3"/>
            <w:tabs>
              <w:tab w:val="clear" w:pos="8459"/>
              <w:tab w:val="right" w:pos="9026" w:leader="dot"/>
            </w:tabs>
            <w:rPr/>
          </w:pPr>
          <w:hyperlink w:anchor="__RefHeading___Toc1744228_2870459653">
            <w:r>
              <w:rPr>
                <w:webHidden/>
                <w:rStyle w:val="IndexLink"/>
                <w:rtl w:val="true"/>
              </w:rPr>
              <w:t xml:space="preserve">چکیده </w:t>
            </w:r>
            <w:r>
              <w:rPr>
                <w:rStyle w:val="IndexLink"/>
                <w:rtl w:val="true"/>
              </w:rPr>
              <w:t>:</w:t>
              <w:tab/>
            </w:r>
            <w:r>
              <w:rPr>
                <w:rStyle w:val="IndexLink"/>
              </w:rPr>
              <w:t>73</w:t>
            </w:r>
          </w:hyperlink>
        </w:p>
        <w:p>
          <w:pPr>
            <w:pStyle w:val="Contents3"/>
            <w:tabs>
              <w:tab w:val="clear" w:pos="8459"/>
              <w:tab w:val="right" w:pos="9026" w:leader="dot"/>
            </w:tabs>
            <w:rPr/>
          </w:pPr>
          <w:hyperlink w:anchor="__RefHeading___Toc1744230_2870459653">
            <w:r>
              <w:rPr>
                <w:webHidden/>
                <w:rStyle w:val="IndexLink"/>
                <w:rtl w:val="true"/>
              </w:rPr>
              <w:t xml:space="preserve">مقدمه </w:t>
            </w:r>
            <w:r>
              <w:rPr>
                <w:rStyle w:val="IndexLink"/>
                <w:rtl w:val="true"/>
              </w:rPr>
              <w:t>:</w:t>
              <w:tab/>
            </w:r>
            <w:r>
              <w:rPr>
                <w:rStyle w:val="IndexLink"/>
              </w:rPr>
              <w:t>74</w:t>
            </w:r>
          </w:hyperlink>
        </w:p>
        <w:p>
          <w:pPr>
            <w:pStyle w:val="Contents4"/>
            <w:tabs>
              <w:tab w:val="clear" w:pos="8176"/>
              <w:tab w:val="right" w:pos="9026" w:leader="dot"/>
            </w:tabs>
            <w:rPr/>
          </w:pPr>
          <w:hyperlink w:anchor="__RefHeading___Toc1744232_2870459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744234_2870459653">
            <w:r>
              <w:rPr>
                <w:webHidden/>
                <w:rStyle w:val="IndexLink"/>
              </w:rPr>
              <w:t>1</w:t>
            </w:r>
            <w:r>
              <w:rPr>
                <w:rStyle w:val="IndexLink"/>
                <w:rtl w:val="true"/>
              </w:rPr>
              <w:t xml:space="preserve">- </w:t>
            </w:r>
            <w:r>
              <w:rPr>
                <w:rStyle w:val="IndexLink"/>
                <w:rtl w:val="true"/>
              </w:rPr>
              <w:t>زندگی و شخصیت امام حسین</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1744236_2870459653">
            <w:r>
              <w:rPr>
                <w:webHidden/>
                <w:rStyle w:val="IndexLink"/>
              </w:rPr>
              <w:t>2</w:t>
            </w:r>
            <w:r>
              <w:rPr>
                <w:rStyle w:val="IndexLink"/>
                <w:rtl w:val="true"/>
              </w:rPr>
              <w:t xml:space="preserve">- </w:t>
            </w:r>
            <w:r>
              <w:rPr>
                <w:rStyle w:val="IndexLink"/>
                <w:rtl w:val="true"/>
              </w:rPr>
              <w:t>امام حسین ع در تفاسیر اهل سنت</w:t>
            </w:r>
            <w:r>
              <w:rPr>
                <w:rStyle w:val="IndexLink"/>
                <w:rtl w:val="true"/>
              </w:rPr>
              <w:tab/>
            </w:r>
            <w:r>
              <w:rPr>
                <w:rStyle w:val="IndexLink"/>
              </w:rPr>
              <w:t>75</w:t>
            </w:r>
          </w:hyperlink>
        </w:p>
        <w:p>
          <w:pPr>
            <w:pStyle w:val="Contents3"/>
            <w:tabs>
              <w:tab w:val="clear" w:pos="8459"/>
              <w:tab w:val="right" w:pos="9026" w:leader="dot"/>
            </w:tabs>
            <w:rPr/>
          </w:pPr>
          <w:hyperlink w:anchor="__RefHeading___Toc1744238_2870459653">
            <w:r>
              <w:rPr>
                <w:webHidden/>
                <w:rStyle w:val="IndexLink"/>
                <w:rtl w:val="true"/>
              </w:rPr>
              <w:t>نتیجه گیری</w:t>
            </w:r>
            <w:r>
              <w:rPr>
                <w:rStyle w:val="IndexLink"/>
                <w:rtl w:val="true"/>
              </w:rPr>
              <w:tab/>
            </w:r>
            <w:r>
              <w:rPr>
                <w:rStyle w:val="IndexLink"/>
              </w:rPr>
              <w:t>84</w:t>
            </w:r>
          </w:hyperlink>
        </w:p>
        <w:p>
          <w:pPr>
            <w:pStyle w:val="Contents3"/>
            <w:tabs>
              <w:tab w:val="clear" w:pos="8459"/>
              <w:tab w:val="right" w:pos="9026" w:leader="dot"/>
            </w:tabs>
            <w:rPr/>
          </w:pPr>
          <w:hyperlink w:anchor="__RefHeading___Toc1744240_2870459653">
            <w:r>
              <w:rPr>
                <w:webHidden/>
                <w:rStyle w:val="IndexLink"/>
                <w:rtl w:val="true"/>
              </w:rPr>
              <w:t>منابع</w:t>
            </w:r>
            <w:r>
              <w:rPr>
                <w:rStyle w:val="IndexLink"/>
                <w:rtl w:val="true"/>
              </w:rPr>
              <w:tab/>
            </w:r>
            <w:r>
              <w:rPr>
                <w:rStyle w:val="IndexLink"/>
              </w:rPr>
              <w:t>86</w:t>
            </w:r>
          </w:hyperlink>
        </w:p>
        <w:p>
          <w:pPr>
            <w:pStyle w:val="Contents2"/>
            <w:tabs>
              <w:tab w:val="clear" w:pos="8743"/>
              <w:tab w:val="right" w:pos="9026" w:leader="dot"/>
            </w:tabs>
            <w:rPr/>
          </w:pPr>
          <w:hyperlink w:anchor="__RefHeading___Toc1744242_2870459653">
            <w:r>
              <w:rPr>
                <w:webHidden/>
                <w:rStyle w:val="IndexLink"/>
                <w:rtl w:val="true"/>
              </w:rPr>
              <w:t>قیام امام حسین</w:t>
            </w:r>
            <w:r>
              <w:rPr>
                <w:rStyle w:val="IndexLink"/>
                <w:rtl w:val="true"/>
              </w:rPr>
              <w:t>(</w:t>
            </w:r>
            <w:r>
              <w:rPr>
                <w:rStyle w:val="IndexLink"/>
                <w:rtl w:val="true"/>
              </w:rPr>
              <w:t>علیه السلام</w:t>
            </w:r>
            <w:r>
              <w:rPr>
                <w:rStyle w:val="IndexLink"/>
                <w:rtl w:val="true"/>
              </w:rPr>
              <w:t>)</w:t>
            </w:r>
            <w:r>
              <w:rPr>
                <w:rStyle w:val="IndexLink"/>
                <w:rtl w:val="true"/>
              </w:rPr>
              <w:t>، اهداف و انگیزه های آن</w:t>
            </w:r>
            <w:r>
              <w:rPr>
                <w:rStyle w:val="IndexLink"/>
                <w:rtl w:val="true"/>
              </w:rPr>
              <w:tab/>
            </w:r>
            <w:r>
              <w:rPr>
                <w:rStyle w:val="IndexLink"/>
              </w:rPr>
              <w:t>89</w:t>
            </w:r>
          </w:hyperlink>
        </w:p>
        <w:p>
          <w:pPr>
            <w:pStyle w:val="Contents3"/>
            <w:tabs>
              <w:tab w:val="clear" w:pos="8459"/>
              <w:tab w:val="right" w:pos="9026" w:leader="dot"/>
            </w:tabs>
            <w:rPr/>
          </w:pPr>
          <w:hyperlink w:anchor="__RefHeading___Toc1744244_2870459653">
            <w:r>
              <w:rPr>
                <w:webHidden/>
                <w:rStyle w:val="IndexLink"/>
                <w:rtl w:val="true"/>
              </w:rPr>
              <w:t>بابک هادیان حیدری</w:t>
            </w:r>
            <w:r>
              <w:rPr>
                <w:rStyle w:val="IndexLink"/>
                <w:rtl w:val="true"/>
              </w:rPr>
              <w:tab/>
            </w:r>
            <w:r>
              <w:rPr>
                <w:rStyle w:val="IndexLink"/>
              </w:rPr>
              <w:t>89</w:t>
            </w:r>
          </w:hyperlink>
        </w:p>
        <w:p>
          <w:pPr>
            <w:pStyle w:val="Contents3"/>
            <w:tabs>
              <w:tab w:val="clear" w:pos="8459"/>
              <w:tab w:val="right" w:pos="9026" w:leader="dot"/>
            </w:tabs>
            <w:rPr/>
          </w:pPr>
          <w:hyperlink w:anchor="__RefHeading___Toc1744246_2870459653">
            <w:r>
              <w:rPr>
                <w:webHidden/>
                <w:rStyle w:val="IndexLink"/>
                <w:rtl w:val="true"/>
              </w:rPr>
              <w:t>چکیده</w:t>
            </w:r>
            <w:r>
              <w:rPr>
                <w:rStyle w:val="IndexLink"/>
                <w:rtl w:val="true"/>
              </w:rPr>
              <w:tab/>
            </w:r>
            <w:r>
              <w:rPr>
                <w:rStyle w:val="IndexLink"/>
              </w:rPr>
              <w:t>89</w:t>
            </w:r>
          </w:hyperlink>
        </w:p>
        <w:p>
          <w:pPr>
            <w:pStyle w:val="Contents3"/>
            <w:tabs>
              <w:tab w:val="clear" w:pos="8459"/>
              <w:tab w:val="right" w:pos="9026" w:leader="dot"/>
            </w:tabs>
            <w:rPr/>
          </w:pPr>
          <w:hyperlink w:anchor="__RefHeading___Toc1744248_2870459653">
            <w:r>
              <w:rPr>
                <w:webHidden/>
                <w:rStyle w:val="IndexLink"/>
                <w:rtl w:val="true"/>
              </w:rPr>
              <w:t>مقدمه</w:t>
            </w:r>
            <w:r>
              <w:rPr>
                <w:rStyle w:val="IndexLink"/>
                <w:rtl w:val="true"/>
              </w:rPr>
              <w:tab/>
            </w:r>
            <w:r>
              <w:rPr>
                <w:rStyle w:val="IndexLink"/>
              </w:rPr>
              <w:t>90</w:t>
            </w:r>
          </w:hyperlink>
        </w:p>
        <w:p>
          <w:pPr>
            <w:pStyle w:val="Contents4"/>
            <w:tabs>
              <w:tab w:val="clear" w:pos="8176"/>
              <w:tab w:val="right" w:pos="9026" w:leader="dot"/>
            </w:tabs>
            <w:rPr/>
          </w:pPr>
          <w:hyperlink w:anchor="__RefHeading___Toc1744250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744252_2870459653">
            <w:r>
              <w:rPr>
                <w:webHidden/>
                <w:rStyle w:val="IndexLink"/>
              </w:rPr>
              <w:t>1</w:t>
            </w:r>
            <w:r>
              <w:rPr>
                <w:rStyle w:val="IndexLink"/>
                <w:rtl w:val="true"/>
              </w:rPr>
              <w:t xml:space="preserve">. </w:t>
            </w:r>
            <w:r>
              <w:rPr>
                <w:rStyle w:val="IndexLink"/>
                <w:rtl w:val="true"/>
              </w:rPr>
              <w:t>انگیزه های اصلی قیام عاشورا</w:t>
            </w:r>
            <w:r>
              <w:rPr>
                <w:rStyle w:val="IndexLink"/>
                <w:rtl w:val="true"/>
              </w:rPr>
              <w:tab/>
            </w:r>
            <w:r>
              <w:rPr>
                <w:rStyle w:val="IndexLink"/>
              </w:rPr>
              <w:t>92</w:t>
            </w:r>
          </w:hyperlink>
        </w:p>
        <w:p>
          <w:pPr>
            <w:pStyle w:val="Contents3"/>
            <w:tabs>
              <w:tab w:val="clear" w:pos="8459"/>
              <w:tab w:val="right" w:pos="9026" w:leader="dot"/>
            </w:tabs>
            <w:rPr/>
          </w:pPr>
          <w:hyperlink w:anchor="__RefHeading___Toc1744254_2870459653">
            <w:r>
              <w:rPr>
                <w:webHidden/>
                <w:rStyle w:val="IndexLink"/>
                <w:rtl w:val="true"/>
              </w:rPr>
              <w:t>نتیجه گیری</w:t>
            </w:r>
            <w:r>
              <w:rPr>
                <w:rStyle w:val="IndexLink"/>
                <w:rtl w:val="true"/>
              </w:rPr>
              <w:tab/>
            </w:r>
            <w:r>
              <w:rPr>
                <w:rStyle w:val="IndexLink"/>
              </w:rPr>
              <w:t>108</w:t>
            </w:r>
          </w:hyperlink>
        </w:p>
        <w:p>
          <w:pPr>
            <w:pStyle w:val="Contents3"/>
            <w:tabs>
              <w:tab w:val="clear" w:pos="8459"/>
              <w:tab w:val="right" w:pos="9026" w:leader="dot"/>
            </w:tabs>
            <w:rPr/>
          </w:pPr>
          <w:hyperlink w:anchor="__RefHeading___Toc1744256_2870459653">
            <w:r>
              <w:rPr>
                <w:webHidden/>
                <w:rStyle w:val="IndexLink"/>
                <w:rtl w:val="true"/>
              </w:rPr>
              <w:t>منابع</w:t>
            </w:r>
            <w:r>
              <w:rPr>
                <w:rStyle w:val="IndexLink"/>
                <w:rtl w:val="true"/>
              </w:rPr>
              <w:tab/>
            </w:r>
            <w:r>
              <w:rPr>
                <w:rStyle w:val="IndexLink"/>
              </w:rPr>
              <w:t>110</w:t>
            </w:r>
          </w:hyperlink>
        </w:p>
        <w:p>
          <w:pPr>
            <w:pStyle w:val="Contents2"/>
            <w:tabs>
              <w:tab w:val="clear" w:pos="8743"/>
              <w:tab w:val="right" w:pos="9026" w:leader="dot"/>
            </w:tabs>
            <w:rPr/>
          </w:pPr>
          <w:hyperlink w:anchor="__RefHeading___Toc1744258_2870459653">
            <w:r>
              <w:rPr>
                <w:webHidden/>
                <w:rStyle w:val="IndexLink"/>
                <w:rtl w:val="true"/>
              </w:rPr>
              <w:t>نقش کوفیان در شکل گیری واقعه کربلا از منظر شعر فارسی و عربی</w:t>
            </w:r>
            <w:r>
              <w:rPr>
                <w:rStyle w:val="IndexLink"/>
                <w:rtl w:val="true"/>
              </w:rPr>
              <w:tab/>
            </w:r>
            <w:r>
              <w:rPr>
                <w:rStyle w:val="IndexLink"/>
              </w:rPr>
              <w:t>113</w:t>
            </w:r>
          </w:hyperlink>
        </w:p>
        <w:p>
          <w:pPr>
            <w:pStyle w:val="Contents3"/>
            <w:tabs>
              <w:tab w:val="clear" w:pos="8459"/>
              <w:tab w:val="right" w:pos="9026" w:leader="dot"/>
            </w:tabs>
            <w:rPr/>
          </w:pPr>
          <w:hyperlink w:anchor="__RefHeading___Toc1744260_2870459653">
            <w:r>
              <w:rPr>
                <w:webHidden/>
                <w:rStyle w:val="IndexLink"/>
                <w:rtl w:val="true"/>
              </w:rPr>
              <w:t xml:space="preserve">دکتر ناصر قاسمی </w:t>
            </w:r>
            <w:r>
              <w:rPr>
                <w:rStyle w:val="IndexLink"/>
                <w:rtl w:val="true"/>
              </w:rPr>
              <w:t xml:space="preserve">- </w:t>
            </w:r>
            <w:r>
              <w:rPr>
                <w:rStyle w:val="IndexLink"/>
                <w:rtl w:val="true"/>
              </w:rPr>
              <w:t>حمید رهی</w:t>
            </w:r>
            <w:r>
              <w:rPr>
                <w:rStyle w:val="IndexLink"/>
                <w:rtl w:val="true"/>
              </w:rPr>
              <w:tab/>
            </w:r>
            <w:r>
              <w:rPr>
                <w:rStyle w:val="IndexLink"/>
              </w:rPr>
              <w:t>113</w:t>
            </w:r>
          </w:hyperlink>
        </w:p>
        <w:p>
          <w:pPr>
            <w:pStyle w:val="Contents3"/>
            <w:tabs>
              <w:tab w:val="clear" w:pos="8459"/>
              <w:tab w:val="right" w:pos="9026" w:leader="dot"/>
            </w:tabs>
            <w:rPr/>
          </w:pPr>
          <w:hyperlink w:anchor="__RefHeading___Toc1744262_2870459653">
            <w:r>
              <w:rPr>
                <w:webHidden/>
                <w:rStyle w:val="IndexLink"/>
                <w:rtl w:val="true"/>
              </w:rPr>
              <w:t>چکیده</w:t>
            </w:r>
            <w:r>
              <w:rPr>
                <w:rStyle w:val="IndexLink"/>
                <w:rtl w:val="true"/>
              </w:rPr>
              <w:tab/>
            </w:r>
            <w:r>
              <w:rPr>
                <w:rStyle w:val="IndexLink"/>
              </w:rPr>
              <w:t>113</w:t>
            </w:r>
          </w:hyperlink>
        </w:p>
        <w:p>
          <w:pPr>
            <w:pStyle w:val="Contents3"/>
            <w:tabs>
              <w:tab w:val="clear" w:pos="8459"/>
              <w:tab w:val="right" w:pos="9026" w:leader="dot"/>
            </w:tabs>
            <w:rPr/>
          </w:pPr>
          <w:hyperlink w:anchor="__RefHeading___Toc1744264_2870459653">
            <w:r>
              <w:rPr>
                <w:webHidden/>
                <w:rStyle w:val="IndexLink"/>
                <w:rtl w:val="true"/>
              </w:rPr>
              <w:t>مقدمه</w:t>
            </w:r>
            <w:r>
              <w:rPr>
                <w:rStyle w:val="IndexLink"/>
                <w:rtl w:val="true"/>
              </w:rPr>
              <w:tab/>
            </w:r>
            <w:r>
              <w:rPr>
                <w:rStyle w:val="IndexLink"/>
              </w:rPr>
              <w:t>114</w:t>
            </w:r>
          </w:hyperlink>
        </w:p>
        <w:p>
          <w:pPr>
            <w:pStyle w:val="Contents4"/>
            <w:tabs>
              <w:tab w:val="clear" w:pos="8176"/>
              <w:tab w:val="right" w:pos="9026" w:leader="dot"/>
            </w:tabs>
            <w:rPr/>
          </w:pPr>
          <w:hyperlink w:anchor="__RefHeading___Toc1744266_2870459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744268_2870459653">
            <w:r>
              <w:rPr>
                <w:webHidden/>
                <w:rStyle w:val="IndexLink"/>
              </w:rPr>
              <w:t>1</w:t>
            </w:r>
            <w:r>
              <w:rPr>
                <w:rStyle w:val="IndexLink"/>
                <w:rtl w:val="true"/>
              </w:rPr>
              <w:t xml:space="preserve">. </w:t>
            </w:r>
            <w:r>
              <w:rPr>
                <w:rStyle w:val="IndexLink"/>
                <w:rtl w:val="true"/>
              </w:rPr>
              <w:t>سوالات اصلی</w:t>
            </w:r>
            <w:r>
              <w:rPr>
                <w:rStyle w:val="IndexLink"/>
                <w:rtl w:val="true"/>
              </w:rPr>
              <w:tab/>
            </w:r>
            <w:r>
              <w:rPr>
                <w:rStyle w:val="IndexLink"/>
              </w:rPr>
              <w:t>115</w:t>
            </w:r>
          </w:hyperlink>
        </w:p>
        <w:p>
          <w:pPr>
            <w:pStyle w:val="Contents4"/>
            <w:tabs>
              <w:tab w:val="clear" w:pos="8176"/>
              <w:tab w:val="right" w:pos="9026" w:leader="dot"/>
            </w:tabs>
            <w:rPr/>
          </w:pPr>
          <w:hyperlink w:anchor="__RefHeading___Toc1744270_2870459653">
            <w:r>
              <w:rPr>
                <w:webHidden/>
                <w:rStyle w:val="IndexLink"/>
              </w:rPr>
              <w:t>2</w:t>
            </w:r>
            <w:r>
              <w:rPr>
                <w:rStyle w:val="IndexLink"/>
                <w:rtl w:val="true"/>
              </w:rPr>
              <w:t xml:space="preserve">. </w:t>
            </w:r>
            <w:r>
              <w:rPr>
                <w:rStyle w:val="IndexLink"/>
                <w:rtl w:val="true"/>
              </w:rPr>
              <w:t>پیشینهٔ پژوهش</w:t>
            </w:r>
            <w:r>
              <w:rPr>
                <w:rStyle w:val="IndexLink"/>
                <w:rtl w:val="true"/>
              </w:rPr>
              <w:tab/>
            </w:r>
            <w:r>
              <w:rPr>
                <w:rStyle w:val="IndexLink"/>
              </w:rPr>
              <w:t>115</w:t>
            </w:r>
          </w:hyperlink>
        </w:p>
        <w:p>
          <w:pPr>
            <w:pStyle w:val="Contents4"/>
            <w:tabs>
              <w:tab w:val="clear" w:pos="8176"/>
              <w:tab w:val="right" w:pos="9026" w:leader="dot"/>
            </w:tabs>
            <w:rPr/>
          </w:pPr>
          <w:hyperlink w:anchor="__RefHeading___Toc1744272_2870459653">
            <w:r>
              <w:rPr>
                <w:webHidden/>
                <w:rStyle w:val="IndexLink"/>
              </w:rPr>
              <w:t>3</w:t>
            </w:r>
            <w:r>
              <w:rPr>
                <w:rStyle w:val="IndexLink"/>
                <w:rtl w:val="true"/>
              </w:rPr>
              <w:t xml:space="preserve">. </w:t>
            </w:r>
            <w:r>
              <w:rPr>
                <w:rStyle w:val="IndexLink"/>
                <w:rtl w:val="true"/>
              </w:rPr>
              <w:t>روش پژوهش</w:t>
            </w:r>
            <w:r>
              <w:rPr>
                <w:rStyle w:val="IndexLink"/>
                <w:rtl w:val="true"/>
              </w:rPr>
              <w:tab/>
            </w:r>
            <w:r>
              <w:rPr>
                <w:rStyle w:val="IndexLink"/>
              </w:rPr>
              <w:t>116</w:t>
            </w:r>
          </w:hyperlink>
        </w:p>
        <w:p>
          <w:pPr>
            <w:pStyle w:val="Contents4"/>
            <w:tabs>
              <w:tab w:val="clear" w:pos="8176"/>
              <w:tab w:val="right" w:pos="9026" w:leader="dot"/>
            </w:tabs>
            <w:rPr/>
          </w:pPr>
          <w:hyperlink w:anchor="__RefHeading___Toc1744274_2870459653">
            <w:r>
              <w:rPr>
                <w:webHidden/>
                <w:rStyle w:val="IndexLink"/>
              </w:rPr>
              <w:t>4</w:t>
            </w:r>
            <w:r>
              <w:rPr>
                <w:rStyle w:val="IndexLink"/>
                <w:rtl w:val="true"/>
              </w:rPr>
              <w:t xml:space="preserve">. </w:t>
            </w:r>
            <w:r>
              <w:rPr>
                <w:rStyle w:val="IndexLink"/>
                <w:rtl w:val="true"/>
              </w:rPr>
              <w:t>ضرورت و اهمیت پژوهش</w:t>
            </w:r>
            <w:r>
              <w:rPr>
                <w:rStyle w:val="IndexLink"/>
                <w:rtl w:val="true"/>
              </w:rPr>
              <w:tab/>
            </w:r>
            <w:r>
              <w:rPr>
                <w:rStyle w:val="IndexLink"/>
              </w:rPr>
              <w:t>117</w:t>
            </w:r>
          </w:hyperlink>
        </w:p>
        <w:p>
          <w:pPr>
            <w:pStyle w:val="Contents4"/>
            <w:tabs>
              <w:tab w:val="clear" w:pos="8176"/>
              <w:tab w:val="right" w:pos="9026" w:leader="dot"/>
            </w:tabs>
            <w:rPr/>
          </w:pPr>
          <w:hyperlink w:anchor="__RefHeading___Toc1744276_2870459653">
            <w:r>
              <w:rPr>
                <w:webHidden/>
                <w:rStyle w:val="IndexLink"/>
              </w:rPr>
              <w:t>5</w:t>
            </w:r>
            <w:r>
              <w:rPr>
                <w:rStyle w:val="IndexLink"/>
                <w:rtl w:val="true"/>
              </w:rPr>
              <w:t xml:space="preserve">. </w:t>
            </w:r>
            <w:r>
              <w:rPr>
                <w:rStyle w:val="IndexLink"/>
                <w:rtl w:val="true"/>
              </w:rPr>
              <w:t>دربارهٔ دورهٔ بازگشت ادبی</w:t>
            </w:r>
            <w:r>
              <w:rPr>
                <w:rStyle w:val="IndexLink"/>
                <w:rtl w:val="true"/>
              </w:rPr>
              <w:tab/>
            </w:r>
            <w:r>
              <w:rPr>
                <w:rStyle w:val="IndexLink"/>
              </w:rPr>
              <w:t>117</w:t>
            </w:r>
          </w:hyperlink>
        </w:p>
        <w:p>
          <w:pPr>
            <w:pStyle w:val="Contents4"/>
            <w:tabs>
              <w:tab w:val="clear" w:pos="8176"/>
              <w:tab w:val="right" w:pos="9026" w:leader="dot"/>
            </w:tabs>
            <w:rPr/>
          </w:pPr>
          <w:hyperlink w:anchor="__RefHeading___Toc1744278_2870459653">
            <w:r>
              <w:rPr>
                <w:webHidden/>
                <w:rStyle w:val="IndexLink"/>
              </w:rPr>
              <w:t>6</w:t>
            </w:r>
            <w:r>
              <w:rPr>
                <w:rStyle w:val="IndexLink"/>
                <w:rtl w:val="true"/>
              </w:rPr>
              <w:t xml:space="preserve">. </w:t>
            </w:r>
            <w:r>
              <w:rPr>
                <w:rStyle w:val="IndexLink"/>
                <w:rtl w:val="true"/>
              </w:rPr>
              <w:t>شعر عاشورایی در عصر عباسی</w:t>
            </w:r>
            <w:r>
              <w:rPr>
                <w:rStyle w:val="IndexLink"/>
                <w:rtl w:val="true"/>
              </w:rPr>
              <w:tab/>
            </w:r>
            <w:r>
              <w:rPr>
                <w:rStyle w:val="IndexLink"/>
              </w:rPr>
              <w:t>119</w:t>
            </w:r>
          </w:hyperlink>
        </w:p>
        <w:p>
          <w:pPr>
            <w:pStyle w:val="Contents4"/>
            <w:tabs>
              <w:tab w:val="clear" w:pos="8176"/>
              <w:tab w:val="right" w:pos="9026" w:leader="dot"/>
            </w:tabs>
            <w:rPr/>
          </w:pPr>
          <w:hyperlink w:anchor="__RefHeading___Toc1744280_2870459653">
            <w:r>
              <w:rPr>
                <w:webHidden/>
                <w:rStyle w:val="IndexLink"/>
              </w:rPr>
              <w:t>7</w:t>
            </w:r>
            <w:r>
              <w:rPr>
                <w:rStyle w:val="IndexLink"/>
                <w:rtl w:val="true"/>
              </w:rPr>
              <w:t xml:space="preserve">. </w:t>
            </w:r>
            <w:r>
              <w:rPr>
                <w:rStyle w:val="IndexLink"/>
                <w:rtl w:val="true"/>
              </w:rPr>
              <w:t>کوفیان در کلام بزرگان</w:t>
            </w:r>
            <w:r>
              <w:rPr>
                <w:rStyle w:val="IndexLink"/>
                <w:rtl w:val="true"/>
              </w:rPr>
              <w:tab/>
            </w:r>
            <w:r>
              <w:rPr>
                <w:rStyle w:val="IndexLink"/>
              </w:rPr>
              <w:t>120</w:t>
            </w:r>
          </w:hyperlink>
        </w:p>
        <w:p>
          <w:pPr>
            <w:pStyle w:val="Contents4"/>
            <w:tabs>
              <w:tab w:val="clear" w:pos="8176"/>
              <w:tab w:val="right" w:pos="9026" w:leader="dot"/>
            </w:tabs>
            <w:rPr/>
          </w:pPr>
          <w:hyperlink w:anchor="__RefHeading___Toc1744282_2870459653">
            <w:r>
              <w:rPr>
                <w:webHidden/>
                <w:rStyle w:val="IndexLink"/>
              </w:rPr>
              <w:t>8</w:t>
            </w:r>
            <w:r>
              <w:rPr>
                <w:rStyle w:val="IndexLink"/>
                <w:rtl w:val="true"/>
              </w:rPr>
              <w:t xml:space="preserve">. </w:t>
            </w:r>
            <w:r>
              <w:rPr>
                <w:rStyle w:val="IndexLink"/>
                <w:rtl w:val="true"/>
              </w:rPr>
              <w:t>ویژگی های کوفیان و نقش آن ها در شکل گیری واقعۀ کربلا از منظر شعر فارسی و عربی</w:t>
            </w:r>
            <w:r>
              <w:rPr>
                <w:rStyle w:val="IndexLink"/>
                <w:rtl w:val="true"/>
              </w:rPr>
              <w:tab/>
            </w:r>
            <w:r>
              <w:rPr>
                <w:rStyle w:val="IndexLink"/>
              </w:rPr>
              <w:t>122</w:t>
            </w:r>
          </w:hyperlink>
        </w:p>
        <w:p>
          <w:pPr>
            <w:pStyle w:val="Contents3"/>
            <w:tabs>
              <w:tab w:val="clear" w:pos="8459"/>
              <w:tab w:val="right" w:pos="9026" w:leader="dot"/>
            </w:tabs>
            <w:rPr/>
          </w:pPr>
          <w:hyperlink w:anchor="__RefHeading___Toc1744284_2870459653">
            <w:r>
              <w:rPr>
                <w:webHidden/>
                <w:rStyle w:val="IndexLink"/>
                <w:rtl w:val="true"/>
              </w:rPr>
              <w:t>نتیجه گیری</w:t>
            </w:r>
            <w:r>
              <w:rPr>
                <w:rStyle w:val="IndexLink"/>
                <w:rtl w:val="true"/>
              </w:rPr>
              <w:tab/>
            </w:r>
            <w:r>
              <w:rPr>
                <w:rStyle w:val="IndexLink"/>
              </w:rPr>
              <w:t>133</w:t>
            </w:r>
          </w:hyperlink>
        </w:p>
        <w:p>
          <w:pPr>
            <w:pStyle w:val="Contents3"/>
            <w:tabs>
              <w:tab w:val="clear" w:pos="8459"/>
              <w:tab w:val="right" w:pos="9026" w:leader="dot"/>
            </w:tabs>
            <w:rPr/>
          </w:pPr>
          <w:hyperlink w:anchor="__RefHeading___Toc1744286_2870459653">
            <w:r>
              <w:rPr>
                <w:webHidden/>
                <w:rStyle w:val="IndexLink"/>
                <w:rtl w:val="true"/>
              </w:rPr>
              <w:t>منابع</w:t>
            </w:r>
            <w:r>
              <w:rPr>
                <w:rStyle w:val="IndexLink"/>
                <w:rtl w:val="true"/>
              </w:rPr>
              <w:t>:</w:t>
              <w:tab/>
            </w:r>
            <w:r>
              <w:rPr>
                <w:rStyle w:val="IndexLink"/>
              </w:rPr>
              <w:t>135</w:t>
            </w:r>
          </w:hyperlink>
        </w:p>
        <w:p>
          <w:pPr>
            <w:pStyle w:val="Contents2"/>
            <w:tabs>
              <w:tab w:val="clear" w:pos="8743"/>
              <w:tab w:val="right" w:pos="9026" w:leader="dot"/>
            </w:tabs>
            <w:rPr/>
          </w:pPr>
          <w:hyperlink w:anchor="__RefHeading___Toc1744288_2870459653">
            <w:r>
              <w:rPr>
                <w:webHidden/>
                <w:rStyle w:val="IndexLink"/>
                <w:rtl w:val="true"/>
              </w:rPr>
              <w:t>نکته هایی از معارف حسینی</w:t>
            </w:r>
            <w:r>
              <w:rPr>
                <w:rStyle w:val="IndexLink"/>
                <w:rtl w:val="true"/>
              </w:rPr>
              <w:tab/>
            </w:r>
            <w:r>
              <w:rPr>
                <w:rStyle w:val="IndexLink"/>
              </w:rPr>
              <w:t>139</w:t>
            </w:r>
          </w:hyperlink>
        </w:p>
        <w:p>
          <w:pPr>
            <w:pStyle w:val="Contents3"/>
            <w:tabs>
              <w:tab w:val="clear" w:pos="8459"/>
              <w:tab w:val="right" w:pos="9026" w:leader="dot"/>
            </w:tabs>
            <w:rPr/>
          </w:pPr>
          <w:hyperlink w:anchor="__RefHeading___Toc1744290_287045965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744292_2870459653">
            <w:r>
              <w:rPr>
                <w:webHidden/>
                <w:rStyle w:val="IndexLink"/>
              </w:rPr>
              <w:t>1</w:t>
            </w:r>
            <w:r>
              <w:rPr>
                <w:rStyle w:val="IndexLink"/>
                <w:rtl w:val="true"/>
              </w:rPr>
              <w:t xml:space="preserve">. </w:t>
            </w:r>
            <w:r>
              <w:rPr>
                <w:rStyle w:val="IndexLink"/>
                <w:rtl w:val="true"/>
              </w:rPr>
              <w:t>نکته تاریخی</w:t>
            </w:r>
            <w:r>
              <w:rPr>
                <w:rStyle w:val="IndexLink"/>
                <w:rtl w:val="true"/>
              </w:rPr>
              <w:tab/>
            </w:r>
            <w:r>
              <w:rPr>
                <w:rStyle w:val="IndexLink"/>
              </w:rPr>
              <w:t>139</w:t>
            </w:r>
          </w:hyperlink>
        </w:p>
        <w:p>
          <w:pPr>
            <w:pStyle w:val="Contents3"/>
            <w:tabs>
              <w:tab w:val="clear" w:pos="8459"/>
              <w:tab w:val="right" w:pos="9026" w:leader="dot"/>
            </w:tabs>
            <w:rPr/>
          </w:pPr>
          <w:hyperlink w:anchor="__RefHeading___Toc1744294_2870459653">
            <w:r>
              <w:rPr>
                <w:webHidden/>
                <w:rStyle w:val="IndexLink"/>
              </w:rPr>
              <w:t>2</w:t>
            </w:r>
            <w:r>
              <w:rPr>
                <w:rStyle w:val="IndexLink"/>
                <w:rtl w:val="true"/>
              </w:rPr>
              <w:t xml:space="preserve">. </w:t>
            </w:r>
            <w:r>
              <w:rPr>
                <w:rStyle w:val="IndexLink"/>
                <w:rtl w:val="true"/>
              </w:rPr>
              <w:t>نکته فقهی</w:t>
            </w:r>
            <w:r>
              <w:rPr>
                <w:rStyle w:val="IndexLink"/>
                <w:rtl w:val="true"/>
              </w:rPr>
              <w:tab/>
            </w:r>
            <w:r>
              <w:rPr>
                <w:rStyle w:val="IndexLink"/>
              </w:rPr>
              <w:t>139</w:t>
            </w:r>
          </w:hyperlink>
        </w:p>
        <w:p>
          <w:pPr>
            <w:pStyle w:val="Contents2"/>
            <w:tabs>
              <w:tab w:val="clear" w:pos="8743"/>
              <w:tab w:val="right" w:pos="9026" w:leader="dot"/>
            </w:tabs>
            <w:rPr/>
          </w:pPr>
          <w:hyperlink w:anchor="__RefHeading___Toc1744296_2870459653">
            <w:r>
              <w:rPr>
                <w:webHidden/>
                <w:rStyle w:val="IndexLink"/>
                <w:rtl w:val="true"/>
              </w:rPr>
              <w:t xml:space="preserve">نکته </w:t>
            </w:r>
            <w:r>
              <w:rPr>
                <w:rStyle w:val="IndexLink"/>
              </w:rPr>
              <w:t>2</w:t>
            </w:r>
            <w:r>
              <w:rPr>
                <w:rStyle w:val="IndexLink"/>
                <w:rtl w:val="true"/>
              </w:rPr>
              <w:t xml:space="preserve"> .</w:t>
            </w:r>
            <w:r>
              <w:rPr>
                <w:rStyle w:val="IndexLink"/>
                <w:rtl w:val="true"/>
              </w:rPr>
              <w:t>کربلا چشم اندازی ساختار شناسانه</w:t>
            </w:r>
            <w:r>
              <w:rPr>
                <w:rStyle w:val="IndexLink"/>
                <w:rtl w:val="true"/>
              </w:rPr>
              <w:tab/>
            </w:r>
            <w:r>
              <w:rPr>
                <w:rStyle w:val="IndexLink"/>
              </w:rPr>
              <w:t>142</w:t>
            </w:r>
          </w:hyperlink>
        </w:p>
        <w:p>
          <w:pPr>
            <w:pStyle w:val="Contents2"/>
            <w:tabs>
              <w:tab w:val="clear" w:pos="8743"/>
              <w:tab w:val="right" w:pos="9026" w:leader="dot"/>
            </w:tabs>
            <w:rPr/>
          </w:pPr>
          <w:hyperlink w:anchor="__RefHeading___Toc1744298_2870459653">
            <w:r>
              <w:rPr>
                <w:webHidden/>
                <w:rStyle w:val="IndexLink"/>
                <w:rtl w:val="true"/>
              </w:rPr>
              <w:t>معرفی کتاب</w:t>
            </w:r>
            <w:r>
              <w:rPr>
                <w:rStyle w:val="IndexLink"/>
                <w:rtl w:val="true"/>
              </w:rPr>
              <w:tab/>
            </w:r>
            <w:r>
              <w:rPr>
                <w:rStyle w:val="IndexLink"/>
              </w:rPr>
              <w:t>147</w:t>
            </w:r>
          </w:hyperlink>
        </w:p>
        <w:p>
          <w:pPr>
            <w:pStyle w:val="Contents3"/>
            <w:tabs>
              <w:tab w:val="clear" w:pos="8459"/>
              <w:tab w:val="right" w:pos="9026" w:leader="dot"/>
            </w:tabs>
            <w:rPr/>
          </w:pPr>
          <w:hyperlink w:anchor="__RefHeading___Toc1744300_2870459653">
            <w:r>
              <w:rPr>
                <w:webHidden/>
                <w:rStyle w:val="IndexLink"/>
                <w:rtl w:val="true"/>
              </w:rPr>
              <w:t>محمد اسفندیاری</w:t>
            </w:r>
            <w:r>
              <w:rPr>
                <w:rStyle w:val="IndexLink"/>
                <w:rtl w:val="true"/>
              </w:rPr>
              <w:tab/>
            </w:r>
            <w:r>
              <w:rPr>
                <w:rStyle w:val="IndexLink"/>
              </w:rPr>
              <w:t>147</w:t>
            </w:r>
          </w:hyperlink>
        </w:p>
        <w:p>
          <w:pPr>
            <w:pStyle w:val="Contents4"/>
            <w:tabs>
              <w:tab w:val="clear" w:pos="8176"/>
              <w:tab w:val="right" w:pos="9026" w:leader="dot"/>
            </w:tabs>
            <w:rPr/>
          </w:pPr>
          <w:hyperlink w:anchor="__RefHeading___Toc1744302_2870459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744304_2870459653">
            <w:r>
              <w:rPr>
                <w:webHidden/>
                <w:rStyle w:val="IndexLink"/>
                <w:rtl w:val="true"/>
              </w:rPr>
              <w:t>فراخوان نگارش مقاله برای فصلنامه پژوهش نامه معارف حسینی</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75_113836"/>
      <w:bookmarkStart w:id="1" w:name="pg8975_113836"/>
      <w:bookmarkEnd w:id="1"/>
    </w:p>
    <w:p>
      <w:pPr>
        <w:pStyle w:val="Heading2"/>
        <w:numPr>
          <w:ilvl w:val="1"/>
          <w:numId w:val="1"/>
        </w:numPr>
        <w:rPr/>
      </w:pPr>
      <w:bookmarkStart w:id="2" w:name="pg8975_113836"/>
      <w:bookmarkStart w:id="3" w:name="__RefHeading___Toc174413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سوم،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413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75_113842"/>
      <w:bookmarkStart w:id="8" w:name="pg8975_113842"/>
      <w:bookmarkEnd w:id="8"/>
    </w:p>
    <w:p>
      <w:pPr>
        <w:pStyle w:val="Heading2"/>
        <w:numPr>
          <w:ilvl w:val="1"/>
          <w:numId w:val="1"/>
        </w:numPr>
        <w:rPr/>
      </w:pPr>
      <w:bookmarkStart w:id="9" w:name="pg8975_113842"/>
      <w:bookmarkStart w:id="10" w:name="__RefHeading___Toc1744134_2870459653"/>
      <w:bookmarkStart w:id="11" w:name="_Toc3"/>
      <w:bookmarkEnd w:id="9"/>
      <w:bookmarkEnd w:id="10"/>
      <w:r>
        <w:rPr>
          <w:rtl w:val="true"/>
        </w:rPr>
        <w:t>تحلیل آموزۀ امامت در زیارت نامۀ اربعین</w:t>
      </w:r>
      <w:bookmarkEnd w:id="11"/>
    </w:p>
    <w:p>
      <w:pPr>
        <w:pStyle w:val="Heading3"/>
        <w:numPr>
          <w:ilvl w:val="2"/>
          <w:numId w:val="1"/>
        </w:numPr>
        <w:rPr/>
      </w:pPr>
      <w:bookmarkStart w:id="12" w:name="__RefHeading___Toc1744136_2870459653"/>
      <w:bookmarkStart w:id="13" w:name="_Toc4"/>
      <w:bookmarkEnd w:id="12"/>
      <w:r>
        <w:rPr>
          <w:rtl w:val="true"/>
        </w:rPr>
        <w:t xml:space="preserve">دکترمحمد رنجبرحسینی </w:t>
      </w:r>
      <w:r>
        <w:rPr>
          <w:rtl w:val="true"/>
        </w:rPr>
        <w:t xml:space="preserve">- </w:t>
      </w:r>
      <w:r>
        <w:rPr>
          <w:rtl w:val="true"/>
        </w:rPr>
        <w:t>نجمه صنعتیان</w:t>
      </w:r>
      <w:bookmarkEnd w:id="13"/>
    </w:p>
    <w:p>
      <w:pPr>
        <w:pStyle w:val="BookText"/>
        <w:rPr/>
      </w:pPr>
      <w:r>
        <w:rPr>
          <w:rFonts w:ascii="IRNazanin" w:hAnsi="IRNazanin" w:eastAsia="IRNazanin"/>
          <w:color w:val="111111"/>
          <w:sz w:val="28"/>
          <w:sz w:val="28"/>
          <w:szCs w:val="28"/>
          <w:rtl w:val="true"/>
          <w:lang w:bidi="fa-IR"/>
        </w:rPr>
        <w:t xml:space="preserve">دکترمحمد رنجبرحسینی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قرآن و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ranjbarhosseini@gmail.com</w:t>
      </w:r>
    </w:p>
    <w:p>
      <w:pPr>
        <w:pStyle w:val="BookText"/>
        <w:rPr/>
      </w:pPr>
      <w:r>
        <w:rPr>
          <w:rFonts w:ascii="IRNazanin" w:hAnsi="IRNazanin" w:eastAsia="IRNazanin"/>
          <w:color w:val="111111"/>
          <w:sz w:val="28"/>
          <w:sz w:val="28"/>
          <w:szCs w:val="28"/>
          <w:rtl w:val="true"/>
          <w:lang w:bidi="fa-IR"/>
        </w:rPr>
        <w:t xml:space="preserve">نجمه صنعتیان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ارشد علوم حدیث گرایش کلام و عقاید دانشگاه قرآن و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n.san.ns8@gmail.com</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17/02/96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18/05/96</w:t>
      </w:r>
    </w:p>
    <w:p>
      <w:pPr>
        <w:pStyle w:val="Heading3"/>
        <w:numPr>
          <w:ilvl w:val="2"/>
          <w:numId w:val="1"/>
        </w:numPr>
        <w:rPr/>
      </w:pPr>
      <w:bookmarkStart w:id="14" w:name="__RefHeading___Toc1744138_2870459653"/>
      <w:bookmarkStart w:id="15" w:name="_Toc5"/>
      <w:bookmarkEnd w:id="14"/>
      <w:r>
        <w:rPr>
          <w:rtl w:val="true"/>
        </w:rPr>
        <w:t>چکیده</w:t>
      </w:r>
      <w:bookmarkEnd w:id="15"/>
    </w:p>
    <w:p>
      <w:pPr>
        <w:pStyle w:val="BookText"/>
        <w:rPr/>
      </w:pPr>
      <w:r>
        <w:rPr>
          <w:rFonts w:ascii="IRNazanin" w:hAnsi="IRNazanin" w:eastAsia="IRNazanin"/>
          <w:color w:val="111111"/>
          <w:sz w:val="28"/>
          <w:sz w:val="28"/>
          <w:szCs w:val="28"/>
          <w:rtl w:val="true"/>
          <w:lang w:bidi="fa-IR"/>
        </w:rPr>
        <w:t>یکی از زیارت نامه های معتبر در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نامۀ اربعین آن حضرت است که در روز اربعین خواندن آن بسیار سفارش شده تا جایی که طبق روایت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علامت های مؤمن،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نامه گنجینه ای ناب در باب شناخت آموزۀ امامت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برآنیم تا با تحلیل فرازهایی از این زیارت نامه، این آموزۀ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اعتقاد به امام به عنوان حجت خداوند بر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ویژگی های او را بازشناسیم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نامۀ اربعین، حجت الهی، وصی، ولی، شرافت نسبی، عصمت </w:t>
      </w:r>
      <w:bookmarkStart w:id="16" w:name="pg8975_113843"/>
    </w:p>
    <w:p>
      <w:pPr>
        <w:pStyle w:val="Heading3"/>
        <w:numPr>
          <w:ilvl w:val="2"/>
          <w:numId w:val="1"/>
        </w:numPr>
        <w:rPr/>
      </w:pPr>
      <w:bookmarkStart w:id="17" w:name="__RefHeading___Toc1744140_2870459653"/>
      <w:bookmarkStart w:id="18" w:name="_Toc6"/>
      <w:bookmarkEnd w:id="16"/>
      <w:bookmarkEnd w:id="17"/>
      <w:r>
        <w:rPr>
          <w:rtl w:val="true"/>
        </w:rPr>
        <w:t>مقدمه</w:t>
      </w:r>
      <w:bookmarkEnd w:id="18"/>
    </w:p>
    <w:p>
      <w:pPr>
        <w:pStyle w:val="Heading4"/>
        <w:numPr>
          <w:ilvl w:val="3"/>
          <w:numId w:val="1"/>
        </w:numPr>
        <w:rPr/>
      </w:pPr>
      <w:bookmarkStart w:id="19" w:name="__RefHeading___Toc1744142_2870459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آموزۀ امامت منصوص یکی از اعتقادات شیعۀ اثنی 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اعتقاد امام کسی است که از سوی خداوند عهده دار هدایت مردم و تبیین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مشروعیت امام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دارای اوصاف ویژگی هایی است که او را از سایر مردم ممتاز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اوصاف از رهگذر توصیفاتی است که خود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مقام و جایگاه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منابع این توصیف ها، زیارت نامه های معتبر و مأثوره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نامه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دائرة المعارف شیعی محسوب می شوند که حاوی معارف ناب شیعی در حوزۀ امامت در قالب زیارات و خطابات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زیارت نامه ها،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است که از زیارت نامه های معتبر است و مورد اهتمام بزرگان بوده و در روز اربعین به عنوان یکی از اعمال این روز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روایتی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مؤمن زیارت اربعین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نامۀ اربعین یک دورۀ امام شناسی است که در آن به جایگاه امام و اوصاف او اشاره شده است تا زائر بداند چه کسی را زیارت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ما از زیارت نامۀ اربعین در این مقاله، نقل معروف آن است که شیخ طوسی در مصباح المتهجد آورده و سند این زیارت نامه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بعدی مانند مرحوم مجلسی در روضةالمتقین و بحارالانوار، شیخ حر عاملی در وسایل الشیعة هم به نقل شیخ طوسی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نوشتار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و به شیوۀ کتابخانه ای، با انتخاب فرازهایی از زیارت نامۀ مذکور است</w:t>
      </w:r>
      <w:r>
        <w:rPr>
          <w:rFonts w:eastAsia="IRNazanin" w:cs="IRNazanin"/>
          <w:color w:val="111111"/>
          <w:sz w:val="28"/>
          <w:szCs w:val="28"/>
          <w:rtl w:val="true"/>
          <w:lang w:bidi="fa-IR"/>
        </w:rPr>
        <w:t>.</w:t>
      </w:r>
    </w:p>
    <w:p>
      <w:pPr>
        <w:pStyle w:val="Heading4"/>
        <w:numPr>
          <w:ilvl w:val="3"/>
          <w:numId w:val="1"/>
        </w:numPr>
        <w:rPr/>
      </w:pPr>
      <w:bookmarkStart w:id="21" w:name="__RefHeading___Toc1744144_2870459653"/>
      <w:bookmarkStart w:id="22" w:name="_Toc8"/>
      <w:bookmarkEnd w:id="21"/>
      <w:r>
        <w:rPr/>
        <w:t>1</w:t>
      </w:r>
      <w:r>
        <w:rPr>
          <w:rtl w:val="true"/>
        </w:rPr>
        <w:t xml:space="preserve">. </w:t>
      </w:r>
      <w:r>
        <w:rPr>
          <w:rtl w:val="true"/>
        </w:rPr>
        <w:t>متن زیارت نامه</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أَبِی مُحَمَّدٍ هَارُونَ بْنِ مُوسَی التَّلَّعُکبَرِی قَالَ حَدَّثَنَا مُحَمَّدُ بْنُ عَلِی بْنِ مَعْمَرٍ قَالَ حَدَّثَنِی أَبُو الْحَسَنِ عَلِی بْنُ مُحَمَّدِ بْنِ مَسْعَدَةَ وَ الْحَسَنِ بْنِ عَلِی بْنِ فَضَّالٍ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سَعْدَانَ بْنِ مُسْلِمٍ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مَوْلَای الصَّادِقُ صَلَوَاتُ اللَّهِ عَلَیهِ فِی زِیارَةِ الْأَرْبَعِین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وَلِی اللهِ وَحَبیبِهِ، اَلسَّلامُ عَلی خَلیلِ اللهِ وَنَجیبِهِ، اَلسَّلامُ عَلی صَفِی اللهِ وَابْنِصَفِیهِ، اَلسَّلامُ عَلی الْحُسَینِ الْمَظْلُومِ الشَّهیدِ، اَلسَّلامُ علی اَسیرِ الْکرُباتِ، وَقَتیلِ الْعَبَراتِ، اَللّهُمَّ اِنّی اَشْهَدُ اَنَّهُ وَلِیک وَابْنُ وَلِیک، وَصَفِیک وَابْنُ صَفِیک، الْفآئِزُ بِکرامَتِک، اَکرَمْتَهُ بِالشَّهادَةِ، وَحَبَوْتَهُ بِالسَّعادَةِ، وَاَجْتَبَیتَهُ بِطیبِ الْوِلادَةِ، وَجَعَلْتَهُ سَیداً مِنَ السَّادَةِ وَ قآئِداً مِنَ الْقادَةِ، وَذآئِداً مِنْ الْذادَةِ، وَاَعْطَیتَهُ مَواریثَ الْأَنْبِیآءِ، وَجَعَلْتَهُ حُجَّةً عَلی خَلْقِک مِنَ الأْوْصِیآءِ، فَاَعْذَرَ فی الدُّعآءِ، وَمَنَحَ النُّصْحَ، وَبَذَلَ مُهْجَتَهُ فیک، لِیسْتَنْقِذَ عِبادَک مِنَ الْجَهالَةِ وَحَیرَةِ الضَّلالَةِ، وَقَدْ تَوازَرَ عَلَیهِ مَنْ غَرَّتْهُ الدُّنْیا، وَباعَ حَظَّهُ بِالْأَرْذَلِ الأَدْنی، وَشَری آخِرَتَهُ بِالثَّمَنِ الْأَوْکسِ، وَتَغَطْرَسَ وَتَرَدّی فی هَواهُ، وَاَسْخَطَک وَاَسْخَطَ نَبِیک، وَاَطاعَ مِنْ عِبادِک اَهْلَ الشِّقاقِ وَالنِّفاقِ، وَحَمَلَةَ الْأَوْزارِ الْمُسْتَوْجِبینَ النَّارَ، فَجاهَدَهُمْ فیک صابِراً مُحْتَسِباً، حَتّی سُفِک فی طاعَتِک دَمُهُ، وَاسْتُبیحَ حَریمُهُ، اَللّهُمَّ فَالْعَنْهُمْ لَعْناً وَبیلاً، وَعَذِّبْهُمْ عَذاباً اَلیماً، اَلسَّلامُ عَلَیک یا بْنَ رسول الله، اَلسَّلامُ عَلَیک یا بْنَ سَیدِ الْأَوْصِیآءِ اَشْهَدُ اَنَّک اَمینُ اللهِ وَابْنُ اَمینِهِ، عِشْتَ سَعیداً، وَمَضَیتَ حمیداً وَمُتَّ فَقیداً مَظْلُوماً شَهیداً، وَاَشْهَدُ اَنَّ اللهَ مُنْجِزٌ ما وَعَدَک، وَمُهْلِک مَنْ خَذَلَک وَمُعَذِّبٌ مَنْ قَتَلَک، وَاَشْهَدُ اَنَّک وَفَیتَ بِعَهْدِ اللهِ، وَجاهَدْتَ فی سَبیلِهِ حَتّی اَتیک الْیقینُ، فَلَعَنَ اللهُ مَنْ قَتَلَک، وَلَعَنَ اللهُ مَنْ ظَلَمَک، وَلَعَنَ اللهُ اُمَّةً سَمِعَتْ بِذلِک فَرَضِیتْ بِهِ، اَللّهُمَّ اِنّی اُشْهِدُک اَنّی وَلِی لِمَنْ والاهُ، وَعَدُوٌّ لِمَنْ عاداهُ، بِاَبی اَنْتَ وَاُمّی یا بْنَ رسول الله، اَشْهَدُ اَنَّک کنْتَ نُوراً فی الْأَصْلابِ الشَّامِخَةِ وَالْأَرْحامِ الْمُطَهَّرَةِ، لَمْ تُنَجِّسْک الْجاهِلِیةُ بِاَنْجاسِها، وَلَمْ تُلْبِسْک الْمُدْلَهِمَّاتُ مِنْ ثِیابِها، وَاَشْهَدُ اَنَّک مِنْ دَعآئِمِ الدّینِ وَاَرْکانِ الْمُسْلِمینَ، وَمَعْقِلِ الْمُؤْمِنینَ، وَاَشْهَدُ اَنَّک الْأِمامُ الْبَرُّ التَّقِی، الرَّضِی الزَّکی الْهادِی الْمَهْدِی، وَاَشْهَدُ اَنَّ الْأَئِمَّةَ مِنْ وُلْدِک کلِمَةُ التَّقْوی، وَاَعْلامُ الْهُدی، وَالْعُرْوَةُ الْوُثْقی، وَالْحُجَّةُ علی اَهْلِ الدُّنْیا، وَاَشْهَدُ اَنّی بِکمْ مُؤْمِنٌ، وَبِاِیابِکمْ مُوقِنٌ، بِشَرایعِ دینی وَخَواتیمِ عَمَلی، وَقَلْبی لِقَلْبِکمْ سِلْمٌ، وَاَمْری لِأَمْرِکمْ مُتَّبِعٌ، وَنُصْرَتی لَکمْ مُعَدَّةٌ، حَتّی یاْذَنَ اللهُ لَکمْ، فَمَعَکمْ مَعَکمْ لامَعَ عَدُوِّکمْ، صَلَواتُ اللهِ عَلَیکمْ، وَعلی اَرْواحِکمْ وَاَجْسادِکمْ، وَشاهِدِکمْ وَغآئِبِکمْ، وَظاهِرِکمْ وَباطِنِکمْ، آمینَ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شیخ طوسی،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ولی خدا و حبیبش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دوست خدا و برگزیدۀ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بندۀ برگزیدۀ خدا و فرزند برگزیده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مظلوم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دچار گرفتاری ها و کشتۀ اشک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گواهی می دهم که حسین ولی تو، فرزند ولی تو، و فرزند برگزیده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که به کرامتت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شهادت گرامی داشتی و به خوشبختی اختصاصش دادی و به پاکی ولادت برگزیدی و او را آقایی از آقایان و پیشروی از پیشروان، و مدافعی از مدافعان حق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های پیامبران را به او عطا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میان جانشینان حجّت بر بندگانت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دعوتش جای عذری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خیرخواهی دریغ نورزید و جانش را در راه تو بذل کرد تا بندگانت را از جهالت و سرگردانی گمراهی برهاند؛ درحالی که بر علیه او به یاری هم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دنیا مغرورشان کرد و بهرۀ واقعی خود را به فرومایه تر و پست تر چیزی فروختند و آخرتشان را به کمترین بها به گردونۀ فروش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کردند و خود را در دامن هوای نفس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پیامبرت را به خشم آوردند، و از میان بندگانت، اهل شکاف افکنی و نفاق و بارکشان گناهان سنگین و سزواران آتش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برای تو صابرانه جهاد کرد؛ تا در طاعت تو خونش ریخته شد و حریمش مباح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سرور 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امین خدا و فرزند امین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زیستی و ستوده درگذشتی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 گشته از دنیا رفتی و مظلوم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 آنچه را به تو وعده داده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از یاری ات دریغ ورزیدند نابود می کند و کسانی را که تو را کشتند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تو به عهد خدا وفا کردی و در راهش به جهاد برخاستی تا مرگ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تو را کشتند و به تو ستم کردند و این جریان را شنیدند و به آن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تو را شاهد می گیرم که من با آنان که او را دوست دارند 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که با او دشمن اند دشمن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در صلب های بلندمرتبه و رحم های پاک، نوری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با ناپاکی هایش تو را آلوده نکرد و از جامه های تیره وتارش به تو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تو از ستون های دین و </w:t>
      </w:r>
      <w:bookmarkStart w:id="23" w:name="pg8975_113846"/>
    </w:p>
    <w:p>
      <w:pPr>
        <w:pStyle w:val="BookText"/>
        <w:rPr/>
      </w:pPr>
      <w:bookmarkEnd w:id="23"/>
      <w:r>
        <w:rPr>
          <w:rFonts w:ascii="IRNazanin" w:hAnsi="IRNazanin" w:eastAsia="IRNazanin"/>
          <w:color w:val="111111"/>
          <w:sz w:val="28"/>
          <w:sz w:val="28"/>
          <w:szCs w:val="28"/>
          <w:rtl w:val="true"/>
          <w:lang w:bidi="fa-IR"/>
        </w:rPr>
        <w:t>پایه های مسلمانان و پناه گاه مردم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پیشوای نیکوکار، باتقوا، راضی به مقدرات حق، پاکیزه، هدایت کننده، و هدایت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امامان از فرزندانت، اصل تقوا، و نشانه های هدایت، و دستگیرۀ محکم، و حجّت بر اهل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من به یقین به شما ایمان دارم و به بازگشتتان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قوانین دینم، و عواقب عملم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قبلم با قلبتان در صلح است و کارم پیرو کارتان، و یاری ام برای شما آماده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شمایم نه با 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درودهای خدا بر شما و بر ارواح و پیکرهایتان؛ و بر حاضر و غایبتان؛ و بر ظاهر و باطنتان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پروردگار جهانیان</w:t>
      </w:r>
      <w:r>
        <w:rPr>
          <w:rFonts w:eastAsia="IRNazanin" w:cs="IRNazanin"/>
          <w:color w:val="111111"/>
          <w:sz w:val="28"/>
          <w:szCs w:val="28"/>
          <w:rtl w:val="true"/>
          <w:lang w:bidi="fa-IR"/>
        </w:rPr>
        <w:t>.</w:t>
      </w:r>
    </w:p>
    <w:p>
      <w:pPr>
        <w:pStyle w:val="Heading4"/>
        <w:numPr>
          <w:ilvl w:val="3"/>
          <w:numId w:val="1"/>
        </w:numPr>
        <w:rPr/>
      </w:pPr>
      <w:bookmarkStart w:id="24" w:name="__RefHeading___Toc1744146_2870459653"/>
      <w:bookmarkStart w:id="25" w:name="_Toc9"/>
      <w:bookmarkEnd w:id="24"/>
      <w:r>
        <w:rPr/>
        <w:t>2</w:t>
      </w:r>
      <w:r>
        <w:rPr>
          <w:rtl w:val="true"/>
        </w:rPr>
        <w:t xml:space="preserve">. </w:t>
      </w:r>
      <w:r>
        <w:rPr>
          <w:rtl w:val="true"/>
        </w:rPr>
        <w:t>شرح مفاهیم</w:t>
      </w:r>
      <w:bookmarkEnd w:id="2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امام ازنظر لغت شناسان عرب عبارت از هرکسی یا هر چیزی است که در کارها به او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کلّ من اقتدی به وقدّم فی الأمور</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لسان العرب واژۀ امام را این گونه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القوم و أمّ بهم، تقدّمهم؛ و هی الإمامة و الإمام کلّ من ائتّم به قوم کانوا علی الصراط المستقیم أو کانوا ضالّین</w:t>
      </w:r>
      <w:r>
        <w:rPr>
          <w:rFonts w:eastAsia="IRNazanin" w:cs="IRNazanin"/>
          <w:color w:val="111111"/>
          <w:sz w:val="28"/>
          <w:szCs w:val="28"/>
          <w:rtl w:val="true"/>
          <w:lang w:bidi="fa-IR"/>
        </w:rPr>
        <w:t>»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را امامت کرد و بر قوم امامت کرد؛ یعنی بر آن ها پیش افتاد، و امامت به همین معنا است، و امام کسی است که گروهی به او اقتدا کنند؛ اعم از اینکه در راه هدایت باشند یا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پیشوا، پیش رو رهبر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بندر ریگی،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نیز این واژه را در هر دو مورد اطلاق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بحث موردنظر ما است، پیشوای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منصب امامت همچون منصب رسالت، منصبی الهی است و امام و پیشوای جامعه اسلامی باید از سوی خدا تعیین شود و به وسیلۀ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بایستی رهبر سیاسی، فکری، مفسر قرآن، آگاه از همه رموز و دقایق دینی، معصوم از خطا و منزّه از هر عیب و نقیصۀ خَلْقی و خُلقی و ده ها ویژگی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حلی در تعریف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رئاسة عامة فی الدّین و الدنیا لشخص من الأشخاص نیابة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رهبری عمومی در دین و دنیا برای شخصی خاص به عنوان نیابت از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w:t>
      </w:r>
    </w:p>
    <w:p>
      <w:pPr>
        <w:pStyle w:val="BookText"/>
        <w:rPr/>
      </w:pPr>
      <w:r>
        <w:rPr>
          <w:rFonts w:ascii="IRNazanin" w:hAnsi="IRNazanin" w:eastAsia="IRNazanin"/>
          <w:color w:val="111111"/>
          <w:sz w:val="28"/>
          <w:sz w:val="28"/>
          <w:szCs w:val="28"/>
          <w:rtl w:val="true"/>
          <w:lang w:bidi="fa-IR"/>
        </w:rPr>
        <w:t>اربعین در لغت به معنی چهلم است و در اصطلاح به چهلمین روز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اهتمام به زیارت اربعین از دیرباز بین شیعیان این روایت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أَبِی مُحَمَّدٍ الْحَسَنِ بْنِ عَلِی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الْمُؤْمِنِ خَمْسٌ صَلَاةُ الْإِحْدَی وَ الْخَمْسِینَ وَ زِیارَةُ الْأَرْبَعِینَ وَ التَّخَتُّمُ فِی الْیمِینِ وَ تَعْفِیرُ الْجَبِینِ وَ الْجَهْرُ بِبِسْمِ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مفید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نشانۀ مؤمن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اقامۀ پنجاه و یک رکعت نماز در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رکعت واجب و سی و چهار رکعت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اربعین، انگشتر به دست راست کردن، جبین را در سجده بر خاک گذاشتن، در نماز بسم الله الرحمن الرحیم را بلند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اقبال الاعمال فضلیت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بیستم ماه صفر را بیان کرده و به روایت فوق استناد می نماید </w:t>
      </w:r>
      <w:r>
        <w:rPr>
          <w:rFonts w:eastAsia="IRNazanin" w:cs="IRNazanin"/>
          <w:color w:val="111111"/>
          <w:sz w:val="28"/>
          <w:szCs w:val="28"/>
          <w:rtl w:val="true"/>
          <w:lang w:bidi="fa-IR"/>
        </w:rPr>
        <w:t>(</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منتهی المطلب به استحباب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اربعین پرداخته و همین روایت امام حسن عسکری را بیان می کند </w:t>
      </w:r>
      <w:r>
        <w:rPr>
          <w:rFonts w:eastAsia="IRNazanin" w:cs="IRNazanin"/>
          <w:color w:val="111111"/>
          <w:sz w:val="28"/>
          <w:szCs w:val="28"/>
          <w:rtl w:val="true"/>
          <w:lang w:bidi="fa-IR"/>
        </w:rPr>
        <w:t>(</w:t>
      </w:r>
      <w:r>
        <w:rPr>
          <w:rFonts w:eastAsia="IRNazanin" w:cs="IRNazanin"/>
          <w:color w:val="111111"/>
          <w:sz w:val="28"/>
          <w:szCs w:val="28"/>
          <w:lang w:bidi="fa-IR"/>
        </w:rPr>
        <w:t>13/295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روضةالمتقین </w:t>
      </w:r>
      <w:r>
        <w:rPr>
          <w:rFonts w:eastAsia="IRNazanin" w:cs="IRNazanin"/>
          <w:color w:val="111111"/>
          <w:sz w:val="28"/>
          <w:szCs w:val="28"/>
          <w:rtl w:val="true"/>
          <w:lang w:bidi="fa-IR"/>
        </w:rPr>
        <w:t>(</w:t>
      </w:r>
      <w:r>
        <w:rPr>
          <w:rFonts w:eastAsia="IRNazanin" w:cs="IRNazanin"/>
          <w:color w:val="111111"/>
          <w:sz w:val="28"/>
          <w:szCs w:val="28"/>
          <w:lang w:bidi="fa-IR"/>
        </w:rPr>
        <w:t>5/389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در فضل زیارت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را مطرح کرده است و به این روایت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 نماید </w:t>
      </w:r>
      <w:r>
        <w:rPr>
          <w:rFonts w:eastAsia="IRNazanin" w:cs="IRNazanin"/>
          <w:color w:val="111111"/>
          <w:sz w:val="28"/>
          <w:szCs w:val="28"/>
          <w:rtl w:val="true"/>
          <w:lang w:bidi="fa-IR"/>
        </w:rPr>
        <w:t>(</w:t>
      </w:r>
      <w:r>
        <w:rPr>
          <w:rFonts w:eastAsia="IRNazanin" w:cs="IRNazanin"/>
          <w:color w:val="111111"/>
          <w:sz w:val="28"/>
          <w:szCs w:val="28"/>
          <w:lang w:bidi="fa-IR"/>
        </w:rPr>
        <w:t>98/329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منتخب</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خداوند بر بندگان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فرازی از زیارت نامۀ اربعین این گونه امام را خطاب می کنیم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وَاَشْهَدُ اَنَّ الْأَئِمَّةَ مِنْ وُلْدِک کلِمَةُ التَّقْوی، وَاَعْلامُ الْهُدی، وَالْعُرْوَةُ الْوُثْقی، وَالْحُجَّةُ علی اَهْلِ الدُّنْیا؛</w:t>
      </w:r>
    </w:p>
    <w:p>
      <w:pPr>
        <w:pStyle w:val="BookText"/>
        <w:rPr/>
      </w:pPr>
      <w:r>
        <w:rPr>
          <w:rFonts w:ascii="IRNazanin" w:hAnsi="IRNazanin" w:eastAsia="IRNazanin"/>
          <w:color w:val="111111"/>
          <w:sz w:val="28"/>
          <w:sz w:val="28"/>
          <w:szCs w:val="28"/>
          <w:rtl w:val="true"/>
          <w:lang w:bidi="fa-IR"/>
        </w:rPr>
        <w:t>و گواهی می دهم که امامان از فرزندانت، اصل تقوا، و نشانه های هدایت، و دستگیرۀ محکم، و حجّت بر اهل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اوصاف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اربعین آمده حجت بودن امام برای اهل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دیگر امام را حجت بر خلق خدا معرفی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جَعَلْتَهُ حُجَّةً عَلَی خَلْقِک مِنَ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در لغت همان برهان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است روشن بر اساس راه مستقیم، با قصد و هدف مستقیم و چیزی که بر صحّت و درستی یکی از دو نقیض اقتضا و حکم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روایی شیعه،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و توصیف حقیقت مقام امامت استفاده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فاریاب،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زمینه بسیار زیاد است تا جایی که باب هایی با نام های مشابه آن و دربردارندۀ این نوع روایات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الإضطرار الی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و مانند این ها در جوامع روایی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حجیت ائمه بنا به آنچه در همین زیارت نامه یا در روایات و زیارات مشابه بر آن تأکید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مختص به مسلمانان یا شیعیان باشد و این نکتۀ مهمی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توضیح چگونگی حجت بودن امام بعضی بر این عقیده اند که چون حجت در اصطلاح به چیزی گفته می شود که هر یک از دو طرف دعوا برای اثبات مدعای خویش آن را اقامه و به آن احتجاج می کنند؛ خواه مربوط به بحث و مناظرۀ علمی یا حتیمربوط به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خداوند هم در روز قیامت، به محتوای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به سنت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گفتار و کردار و تقریر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احتجاج می کند؛ چنان که بندگان او نیز به همین امور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وجود مبارک معصوم، حجت عملی و عینی خداوند است؛ به این معنا که اگر کسی مثلا بگوید مبارزه با شیطان، ترک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آدمی مقدور نیست، وجود معصوم حجت </w:t>
      </w:r>
    </w:p>
    <w:p>
      <w:pPr>
        <w:pStyle w:val="BookText"/>
        <w:rPr/>
      </w:pPr>
      <w:r>
        <w:rPr>
          <w:rFonts w:ascii="IRNazanin" w:hAnsi="IRNazanin" w:eastAsia="IRNazanin"/>
          <w:color w:val="111111"/>
          <w:sz w:val="28"/>
          <w:sz w:val="28"/>
          <w:szCs w:val="28"/>
          <w:rtl w:val="true"/>
          <w:lang w:bidi="fa-IR"/>
        </w:rPr>
        <w:t xml:space="preserve">عینی بر ضد اوست که توان مندی و قدرت انسان را در این میدان ها اثبات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زمین هیچ گاه از حجت های الهی خالی نخواهد شد و این حجت های الهی، خلفای الهی و جانشینان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آورند که حضرت به زیبایی به خالی نبودن زمین از حجج الهی و اوصاف ویژگی های آن ها اشاره می نماید؛ که می توان با مقایسه و تطبیق فرازهای زیارت اربعین بر مفاد روایت زیر مویدی بر صدور این زیارت نامه از امام معصوم از یکسو، و از سوی دیگر تاییدی بر محتوای امام شناسی این زیارت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بَلَی لَا تَخْلُو الْأَرْضُ مِنْ قَائِمٍ لِلَّهِ بِحُجَّةٍ إِمَّا ظَاهِراً مَشْهُوراً وَ إِمَّا خَائِفاً مَغْمُوراً لِئَلَّا تَبْطُلَ حُجَجُ اللَّهِ وَ بَینَاتُهُ وَ کمْ ذَا وَ أَینَ أُولَئِک أُولَئِک وَ اللَّهِ الْأَقَلُّونَ عَدَداً وَ الْأَعْظَمُونَ عِنْدَ اللَّهِ قَدْراً یحْفَظُ اللَّهُ بِهِمْ حُجَجَهُ وَ بَینَاتِهِ حَتَّی یودِعُوهَا نُظَرَاءَهُمْ وَ یزْرَعُوهَا فِی قُلُوبِ أَشْبَاهِهِمْ هَجَمَ بِهِمُ الْعِلْمُ عَلَی حَقِیقَةِ الْبَصِیرَةِ وَ بَاشَرُوا رُوحَ الْیقِینِ وَ اسْتَلَانُوا مَا اسْتَوْعَرَهُ الْمُتْرَفُونَ وَ أَنِسُوا بِمَا اسْتَوْحَشَ مِنْهُ الْجَاهِلُونَ وَ صَحِبُوا الدُّنْیا بِأَبْدَانٍ أَرْوَاحُهَا مُعَلَّقَةٌ بِالْمَحَلِّ الْأَعْلَی أُولَئِک خُلَفَاءُ اللَّهِ فِی أَرْضِهِ وَ الدُّعَاةُ إِلَی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زمین از کسی که به وسیلۀ حجت دین خدا را برپا دارد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یا ظاهر و آشکار است و یا ترسان و پنهان از دیده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های الهی و دلیل های روشن او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تعدادند و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که تعدادشان کم است و قدر و منزلتشان در پیشگاه پروردگار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توسط ایشان حجت ها و نشانه های خود را حفظ می کند تا آن ها را به مانند ایشان بسپارند و در دل های خویشتن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نور حقیقت بینی را بر آنان تابانده است و ایشان روح یقین را دریافته اند و فداکاری و تحمل سختی ها در راه دین را؛ آنچه برای ناز پرورده ها سخت است، برای آنان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نادانان از آن فراری هستند، آنان بدان خوگرفته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بدنهایشان در دنیایند ولی جانهایشان به ملأ اعلی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جانشینان خداوند در روی زمین اند و مردم را به دین او دعوت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مجموع مطالب ذکر شده به دست می آید که در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های الهی بر همۀ اهل زمین و مردمان سلام می نماییم و آن بزرگواران را طرف خطاب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 که اگر در زیارت عاشورا مصیبت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ترین مصیبت شمرده شده است، به این دلیل است که حجت خدا بر خلقش در صحرای کربلا به شهادت می رسد و اهل بیت او را به اسیری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دارد اهل آسمان ها و زمین بر این مصیبت گریه و مویه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بودن امام</w:t>
      </w:r>
    </w:p>
    <w:p>
      <w:pPr>
        <w:pStyle w:val="BookText"/>
        <w:rPr/>
      </w:pPr>
      <w:r>
        <w:rPr>
          <w:rFonts w:ascii="IRNazanin" w:hAnsi="IRNazanin" w:eastAsia="IRNazanin"/>
          <w:color w:val="111111"/>
          <w:sz w:val="28"/>
          <w:sz w:val="28"/>
          <w:szCs w:val="28"/>
          <w:rtl w:val="true"/>
          <w:lang w:bidi="fa-IR"/>
        </w:rPr>
        <w:t>در فرازی از زیارت نامۀ اربعین این گونه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صَفِی اللَّهِ وَ ابْنِ 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بندۀ برگزیدۀ خدا و فرزند برگزیده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این گونه شهادت می دهیم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أَشْهَدُ أَنَّهُ صَفِیک وَ ابْنُ صَفِیک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چیزی است از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معنی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برای مکانی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برگزیدن پاکی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اختیار، گزینش در خیر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مالیات از جاهای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اصْطِفَاءُ اللّهِ بعض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معنی آفرینش باشد که خدای تعالی بعضی از بندگانش را پاک و خالص از آلودگی هایی که در غیر از آن هست آفریده و یا این است که آفرینش آن ها به مقتضای حکم و اختیار اوست هرچند که این معنی از معنی اوّل، خالی و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واژۀ اصطفاء به معنای برگزیدن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 وَ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از فرشتگان و مردم رسولانی برمی 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اصْطَفاک وَ طَهَّرَکِ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حضرت مریم گفتند ای مریم خداوند تو را برگزید و پاک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اصْطَفَیتُ کذا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دیگری برگزیدم و اختیار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شده 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سفیران الهی، با توجه به عصمتی که دارند، چیزی جز فضایل ندارند، عصاره و برگزیدۀ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گلابی است که عطر فضایل آن خرمن های گل را در خود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همان گونه که شیشۀ حاوی عطر را می توان خلاصه و برگزیدۀ خرمن گل دانست، به اهل بیت وحی و نبوت نیز که صفوة المرسلین اند، می توان گفت شما خلاصۀ فضایل پیامبران الهی و برگزیدۀ آنان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محوری فضایل انسان معصوم، برجسته ترین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قرآن حکیم برخی از اُسوه های نبوت و ولایت را به وصف اصطفا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یک عنصر کمالی، به تحلیل مبادی داخلی و تعلیل مبادی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مبداً فاعلی و غایی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صفوت نیز از همین قبیل است؛ لذا گاهی اصل اصطفای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المصطفون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زمانی به مبداً فاعلی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سبحان که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سبب اصطفای مزبور اشاره می شود و در مرحلۀ نهایی به سبب غایی آن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به این نتیجه می رسیم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برگزیدۀ الهی هستند همان گونه که جد و پدر بزرگوارشان برگزیدگان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برگزید و حجت قرار داد تا مایۀ هدایت و سعادت آدمیان، و نجات بخش آن ها از جهل و ضلالت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راه جان خویش را بذل نمود؛ چنانکه در فرازی از زیارت نامۀ اربعین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وَجَعَلْتَهُ حُجَّةً عَلی خَلْقِک مِنَ الأْوْصِیآءِ، فَاَعْذَرَ فی الدُّعآءِ، وَمَنَحَ النُّصْحَ، وَبَذَلَ مُهْجَتَهُ فیک، لِیسْتَنْقِذَ عِبادَک مِنَ الْجَهالَةِ وَحَیرَةِ الضَّلالَةِ؛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از میان جانشینان حجّت بر بندگانت قرار دادی، و در دعوتش جای </w:t>
      </w:r>
    </w:p>
    <w:p>
      <w:pPr>
        <w:pStyle w:val="BookText"/>
        <w:rPr/>
      </w:pPr>
      <w:r>
        <w:rPr>
          <w:rFonts w:ascii="IRNazanin" w:hAnsi="IRNazanin" w:eastAsia="IRNazanin"/>
          <w:color w:val="111111"/>
          <w:sz w:val="28"/>
          <w:sz w:val="28"/>
          <w:szCs w:val="28"/>
          <w:rtl w:val="true"/>
          <w:lang w:bidi="fa-IR"/>
        </w:rPr>
        <w:t xml:space="preserve">عذری باقی نگذاشت، و از خیرخواهی دریغ نورزید، و جانش را در راه تو بذل کرد، تا بندگانت را از جهالت و سرگردانی گمراهی برهاند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پاک و اصالت خانواده</w:t>
      </w:r>
    </w:p>
    <w:p>
      <w:pPr>
        <w:pStyle w:val="BookText"/>
        <w:rPr/>
      </w:pPr>
      <w:r>
        <w:rPr>
          <w:rFonts w:ascii="IRNazanin" w:hAnsi="IRNazanin" w:eastAsia="IRNazanin"/>
          <w:color w:val="111111"/>
          <w:sz w:val="28"/>
          <w:sz w:val="28"/>
          <w:szCs w:val="28"/>
          <w:rtl w:val="true"/>
          <w:lang w:bidi="fa-IR"/>
        </w:rPr>
        <w:t>در فرازی از زیارت نامۀ اربعین خطاب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کنْتَ نُوراً فی الْأَصْلابِ الشَّامِخَةِ وَالْأَرْحامِ الْمُطَهَّرَةِ، لَمْ تُنَجِّسْک الْجاهِلِیةُ بِاَنْجاسِها، وَلَمْ تُلْبِسْک الْمُدْلَهِمَّاتُ مِنْ ثِیابِها؛ گواهی می دهم که تو در صلب های بلندمرتبه و رحم های پاک نوری بودی، جاهلیت با ناپاکی هایش تو را آلوده نکرد، و از جامه های تیره و تارش به تو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اعتقادات شیعیان طهارت نسبی و خاندانی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خلقت نوری تا خلقت خاکی و ورود به عالم نسل و دنیا به هیچ پلیدی آلوده نشدند و صلب پدران و رحم های مادرانی که از او زاده می شوند نیز از هر رجس و زشتی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پیامبران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خانواده ای شکل می گیرد که خود از لحاظ ایمانی و اخلاقی بهترین اند؛ چراکه الگو بودن آن ها برای مردم و لزوم اعتماد و وثوق مردم به حجت های الهی و هادیان چنین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این طهارت و پاکی ولادت و اصالت خانوادگی انبیا و حجت های الهی این گونه اشاره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فَاسْتَوْدَعَهُمْ فِی أَفْضَلِ مُسْتَوْدَعٍ وَ أَقَرَّهُمْ فِی خَیرِ مُسْتَقَرٍّ تَنَاسَخَتْهُمْ کرَائِمُ الْأَصْلَابِ إِلَی مُطَهَّرَاتِ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مَضَی مِنْهُمْ سَلَفٌ قَامَ مِنْهُمْ بِدِینِ اللَّهِ خَلَفٌ حَتَّی أَفْضَتْ کرَامَةُ اللَّهِ سُبْحَانَهُ وَ تَعَالَی إِلَی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مِنْ أَفْضَلِ الْمَعَادِنِ مَنْبِتاً وَ أَعَزِّ الْأَرُومَاتِ مَغْرِساً مِنَ الشَّجَرَةِ الَّتِی صَدَعَ مِنْهَا أَنْبِیاءَهُ وَ انْتَجَبَ مِنْهَا أُمَنَاءَهُ عِتْرَتُهُ خَیرُ الْعِتَرِ وَ أُسْرَتُهُ خَیرُ الْأُسَرِ وَ شَجَرَتُهُ خَیرُ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رضی،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پیامبران را در برترین امانت گاه به امانت سپرد و در بهترین قرارگاه جایشان داد و آن ها را از صلب های بزرگوار به رحم های پاک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دنیا رفت دیگری را برای حمایت دین خود جایگزین کرد تا این که کرامت </w:t>
      </w:r>
    </w:p>
    <w:p>
      <w:pPr>
        <w:pStyle w:val="BookText"/>
        <w:rPr/>
      </w:pPr>
      <w:r>
        <w:rPr>
          <w:rFonts w:ascii="IRNazanin" w:hAnsi="IRNazanin" w:eastAsia="IRNazanin"/>
          <w:color w:val="111111"/>
          <w:sz w:val="28"/>
          <w:sz w:val="28"/>
          <w:szCs w:val="28"/>
          <w:rtl w:val="true"/>
          <w:lang w:bidi="fa-IR"/>
        </w:rPr>
        <w:t>و بزرگواری پروردگار شامل حال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او را از بهترین خاندان و گرامی ترین دودمان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شجرۀ طیبه ای که پیامبران و امینان خود را از آن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بهترین خاندان هاست و اهل بیتش، نیکوترین اهل بیت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شجرۀ او بهترین شجره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 امامیه هم در کتاب های خود به لزوم پاکی ولادت، نسب خانوادگی، منزه بودن از هرگونه عیوب خلقتی و اخلاقی پیامبران و جانشینان آن ها اشاره می کنند و بر ضرورت پاکی حجت های الهی از هرآنچه موجب تنفر و سلب اعتماد مردم از آن ها و، درنتیجه، نقض غرض خدای حکیم می شود</w:t>
      </w:r>
    </w:p>
    <w:p>
      <w:pPr>
        <w:pStyle w:val="BookText"/>
        <w:rPr/>
      </w:pPr>
      <w:r>
        <w:rPr>
          <w:rFonts w:ascii="IRNazanin" w:hAnsi="IRNazanin" w:eastAsia="IRNazanin"/>
          <w:color w:val="111111"/>
          <w:sz w:val="28"/>
          <w:sz w:val="28"/>
          <w:szCs w:val="28"/>
          <w:rtl w:val="true"/>
          <w:lang w:bidi="fa-IR"/>
        </w:rPr>
        <w:t xml:space="preserve">تأکید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این فراز از زیارت نامۀ اربعین و سایر روایات هم خانواده و کلام بزرگان حاصل می شود این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حجت های الهی از پاک بودن ولادت و اصالت خانواده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حضرت در موارد مختلف به این فضل خود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هم اهل بیت ایشان مانند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رنجبرحسینی،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رنجبرحسینی،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و احتجاجات خود با دستگاه اموی به این ویژگی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استناد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امام</w:t>
      </w:r>
    </w:p>
    <w:p>
      <w:pPr>
        <w:pStyle w:val="BookText"/>
        <w:rPr/>
      </w:pPr>
      <w:r>
        <w:rPr>
          <w:rFonts w:ascii="IRNazanin" w:hAnsi="IRNazanin" w:eastAsia="IRNazanin"/>
          <w:color w:val="111111"/>
          <w:sz w:val="28"/>
          <w:sz w:val="28"/>
          <w:szCs w:val="28"/>
          <w:rtl w:val="true"/>
          <w:lang w:bidi="fa-IR"/>
        </w:rPr>
        <w:t>در فرازی دیگر از این زیارت نامه این چنین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می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وَاَشْهَدُ اَنَّ الْأَئِمَّةَ مِنْ وُلْدِک کلِمَةُ التَّقْوی، وَاَعْلامُ الْهُدی، وَالْعُرْوَةُ الْوُثْقی، وَالْحُجَّةُ علی اَهْلِ الدُّنْیا، وَاَشْهَدُ اَنّی بِکمْ مُؤْمِنٌ، وَبِاِیابِکمْ مُوقِنٌ؛</w:t>
      </w:r>
    </w:p>
    <w:p>
      <w:pPr>
        <w:pStyle w:val="BookText"/>
        <w:rPr/>
      </w:pPr>
      <w:r>
        <w:rPr>
          <w:rFonts w:ascii="IRNazanin" w:hAnsi="IRNazanin" w:eastAsia="IRNazanin"/>
          <w:color w:val="111111"/>
          <w:sz w:val="28"/>
          <w:sz w:val="28"/>
          <w:szCs w:val="28"/>
          <w:rtl w:val="true"/>
          <w:lang w:bidi="fa-IR"/>
        </w:rPr>
        <w:t>و گواهی می دهم که امامان از فرزندانت، اصل تقوا، و نشانه های هدایت، و دستگیرۀ محکم، و حجّت بر اهل دنیا هستند و گواهی می دهم که من به یقین مؤمن به شمایم، و به بازگشتتان یقین دارم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این است که خداوند گروهی از مرگان را با همان شکل خود به دنیا بازمی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 روح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بازگشت گروهی از انسان ها پس از مرگ و پیش از روز </w:t>
      </w:r>
    </w:p>
    <w:p>
      <w:pPr>
        <w:pStyle w:val="BookText"/>
        <w:rPr/>
      </w:pPr>
      <w:r>
        <w:rPr>
          <w:rFonts w:ascii="IRNazanin" w:hAnsi="IRNazanin" w:eastAsia="IRNazanin"/>
          <w:color w:val="111111"/>
          <w:sz w:val="28"/>
          <w:sz w:val="28"/>
          <w:szCs w:val="28"/>
          <w:rtl w:val="true"/>
          <w:lang w:bidi="fa-IR"/>
        </w:rPr>
        <w:t xml:space="preserve">رستاخیز اطلاق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در اصطلاح علم کلام و در عقیدۀ شیعیان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جمعی از مؤمنان به دنیا پیش از قیامت در زمان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پیش از آن یا بعد از آن برای دیدار دولت حق و شادی از آن، و برای انتقام از دشمنان خود؛ و هم رجوع جمعی از کافران و منافقان برای انتقام گرفتن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آیات و روایات می توان فلسفۀ وقوع رجعت را این گونه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سخت کافران، زمینه سازی تکامل معنوی یا تکامل شقاوت، مدال عظیم یاری امام برای منتظران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شفای دل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لذت بردن مؤمنان از حاکمیت اسلام و نصرت دین و حکومت عدل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از روایات اسلامی استفاده می شود، رجعت جنبۀ همگانی ندارد، بلکه تنها برخی مؤمنانی که در یک مرحلۀ عالی از ایمان قرار دارند، بازگشت خواهند کرد شاید این بازگشت به منظور تکامل معنوی آن ها باشد تا شاهد و ناظر حکومت جهانی حق و عدالت باشند و در بنای این حکومت شرکت جویند؛ چراکه شرکت در تشکیل چنین حکومتی از بزرگ ترین افتخارات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الرجعَة َلیسَت بِعامَةٍ و هی خاصَة لایرجعُ الا مَن مَحض الایمان محضاً أَو مَحض الشِّرک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عمومی و همگانی نیست، بلکه خاص است و فقط کسانی به دنیا بازمی گردند که مؤمن خالص یا مشرک محض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2/831</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اسلامی، رجعت از روزهای بزرگ و مهم عالم است که از آن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از نشانه های شیعیان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مؤمنان و منتظران واقعی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ظهور آن عزیز از دنیا رفتند، امکان رجعت به دنیا و یاری آن امام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برخلاف مؤمنین که رجعتی اختیاری دارند کفار و منافقان هرگز به میل و ارادهٔ خود به دنیا بازنمی گردند، بلکه از روی </w:t>
      </w:r>
    </w:p>
    <w:p>
      <w:pPr>
        <w:pStyle w:val="BookText"/>
        <w:rPr/>
      </w:pPr>
      <w:r>
        <w:rPr>
          <w:rFonts w:ascii="IRNazanin" w:hAnsi="IRNazanin" w:eastAsia="IRNazanin"/>
          <w:color w:val="111111"/>
          <w:sz w:val="28"/>
          <w:sz w:val="28"/>
          <w:szCs w:val="28"/>
          <w:rtl w:val="true"/>
          <w:lang w:bidi="fa-IR"/>
        </w:rPr>
        <w:t>اجبار به رجعت تن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ازجملۀ مؤمنان رجعت کننده، پیامبران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اولین امامی که در زمان رجعت، پس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جهانی را بر عهده می گیرد،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سال های بسیار حکومت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به طور مشخص نام افرادی که رجعت می کنند ذکر شده است، از پیامبران، حضرت اسماعیل بن حزقیل و دانیال و یوشع و عیسی و خضر و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اصحاب چون سلمان، مقداد، جابربن عبدالله انصاری، مالک اشتر، مفضل بن عمر و حمران بن اعین و میسربن عبدالعزیز و اصحاب کهف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 وارده مشخص می شود که امر رجعت امام حسین یکی از مسلمات و حتمیات مکتب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روایات متواتر ایشان را به عنوان اولین رجعت کننده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جَمِیلِ بْنِ دَرَّاجٍ عَنِ الْمُعَلَّی بْنِ خُنَیسٍ وَ زَیدٍ الشَّحَّامِ عَنْ أَبِی عَبْدِ اللَّهِ ع قَالا سَمِعْنَاهُ یقُولُ إِنَّ أَوَّلَ مَنْ یکرُّ فِی الرَّجْعَةِ الْحُسَینُ بْنُ عَلِی ع وَ یمْکثُ فِی الْأَرْضِ أَرْبَعِینَ سَنَةً حَتَّی یسْقُطَ حَاجِبَاهُ عَلَی عَینَیه؛</w:t>
      </w:r>
    </w:p>
    <w:p>
      <w:pPr>
        <w:pStyle w:val="BookText"/>
        <w:rPr/>
      </w:pPr>
      <w:r>
        <w:rPr>
          <w:rFonts w:ascii="IRNazanin" w:hAnsi="IRNazanin" w:eastAsia="IRNazanin"/>
          <w:color w:val="111111"/>
          <w:sz w:val="28"/>
          <w:sz w:val="28"/>
          <w:szCs w:val="28"/>
          <w:rtl w:val="true"/>
          <w:lang w:bidi="fa-IR"/>
        </w:rPr>
        <w:t xml:space="preserve">نخستین کسی که زمین برای او شکافته می شود و روی زمین بازمی گردد،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قدری حکومت می کند که از کثرت سن ابروهایش روی دیدگانش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اکثر زیارت نامه های معصومین این تعبیر اعتراف و شهادت دادن زائر به رجعت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مشخص می شود امامان معصوم در قالب زیارت ها، آموزه هایی همچون آموزه رجعت را به شیعیان خود تعلیم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احادیث و شواهد بر رجعت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احادیث واردشده پررنگ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آموزۀ امامت منصوص یکی از اعتقادات شیعۀ اثنی 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اعتقاد امام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که از سوی خداوند عهده دار هدایت مردم و تبیین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دارای اوصاف و ویژگی هایی است که او را از سایر مردم ممتاز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اوصاف از رهگذر توصیفاتی است که خود امامان معصوم از این مقام و جایگاه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منابع این توصیف ها، زیارت نامه های معتبر و مأثوره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نامه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دائرة المعارف شیعی محسوب می شوند که حاوی معارف ناب شیعی در حوزه امامت در قالب زیارات و خطابات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زیارت نامه ها،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است که از زیارت نامه های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تحلیل فرازهای منتخبی از این زیارت نامه پیرامون آموزۀ امامت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حجت الهی بر همۀ خلایق است و زمین هیچ گاه از حجت الهی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های الهی برگزیدۀ خداوند هستند تا با اوصافی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حکمت و عصمت خاص چراغ هدایت مردم باشند و آن ها را از جهالت و نادانی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میوه و ثمرۀ شجرۀ طیبۀ نبوت هستند که ولادتی پاک داشته اند و اجداد و پدران و مادران آن ها از هر بدنامی و زشتی و پلیدی که موجب نفرت مردم شود،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بر اساس تصریح زیارات متعدد و سایر روایاتنقل شده در منابع روایی معتبر، در زمرۀ رجعت 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روایات، روایات رجعت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حجم روایی را به خود اختصاص داده است</w:t>
      </w:r>
      <w:r>
        <w:rPr>
          <w:rFonts w:eastAsia="IRNazanin" w:cs="IRNazanin"/>
          <w:color w:val="111111"/>
          <w:sz w:val="28"/>
          <w:szCs w:val="28"/>
          <w:rtl w:val="true"/>
          <w:lang w:bidi="fa-IR"/>
        </w:rPr>
        <w:t xml:space="preserve">. </w:t>
      </w:r>
      <w:bookmarkStart w:id="26" w:name="pg8975_113857"/>
    </w:p>
    <w:p>
      <w:pPr>
        <w:pStyle w:val="Heading3"/>
        <w:numPr>
          <w:ilvl w:val="2"/>
          <w:numId w:val="1"/>
        </w:numPr>
        <w:rPr/>
      </w:pPr>
      <w:bookmarkStart w:id="27" w:name="__RefHeading___Toc1744148_2870459653"/>
      <w:bookmarkStart w:id="28" w:name="_Toc10"/>
      <w:bookmarkEnd w:id="26"/>
      <w:bookmarkEnd w:id="27"/>
      <w:r>
        <w:rPr>
          <w:rtl w:val="true"/>
        </w:rPr>
        <w:t>منابع</w:t>
      </w:r>
      <w:bookmarkEnd w:id="28"/>
    </w:p>
    <w:p>
      <w:pPr>
        <w:pStyle w:val="BookText"/>
        <w:rPr/>
      </w:pPr>
      <w:r>
        <w:rPr>
          <w:rFonts w:ascii="IRNazanin" w:hAnsi="IRNazanin" w:eastAsia="IRNazanin"/>
          <w:color w:val="111111"/>
          <w:sz w:val="28"/>
          <w:sz w:val="28"/>
          <w:szCs w:val="28"/>
          <w:rtl w:val="true"/>
          <w:lang w:bidi="fa-IR"/>
        </w:rPr>
        <w:t>قرآن کریمابن طاووس، علی بن موسی</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 چاپ دوم؛</w:t>
      </w:r>
    </w:p>
    <w:p>
      <w:pPr>
        <w:pStyle w:val="BookText"/>
        <w:rPr/>
      </w:pPr>
      <w:r>
        <w:rPr>
          <w:rFonts w:ascii="IRNazanin" w:hAnsi="IRNazanin" w:eastAsia="IRNazanin"/>
          <w:color w:val="111111"/>
          <w:sz w:val="28"/>
          <w:sz w:val="28"/>
          <w:szCs w:val="28"/>
          <w:rtl w:val="true"/>
          <w:lang w:bidi="fa-IR"/>
        </w:rPr>
        <w:t>ابن فارس، احمد بن فارس</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 چاپ اول؛</w:t>
      </w:r>
    </w:p>
    <w:p>
      <w:pPr>
        <w:pStyle w:val="BookText"/>
        <w:rPr/>
      </w:pP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إحیاء التراث العربی، چاپ چهارم؛</w:t>
      </w:r>
    </w:p>
    <w:p>
      <w:pPr>
        <w:pStyle w:val="BookText"/>
        <w:rPr/>
      </w:pPr>
      <w:r>
        <w:rPr>
          <w:rFonts w:ascii="IRNazanin" w:hAnsi="IRNazanin" w:eastAsia="IRNazanin"/>
          <w:color w:val="111111"/>
          <w:sz w:val="28"/>
          <w:sz w:val="28"/>
          <w:szCs w:val="28"/>
          <w:rtl w:val="true"/>
          <w:lang w:bidi="fa-IR"/>
        </w:rPr>
        <w:t>بندر ریگی، محمد</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جدید عربی –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فنای مقربان،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 چاپ اول؛</w:t>
      </w:r>
    </w:p>
    <w:p>
      <w:pPr>
        <w:pStyle w:val="BookText"/>
        <w:rPr/>
      </w:pP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الایقاظ من الهجعه بالبرهان علی الرجعه، ترجمه احمد جنتی،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نوید، نرم افزار کتاب های اسلامی اینترنتی؛</w:t>
      </w:r>
    </w:p>
    <w:p>
      <w:pPr>
        <w:pStyle w:val="BookText"/>
        <w:rPr/>
      </w:pPr>
      <w:r>
        <w:rPr>
          <w:rFonts w:ascii="IRNazanin" w:hAnsi="IRNazanin" w:eastAsia="IRNazanin"/>
          <w:color w:val="111111"/>
          <w:sz w:val="28"/>
          <w:sz w:val="28"/>
          <w:szCs w:val="28"/>
          <w:rtl w:val="true"/>
          <w:lang w:bidi="fa-IR"/>
        </w:rPr>
        <w:t>حلی، حسن بن یوسف</w:t>
      </w:r>
      <w:r>
        <w:rPr>
          <w:rFonts w:eastAsia="IRNazanin" w:cs="IRNazanin"/>
          <w:color w:val="111111"/>
          <w:sz w:val="28"/>
          <w:szCs w:val="28"/>
          <w:rtl w:val="true"/>
          <w:lang w:bidi="fa-IR"/>
        </w:rPr>
        <w:t>.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الحادی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چاپ دوم؛</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چاپ اول؛</w:t>
      </w:r>
    </w:p>
    <w:p>
      <w:pPr>
        <w:pStyle w:val="BookText"/>
        <w:rPr/>
      </w:pP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تحقیق مفردات الفاظ 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خسروی،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خسروی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 چاپ دوم؛</w:t>
      </w:r>
    </w:p>
    <w:p>
      <w:pPr>
        <w:pStyle w:val="BookText"/>
        <w:rPr/>
      </w:pPr>
      <w:r>
        <w:rPr>
          <w:rFonts w:ascii="IRNazanin" w:hAnsi="IRNazanin" w:eastAsia="IRNazanin"/>
          <w:color w:val="111111"/>
          <w:sz w:val="28"/>
          <w:sz w:val="28"/>
          <w:szCs w:val="28"/>
          <w:rtl w:val="true"/>
          <w:lang w:bidi="fa-IR"/>
        </w:rPr>
        <w:t>رنجبرحسینی ، محمد</w:t>
      </w:r>
      <w:r>
        <w:rPr>
          <w:rFonts w:eastAsia="IRNazanin" w:cs="IRNazanin"/>
          <w:color w:val="111111"/>
          <w:sz w:val="28"/>
          <w:szCs w:val="28"/>
          <w:rtl w:val="true"/>
          <w:lang w:bidi="fa-IR"/>
        </w:rPr>
        <w:t>.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حاکم بر احتجاجات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نامۀ معارف حسینی،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پاییز؛</w:t>
      </w:r>
    </w:p>
    <w:p>
      <w:pPr>
        <w:pStyle w:val="BookText"/>
        <w:rPr/>
      </w:pPr>
      <w:r>
        <w:rPr>
          <w:rFonts w:ascii="IRNazanin" w:hAnsi="IRNazanin" w:eastAsia="IRNazanin"/>
          <w:color w:val="111111"/>
          <w:sz w:val="28"/>
          <w:sz w:val="28"/>
          <w:szCs w:val="28"/>
          <w:rtl w:val="true"/>
          <w:lang w:bidi="fa-IR"/>
        </w:rPr>
        <w:t>رنجبرحسینی، محمد</w:t>
      </w:r>
      <w:r>
        <w:rPr>
          <w:rFonts w:eastAsia="IRNazanin" w:cs="IRNazanin"/>
          <w:color w:val="111111"/>
          <w:sz w:val="28"/>
          <w:szCs w:val="28"/>
          <w:rtl w:val="true"/>
          <w:lang w:bidi="fa-IR"/>
        </w:rPr>
        <w:t>.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حاکم بر احتجاجات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نامه معارف حسینی،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زمستان؛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ترجمه مرحوم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نسیم کوثر، </w:t>
      </w:r>
    </w:p>
    <w:p>
      <w:pPr>
        <w:pStyle w:val="BookText"/>
        <w:rPr/>
      </w:pPr>
      <w:r>
        <w:rPr>
          <w:rFonts w:ascii="IRNazanin" w:hAnsi="IRNazanin" w:eastAsia="IRNazanin"/>
          <w:color w:val="111111"/>
          <w:sz w:val="28"/>
          <w:sz w:val="28"/>
          <w:szCs w:val="28"/>
          <w:rtl w:val="true"/>
          <w:lang w:bidi="fa-IR"/>
        </w:rPr>
        <w:t>چاپ سوم؛</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و سلاح المتعبّد،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فی تفسیر القرآن، تحقیق و مقدمه محمدجواد بلاغی،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ناصرخسرو، چاپ سوم؛</w:t>
      </w:r>
    </w:p>
    <w:p>
      <w:pPr>
        <w:pStyle w:val="BookText"/>
        <w:rPr/>
      </w:pPr>
      <w:r>
        <w:rPr>
          <w:rFonts w:ascii="IRNazanin" w:hAnsi="IRNazanin" w:eastAsia="IRNazanin"/>
          <w:color w:val="111111"/>
          <w:sz w:val="28"/>
          <w:sz w:val="28"/>
          <w:szCs w:val="28"/>
          <w:rtl w:val="true"/>
          <w:lang w:bidi="fa-IR"/>
        </w:rPr>
        <w:t>فاریاب، محمد حسین</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چیستی امامت در قرآن، سنت و آثار متکلمان، انتشارات موسسه آموزشی پژوهشی امام خمینی، چاپ اول؛کلینی، محمد بن یعقوب</w:t>
      </w:r>
      <w:r>
        <w:rPr>
          <w:rFonts w:eastAsia="IRNazanin" w:cs="IRNazanin"/>
          <w:color w:val="111111"/>
          <w:sz w:val="28"/>
          <w:szCs w:val="28"/>
          <w:rtl w:val="true"/>
          <w:lang w:bidi="fa-IR"/>
        </w:rPr>
        <w:t>.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به کوشش غفاری علی اکبر و محمد آخوندی،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 چاپ چهارم؛</w:t>
      </w:r>
    </w:p>
    <w:p>
      <w:pPr>
        <w:pStyle w:val="BookText"/>
        <w:rPr/>
      </w:pPr>
      <w:r>
        <w:rPr>
          <w:rFonts w:ascii="IRNazanin" w:hAnsi="IRNazanin" w:eastAsia="IRNazanin"/>
          <w:color w:val="111111"/>
          <w:sz w:val="28"/>
          <w:sz w:val="28"/>
          <w:szCs w:val="28"/>
          <w:rtl w:val="true"/>
          <w:lang w:bidi="fa-IR"/>
        </w:rPr>
        <w:t>مجلسی، محمد باقر بن محمد تقی</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تحقیق و تصحیح جمعی از محققان،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إحیاء التراث العربی، چاپ دوم؛</w:t>
      </w:r>
    </w:p>
    <w:p>
      <w:pPr>
        <w:pStyle w:val="BookText"/>
        <w:rPr/>
      </w:pPr>
      <w:r>
        <w:rPr>
          <w:rFonts w:ascii="IRNazanin" w:hAnsi="IRNazanin" w:eastAsia="IRNazanin"/>
          <w:color w:val="111111"/>
          <w:sz w:val="28"/>
          <w:sz w:val="28"/>
          <w:szCs w:val="28"/>
          <w:rtl w:val="true"/>
          <w:lang w:bidi="fa-IR"/>
        </w:rPr>
        <w:t>مجلسی، محمدتقی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اسلامی کوشانپور؛</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المناسک المزار،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 محمد باقر،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چاپ اول؛</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علی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و همکاران،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هشتاد پرسش و پاسخ،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8975_113860"/>
      <w:bookmarkStart w:id="30" w:name="pg8975_113860"/>
      <w:bookmarkEnd w:id="30"/>
    </w:p>
    <w:p>
      <w:pPr>
        <w:pStyle w:val="Heading2"/>
        <w:numPr>
          <w:ilvl w:val="1"/>
          <w:numId w:val="1"/>
        </w:numPr>
        <w:rPr/>
      </w:pPr>
      <w:bookmarkStart w:id="31" w:name="pg8975_113860"/>
      <w:bookmarkStart w:id="32" w:name="__RefHeading___Toc1744150_2870459653"/>
      <w:bookmarkStart w:id="33" w:name="_Toc11"/>
      <w:bookmarkEnd w:id="31"/>
      <w:bookmarkEnd w:id="32"/>
      <w:r>
        <w:rPr>
          <w:rtl w:val="true"/>
        </w:rPr>
        <w:t>تأملی در منابع و تاریخ نگاری عاشورا در دو قرن نخستین اسلامی</w:t>
      </w:r>
      <w:bookmarkEnd w:id="33"/>
    </w:p>
    <w:p>
      <w:pPr>
        <w:pStyle w:val="Heading3"/>
        <w:numPr>
          <w:ilvl w:val="2"/>
          <w:numId w:val="1"/>
        </w:numPr>
        <w:rPr/>
      </w:pPr>
      <w:bookmarkStart w:id="34" w:name="__RefHeading___Toc1744152_2870459653"/>
      <w:bookmarkStart w:id="35" w:name="_Toc12"/>
      <w:bookmarkEnd w:id="34"/>
      <w:r>
        <w:rPr>
          <w:rtl w:val="true"/>
        </w:rPr>
        <w:t>سینا میرشاهی</w:t>
      </w:r>
      <w:bookmarkEnd w:id="35"/>
    </w:p>
    <w:p>
      <w:pPr>
        <w:pStyle w:val="BookText"/>
        <w:rPr/>
      </w:pPr>
      <w:r>
        <w:rPr>
          <w:rFonts w:ascii="IRNazanin" w:hAnsi="IRNazanin" w:eastAsia="IRNazanin"/>
          <w:color w:val="111111"/>
          <w:sz w:val="28"/>
          <w:sz w:val="28"/>
          <w:szCs w:val="28"/>
          <w:rtl w:val="true"/>
          <w:lang w:bidi="fa-IR"/>
        </w:rPr>
        <w:t>سینا میرشاهی دانشجوی دکترای تاریخ اسلام دانشگاه شیراز</w:t>
      </w:r>
    </w:p>
    <w:p>
      <w:pPr>
        <w:pStyle w:val="BookText"/>
        <w:rPr/>
      </w:pPr>
      <w:r>
        <w:rPr>
          <w:rFonts w:eastAsia="Times New Roman" w:cs="Times New Roman" w:ascii="Times New Roman" w:hAnsi="Times New Roman"/>
          <w:color w:val="111111"/>
          <w:sz w:val="28"/>
          <w:szCs w:val="28"/>
          <w:lang w:val="en-US" w:bidi="en-US"/>
        </w:rPr>
        <w:t>sinamirshahii@yahoo.com</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11/01/96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16/05/96</w:t>
      </w:r>
    </w:p>
    <w:p>
      <w:pPr>
        <w:pStyle w:val="Heading3"/>
        <w:numPr>
          <w:ilvl w:val="2"/>
          <w:numId w:val="1"/>
        </w:numPr>
        <w:rPr/>
      </w:pPr>
      <w:bookmarkStart w:id="36" w:name="__RefHeading___Toc1744154_2870459653"/>
      <w:bookmarkStart w:id="37" w:name="_Toc13"/>
      <w:bookmarkEnd w:id="36"/>
      <w:r>
        <w:rPr>
          <w:rtl w:val="true"/>
        </w:rPr>
        <w:t>چکیده</w:t>
      </w:r>
      <w:bookmarkEnd w:id="37"/>
    </w:p>
    <w:p>
      <w:pPr>
        <w:pStyle w:val="BookText"/>
        <w:rPr/>
      </w:pPr>
      <w:r>
        <w:rPr>
          <w:rFonts w:ascii="IRNazanin" w:hAnsi="IRNazanin" w:eastAsia="IRNazanin"/>
          <w:color w:val="111111"/>
          <w:sz w:val="28"/>
          <w:sz w:val="28"/>
          <w:szCs w:val="28"/>
          <w:rtl w:val="true"/>
          <w:lang w:bidi="fa-IR"/>
        </w:rPr>
        <w:t>واقعهٔ کربلا از ناگوارترین وقایع جهان اسلام است اما نقطهٔ عطفی در تاریخ تشیع به شمار می آید و در تکوین تشیع بیشترین سهم را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این نهضت در پیام رسانی و آگاهی بخشی به امت اسلامی و همچنین ذکر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منجر به نوعی از تاریخ نگاری به نام مقتل نگاری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نگاری به طور خاص به تاریخ نگاری عاشورا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ها عموماً به توصیف ظلم و ستم و شهادت یکی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 اما این اصطلاح به دلیل عمق فاجعهٔ عاشورا به واقعهٔ کربلا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یاران ایشان منحصر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نگاران شیعه، نوشتن دربارۀ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وظیفهٔ دینی تلقی می کردند و مقتل های که با احساسات و عواطف تاریخ نگاران عاشورا عجین شد بر روحیهٔ شیعیان تأثیر گذاشت و موجب توجه به آرمان های شیعی و پشتیبانی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واکاوی منابع و همچنین معرفی معروف ترین تاریخ نگاران عاشورا در دو قرن نخستین اسلامی از اهداف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پژوهش به شیوهٔ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و متکی به منابع دست اول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اول، قرن دوم، تاریخ نگاری عاشورا، منابع</w:t>
      </w:r>
      <w:r>
        <w:rPr>
          <w:rFonts w:eastAsia="IRNazanin" w:cs="IRNazanin"/>
          <w:color w:val="111111"/>
          <w:sz w:val="28"/>
          <w:szCs w:val="28"/>
          <w:rtl w:val="true"/>
          <w:lang w:bidi="fa-IR"/>
        </w:rPr>
        <w:t xml:space="preserve">. </w:t>
      </w:r>
      <w:bookmarkStart w:id="38" w:name="pg8975_113861"/>
    </w:p>
    <w:p>
      <w:pPr>
        <w:pStyle w:val="Heading3"/>
        <w:numPr>
          <w:ilvl w:val="2"/>
          <w:numId w:val="1"/>
        </w:numPr>
        <w:rPr/>
      </w:pPr>
      <w:bookmarkStart w:id="39" w:name="__RefHeading___Toc1744156_2870459653"/>
      <w:bookmarkStart w:id="40" w:name="_Toc14"/>
      <w:bookmarkEnd w:id="38"/>
      <w:bookmarkEnd w:id="39"/>
      <w:r>
        <w:rPr>
          <w:rtl w:val="true"/>
        </w:rPr>
        <w:t>مقدمه</w:t>
      </w:r>
      <w:bookmarkEnd w:id="40"/>
    </w:p>
    <w:p>
      <w:pPr>
        <w:pStyle w:val="Heading4"/>
        <w:numPr>
          <w:ilvl w:val="3"/>
          <w:numId w:val="1"/>
        </w:numPr>
        <w:rPr/>
      </w:pPr>
      <w:bookmarkStart w:id="41" w:name="__RefHeading___Toc1744158_2870459653"/>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قرن اول هجری قمری حوادث تلخی برای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دو تن از یاران ایشان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یکی از جان گدازترین و تأثیرگذارترین این حوادث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کربلا ضرورت پیام رسانی و آگاهی بخشی به جوامع اسلامی و همچنین پاسداری از ارزش های قیام و جلوگیری از فراموش شدن اهداف این قیام، موجب ابداع شیوهٔ جدیدی از تاریخ نویسی، موسوم به تاریخ نگاری عاشورا، شد و به تاریخ نگارانی که اثری با عنوان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یا در اثر خود به حادثۀ کربلا و جزئیات آن پرداخته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تاریخ نگاری به دلیل توجه و تشویق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های اولیه گسترش و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هدف تاریخ نگاران شیعه از تألیف مقتل ها در قرون اولیهٔ هجری، زنده نگه داشتن یاد شهدای شیعه و نشان دادن ظلم و ستمی است که بر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نگارش مقتل ها از تحریفات و کج روی ها دربارۀ واقعهٔ کربلا کاسته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نگاران، که خود شیعه بودند، نگارش مقتل ها را نوعی وظیفهٔ دینی می دانستند که با تألیف این آثار درصدد ادای دین خود به مذهب تشیع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مقتل ها، که با عواطف و احساسات مقتل نگاران عجین شده بودند، تأثیرات عمیقی در نوع نگاه شیعیان به واقعهٔ عاشورا پدید آوردند و با ذکر اهداف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 فراموشی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دامن گیر قیام ها و نهضت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واقعهٔ کربلا نماد تفکر شیعه در قرون اولیهٔ اسلامی بود که باید حفظ می شد و از دستبرد مخالفان و معاندان به دور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مقتل ها در نهایت موجب تقویت روحیهٔ ظلم ستیزی و حفظ و حراست از آرمان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نگاری عاشورا در قرن اول با 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به دلیل تأکید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شیعیان در دوران های بعد، این شیوهٔ </w:t>
      </w:r>
      <w:bookmarkStart w:id="43" w:name="pg8975_113862"/>
    </w:p>
    <w:p>
      <w:pPr>
        <w:pStyle w:val="BookText"/>
        <w:rPr/>
      </w:pPr>
      <w:bookmarkEnd w:id="43"/>
      <w:r>
        <w:rPr>
          <w:rFonts w:ascii="IRNazanin" w:hAnsi="IRNazanin" w:eastAsia="IRNazanin"/>
          <w:color w:val="111111"/>
          <w:sz w:val="28"/>
          <w:sz w:val="28"/>
          <w:szCs w:val="28"/>
          <w:rtl w:val="true"/>
          <w:lang w:bidi="fa-IR"/>
        </w:rPr>
        <w:t>تاریخ نگاری به حیات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تاریخ نگاران در قرون اولیهٔ اسلامی از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این امر نشان دهندهٔ تشویق 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روش تاریخ نگاری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اولین تاریخ نگاران عاشورا است اما ابی مخنف از معروف ترین تاریخ نگاران عاشورا در دو قرن اول اسلامی است که شیوهٔ مقتل نگاری او مرجعی برای مقتل نگاران بعدی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پژوهش حاضر واکاوی منابع تاریخ نگاری عاشورا در دو قرن اول اسلامی است و درصدد است با دیدی فراتوصیفی به این مهم دست یابد</w:t>
      </w:r>
      <w:r>
        <w:rPr>
          <w:rFonts w:eastAsia="IRNazanin" w:cs="IRNazanin"/>
          <w:color w:val="111111"/>
          <w:sz w:val="28"/>
          <w:szCs w:val="28"/>
          <w:rtl w:val="true"/>
          <w:lang w:bidi="fa-IR"/>
        </w:rPr>
        <w:t>.</w:t>
      </w:r>
    </w:p>
    <w:p>
      <w:pPr>
        <w:pStyle w:val="Heading4"/>
        <w:numPr>
          <w:ilvl w:val="3"/>
          <w:numId w:val="1"/>
        </w:numPr>
        <w:rPr/>
      </w:pPr>
      <w:bookmarkStart w:id="44" w:name="__RefHeading___Toc1744160_2870459653"/>
      <w:bookmarkStart w:id="45" w:name="_Toc16"/>
      <w:bookmarkEnd w:id="44"/>
      <w:r>
        <w:rPr/>
        <w:t>1</w:t>
      </w:r>
      <w:r>
        <w:rPr>
          <w:rtl w:val="true"/>
        </w:rPr>
        <w:t xml:space="preserve">. </w:t>
      </w:r>
      <w:r>
        <w:rPr>
          <w:rtl w:val="true"/>
        </w:rPr>
        <w:t>پیشینۀ پژوهش</w:t>
      </w:r>
      <w:bookmarkEnd w:id="45"/>
    </w:p>
    <w:p>
      <w:pPr>
        <w:pStyle w:val="BookText"/>
        <w:rPr/>
      </w:pPr>
      <w:r>
        <w:rPr>
          <w:rFonts w:ascii="IRNazanin" w:hAnsi="IRNazanin" w:eastAsia="IRNazanin"/>
          <w:color w:val="111111"/>
          <w:sz w:val="28"/>
          <w:sz w:val="28"/>
          <w:szCs w:val="28"/>
          <w:rtl w:val="true"/>
          <w:lang w:bidi="fa-IR"/>
        </w:rPr>
        <w:t xml:space="preserve">در سال های اخیر منابع و مطالعات زیادی دربارۀ تاریخ نگاری عاشورا صورت گرفته است اما اثری که به طور جامع به منابع تاریخ نگاری عاشورا و تاریخ نگاری عاشورا در سده های اولیهٔ اسلامی پرداخته باشد، موجود نیست و در آثاری چون احیای ارزش ها در نهضت عاشورا نوشتۀ محمدجواد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نگاری عاشورا شیعیان از آغاز تا پایان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جواد یاوری، تاریخ نگاری عاشورا و گسترهٔ آن در تاریخ حدیث شیعه نوشتهٔ بتول اخوان رستمی،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مقتل نویسی و تاریخ نگاری عاشورا از آغاز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محسن رنجبر، به معرفی تاریخ نگاران عاشورا از ابتدا تاکنون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مقالهٔ حاضر به دلیل پرداختن به منابع تاریخ نگاری عاشورا شیعیان در این برههٔ زمانی دارای نوآوری است</w:t>
      </w:r>
      <w:r>
        <w:rPr>
          <w:rFonts w:eastAsia="IRNazanin" w:cs="IRNazanin"/>
          <w:color w:val="111111"/>
          <w:sz w:val="28"/>
          <w:szCs w:val="28"/>
          <w:rtl w:val="true"/>
          <w:lang w:bidi="fa-IR"/>
        </w:rPr>
        <w:t>.</w:t>
      </w:r>
    </w:p>
    <w:p>
      <w:pPr>
        <w:pStyle w:val="Heading4"/>
        <w:numPr>
          <w:ilvl w:val="3"/>
          <w:numId w:val="1"/>
        </w:numPr>
        <w:rPr/>
      </w:pPr>
      <w:bookmarkStart w:id="46" w:name="__RefHeading___Toc1744162_2870459653"/>
      <w:bookmarkStart w:id="47" w:name="_Toc17"/>
      <w:bookmarkEnd w:id="46"/>
      <w:r>
        <w:rPr/>
        <w:t>2</w:t>
      </w:r>
      <w:r>
        <w:rPr>
          <w:rtl w:val="true"/>
        </w:rPr>
        <w:t xml:space="preserve">. </w:t>
      </w:r>
      <w:r>
        <w:rPr>
          <w:rtl w:val="true"/>
        </w:rPr>
        <w:t>مفهوم تاریخ نگاری عاشورا</w:t>
      </w:r>
      <w:bookmarkEnd w:id="4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نگاری عاشورا در ادبیات دینی به مقتل نگاری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نگاری به ضبط روایات و قصص شخصیت های دینی و اسلامی و یاران آنان، که منجر به قتل آنان گردیده است،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مقتل نگاری نوعی از تاریخ نگاری است که چگونگی قتل و شهادت بزرگان دین اسلام را تشریح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قرن دوم هجری این اصطلاح به نوشتن دربارۀ عاشورا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w:t>
      </w:r>
      <w:r>
        <w:rPr>
          <w:rFonts w:eastAsia="IRNazanin" w:cs="IRNazanin"/>
          <w:color w:val="111111"/>
          <w:sz w:val="28"/>
          <w:szCs w:val="28"/>
          <w:rtl w:val="true"/>
          <w:lang w:bidi="fa-IR"/>
        </w:rPr>
        <w:t xml:space="preserve">. </w:t>
      </w:r>
      <w:bookmarkStart w:id="48" w:name="pg8975_113863"/>
    </w:p>
    <w:p>
      <w:pPr>
        <w:pStyle w:val="BookText"/>
        <w:rPr/>
      </w:pPr>
      <w:bookmarkEnd w:id="48"/>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فراوان این موضوع برای شیعیان، نگارش مقتل ها مورد توجه تاریخ نگاران قرار گرفت و منجر به تألیف کتاب های گوناگونی در زمینهٔ واقعهٔ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این آثار تاریخ نگاری عاشورا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مقتل نگاری یا مقتل نویسی عنوان خاص تاریخ نگاری عاشورا است و از این جهت که یک شرح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است، برای شیعیان دارای اهمیت است و می تواند برای فهم ظلم و ستمی که در طول قرون نسبت به شیعیان شده است، کمک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49" w:name="__RefHeading___Toc1744164_2870459653"/>
      <w:bookmarkStart w:id="50" w:name="_Toc18"/>
      <w:bookmarkEnd w:id="49"/>
      <w:r>
        <w:rPr/>
        <w:t>3</w:t>
      </w:r>
      <w:r>
        <w:rPr>
          <w:rtl w:val="true"/>
        </w:rPr>
        <w:t xml:space="preserve">. </w:t>
      </w:r>
      <w:r>
        <w:rPr>
          <w:rtl w:val="true"/>
        </w:rPr>
        <w:t>تأملی در منابع و تاریخ نگاری عاشورا در دو قرن نخستین اسلامی</w:t>
      </w:r>
      <w:bookmarkEnd w:id="50"/>
    </w:p>
    <w:p>
      <w:pPr>
        <w:pStyle w:val="BookText"/>
        <w:rPr/>
      </w:pPr>
      <w:r>
        <w:rPr>
          <w:rFonts w:ascii="IRNazanin" w:hAnsi="IRNazanin" w:eastAsia="IRNazanin"/>
          <w:color w:val="111111"/>
          <w:sz w:val="28"/>
          <w:sz w:val="28"/>
          <w:szCs w:val="28"/>
          <w:rtl w:val="true"/>
          <w:lang w:bidi="fa-IR"/>
        </w:rPr>
        <w:t>شهادت مظلومانهٔ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شیوه ای از تاریخ نگاری را در جهان اسلام پدید آورد که به مقتل نگاری و تاریخ نگاری عاشورا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شیعیان و نویسندگان شیعه، نوشتن دربارۀ چگونگی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راوظیفه ای دینی تلقی کردند و آثار زیادی در این زمینه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نویسندگان، بر اساس منابع موثق متنوع، به گزارش واقعهٔ عاشورا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مهم ترین منابع تاریخ نگاران عاشورا در دو قرن اول اسلامی پرداخته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تاریخ نگاران عاشورا از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عاشورا در نگارش آثار خود به احادیث و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خوش نشان داده اند و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اصلی ترین منابعِ مورد توجه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حدیث و روایت های شیعه و حتی منابع اهل سنت بر این نکته اتفاق نظر دارند که جبرئیل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آورده است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شهادت او را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و شهرستانی برای اثبات این موضوع روایتی را به شرح زیر آورده اند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وحی وارد شد و بر پشت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بر بازوان تکیه کرده بود نشست و مشغول بازی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امت تو بعد از تو فتنه بپا می کنند و این فرزندت را بعد </w:t>
      </w:r>
    </w:p>
    <w:p>
      <w:pPr>
        <w:pStyle w:val="BookText"/>
        <w:rPr/>
      </w:pPr>
      <w:r>
        <w:rPr>
          <w:rFonts w:ascii="IRNazanin" w:hAnsi="IRNazanin" w:eastAsia="IRNazanin"/>
          <w:color w:val="111111"/>
          <w:sz w:val="28"/>
          <w:sz w:val="28"/>
          <w:szCs w:val="28"/>
          <w:rtl w:val="true"/>
          <w:lang w:bidi="fa-IR"/>
        </w:rPr>
        <w:t>از تو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دست دراز کرد مقداری خاک سفید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فرزندت را می کشند که اسم آن 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وقتی جبرئیل رفت پیامبر درحالی که آن خاک در دستش بود در حالت گریه به سوی اصحاب آمد و فرمود جبرئیل به من خبر داد که فرزندم حسین بعد از من در زمین طف کشته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شیعه و سنی روایات بسیاری دربارۀ خبر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عاشورا به اطرافیان و خانوادهٔ خود و گریستن آن حضرت به یاد واقعهٔ عاشورا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احادیث مشهوری روایت شده است که پس از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آغوش گرفت و حین نوازش او می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روایت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مناسبت های مختلف از اولین ساعات تولد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شهادت مظلومانهٔ او را برای خانواده، صحابه و اطرافیان نقل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بیشتر تاریخ نگاران عاشورا در دو قرن نخستین اسلامی به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و این احادیث در زمرۀ منابع تاریخ نگاران عاشورا در قرون بعدی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تاریخ نگاران عاشورا از نامه ها و خطبه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مهم و اصلی برای بررسی وضعیت جامعهٔ عصر امویان نامه ها و خطبه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آغاز حرکت خود به سوی کربلا، نامه ها و خطبه های زیادی را ارسال و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و خطبه ها، که اوضاع سیاسی و تاریخی عصر عاشورا را به تصویر می کشند، برای فهم فلسفهٔ عاشورا اهمیت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مشهورترین نامه هایی که در بسیاری از منابع و همچنین در بیشتر منابع تاریخ نگاری عاشورا از آن یاد شده است، نامهٔ امام به کوفیان قبل از حرکت به سمت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های کوفیان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فآن هانئاً وسعیداً قدما عَلی بکتبکم، وأنا باعث إلیکم أخی وابن عمّی وثقتی </w:t>
      </w:r>
    </w:p>
    <w:p>
      <w:pPr>
        <w:pStyle w:val="BookText"/>
        <w:rPr/>
      </w:pPr>
      <w:r>
        <w:rPr>
          <w:rFonts w:ascii="IRNazanin" w:hAnsi="IRNazanin" w:eastAsia="IRNazanin"/>
          <w:color w:val="111111"/>
          <w:sz w:val="28"/>
          <w:sz w:val="28"/>
          <w:szCs w:val="28"/>
          <w:rtl w:val="true"/>
          <w:lang w:bidi="fa-IR"/>
        </w:rPr>
        <w:t>من اهل بیتی مسلم بن عقیل، فإن کتب إلی أنّه قد اجتمع رأی ملأکم وذوی الحجی والفضل منکم علی مثل ما قدمت به رسلکم وقرأت فی کتبکم، فإنّی أقدم إلیکم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هانی و سعید نامه های شما را آوردند و من هم متوجه هدف شما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پسر عمو برادر مورد اطمینان خودم را که از اهل بیت من است، به نام مسلم بن عقیل به سوی شما می فرستم تا اوضاع شما را برای من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نمایندهٔ من اجتماع شما را ببیند و برای من گزارش کند، آن وقت من به سوی شما حرکت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برخی از نویسندگان واقعهٔ عاشورا، نامه های کوفیان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تعداد بیعت کنندگان کوفی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مهمی بوده است که عاشورانگاران بدان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آثار تاریخ نگاران عاشورا، تعداد بیعت کنندگان با امام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عنوان شده اند و تعداد نامه هایی که کوفیان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را نیز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و خطبه ها برای شناخت وضعیت جامعهٔ معاصر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اصلی تاریخ نگاران عاشورا به شمار می آید و این نویسندگان با آوردن آن ها در آثار خود سعی در اصالت بخشی گزارش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بیشتر در ثبت نامه ها و خطبه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حرکت به سوی کوفه خطبه های زیادی برای اصحاب خود ایراد فرمودند که تاریخ نگاران عاشورا در دو قرن نخستین اسلامی به آن ها به مثابهٔمنابع دست اول واقعۀ عاشورا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در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خطبۀ مشهور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واقعه عاشورا اشاره می نماید که این خطبه مورد توجه دیگر تاریخ نگاران عاشورا نیز قرار گرفته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این ها به پیروی از شیطان تن داده اند و اطاعت از خدای رحمان را رها کرده اند، آشکارا فساد می کنند، و به حدود الهی عمل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ء را به خود اختصاص داده اند، و حرام خدا را حلال و حلال خدا را حرام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تاریخ نگاران عاشورا از سخنان و خطبه های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پیامدهای مهم و سازندهٔ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دیگر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و انتقال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به شام موجب شد در شهرهای مختلف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و سخنانی دربارۀ واقعهٔ عاشورا ایراد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و خطبه ها نیز از منابع اصلی تاریخ نگاران عاشورا در دو قرن اول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منجر به آشکارسازی سیمای حکومت امویان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زیر که توسط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 در کتاب لهوف سیدبن طاووس و دیگر تاریخ نگاران عاشورا منعکس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الْقَوْمُ إِنَّ اللَّهَ وَ لَهُ الْحَمْدُ ابْتَلَانَا بِمَصَائِبَ جَلِیلَةٍ وَ ثُلْمَةٍ فِی الْإِسْلَامِ عَظِیمَةٍ قُتِلَ أَبُوعَبْدِ اللَّهِ الْحُسَینُ ع وَ عِتْرَتُهُ وَ سُبِی نِسَاؤُهُ وَ صِبْیتُهُ وَ دَارُوا بِرَأْسِهِ فِی الْبُلْدَانِ مِنْ فَوْقِ عَامِلِ السِّنَانِ وَ هَذِهِ الرَّزِیةُ الَّتِی لَیسَ مِثْلُهَا رَزِیةً أَیهَا النَّاسُ فَأَی رِجَالاتٍ مِنْکمْ یسَرُّونَ بَعْدَ قَتْلِهِ أَمْ أَی فُؤَادٍ لَا یحْزُنُ مِنْ أَجْلِهِ أَمْ أَیةُ عَینٍ مِنْکمْ تَحْبِسُ دَمْعَهَا وَ تَضَنُّ عَنِ انْهِما</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که ستایش مخصوص اوست، ما را به مصائبی گران، و شکافی بزرگ در اسلام مبتلا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 یارانش به شهادت رسیدند، و زنان و دخترانش به اسارت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مبارک او را بر نیزه ها در شهرها گردانیدند؛ و این آن رزیه و مصیبتی است که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کدام مرد از شماست که بعد از این شادمانی کند، یا کدام چشم است که از ریزش اشک خویشتن بدارد و از گریه بخل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و کاتبان بسیاری نیز داشتند که به واقعهٔ کربلا و ثبت وقایع آن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ابوحمزه ثمالی، سعیدبن جبیر، زیدبن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داوود بن یحیی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خطبه ها و سخنان کوبنده ای که در کوفه و شام علیه امویان ایراد نمودند، بر حکومت فاسد امویان تاختند و به شهادت مظلومانهٔ شهدای کربلا </w:t>
      </w:r>
    </w:p>
    <w:p>
      <w:pPr>
        <w:pStyle w:val="BookText"/>
        <w:rPr/>
      </w:pPr>
      <w:r>
        <w:rPr>
          <w:rFonts w:ascii="IRNazanin" w:hAnsi="IRNazanin" w:eastAsia="IRNazanin"/>
          <w:color w:val="111111"/>
          <w:sz w:val="28"/>
          <w:sz w:val="28"/>
          <w:szCs w:val="28"/>
          <w:rtl w:val="true"/>
          <w:lang w:bidi="fa-IR"/>
        </w:rPr>
        <w:t xml:space="preserve">اشاره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ها و سخنان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صبغهٔ روشنگری ایکه داشت اساس و بنیان حکومت امویان را به لرزه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ها از جمله منابع تاریخ نگاران عاشورا در دو قرن نخستین اسلامی بوده است که مورد توجه تاریخ نگاران عاشورا در قرون بعدی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به خطبه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تا شام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زینب دختر فاطمه از کنار قتلگاه برادرش می گذشت، درحالی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 آسمان بر تو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حسین است که زیر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سایه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به خاک و خون آغشته، و اعضایش قطعه قطعه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تاریخ نگاران عاشورا از رجزهای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 جملاتی با درون مایهٔ نثر و شعر بوده که جنگ آوران در میدان های نبرد می خواندند و معمولاً به دو صورت تک گویی و گفت وگوهای میان جنگ آوران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رجزخوانی برای بیان افتخارات، تحقیر دشمن و تأکید و اهمیت اصل و نسب به کار برده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رجز به عنوان یک رسانۀ سنتی در نبرد تأثیرگذار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الویری،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رجزخوانی در نبردهای اولیهٔ تاریخ اسلام به دلیل بُعد احساسی و تشویق لشکر به جنگ از اهمیت زیادی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رجزهایی که درواقعهٔ عاشورا 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ایراد شد بسیار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یکی از رجزهای معروف است که مورد توجه تاریخ نگاران در دو قرن نخستین اسلامی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زهیربن قین سوار بر اسب خویش بیرون آمد و فریاد کرد ای مردم کوفه شما را از عذاب خدا بیم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باد شما را، ای بندگان خدا،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و یاری سزاوارترند از فرزندان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اینان را یاری نمی کنید، با ایشان نجنگید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امروز بر روی زمین پسر و دختر پیغمبری جز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نمانده و هیچکس بر کشتن او گرچه به یک کلمه باشد یاری ندهد؛ </w:t>
      </w:r>
    </w:p>
    <w:p>
      <w:pPr>
        <w:pStyle w:val="BookText"/>
        <w:rPr/>
      </w:pPr>
      <w:r>
        <w:rPr>
          <w:rFonts w:ascii="IRNazanin" w:hAnsi="IRNazanin" w:eastAsia="IRNazanin"/>
          <w:color w:val="111111"/>
          <w:sz w:val="28"/>
          <w:sz w:val="28"/>
          <w:szCs w:val="28"/>
          <w:rtl w:val="true"/>
          <w:lang w:bidi="fa-IR"/>
        </w:rPr>
        <w:t xml:space="preserve">مگر آنکه خدا دنیا را بر او تلخ سازد و به دشوارترین شکنجه های آخرت عذابش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حربن یزید ریاحی نیز در واقعۀ کربلا رجزی تاثیر گذار ایراد نمود که ابومخنف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معروف ترین تاریخ نگاران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قرن نخستین به آن اشاره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تاریخ نگاران عاشورا از گزارش های افراد دشمن</w:t>
      </w:r>
    </w:p>
    <w:p>
      <w:pPr>
        <w:pStyle w:val="BookText"/>
        <w:rPr/>
      </w:pPr>
      <w:r>
        <w:rPr>
          <w:rFonts w:ascii="IRNazanin" w:hAnsi="IRNazanin" w:eastAsia="IRNazanin"/>
          <w:color w:val="111111"/>
          <w:sz w:val="28"/>
          <w:sz w:val="28"/>
          <w:szCs w:val="28"/>
          <w:rtl w:val="true"/>
          <w:lang w:bidi="fa-IR"/>
        </w:rPr>
        <w:t>واقعهٔ عاشورا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به قدری مظلومانه و غم انگیز بود که حتّی برخی افراد دشمن را نیز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سپاهیان دشمن اشخاصی چون حمیدبن مسلم و شبث ربعی با انگیزه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عذاب وجدان، تفاخر و کسب جاه و مال، برخی از وقایع روز عاشورا را نقل کردند و تاریخ نگاران عاشورا نیز به نگارش آن روایت هاپرداختند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زبان یکی دشمنان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شهادت طلبی و ایثار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بر ما قیام کردند که دست هایشان بر قبضه های شمشیرشان بود؛ همچون شیران شرزه از چپ و راست سواران شجاع را از پا در می آوردند و خویشتن را به کام مرگ افکنده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امان می پذیرفتند و نه رغبتی به مال داشتند و هیچ چیز نمی توانست میان آنان وارد شدن در دام مرگ یا چیرگی بر ملک مانع شود و اگر اندکی دست بر می داشتیم با تمام جان لشکر را نابود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قره بن قیس تمیمی حنظلی از سپاهیان دشمن به گزارش برخی از وقایع عاشورا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نگاران عاشورا در دو قرن نخستین به گزارش های او دربارۀ واقعه عاشورا توجه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تاریخ نگاران عاشورا از گزارش بازماندگان و اسیرشدگان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منابع تاریخ نگاران عاشورا نقل های اسیران و بازماندگان واقعهٔ عاشورا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دربارۀ بازماندگان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گوناگونی ارائه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اسیران واقعۀ کربلا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نگاران عاشورا به اسارت امام و همچنین گزارش واقعۀ عاشورا بر پایۀ سخنان امام سجاد پرداخته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عقبةبن سمعان از اسیرشدگان و اصحاب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دلیل که از غلامان به شمار می آمد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مخنف از نخستین تاریخ نگاران عاشورا، از روایت های عقبةبن سمعان استفاده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عقبةبن سمعان در قرون بعد نیز مورد توجه دیگر تاریخ نگاران عاشورا قرار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از دیگر اسیران واقعۀ عاشورا دو تن از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تن معروف به حسن مثنی و داماد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عاشورا چنان با دشمن مبارزه کرد که پیکرش زخم های کاری برداشت و دشمن گمان کرد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زنده ماند و اسیر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افرادی که در واقعهٔ کربلا حضور داشت و به شهادت نرسید، ضحاک بن عبدالله بود که تا آخرین لحظه مبارزه کرد اما در پایان با شرایطی که فراهم آمد از چنگ دشمن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واقعهٔ عاشورا از روایت گران مهم عاشورا محسوب می شود که ابومخنف از او روایات بسیاری 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او در مقتل الحسین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حاضر در واقعهٔ کربلا که شاهدان آن حادثه بودند و همچنین اعضای خانوادهٔ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حادثه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از زبان ابی مخنف وقایع عاشورا را نقل کرده و به او استناد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7/3008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عاشورا در دو قرن نخستین اسلامی از گزارش های زنان اسیرشده از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بنت الحسین نیز در آثار خود استفاده نموده اند که نشان از توجه اسیران به نقل واقعۀ عاشورا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هریک از اسیران کربلا چنانچه موقعیتی مهیا می شد به افشاگری می پرداختند و اخبار و اتفاقات خونبار را نقل می کردند و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شهیدان کربلا را به تصویر می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آقایی،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51" w:name="pg8975_113870"/>
    </w:p>
    <w:p>
      <w:pPr>
        <w:pStyle w:val="Heading4"/>
        <w:numPr>
          <w:ilvl w:val="3"/>
          <w:numId w:val="1"/>
        </w:numPr>
        <w:rPr/>
      </w:pPr>
      <w:bookmarkStart w:id="52" w:name="__RefHeading___Toc1744166_2870459653"/>
      <w:bookmarkStart w:id="53" w:name="_Toc19"/>
      <w:bookmarkEnd w:id="51"/>
      <w:bookmarkEnd w:id="52"/>
      <w:r>
        <w:rPr/>
        <w:t>4</w:t>
      </w:r>
      <w:r>
        <w:rPr>
          <w:rtl w:val="true"/>
        </w:rPr>
        <w:t xml:space="preserve">. </w:t>
      </w:r>
      <w:r>
        <w:rPr>
          <w:rtl w:val="true"/>
        </w:rPr>
        <w:t>معروف ترین تاریخ نگاران عاشورا در دو قرون نخستین اسلامی</w:t>
      </w:r>
      <w:bookmarkEnd w:id="53"/>
    </w:p>
    <w:p>
      <w:pPr>
        <w:pStyle w:val="BookText"/>
        <w:rPr/>
      </w:pPr>
      <w:r>
        <w:rPr>
          <w:rFonts w:ascii="IRNazanin" w:hAnsi="IRNazanin" w:eastAsia="IRNazanin"/>
          <w:color w:val="111111"/>
          <w:sz w:val="28"/>
          <w:sz w:val="28"/>
          <w:szCs w:val="28"/>
          <w:rtl w:val="true"/>
          <w:lang w:bidi="fa-IR"/>
        </w:rPr>
        <w:t>توجه و تأکید قرآن به تاریخ و قصص تاریخی و عبرت آموزی باعث شد نویسندگان مسلمانان به ضبط و تدوین تاریخ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نیز با رویکرد اعتقادی خود تاریخ نگاری را آغاز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مسلمانان لزوم کتابت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شیعیآن هم به موازات اهل سنت به نوشتن آثار پرداختند و اصحاب بزرگی چون سلمان فارسی، ابوذر غفاری و ابورافع قبطی نخستین تلاش ها را در زمینۀ تألیف کتاب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محققان تعداد کتاب هایی را که شیعیان تا زمان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بالغ بر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مورخان شیعی از اصحاب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آمدند و از دلایل مهم گرایش شیعیان به تاریخ نگاری و نوشتن تاریخ اعتقادی خود، توجه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این امر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خطاب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لزوم توجه به دانش تاریخ تأکید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ابی رافع کاتب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ایشان در جنگ های جمل، صفین و نهروان حضور داشت و آنچه را که در این نبردها رخ می داده است ثبت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شیعه، تاریخ نگاری را با رویکرد خاص و توجه به موضوعات گوناگون سیرهٔ نبوی، جنگ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وقایع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نگاری عاشورا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عاشورا و زنده نگهداشتن یاد و نام شهدای کربلا پس از آن واقعه، همواره مورد توجه تاریخ نگاران و نویسندگان شیعه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قرن نخستین اسلامی، به دلیل نزدیکی به زمان حادثه، آثار تاریخ نگاران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آنان از شاگردان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شیعی در این دو قرن نخستین عاشوراپژوهان تاریخ اسلام به شمار می آمدند و تلاش های آن ها باعث رونق و اهمیت تاریخ نگاری عاشورا در سده های بعد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معروف ترین تاریخ نگاران عاشورا در دو قرن نخستین اسلامی پرداخته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w:t>
      </w:r>
    </w:p>
    <w:p>
      <w:pPr>
        <w:pStyle w:val="BookText"/>
        <w:rPr/>
      </w:pPr>
      <w:r>
        <w:rPr>
          <w:rFonts w:ascii="IRNazanin" w:hAnsi="IRNazanin" w:eastAsia="IRNazanin"/>
          <w:color w:val="111111"/>
          <w:sz w:val="28"/>
          <w:sz w:val="28"/>
          <w:szCs w:val="28"/>
          <w:rtl w:val="true"/>
          <w:lang w:bidi="fa-IR"/>
        </w:rPr>
        <w:t>اصبغ بن نباته المجاشعی التمیمی الحنظلی از یاران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روایت هایی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او را از اصحاب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تاریخ نگار عاشورا است و کتاب او نخستین اثر در زمینۀ تاریخ نگاری عاشورا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رجال خود دربارۀ او چنین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خاصة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بعده؛ او از اصحاب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 از او نیز در قید حیات بوده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وی این گونه گزارش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عهد مالک بن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عهده الیه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ولاه مصر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ابنه محمد بن الحنفیة؛ اصبغ بن نباته روایت می کند عهدنامه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والی مصر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وصیت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پسرش محمد بن حنفیه نیز روایت شده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از نخستین افرادی است که کتابی به نام مقتل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در مقتل الطالبین که دربارۀ واقعهٔ کربلا نگاشته شده است؛ از فرزند او به نام قاسم بن اصبغ بن نباته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متأسفانه در منابع تاریخی زمان دقیقی برای تولد وفات اصبغ بن نباته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ابوعبدالله الجعفی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جابربن یزید که شیخ طوسی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قبیله ازد می داند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مفسر و مورخ شیعه و 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تفسیر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تفرشی،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بزرگانشیعه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دربارۀ او در رجال خود چنین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لقی أباجعفر و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أیامه سنة ثمان و عشرین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اباجعفر و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نمود و در زمان اباعبدالله در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جابربن جعفی آنچنان در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بوده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بر او رحمت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نقل سخنان و احادیث صادق و موثق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چند مقتل به نام های کتاب الجمل،کتاب صفین، نهروان، مقتل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مورخان و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موثق دانسته و از او روایت هایی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نصربن مزاحم و ابن ابی الحدید نیز از آثار او روایاتی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ناجی،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سزگین در کتاب التراث العربی وی را از مورخان و مفسران شیعه دانسته است وفات جابر را بین سالهای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سزگین،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بن سعیدبن مخنف بن سلیم ازدی</w:t>
      </w:r>
    </w:p>
    <w:p>
      <w:pPr>
        <w:pStyle w:val="BookText"/>
        <w:rPr/>
      </w:pPr>
      <w:r>
        <w:rPr>
          <w:rFonts w:ascii="IRNazanin" w:hAnsi="IRNazanin" w:eastAsia="IRNazanin"/>
          <w:color w:val="111111"/>
          <w:sz w:val="28"/>
          <w:sz w:val="28"/>
          <w:szCs w:val="28"/>
          <w:rtl w:val="true"/>
          <w:lang w:bidi="fa-IR"/>
        </w:rPr>
        <w:t>ابی مخنف از اصحاب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روایاتی نیز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مورخان و تاریخ نگاران عاشورا در عصر اموی بوده که ارادت خاصی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او را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تفضلی،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نجاشی،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الفهرست پدر او، یحیی، را از یاران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 مندی ابی مخنف به ثبت اخبار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زمرۀ شیعیان محبتی قرار داده اند اما برخی از رجال نویسان شیعه دربارۀ شیعه بودن وی سکوت اختیار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مخنف بن سلیم جد ابومخنف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راویان حدیث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آغاز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پیوست و در نبرد جمل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مخنف موجب شد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عنوان کارگزار خود بر همدان و اصفهان تعیین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زرگری نژاد،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بنا به دلایلی در واقعۀ کربلا حضور نداشت و در ماجرای توابین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ابن عدی مورخ اهل سنت که لوط بن سعید را شیعی افراطی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علمای اهل سنت، که پیروان حقیقی خاندان رسالت را به عنوان رافضی مهر می زدند، بر ابی مخنف چنین تهمتی نزده اند </w:t>
      </w:r>
      <w:bookmarkStart w:id="54" w:name="pg8975_113873"/>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 غروی،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مخنف نویسندهٔ پرکاری بود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 که مهم ترین آن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محمدبن ابی بکر، مقتل الاشتر، مقتل محمدبن حذیفه، مقتل حجربن عدی، مقتل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توان مندی وی باید متذکر شد که ابی مخنف چون متولد و متوفی کوفه بوده است، در امر عراق و فتوحات هم تبحر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ابی مخنف در مقتل الحسین شامل راویان حاضر در واقعهٔ کربلا و همچنین اعضای خانوادۀ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واقعه بودند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مقتل الحسین ابی مخنف استفاده از روایات متعدد و گوناگون است که وی در باب یک حادثه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وی راوی ای هست که به دور از عصبیت های قومی و فرقه ای به نقل واقعهٔ عاشورا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زرگری نژاد،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جعفربن عفان طایی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طائی شاعر و مرثیه سرای شیعی و کوفی و معاصر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ای در باب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گریستن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اینک خدا بهشت را بر تواجب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گرمارودی،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جمله تاریخ نگاران عاشورا در قرن دوم بوده است که واقعۀ عاشورا را به نظم و نثر ایراد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کتابی به نام المراثی داشته که به احتمال زیاد صد برگ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55" w:name="__RefHeading___Toc1744168_2870459653"/>
      <w:bookmarkStart w:id="56" w:name="_Toc20"/>
      <w:bookmarkEnd w:id="55"/>
      <w:r>
        <w:rPr>
          <w:rtl w:val="true"/>
        </w:rPr>
        <w:t>نتیجه</w:t>
      </w:r>
      <w:bookmarkEnd w:id="5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کربلا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منجر به شهادت ایشان و اسارت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اگرچه برای شیعیان بسیار اندوه بار بود اما خود نقطهٔ عطفی در تاریخ تشیع به شمار می آید و در تکوین تشیع بیشترین سهم را ایفا کرده است و تأثیر فراوانی بر جوامع شیعه در قرون بعد گذاشت که این تأثیرات تا به امروز نیز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p>
    <w:p>
      <w:pPr>
        <w:pStyle w:val="BookText"/>
        <w:rPr/>
      </w:pPr>
      <w:r>
        <w:rPr>
          <w:rFonts w:ascii="IRNazanin" w:hAnsi="IRNazanin" w:eastAsia="IRNazanin"/>
          <w:color w:val="111111"/>
          <w:sz w:val="28"/>
          <w:sz w:val="28"/>
          <w:szCs w:val="28"/>
          <w:rtl w:val="true"/>
          <w:lang w:bidi="fa-IR"/>
        </w:rPr>
        <w:t>فرهنگ جدیدی پدید آورد و دین اسلام را احیا نمود تا بازگشتی به هویت دینی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تمام حوزه های اخلاقی، فرهنگی و سیاسی الگوی شیعیان قرارگرفت و در همان روزهای بعد ازعاشورا آثار عملی آن ظاهر شد و بنیان های حکومت اموی را به لرزه انداخت و در نهایت طومار حکومت بنی امیه را در هم پیچید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تاریخ نویسی مقتل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نشان دادن ظلم و ستمی که بر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با تأکید و تشویق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اجتماعی جامعۀ شیعه از قرن دوم هجری قمری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این کتاب ها توسط مورخان و عالمان شیعه ادامه یافت و مقتل ها به دیگر نواحی شیعه نشین راه یافتند و در دورانی که محدودیت شدیدی بر شیعیان اعمال می شد، باعث زنده نگه داشتن هویت تشیع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هجری قمری تاریخ نگاری عاشورا بر اساس شواهد و مدارک معتبری نگاشته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تاریخ نگاران عاشورا در تألیف مقتل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احادیث در بسیاری از آثار تاریخ نگاران عاشورا در قرون اول و دوم اسلامی موجود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خطبه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نامه های رد و بدل شده بین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کوفه بیان گر اوضاع سیاسی دوره امویان است که تاریخ نگاران عاشورا از آن ها در گزارش وقایع عاشورا سود برده اند و با آوردن متن نامه ها کمک فراوانی به شناخت این واقعه کرده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رجزهای عاشورایی اصحاب و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عاشورا با آوردن این رجزها روحیه شهادت طلبی و ایثار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تصویر کشیدند؛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خطبه های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منابع مهم و تاثیرگذار گزارش گران عاشورا خطبه های سیاسی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خطبه ها در آثار تاریخ نگاران عاشورا در دو قرن اول اسلامی مشهود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منقول از همراهان و اهل بیت امام که شهید نشدند هم از دیگر منابع تاریخ نگاران عاشورا است که به عنوان نظاره گران حادثه برای گزارش گران عاشورا دارای اهمیت بوده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سپاه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سپاه دشمن بعد از واقعهٔ کربلا از روی پشیمانی و برخی نیز برای تفاخر و همچنین تعصب به نقل واقعۀ کربلا پرداختند از منابع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نگاران عاشورا در دو قرن اول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مقتل نگاران این دوره اصبغبن نباته، جابربن یزید الجعفی، لوط بن سعید معروف به ابی مخنف و جعفربن عفان طایی بودند که آثار گران قدر آنان سرمشق تاریخ نگاران عاشورا در قرون بعدی قرار گرفت</w:t>
      </w:r>
      <w:r>
        <w:rPr>
          <w:rFonts w:eastAsia="IRNazanin" w:cs="IRNazanin"/>
          <w:color w:val="111111"/>
          <w:sz w:val="28"/>
          <w:szCs w:val="28"/>
          <w:rtl w:val="true"/>
          <w:lang w:bidi="fa-IR"/>
        </w:rPr>
        <w:t xml:space="preserve">. </w:t>
      </w:r>
      <w:bookmarkStart w:id="57" w:name="pg8975_113876"/>
    </w:p>
    <w:p>
      <w:pPr>
        <w:pStyle w:val="Heading3"/>
        <w:numPr>
          <w:ilvl w:val="2"/>
          <w:numId w:val="1"/>
        </w:numPr>
        <w:rPr/>
      </w:pPr>
      <w:bookmarkStart w:id="58" w:name="__RefHeading___Toc1744170_2870459653"/>
      <w:bookmarkStart w:id="59" w:name="_Toc21"/>
      <w:bookmarkEnd w:id="57"/>
      <w:bookmarkEnd w:id="58"/>
      <w:r>
        <w:rPr>
          <w:rtl w:val="true"/>
        </w:rPr>
        <w:t>منابع</w:t>
      </w:r>
      <w:r>
        <w:rPr>
          <w:rtl w:val="true"/>
        </w:rPr>
        <w:t>:</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عزالدین ابوحامد عبدالحمید</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تحقیق محمد 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احیاءالکتب العربیة؛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طاهر دزفولی،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محمدجواد ذهنی تهرانی،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پیام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محمدبن اسحاق</w:t>
      </w:r>
      <w:r>
        <w:rPr>
          <w:rFonts w:eastAsia="IRNazanin" w:cs="IRNazanin"/>
          <w:color w:val="111111"/>
          <w:sz w:val="28"/>
          <w:szCs w:val="28"/>
          <w:rtl w:val="true"/>
          <w:lang w:bidi="fa-IR"/>
        </w:rPr>
        <w:t>.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رضا تجدد،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ابن سینا؛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نما حلی، جعفربن محمد</w:t>
      </w:r>
      <w:r>
        <w:rPr>
          <w:rFonts w:eastAsia="IRNazanin" w:cs="IRNazanin"/>
          <w:color w:val="111111"/>
          <w:sz w:val="28"/>
          <w:szCs w:val="28"/>
          <w:rtl w:val="true"/>
          <w:lang w:bidi="fa-IR"/>
        </w:rPr>
        <w:t>.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مثیرالاحزان،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ابومخنف کوفی، لوط بن یحیی</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الطف، ترجمه جواد سلیمانی، تصحیح محمدهادی یوسفی غروی،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رستمی، بتول</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عاشورا و گسترۀ آن در تاریخ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جهاد دانشگاهی؛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الطالبین، ترجمه سید 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نشر فرهنگ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سیدمحسن</w:t>
      </w:r>
      <w:r>
        <w:rPr>
          <w:rFonts w:eastAsia="IRNazanin" w:cs="IRNazanin"/>
          <w:color w:val="111111"/>
          <w:sz w:val="28"/>
          <w:szCs w:val="28"/>
          <w:rtl w:val="true"/>
          <w:lang w:bidi="fa-IR"/>
        </w:rPr>
        <w:t>.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کمال موسوی،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گنگره بین الملی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عاشورا،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التفرشی،مصطفی</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تفضلی،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جوان، مهین</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بزرگان ایران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انتشارات آستان قدس رضوی؛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نهضت عاشورا،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اعتماد؛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علی بن داود</w:t>
      </w:r>
      <w:r>
        <w:rPr>
          <w:rFonts w:eastAsia="IRNazanin" w:cs="IRNazanin"/>
          <w:color w:val="111111"/>
          <w:sz w:val="28"/>
          <w:szCs w:val="28"/>
          <w:rtl w:val="true"/>
          <w:lang w:bidi="fa-IR"/>
        </w:rPr>
        <w:t>.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چاپخانه دانشگاه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آقایی، محمود</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اسیران کربلا در پیروزی نهضت عاشورا، کیهان فرهنگی، شمارگان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w:t>
      </w:r>
      <w:r>
        <w:rPr>
          <w:rFonts w:eastAsia="IRNazanin" w:cs="IRNazanin"/>
          <w:color w:val="111111"/>
          <w:sz w:val="28"/>
          <w:szCs w:val="28"/>
          <w:rtl w:val="true"/>
          <w:lang w:bidi="fa-IR"/>
        </w:rPr>
        <w:t>.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الرجال الحدیث،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آثار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داداش نژاد، منصور</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نگاری شیعیان در سده های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تاریخ پژوهان، سال سوم، شماره دهم، صص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رنجبر، محسن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در آینه آمار و ارقام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تاریخ در آیینه پژوهش، شماره</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زرگری نژاد، غلامحسین</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 حسین و قیام کربلا،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العابدینی، رمضان</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و مکتب های تاریخ نگاری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چاپخش؛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فواد</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التراث العربی،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مطبعه بهمن؛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صالح</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اشکواره کربلا بررسی تاریخ عزاداری و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تا زمان ما،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صاحبی، محمدجواد</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ارزش ها در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بوستان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ضیایی، سیدعبدالحمید</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تحریفات عاشورا،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هزاره ققنوس؛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یا تاریخ الرسل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اساطیر؛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الحیدریه؛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محمدبن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المکتبة المرتضویة؛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محمدبن احمد</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ترجمه مهدوی دامغانی،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الویری، محسن</w:t>
      </w:r>
      <w:r>
        <w:rPr>
          <w:rFonts w:eastAsia="IRNazanin" w:cs="IRNazanin"/>
          <w:color w:val="111111"/>
          <w:sz w:val="28"/>
          <w:szCs w:val="28"/>
          <w:rtl w:val="true"/>
          <w:lang w:bidi="fa-IR"/>
        </w:rPr>
        <w:t>.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کارکرد ارتباطی رجزهای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فرهنگ ارتباطات،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محمدبن علی بن اعثم</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ترجمه احمد مستوفی هروی، غلامرضا طباطبایی مجد،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گرمارودی، سید محمد صادق و دیگران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چهارده معصوم، بی جا، انتشارات سرور؛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محرمی، غلامحسین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تشیع از پیدایش تا پایان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نشر هاجر؛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ناجی ،محمدرضا و دیگران</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تاریخ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کتاب مرجع؛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ابوالعباس</w:t>
      </w:r>
      <w:r>
        <w:rPr>
          <w:rFonts w:eastAsia="IRNazanin" w:cs="IRNazanin"/>
          <w:color w:val="111111"/>
          <w:sz w:val="28"/>
          <w:szCs w:val="28"/>
          <w:rtl w:val="true"/>
          <w:lang w:bidi="fa-IR"/>
        </w:rPr>
        <w:t>.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النشر الاسلامی التابعة لجماعة المدرسین؛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یاوری، جواد</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نگاری عاشورا شیعیان از آغاز تا پایان قرن پنجم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اسلام، سال هشتم، زمستان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احمدبن اسحاق</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ترجمه محمد ابراهیم آیتی،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علمی و فرهنگی؛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 غروی، هادی</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تاریخ کربلا ترجمه 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کرمی،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r>
        <w:rPr>
          <w:rFonts w:eastAsia="IRNazanin" w:cs="IRNazanin"/>
          <w:color w:val="111111"/>
          <w:sz w:val="28"/>
          <w:szCs w:val="28"/>
          <w:rtl w:val="true"/>
          <w:lang w:bidi="fa-IR"/>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8975_113880"/>
      <w:bookmarkStart w:id="61" w:name="pg8975_113880"/>
      <w:bookmarkEnd w:id="61"/>
    </w:p>
    <w:p>
      <w:pPr>
        <w:pStyle w:val="Heading2"/>
        <w:numPr>
          <w:ilvl w:val="1"/>
          <w:numId w:val="1"/>
        </w:numPr>
        <w:rPr/>
      </w:pPr>
      <w:bookmarkStart w:id="62" w:name="pg8975_113880"/>
      <w:bookmarkStart w:id="63" w:name="__RefHeading___Toc1744172_2870459653"/>
      <w:bookmarkStart w:id="64" w:name="_Toc22"/>
      <w:bookmarkEnd w:id="62"/>
      <w:bookmarkEnd w:id="63"/>
      <w:r>
        <w:rPr>
          <w:rtl w:val="true"/>
        </w:rPr>
        <w:t>تبیین اعلام جغرافیایی مسیر کاروان حسینی با تأکید بر کتاب ارشاد شیخ مفید</w:t>
      </w:r>
      <w:r>
        <w:rPr>
          <w:rtl w:val="true"/>
        </w:rPr>
        <w:t>(</w:t>
      </w:r>
      <w:r>
        <w:rPr>
          <w:rtl w:val="true"/>
        </w:rPr>
        <w:t>ره</w:t>
      </w:r>
      <w:r>
        <w:rPr>
          <w:rtl w:val="true"/>
        </w:rPr>
        <w:t>)</w:t>
      </w:r>
      <w:bookmarkEnd w:id="64"/>
    </w:p>
    <w:p>
      <w:pPr>
        <w:pStyle w:val="Heading3"/>
        <w:numPr>
          <w:ilvl w:val="2"/>
          <w:numId w:val="1"/>
        </w:numPr>
        <w:rPr/>
      </w:pPr>
      <w:bookmarkStart w:id="65" w:name="__RefHeading___Toc1744174_2870459653"/>
      <w:bookmarkStart w:id="66" w:name="_Toc23"/>
      <w:bookmarkEnd w:id="65"/>
      <w:r>
        <w:rPr>
          <w:rtl w:val="true"/>
        </w:rPr>
        <w:t xml:space="preserve">حسن فضل </w:t>
      </w:r>
      <w:r>
        <w:rPr>
          <w:rtl w:val="true"/>
        </w:rPr>
        <w:t xml:space="preserve">- </w:t>
      </w:r>
      <w:r>
        <w:rPr>
          <w:rtl w:val="true"/>
        </w:rPr>
        <w:t xml:space="preserve">دکتر اردشیر اسد بیگی </w:t>
      </w:r>
      <w:r>
        <w:rPr>
          <w:rtl w:val="true"/>
        </w:rPr>
        <w:t xml:space="preserve">- </w:t>
      </w:r>
      <w:r>
        <w:rPr>
          <w:rtl w:val="true"/>
        </w:rPr>
        <w:t>دکتر محمود دامغانی</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فضل</w:t>
      </w:r>
    </w:p>
    <w:p>
      <w:pPr>
        <w:pStyle w:val="BookText"/>
        <w:rPr/>
      </w:pPr>
      <w:r>
        <w:rPr>
          <w:rFonts w:eastAsia="Times New Roman" w:cs="Times New Roman" w:ascii="Times New Roman" w:hAnsi="Times New Roman"/>
          <w:color w:val="111111"/>
          <w:sz w:val="28"/>
          <w:szCs w:val="28"/>
          <w:lang w:val="en-US" w:bidi="en-US"/>
        </w:rPr>
        <w:t>Hf_1967_t@yahoo.com</w:t>
      </w:r>
    </w:p>
    <w:p>
      <w:pPr>
        <w:pStyle w:val="BookText"/>
        <w:rPr/>
      </w:pPr>
      <w:r>
        <w:rPr>
          <w:rFonts w:ascii="IRNazanin" w:hAnsi="IRNazanin" w:eastAsia="IRNazanin"/>
          <w:color w:val="111111"/>
          <w:sz w:val="28"/>
          <w:sz w:val="28"/>
          <w:szCs w:val="28"/>
          <w:rtl w:val="true"/>
          <w:lang w:bidi="fa-IR"/>
        </w:rPr>
        <w:t>دانشجوی دکترای تاریخ تمدل و ملل اسلامی،دانشگاه آزاد مشهد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اردشیر اسد بیگی</w:t>
      </w:r>
    </w:p>
    <w:p>
      <w:pPr>
        <w:pStyle w:val="BookText"/>
        <w:rPr/>
      </w:pPr>
      <w:r>
        <w:rPr>
          <w:rFonts w:eastAsia="Times New Roman" w:cs="Times New Roman" w:ascii="Times New Roman" w:hAnsi="Times New Roman"/>
          <w:color w:val="111111"/>
          <w:sz w:val="28"/>
          <w:szCs w:val="28"/>
          <w:lang w:val="en-US" w:bidi="en-US"/>
        </w:rPr>
        <w:t>Jafar.asadbeigi@gmail.com</w:t>
      </w:r>
    </w:p>
    <w:p>
      <w:pPr>
        <w:pStyle w:val="BookText"/>
        <w:rPr/>
      </w:pPr>
      <w:r>
        <w:rPr>
          <w:rFonts w:ascii="IRNazanin" w:hAnsi="IRNazanin" w:eastAsia="IRNazanin"/>
          <w:color w:val="111111"/>
          <w:sz w:val="28"/>
          <w:sz w:val="28"/>
          <w:szCs w:val="28"/>
          <w:rtl w:val="true"/>
          <w:lang w:bidi="fa-IR"/>
        </w:rPr>
        <w:t>عضو هیات علمی دانشگاه آزاد اسلامی مشهد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محمود دامغانی</w:t>
      </w:r>
    </w:p>
    <w:p>
      <w:pPr>
        <w:pStyle w:val="BookText"/>
        <w:rPr/>
      </w:pPr>
      <w:r>
        <w:rPr>
          <w:rFonts w:eastAsia="Times New Roman" w:cs="Times New Roman" w:ascii="Times New Roman" w:hAnsi="Times New Roman"/>
          <w:color w:val="111111"/>
          <w:sz w:val="28"/>
          <w:szCs w:val="28"/>
          <w:lang w:val="en-US" w:bidi="en-US"/>
        </w:rPr>
        <w:t>hassanfazl@yahoo.com</w:t>
      </w:r>
    </w:p>
    <w:p>
      <w:pPr>
        <w:pStyle w:val="BookText"/>
        <w:rPr/>
      </w:pPr>
      <w:r>
        <w:rPr>
          <w:rFonts w:ascii="IRNazanin" w:hAnsi="IRNazanin" w:eastAsia="IRNazanin"/>
          <w:color w:val="111111"/>
          <w:sz w:val="28"/>
          <w:sz w:val="28"/>
          <w:szCs w:val="28"/>
          <w:rtl w:val="true"/>
          <w:lang w:bidi="fa-IR"/>
        </w:rPr>
        <w:t>استاد بازنشسته دانشگاه فردوسی مشهد</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15/03/96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پذیرش</w:t>
      </w:r>
      <w:r>
        <w:rPr>
          <w:rFonts w:eastAsia="IRNazanin" w:cs="IRNazanin"/>
          <w:color w:val="111111"/>
          <w:sz w:val="28"/>
          <w:szCs w:val="28"/>
          <w:rtl w:val="true"/>
          <w:lang w:bidi="fa-IR"/>
        </w:rPr>
        <w:t>:</w:t>
      </w:r>
      <w:r>
        <w:rPr>
          <w:rFonts w:eastAsia="IRNazanin" w:cs="IRNazanin"/>
          <w:color w:val="111111"/>
          <w:sz w:val="28"/>
          <w:szCs w:val="28"/>
          <w:lang w:bidi="fa-IR"/>
        </w:rPr>
        <w:t>20/05/96</w:t>
      </w:r>
    </w:p>
    <w:p>
      <w:pPr>
        <w:pStyle w:val="Heading3"/>
        <w:numPr>
          <w:ilvl w:val="2"/>
          <w:numId w:val="1"/>
        </w:numPr>
        <w:rPr/>
      </w:pPr>
      <w:bookmarkStart w:id="67" w:name="__RefHeading___Toc1744176_2870459653"/>
      <w:bookmarkStart w:id="68" w:name="_Toc24"/>
      <w:bookmarkEnd w:id="67"/>
      <w:r>
        <w:rPr>
          <w:rtl w:val="true"/>
        </w:rPr>
        <w:t>چکیده</w:t>
      </w:r>
      <w:bookmarkEnd w:id="68"/>
    </w:p>
    <w:p>
      <w:pPr>
        <w:pStyle w:val="BookText"/>
        <w:rPr/>
      </w:pPr>
      <w:r>
        <w:rPr>
          <w:rFonts w:ascii="IRNazanin" w:hAnsi="IRNazanin" w:eastAsia="IRNazanin"/>
          <w:color w:val="111111"/>
          <w:sz w:val="28"/>
          <w:sz w:val="28"/>
          <w:szCs w:val="28"/>
          <w:rtl w:val="true"/>
          <w:lang w:bidi="fa-IR"/>
        </w:rPr>
        <w:t>موضوع مقالهٔ حاضر تبیین منازل مسیر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الارشاد فی معرفة حجج الله علی العباد دانشمند بزرگ شیعه، محمدبن محمدبن نعمان ملقب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نویسنده بر آن بوده که با پژوهش در متون کهن تاریخی و جغرافیایی سده های پیشین و سود جستن از منابع جدید، سیمایی از جغرافیای تاریخی این مناطق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تاکنون پژوهشگران و نویسندگان، تنها به بیان توضیحی کوتاه و مختصر دربارهٔ این جایگاه ها، و آن هم در</w:t>
      </w:r>
    </w:p>
    <w:p>
      <w:pPr>
        <w:pStyle w:val="BookText"/>
        <w:rPr/>
      </w:pPr>
      <w:r>
        <w:rPr>
          <w:rFonts w:ascii="IRNazanin" w:hAnsi="IRNazanin" w:eastAsia="IRNazanin"/>
          <w:color w:val="111111"/>
          <w:sz w:val="28"/>
          <w:sz w:val="28"/>
          <w:szCs w:val="28"/>
          <w:rtl w:val="true"/>
          <w:lang w:bidi="fa-IR"/>
        </w:rPr>
        <w:t>پانوشت کتاب ها، بسنده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از منظری دیگر به رخداد مهم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قیام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می نگرد و می تواند در بازشناسی وقایع عاشورا در مسیر کاروان حسینی به پژوهش گران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تعدادی از این منازل همچون گذشته، شهر یا روستایی با اهمیت و پر رونق محسوب می شوند امّا برخی از آن ها با گذر زمان، از نقشهٔ جغرافیایی حذف شده اند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ارشاد،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جغرافیایی </w:t>
      </w:r>
      <w:bookmarkStart w:id="69" w:name="pg8975_113881"/>
    </w:p>
    <w:p>
      <w:pPr>
        <w:pStyle w:val="Heading3"/>
        <w:numPr>
          <w:ilvl w:val="2"/>
          <w:numId w:val="1"/>
        </w:numPr>
        <w:rPr/>
      </w:pPr>
      <w:bookmarkStart w:id="70" w:name="__RefHeading___Toc1744178_2870459653"/>
      <w:bookmarkStart w:id="71" w:name="_Toc25"/>
      <w:bookmarkEnd w:id="69"/>
      <w:bookmarkEnd w:id="70"/>
      <w:r>
        <w:rPr>
          <w:rtl w:val="true"/>
        </w:rPr>
        <w:t>مقدمه</w:t>
      </w:r>
      <w:bookmarkEnd w:id="71"/>
    </w:p>
    <w:p>
      <w:pPr>
        <w:pStyle w:val="Heading4"/>
        <w:numPr>
          <w:ilvl w:val="3"/>
          <w:numId w:val="1"/>
        </w:numPr>
        <w:rPr/>
      </w:pPr>
      <w:bookmarkStart w:id="72" w:name="__RefHeading___Toc1744180_2870459653"/>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به دلیل خاتمه یافتن تعهدش نسبت به خلافت معاویه و از طرفی پیمان شکنی او جانشین قرار دادن یزید، حاضر به بیعت با او نشد چراکه حاضر نبود با زمامداری که به ارزش های دینی پایبند نیست،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 مکه را در پیش گرفت و ازآنجا ناخواسته راهی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بستگان و یاران در این مسیر از منازلی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و توجه به جایگاه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ارزندهٔ وی، پژوهش حاضر در پاسخ به این پرسش است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ارشاد در مسیر کاروان حسینی، از مدینه تا کربلا و سپس حرکت اسیران به همراه سرهای مبارک شهیدان، تا شهر دمشق، از چه منازلی یاد کرده و جغرافیای تاریخی آن ها چگونه است؟</w:t>
      </w:r>
    </w:p>
    <w:p>
      <w:pPr>
        <w:pStyle w:val="BookText"/>
        <w:rPr/>
      </w:pPr>
      <w:r>
        <w:rPr>
          <w:rFonts w:ascii="IRNazanin" w:hAnsi="IRNazanin" w:eastAsia="IRNazanin"/>
          <w:color w:val="111111"/>
          <w:sz w:val="28"/>
          <w:sz w:val="28"/>
          <w:szCs w:val="28"/>
          <w:rtl w:val="true"/>
          <w:lang w:bidi="fa-IR"/>
        </w:rPr>
        <w:t>گاه مطالعهٔ آثار تاریخی، حس کنجکاوی را بر می انگیزد و خوانندهٔ علاقه مند را وا می دارد که دربارهٔ مکان های یاد شده در متون، شناخت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مسیر کاروان حسینی کمتر مطمح نظر قرارگرفته و در این باره تحقیقی جامع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جغرافی نویسان و سیاحان سده های پیشین و تعدادی از نویسندگان متأخر در نگاشته های خود، به این مناطق اشاره کرده اند و از ویژگی های جغرافیایی همچون آب وهوا، کوه ها، جمعیت، مساحت، ارتفاع و فاصله های این مناطق تا دیگر آبادی های مسیر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عنایت به متون جدید می توان به ویژگی های کنونی بعضی از این مکان ها دسترسی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تعدادی از این منازل هم اکنون خالی از سکنه هستند وجود خارجی ندارند یا به بخش های دیگر پیوسته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اعلام جغرافیایی مسیر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مقاله یا کتابی منتشر نشده است و تنها متون تاریخی و کتاب هایی که در زمینهٔ نهضت عاشورا به رشتهٔ تحریر درآمده اند، به هنگام یادکرد از این مناطق، در پانوشت، توضیحاتی مختصر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دارد که بخشی از آن، به ویژه نقشه ها، در کتابی با نام اطلس غدیر و عاشورا به چاپ رسیده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مقالهٔ حاضر به شکل کتابخانه ای است و ابزار استفاده شده به صورت </w:t>
      </w:r>
      <w:bookmarkStart w:id="74" w:name="pg8975_113882"/>
    </w:p>
    <w:p>
      <w:pPr>
        <w:pStyle w:val="BookText"/>
        <w:rPr/>
      </w:pPr>
      <w:bookmarkEnd w:id="74"/>
      <w:r>
        <w:rPr>
          <w:rFonts w:ascii="IRNazanin" w:hAnsi="IRNazanin" w:eastAsia="IRNazanin"/>
          <w:color w:val="111111"/>
          <w:sz w:val="28"/>
          <w:sz w:val="28"/>
          <w:szCs w:val="28"/>
          <w:rtl w:val="true"/>
          <w:lang w:bidi="fa-IR"/>
        </w:rPr>
        <w:t>فیش برداری بوده است</w:t>
      </w:r>
      <w:r>
        <w:rPr>
          <w:rFonts w:eastAsia="IRNazanin" w:cs="IRNazanin"/>
          <w:color w:val="111111"/>
          <w:sz w:val="28"/>
          <w:szCs w:val="28"/>
          <w:rtl w:val="true"/>
          <w:lang w:bidi="fa-IR"/>
        </w:rPr>
        <w:t>.</w:t>
      </w:r>
    </w:p>
    <w:p>
      <w:pPr>
        <w:pStyle w:val="Heading4"/>
        <w:numPr>
          <w:ilvl w:val="3"/>
          <w:numId w:val="1"/>
        </w:numPr>
        <w:rPr/>
      </w:pPr>
      <w:bookmarkStart w:id="75" w:name="__RefHeading___Toc1744182_2870459653"/>
      <w:bookmarkStart w:id="76" w:name="_Toc27"/>
      <w:bookmarkEnd w:id="75"/>
      <w:r>
        <w:rPr/>
        <w:t>1</w:t>
      </w:r>
      <w:r>
        <w:rPr>
          <w:rtl w:val="true"/>
        </w:rPr>
        <w:t xml:space="preserve">. </w:t>
      </w:r>
      <w:r>
        <w:rPr>
          <w:rtl w:val="true"/>
        </w:rPr>
        <w:t>مدینه</w:t>
      </w:r>
      <w:bookmarkEnd w:id="76"/>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پیمانی که امام سلفش با معاویه بسته بود، متعهد ماند امّا با مرگ معاویه، حاضر نشد با فرزند او، یزید، دست بیعت دهد بنا بر این از مدینه راه مکه را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w:t>
      </w:r>
    </w:p>
    <w:p>
      <w:pPr>
        <w:pStyle w:val="BookText"/>
        <w:rPr/>
      </w:pPr>
      <w:r>
        <w:rPr>
          <w:rFonts w:ascii="IRNazanin" w:hAnsi="IRNazanin" w:eastAsia="IRNazanin"/>
          <w:color w:val="111111"/>
          <w:sz w:val="28"/>
          <w:sz w:val="28"/>
          <w:szCs w:val="28"/>
          <w:rtl w:val="true"/>
          <w:lang w:bidi="fa-IR"/>
        </w:rPr>
        <w:t>ظاهراً این شهر پیش از حضور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نامیده می شد امّا با ورود حضرت، مدینة النبی نام گرفت و بعد از آن 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و یثرب در قرآن کریم</w:t>
      </w:r>
    </w:p>
    <w:p>
      <w:pPr>
        <w:pStyle w:val="BookText"/>
        <w:rPr/>
      </w:pPr>
      <w:r>
        <w:rPr>
          <w:rFonts w:ascii="IRNazanin" w:hAnsi="IRNazanin" w:eastAsia="IRNazanin"/>
          <w:color w:val="111111"/>
          <w:sz w:val="28"/>
          <w:sz w:val="28"/>
          <w:szCs w:val="28"/>
          <w:rtl w:val="true"/>
          <w:lang w:bidi="fa-IR"/>
        </w:rPr>
        <w:t xml:space="preserve">واژهٔ مدینه، چهارده بار در قرآن کریم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مدائن، سه بار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واژگان به معنی شهر و برخی به معنی مدینة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لَئِن رَّجَعْنَا إِلَی الْمَدِینَة لَیخْرِجَنَّ الْأَعَزُّ مِنْهَا الْأَذَلَّ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مدینه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قدیمی آن، یثرب، تنها یک بار در قرآن کریم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شریف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قَالَت طَّائِفَةٌ مِّنْهُمْ یا أَهْلَ یثْرِبَ لَا مُقَامَ لَکمْ فَارْجِعُوا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مدینه</w:t>
      </w:r>
    </w:p>
    <w:p>
      <w:pPr>
        <w:pStyle w:val="BookText"/>
        <w:rPr/>
      </w:pPr>
      <w:r>
        <w:rPr>
          <w:rFonts w:ascii="IRNazanin" w:hAnsi="IRNazanin" w:eastAsia="IRNazanin"/>
          <w:color w:val="111111"/>
          <w:sz w:val="28"/>
          <w:sz w:val="28"/>
          <w:szCs w:val="28"/>
          <w:rtl w:val="true"/>
          <w:lang w:bidi="fa-IR"/>
        </w:rPr>
        <w:t>نام دیگر شهر،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فضل علوی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خردادبه،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طَیبَة الّتی بارکَ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لِخاتَمِ المُرسَلینا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زیدبن اسلم می گوید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مدینه ده نام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طَیبَة، طابَة، مِسکینة، جابرة، مجبورة، یثرب، ثیبور، الدار و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البلدان گفتهٔ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های مدینه، به شکلی دیگر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الباقیة، المُوَفّیة، المبارکة، المَحفُوفَة، المُحَرَّمة، العَذراء، طَیبَة، المِسکینَة، المُسلِمَة، المُقَدَّسَة، الشافیة و المَرزوقة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فقیه،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عقیده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یثرب هجرت کرد،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نمی تواند درست باشد زیرا نام مدینه و مدینة النبی را مردم شهر از زمان ورود پیامبر و شاید پیش از آن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شوق به استقبال حضرت آمده و با هم این شعر را زمزمه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البلادی،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8/1534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طلع البدر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ثنیات الوداع</w:t>
      </w:r>
    </w:p>
    <w:p>
      <w:pPr>
        <w:pStyle w:val="BookText"/>
        <w:rPr/>
      </w:pPr>
      <w:r>
        <w:rPr>
          <w:rFonts w:ascii="IRNazanin" w:hAnsi="IRNazanin" w:eastAsia="IRNazanin"/>
          <w:color w:val="111111"/>
          <w:sz w:val="28"/>
          <w:sz w:val="28"/>
          <w:szCs w:val="28"/>
          <w:rtl w:val="true"/>
          <w:lang w:bidi="fa-IR"/>
        </w:rPr>
        <w:t xml:space="preserve">وجب الشکر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لِله داع</w:t>
      </w:r>
    </w:p>
    <w:p>
      <w:pPr>
        <w:pStyle w:val="BookText"/>
        <w:rPr/>
      </w:pPr>
      <w:r>
        <w:rPr>
          <w:rFonts w:ascii="IRNazanin" w:hAnsi="IRNazanin" w:eastAsia="IRNazanin"/>
          <w:color w:val="111111"/>
          <w:sz w:val="28"/>
          <w:sz w:val="28"/>
          <w:szCs w:val="28"/>
          <w:rtl w:val="true"/>
          <w:lang w:bidi="fa-IR"/>
        </w:rPr>
        <w:t xml:space="preserve">جئت شرفت المدینه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خیر داع</w:t>
      </w:r>
    </w:p>
    <w:p>
      <w:pPr>
        <w:pStyle w:val="BookText"/>
        <w:rPr/>
      </w:pPr>
      <w:r>
        <w:rPr>
          <w:rFonts w:ascii="IRNazanin" w:hAnsi="IRNazanin" w:eastAsia="IRNazanin"/>
          <w:color w:val="111111"/>
          <w:sz w:val="28"/>
          <w:sz w:val="28"/>
          <w:szCs w:val="28"/>
          <w:rtl w:val="true"/>
          <w:lang w:bidi="fa-IR"/>
        </w:rPr>
        <w:t xml:space="preserve">معجم معالم الحجاز، نام های مدینه را بالغ بر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پایتخت نخستین دولت اسلامی</w:t>
      </w:r>
    </w:p>
    <w:p>
      <w:pPr>
        <w:pStyle w:val="BookText"/>
        <w:rPr/>
      </w:pPr>
      <w:r>
        <w:rPr>
          <w:rFonts w:ascii="IRNazanin" w:hAnsi="IRNazanin" w:eastAsia="IRNazanin"/>
          <w:color w:val="111111"/>
          <w:sz w:val="28"/>
          <w:sz w:val="28"/>
          <w:szCs w:val="28"/>
          <w:rtl w:val="true"/>
          <w:lang w:bidi="fa-IR"/>
        </w:rPr>
        <w:t>زمانی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مهاجرت کرد، این شهر پایتخت و کانون گسترش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برآمدن خلیفگان، با وجود در اختیار داشتن شهر مکه، باز هم مدینه مرکز خلافت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مدینه</w:t>
      </w:r>
    </w:p>
    <w:p>
      <w:pPr>
        <w:pStyle w:val="BookText"/>
        <w:rPr/>
      </w:pPr>
      <w:r>
        <w:rPr>
          <w:rFonts w:ascii="IRNazanin" w:hAnsi="IRNazanin" w:eastAsia="IRNazanin"/>
          <w:color w:val="111111"/>
          <w:sz w:val="28"/>
          <w:sz w:val="28"/>
          <w:szCs w:val="28"/>
          <w:rtl w:val="true"/>
          <w:lang w:bidi="fa-IR"/>
        </w:rPr>
        <w:t>این شهر درغرب شبه جزیرهٔ عربستان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از طریق منطقهٔ بدر تا دریای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قلزم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تا شهر مکه،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شهر از سطح دریا،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جغرافیایی آن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البلادی،</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شهر در تابستان بسیار گرم است و گاهی </w:t>
      </w:r>
      <w:bookmarkStart w:id="77" w:name="pg8975_113884"/>
    </w:p>
    <w:p>
      <w:pPr>
        <w:pStyle w:val="BookText"/>
        <w:rPr/>
      </w:pPr>
      <w:bookmarkEnd w:id="77"/>
      <w:r>
        <w:rPr>
          <w:rFonts w:ascii="IRNazanin" w:hAnsi="IRNazanin" w:eastAsia="IRNazanin"/>
          <w:color w:val="111111"/>
          <w:sz w:val="28"/>
          <w:sz w:val="28"/>
          <w:szCs w:val="28"/>
          <w:rtl w:val="true"/>
          <w:lang w:bidi="fa-IR"/>
        </w:rPr>
        <w:t xml:space="preserve">درجهٔ حرارت به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این دما 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کحاله،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شهر، موز، انگور، پرتقال و به ویژه خرما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البلادی،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8/1536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شهر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کوه های مهم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شمال شهر قرار دارد و طول آن از شرق تا غرب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رنگ آن به سرخی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های دیگر مدینه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عیر، بلندتر و بزرگتر است و در جنوب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ثور در شمال اٌحد قراردارد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کحاله،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آکام المرجان، از کوه دیگری به نام رَضوی هم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احسن التقاسیم به کاریزها و آب انبارهای شهر در سدهٔ چهارم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جغرافی نویسان به چهار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قناة، بُطحان، عقیق بزرگ و عقیق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1422:151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بارندگی، آب های این وادی ها پس از جمع شدن در درهٔ بنی سُلَیم به وادی غابه و سپس وادی اِضَم می رود و در دو چاه رومه و عُروه فرو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دمشقی،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مدینه</w:t>
      </w:r>
    </w:p>
    <w:p>
      <w:pPr>
        <w:pStyle w:val="BookText"/>
        <w:rPr/>
      </w:pPr>
      <w:r>
        <w:rPr>
          <w:rFonts w:ascii="IRNazanin" w:hAnsi="IRNazanin" w:eastAsia="IRNazanin"/>
          <w:color w:val="111111"/>
          <w:sz w:val="28"/>
          <w:sz w:val="28"/>
          <w:szCs w:val="28"/>
          <w:rtl w:val="true"/>
          <w:lang w:bidi="fa-IR"/>
        </w:rPr>
        <w:t>مسجدهای تاریخی مدینه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نبوی، مسجد جمعه، مسجد مصلی، مسجد غمامه، مسجد فتح، مساجد 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ذوقبلتین، مسجد بنی ظفر، مسجد السقیا، مسجد الاجابه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البحیر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الفضیح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کحاله،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شریف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مسجدالنبی و روضهٔ حضرت در جانب شرق، میان منبر و مرقد قراردارد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78" w:name="__RefHeading___Toc1744184_2870459653"/>
      <w:bookmarkStart w:id="79" w:name="_Toc28"/>
      <w:bookmarkEnd w:id="78"/>
      <w:r>
        <w:rPr/>
        <w:t>2</w:t>
      </w:r>
      <w:r>
        <w:rPr>
          <w:rtl w:val="true"/>
        </w:rPr>
        <w:t xml:space="preserve">. </w:t>
      </w:r>
      <w:r>
        <w:rPr>
          <w:rtl w:val="true"/>
        </w:rPr>
        <w:t>مکه</w:t>
      </w:r>
      <w:bookmarkEnd w:id="7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حاضر نبود با یزید بیعت کند؛ ازاین رو به جانب مکه رهسپارشد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w:t>
      </w:r>
    </w:p>
    <w:p>
      <w:pPr>
        <w:pStyle w:val="BookText"/>
        <w:rPr/>
      </w:pPr>
      <w:r>
        <w:rPr>
          <w:rFonts w:ascii="IRNazanin" w:hAnsi="IRNazanin" w:eastAsia="IRNazanin"/>
          <w:color w:val="111111"/>
          <w:sz w:val="28"/>
          <w:sz w:val="28"/>
          <w:szCs w:val="28"/>
          <w:rtl w:val="true"/>
          <w:lang w:bidi="fa-IR"/>
        </w:rPr>
        <w:t>ابراهیم بن ابی المهاجر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بدین جهت نام نهاده اند که مردم از اطراف و اکناف به سوی آن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بکّه هم آمده است و آن بدین خاطر است که اگر کافران در آنجا ستم کنند، گردن هایشان کوبیده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معنای محل ازدحام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فقیه،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جایی که نخوت و غرور ستم گران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مکه را نام شهر و بکه را نام بیت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هم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میم به باء بدل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بکه در قرآن کریم</w:t>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یک بار در قرآن کریم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عبدالباقی،</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کفَّ أَیدِیهُمْ عَنکمْ وَأَیدِیکمْ عَنْهُم بِبَطْنِ مَکةَ مِن بَعْدِ أَنْ أَظْفَرَکمْ عَلَیهِمْ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قرآن کریم، یک بار ذکر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وَهُدًی لِّلْعَالَمِینَ</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دیگر مکه</w:t>
      </w:r>
    </w:p>
    <w:p>
      <w:pPr>
        <w:pStyle w:val="BookText"/>
        <w:rPr/>
      </w:pPr>
      <w:r>
        <w:rPr>
          <w:rFonts w:ascii="IRNazanin" w:hAnsi="IRNazanin" w:eastAsia="IRNazanin"/>
          <w:color w:val="111111"/>
          <w:sz w:val="28"/>
          <w:sz w:val="28"/>
          <w:szCs w:val="28"/>
          <w:rtl w:val="true"/>
          <w:lang w:bidi="fa-IR"/>
        </w:rPr>
        <w:t xml:space="preserve">خداوند متعال در قرآن کریم این شهر را با نام های اُمُّ القری، البَلَدالامین و البَلَد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متون، نام های دیگری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القریة، قریة النمل، الحاطمه، الوادی، الحَرَم، العرش، بَرّة، صلاح، قَطام، طیّبة، معاد، اُمّ الرُّحم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کحاله،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مکه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ملت ها پیوسته آن را بزرگ می داشتند تا </w:t>
      </w:r>
    </w:p>
    <w:p>
      <w:pPr>
        <w:pStyle w:val="BookText"/>
        <w:rPr/>
      </w:pPr>
      <w:r>
        <w:rPr>
          <w:rFonts w:ascii="IRNazanin" w:hAnsi="IRNazanin" w:eastAsia="IRNazanin"/>
          <w:color w:val="111111"/>
          <w:sz w:val="28"/>
          <w:sz w:val="28"/>
          <w:szCs w:val="28"/>
          <w:rtl w:val="true"/>
          <w:lang w:bidi="fa-IR"/>
        </w:rPr>
        <w:t>زمانی که خداوند بزرگ و گران مایه مکان آن را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اساس و پایه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برافراشتند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خردادبه،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آکام المرجان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سرای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حجرالاسود در آنجا بود تا آنکه طوفان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ساختن آن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سکونت هاجر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بنای خانهٔ کعبه، سکونت در مکه رونق گرفت و قبیله های عرب در آنجا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برانگیخته شدن حضرت، مکه به عنوان کانون گسترش دین اسلام و مقدس ترین جایگاه کرهٔ خاکی، برتری خویش را آشکار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مکه</w:t>
      </w:r>
    </w:p>
    <w:p>
      <w:pPr>
        <w:pStyle w:val="BookText"/>
        <w:rPr/>
      </w:pPr>
      <w:r>
        <w:rPr>
          <w:rFonts w:ascii="IRNazanin" w:hAnsi="IRNazanin" w:eastAsia="IRNazanin"/>
          <w:color w:val="111111"/>
          <w:sz w:val="28"/>
          <w:sz w:val="28"/>
          <w:szCs w:val="28"/>
          <w:rtl w:val="true"/>
          <w:lang w:bidi="fa-IR"/>
        </w:rPr>
        <w:t>این شهر در غرب شبه جزیرهٔ عربستان و در شرق دریای سرخ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این شهر تا مدینه</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جُدّه،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طائف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البلادی،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8/1654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شهر از سطح دریا،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کحاله،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جغرافیایی آن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جغرافیایی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اسماء الاماکن فی المملکة العربیة السعودیة،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شهر مکه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دمای آن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کحاله،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مکه در میان کوه ها و دره ها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های بزرگ آن، اَبُوقُبیس، محصّب و ثبیر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ابوقبیس در درون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های دیگر می توان به قُعَیقعان، فاضح، ثور، حراء، تفاحة، مطابخ، فلق، حجون و سقر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های مکه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حجون، دار مال الله، بطاطین، فلق ابن زبیر، </w:t>
      </w:r>
      <w:bookmarkStart w:id="80" w:name="pg8975_113887"/>
    </w:p>
    <w:p>
      <w:pPr>
        <w:pStyle w:val="BookText"/>
        <w:rPr/>
      </w:pPr>
      <w:bookmarkEnd w:id="80"/>
      <w:r>
        <w:rPr>
          <w:rFonts w:ascii="IRNazanin" w:hAnsi="IRNazanin" w:eastAsia="IRNazanin"/>
          <w:color w:val="111111"/>
          <w:sz w:val="28"/>
          <w:sz w:val="28"/>
          <w:szCs w:val="28"/>
          <w:rtl w:val="true"/>
          <w:lang w:bidi="fa-IR"/>
        </w:rPr>
        <w:t xml:space="preserve">ابن عامر، جوف، خوز، أذاخر، خط الخرامیة، صفا، رزازین، جزارین، زقاق النار، جبل تفاحة، حجاج، عطارین، جیادالکبیر، جیادالصفی، النفر، ثور، خیام عنقود، یرنی، علی، ثنیة المدنیین و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هیچ آب روانی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آنجا از چاه ها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پاکیزه ترین آن ها، چاه زمزم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احسن التقاسیم به مناطق منا، اَمَج، جُحفة، فُرع، جَبَلَه، مَهایُع، حاذة، طائف و بلدة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سه غار حراء، ثور و غاری دیگر در پشت کوه ابوقبیس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کعبه</w:t>
      </w:r>
    </w:p>
    <w:p>
      <w:pPr>
        <w:pStyle w:val="BookText"/>
        <w:rPr/>
      </w:pPr>
      <w:r>
        <w:rPr>
          <w:rFonts w:ascii="IRNazanin" w:hAnsi="IRNazanin" w:eastAsia="IRNazanin"/>
          <w:color w:val="111111"/>
          <w:sz w:val="28"/>
          <w:sz w:val="28"/>
          <w:szCs w:val="28"/>
          <w:rtl w:val="true"/>
          <w:lang w:bidi="fa-IR"/>
        </w:rPr>
        <w:t>به گواهی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اجماع دانشمندان و مورخان، مسجدالحرام و کعبه، مقدس ترین مکان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اَحَب ارضِ اللهِ اِلَیَّ</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البلادی،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8/1649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و کعبه در زمان های گوناگون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مسجدالحرام، در گذشته </w:t>
      </w:r>
      <w:r>
        <w:rPr>
          <w:rFonts w:eastAsia="IRNazanin" w:cs="IRNazanin"/>
          <w:color w:val="111111"/>
          <w:sz w:val="28"/>
          <w:szCs w:val="28"/>
          <w:lang w:bidi="fa-IR"/>
        </w:rPr>
        <w:t>160168</w:t>
      </w:r>
      <w:r>
        <w:rPr>
          <w:rFonts w:ascii="IRNazanin" w:hAnsi="IRNazanin" w:eastAsia="IRNazanin"/>
          <w:color w:val="111111"/>
          <w:sz w:val="28"/>
          <w:sz w:val="28"/>
          <w:szCs w:val="28"/>
          <w:rtl w:val="true"/>
          <w:lang w:bidi="fa-IR"/>
        </w:rPr>
        <w:t xml:space="preserve">متر مربع بوده که گنجایش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را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البلادی،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8/1588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وسط مسجدالحرام قراردارد که به خاطر مکعب بودن، بدین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کعبه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متر و طول ضلع های آن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غربی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 جنوبی</w:t>
      </w:r>
      <w:r>
        <w:rPr>
          <w:rFonts w:eastAsia="IRNazanin" w:cs="IRNazanin"/>
          <w:color w:val="111111"/>
          <w:sz w:val="28"/>
          <w:szCs w:val="28"/>
          <w:lang w:bidi="fa-IR"/>
        </w:rPr>
        <w:t>35/10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شرقی </w:t>
      </w:r>
      <w:r>
        <w:rPr>
          <w:rFonts w:eastAsia="IRNazanin" w:cs="IRNazanin"/>
          <w:color w:val="111111"/>
          <w:sz w:val="28"/>
          <w:szCs w:val="28"/>
          <w:lang w:bidi="fa-IR"/>
        </w:rPr>
        <w:t>88/11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در ضلع شرقی است که از سطح زمین دو متر ارتفاع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کحاله،</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های کعبه، یمانی، شامی، عراقی و حجرالاسود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جیهانی،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81" w:name="__RefHeading___Toc1744186_2870459653"/>
      <w:bookmarkStart w:id="82" w:name="_Toc29"/>
      <w:bookmarkEnd w:id="81"/>
      <w:r>
        <w:rPr/>
        <w:t>3</w:t>
      </w:r>
      <w:r>
        <w:rPr>
          <w:rtl w:val="true"/>
        </w:rPr>
        <w:t xml:space="preserve">. </w:t>
      </w:r>
      <w:r>
        <w:rPr>
          <w:rtl w:val="true"/>
        </w:rPr>
        <w:t>تنعیم</w:t>
      </w:r>
      <w:bookmarkEnd w:id="8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ناتمام گذاشتن حج، مسیر عراق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مسیر به تنعیم</w:t>
      </w:r>
      <w:r>
        <w:rPr>
          <w:rStyle w:val="FootnoteAnchor"/>
          <w:rtl w:val="true"/>
        </w:rPr>
        <w:footnoteReference w:id="10"/>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منزل اموالی را که </w:t>
      </w:r>
      <w:bookmarkStart w:id="83" w:name="pg8975_113888"/>
    </w:p>
    <w:p>
      <w:pPr>
        <w:pStyle w:val="BookText"/>
        <w:rPr/>
      </w:pPr>
      <w:bookmarkEnd w:id="83"/>
      <w:r>
        <w:rPr>
          <w:rFonts w:ascii="IRNazanin" w:hAnsi="IRNazanin" w:eastAsia="IRNazanin"/>
          <w:color w:val="111111"/>
          <w:sz w:val="28"/>
          <w:sz w:val="28"/>
          <w:szCs w:val="28"/>
          <w:rtl w:val="true"/>
          <w:lang w:bidi="fa-IR"/>
        </w:rPr>
        <w:t xml:space="preserve">عامل یمن برای یزید فرستاده، مصادره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اطلس غدیر و عاشورا،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تنعیم میقات اهل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جغرافیایی آن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جغرافیایی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اسماء الاماکن،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تنعیم گفته شده که سمت راست آن کوهی به نام نعیم و در سمت چپ آن کوهی به نام ناعم است وادی میان آن دو را نعمان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آن، مسجد عایشه است</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4"/>
        <w:numPr>
          <w:ilvl w:val="3"/>
          <w:numId w:val="1"/>
        </w:numPr>
        <w:rPr/>
      </w:pPr>
      <w:bookmarkStart w:id="84" w:name="__RefHeading___Toc1744188_2870459653"/>
      <w:bookmarkStart w:id="85" w:name="_Toc30"/>
      <w:bookmarkEnd w:id="84"/>
      <w:r>
        <w:rPr/>
        <w:t>4</w:t>
      </w:r>
      <w:r>
        <w:rPr>
          <w:rtl w:val="true"/>
        </w:rPr>
        <w:t xml:space="preserve">- </w:t>
      </w:r>
      <w:r>
        <w:rPr>
          <w:rtl w:val="true"/>
        </w:rPr>
        <w:t>ذات عِرق</w:t>
      </w:r>
      <w:bookmarkEnd w:id="85"/>
    </w:p>
    <w:p>
      <w:pPr>
        <w:pStyle w:val="BookText"/>
        <w:rPr/>
      </w:pPr>
      <w:r>
        <w:rPr>
          <w:rFonts w:ascii="IRNazanin" w:hAnsi="IRNazanin" w:eastAsia="IRNazanin"/>
          <w:color w:val="111111"/>
          <w:sz w:val="28"/>
          <w:sz w:val="28"/>
          <w:szCs w:val="28"/>
          <w:rtl w:val="true"/>
          <w:lang w:bidi="fa-IR"/>
        </w:rPr>
        <w:t>منزلگاه بعد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عبور کرد، ذات عِرق</w:t>
      </w:r>
      <w:r>
        <w:rPr>
          <w:rStyle w:val="FootnoteAnchor"/>
          <w:rtl w:val="true"/>
        </w:rPr>
        <w:footnoteReference w:id="1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منزل، میقات مردم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پرجمعیت، پردرخت و پرآب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التقاسیم در سدهٔ چهارم، آنجا را دیهی خشک و عبوس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 المعطار به مسجد بزرگ آنجا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لسترنج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به حجاز از طریق بادیة العرب، دو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از کوفه و دومی از بصره 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آن ها در نزدیکی منزلگاهی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به فاصلهٔ دو روز راه در شمال مکه واقع بود، به هم می رسیدند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86" w:name="__RefHeading___Toc1744190_2870459653"/>
      <w:bookmarkStart w:id="87" w:name="_Toc31"/>
      <w:bookmarkEnd w:id="86"/>
      <w:r>
        <w:rPr/>
        <w:t>5</w:t>
      </w:r>
      <w:r>
        <w:rPr>
          <w:rtl w:val="true"/>
        </w:rPr>
        <w:t xml:space="preserve">. </w:t>
      </w:r>
      <w:r>
        <w:rPr>
          <w:rtl w:val="true"/>
        </w:rPr>
        <w:t xml:space="preserve">حاجز </w:t>
      </w:r>
      <w:r>
        <w:rPr>
          <w:rtl w:val="true"/>
        </w:rPr>
        <w:t>(</w:t>
      </w:r>
      <w:r>
        <w:rPr>
          <w:rtl w:val="true"/>
        </w:rPr>
        <w:t>حاجر</w:t>
      </w:r>
      <w:r>
        <w:rPr>
          <w:rtl w:val="true"/>
        </w:rPr>
        <w:t>)</w:t>
      </w:r>
      <w:bookmarkEnd w:id="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منزلگاه بعدی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حاجز</w:t>
      </w:r>
      <w:r>
        <w:rPr>
          <w:rStyle w:val="FootnoteAnchor"/>
          <w:rtl w:val="true"/>
        </w:rPr>
        <w:footnoteReference w:id="13"/>
      </w:r>
      <w:r>
        <w:rPr>
          <w:rFonts w:ascii="IRNazanin" w:hAnsi="IRNazanin" w:eastAsia="IRNazanin"/>
          <w:color w:val="111111"/>
          <w:sz w:val="28"/>
          <w:sz w:val="28"/>
          <w:szCs w:val="28"/>
          <w:rtl w:val="true"/>
          <w:lang w:bidi="fa-IR"/>
        </w:rPr>
        <w:t xml:space="preserve">است که در برخی کتاب ها حاجر آمده </w:t>
      </w:r>
      <w:bookmarkStart w:id="88" w:name="pg8975_113889"/>
    </w:p>
    <w:p>
      <w:pPr>
        <w:pStyle w:val="BookText"/>
        <w:rPr/>
      </w:pPr>
      <w:bookmarkEnd w:id="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ناحیه ای از بطن الرُّمَّة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الاعلاق النفیسه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است خرّم که آن را ابودلف، قاسم بن عیسی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مشروب آن از چاه ها و برکه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سفرنامهٔ خویش به آب دان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اشاره کرده که تعدادی خشک شده و بدین سبب به جای آن ها، چاه های بزرگی حفر کرده اند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ابن جبیر هم در سفرنامه اش این آبگیرها را گودال های کم ژرف و نام آن ها را احفار ذکرکرده است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4"/>
        <w:numPr>
          <w:ilvl w:val="3"/>
          <w:numId w:val="1"/>
        </w:numPr>
        <w:rPr/>
      </w:pPr>
      <w:bookmarkStart w:id="89" w:name="__RefHeading___Toc1744192_2870459653"/>
      <w:bookmarkStart w:id="90" w:name="_Toc32"/>
      <w:bookmarkEnd w:id="89"/>
      <w:r>
        <w:rPr/>
        <w:t>6</w:t>
      </w:r>
      <w:r>
        <w:rPr>
          <w:rtl w:val="true"/>
        </w:rPr>
        <w:t xml:space="preserve">. </w:t>
      </w:r>
      <w:r>
        <w:rPr>
          <w:rtl w:val="true"/>
        </w:rPr>
        <w:t>بطن الرُّمَّه</w:t>
      </w:r>
      <w:bookmarkEnd w:id="90"/>
    </w:p>
    <w:p>
      <w:pPr>
        <w:pStyle w:val="BookText"/>
        <w:rPr/>
      </w:pPr>
      <w:r>
        <w:rPr>
          <w:rFonts w:ascii="IRNazanin" w:hAnsi="IRNazanin" w:eastAsia="IRNazanin"/>
          <w:color w:val="111111"/>
          <w:sz w:val="28"/>
          <w:sz w:val="28"/>
          <w:szCs w:val="28"/>
          <w:rtl w:val="true"/>
          <w:lang w:bidi="fa-IR"/>
        </w:rPr>
        <w:t>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حاجز رسید که جایی از بطن الرمه است، قیس بن مسهّر یا عبدالله بن یقطر، برادر رضاعی خود را به کوفه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گسترده در نجد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دره بدان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مراصدالاطلاع هم آمده که آنجا منزل اهل بصره بوده است؛ زمانی که ارادهٔ شهر مدینه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و بصره در آن گرد آیند و ازآنجا به عُسَیله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2/634</w:t>
      </w:r>
      <w:r>
        <w:rPr>
          <w:rFonts w:eastAsia="IRNazanin" w:cs="IRNazanin"/>
          <w:color w:val="111111"/>
          <w:sz w:val="28"/>
          <w:szCs w:val="28"/>
          <w:rtl w:val="true"/>
          <w:lang w:bidi="fa-IR"/>
        </w:rPr>
        <w:t>).</w:t>
      </w:r>
    </w:p>
    <w:p>
      <w:pPr>
        <w:pStyle w:val="Heading4"/>
        <w:numPr>
          <w:ilvl w:val="3"/>
          <w:numId w:val="1"/>
        </w:numPr>
        <w:rPr/>
      </w:pPr>
      <w:bookmarkStart w:id="91" w:name="__RefHeading___Toc1744194_2870459653"/>
      <w:bookmarkStart w:id="92" w:name="_Toc33"/>
      <w:bookmarkEnd w:id="91"/>
      <w:r>
        <w:rPr/>
        <w:t>7</w:t>
      </w:r>
      <w:r>
        <w:rPr>
          <w:rtl w:val="true"/>
        </w:rPr>
        <w:t xml:space="preserve">. </w:t>
      </w:r>
      <w:r>
        <w:rPr>
          <w:rtl w:val="true"/>
        </w:rPr>
        <w:t>زَرود</w:t>
      </w:r>
      <w:bookmarkEnd w:id="92"/>
    </w:p>
    <w:p>
      <w:pPr>
        <w:pStyle w:val="BookText"/>
        <w:rPr/>
      </w:pPr>
      <w:r>
        <w:rPr>
          <w:rFonts w:ascii="IRNazanin" w:hAnsi="IRNazanin" w:eastAsia="IRNazanin"/>
          <w:color w:val="111111"/>
          <w:sz w:val="28"/>
          <w:sz w:val="28"/>
          <w:szCs w:val="28"/>
          <w:rtl w:val="true"/>
          <w:lang w:bidi="fa-IR"/>
        </w:rPr>
        <w:t>زرود</w:t>
      </w:r>
      <w:r>
        <w:rPr>
          <w:rStyle w:val="FootnoteAnchor"/>
          <w:rtl w:val="true"/>
        </w:rPr>
        <w:footnoteReference w:id="14"/>
      </w:r>
      <w:r>
        <w:rPr>
          <w:rFonts w:ascii="IRNazanin" w:hAnsi="IRNazanin" w:eastAsia="IRNazanin"/>
          <w:color w:val="111111"/>
          <w:sz w:val="28"/>
          <w:sz w:val="28"/>
          <w:szCs w:val="28"/>
          <w:rtl w:val="true"/>
          <w:lang w:bidi="fa-IR"/>
        </w:rPr>
        <w:t>منزلی است که در آنجا عبدالله بن سلیمان و منذربن مشمعل که هر دو از طایفهٔ بنی اسد بوده اند،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برخوردند و خبر شهادت مسلم بن عقیل و هانی بن عروه را از بکربن فلان دریافت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منزل است که زهیر بن قین پس از دیدار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سپاه حضرت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اطلس غدیر و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نویسندگان زرود را همان خُزیمیّه</w:t>
      </w:r>
      <w:r>
        <w:rPr>
          <w:rStyle w:val="FootnoteAnchor"/>
          <w:rtl w:val="true"/>
        </w:rPr>
        <w:footnoteReference w:id="15"/>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رسته بر این باور است که این </w:t>
      </w:r>
      <w:bookmarkStart w:id="93" w:name="pg8975_113890"/>
    </w:p>
    <w:p>
      <w:pPr>
        <w:pStyle w:val="BookText"/>
        <w:rPr/>
      </w:pPr>
      <w:bookmarkEnd w:id="93"/>
      <w:r>
        <w:rPr>
          <w:rFonts w:ascii="IRNazanin" w:hAnsi="IRNazanin" w:eastAsia="IRNazanin"/>
          <w:color w:val="111111"/>
          <w:sz w:val="28"/>
          <w:sz w:val="28"/>
          <w:szCs w:val="28"/>
          <w:rtl w:val="true"/>
          <w:lang w:bidi="fa-IR"/>
        </w:rPr>
        <w:t xml:space="preserve">منزلگاه در بادی امر زَرود نامیده می شد و چون خزیمة بن خازم در آنجا برکه ها و آب روهایی برای آب چاه ایجاد کرد و به وسیلهٔ شتران از آن ها آب می کشید، به این نام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قدامة بن جعفر،</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دربارهٔ وجه تسمیهٔ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زرود، به معنی بَلوع و زرد به معنی بلع است و سبب نام گذاری این است که تپه های شنی میان ثعلبیه و خُزیمیه که در راه حاجیان کوفی وجود داشته، آب باران را می 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کلبی نظر دیگری دارد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زرود دختری از دختران یثرب است که نسبش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یوم زرود از ایام العرب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مراصدالاطلاع قول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قصری زرد رنگ است و بدین جهت زرود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2/664</w:t>
      </w:r>
      <w:r>
        <w:rPr>
          <w:rFonts w:eastAsia="IRNazanin" w:cs="IRNazanin"/>
          <w:color w:val="111111"/>
          <w:sz w:val="28"/>
          <w:szCs w:val="28"/>
          <w:rtl w:val="true"/>
          <w:lang w:bidi="fa-IR"/>
        </w:rPr>
        <w:t>).</w:t>
      </w:r>
    </w:p>
    <w:p>
      <w:pPr>
        <w:pStyle w:val="Heading4"/>
        <w:numPr>
          <w:ilvl w:val="3"/>
          <w:numId w:val="1"/>
        </w:numPr>
        <w:rPr/>
      </w:pPr>
      <w:bookmarkStart w:id="94" w:name="__RefHeading___Toc1744196_2870459653"/>
      <w:bookmarkStart w:id="95" w:name="_Toc34"/>
      <w:bookmarkEnd w:id="94"/>
      <w:r>
        <w:rPr/>
        <w:t>8</w:t>
      </w:r>
      <w:r>
        <w:rPr>
          <w:rtl w:val="true"/>
        </w:rPr>
        <w:t xml:space="preserve">. </w:t>
      </w:r>
      <w:r>
        <w:rPr>
          <w:rtl w:val="true"/>
        </w:rPr>
        <w:t>ثعلبیه</w:t>
      </w:r>
      <w:bookmarkEnd w:id="95"/>
    </w:p>
    <w:p>
      <w:pPr>
        <w:pStyle w:val="BookText"/>
        <w:rPr/>
      </w:pPr>
      <w:r>
        <w:rPr>
          <w:rFonts w:ascii="IRNazanin" w:hAnsi="IRNazanin" w:eastAsia="IRNazanin"/>
          <w:color w:val="111111"/>
          <w:sz w:val="28"/>
          <w:sz w:val="28"/>
          <w:szCs w:val="28"/>
          <w:rtl w:val="true"/>
          <w:lang w:bidi="fa-IR"/>
        </w:rPr>
        <w:t>ثعلبیه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محلی است که دو تن از قبیلهٔ بنی اسد به نام های عبدالله بن سلیمان و منذربن مشمعل، خبر شهادت هانی و مسلم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منزل، یکی از منازل راه کوفه به مکه پس از شقوق و پیش از خزیمیه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الاعلاق النفیسه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ثعلبیه شهری است که گرد آن باره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چندین گرمابه و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مسجد جامع و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مشروبشان از برکه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رسته،</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جبیر و ابن بطوطه به دیوارهای خراب قلعه و آبگیر آنجا اشاره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جبیر،</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ابن بطوطه،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Heading4"/>
        <w:numPr>
          <w:ilvl w:val="3"/>
          <w:numId w:val="1"/>
        </w:numPr>
        <w:rPr/>
      </w:pPr>
      <w:bookmarkStart w:id="96" w:name="__RefHeading___Toc1744198_2870459653"/>
      <w:bookmarkStart w:id="97" w:name="_Toc35"/>
      <w:bookmarkEnd w:id="96"/>
      <w:r>
        <w:rPr/>
        <w:t>9</w:t>
      </w:r>
      <w:r>
        <w:rPr>
          <w:rtl w:val="true"/>
        </w:rPr>
        <w:t xml:space="preserve">- </w:t>
      </w:r>
      <w:r>
        <w:rPr>
          <w:rtl w:val="true"/>
        </w:rPr>
        <w:t>زُباله</w:t>
      </w:r>
      <w:bookmarkEnd w:id="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زباله</w:t>
      </w:r>
      <w:r>
        <w:rPr>
          <w:rStyle w:val="FootnoteAnchor"/>
          <w:rtl w:val="true"/>
        </w:rPr>
        <w:footnoteReference w:id="17"/>
      </w:r>
      <w:r>
        <w:rPr>
          <w:rFonts w:ascii="IRNazanin" w:hAnsi="IRNazanin" w:eastAsia="IRNazanin"/>
          <w:color w:val="111111"/>
          <w:sz w:val="28"/>
          <w:sz w:val="28"/>
          <w:szCs w:val="28"/>
          <w:rtl w:val="true"/>
          <w:lang w:bidi="fa-IR"/>
        </w:rPr>
        <w:t xml:space="preserve">منزلی است که خبر شهادت قیس بن مسهّر و به روایت دیگر عبدالله بن یقطر، </w:t>
      </w:r>
      <w:bookmarkStart w:id="98" w:name="pg8975_113891"/>
    </w:p>
    <w:p>
      <w:pPr>
        <w:pStyle w:val="BookText"/>
        <w:rPr/>
      </w:pPr>
      <w:bookmarkEnd w:id="98"/>
      <w:r>
        <w:rPr>
          <w:rFonts w:ascii="IRNazanin" w:hAnsi="IRNazanin" w:eastAsia="IRNazanin"/>
          <w:color w:val="111111"/>
          <w:sz w:val="28"/>
          <w:sz w:val="28"/>
          <w:szCs w:val="28"/>
          <w:rtl w:val="true"/>
          <w:lang w:bidi="fa-IR"/>
        </w:rPr>
        <w:t xml:space="preserve">برادر رضاعی حضرت، را به ایشان 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شهادت را به یاران اعلام کرده و آن ها را مخیر به بازگشت یا ماندن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اطلس غدیر و عاشورا،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محل، قریه ای بزرگ و آباد و دارای بازارها و آب فراوان در زمستان و تابستان و در زمین پست وادی قرار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جبیر از کاخی استوار، دو آبگیر، چاه های متعدد و آبشخور در آنجا نام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جبیر،</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را از این جهت زباله می نامند زیرا آب را در خود نگه می دارد و نیز زباله، نام دختر مُسعّر از عمالقه بوده که در اینجا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یوم زباله از ایام العرب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3/129</w:t>
      </w:r>
      <w:r>
        <w:rPr>
          <w:rFonts w:eastAsia="IRNazanin" w:cs="IRNazanin"/>
          <w:color w:val="111111"/>
          <w:sz w:val="28"/>
          <w:szCs w:val="28"/>
          <w:rtl w:val="true"/>
          <w:lang w:bidi="fa-IR"/>
        </w:rPr>
        <w:t>).</w:t>
      </w:r>
    </w:p>
    <w:p>
      <w:pPr>
        <w:pStyle w:val="Heading4"/>
        <w:numPr>
          <w:ilvl w:val="3"/>
          <w:numId w:val="1"/>
        </w:numPr>
        <w:rPr/>
      </w:pPr>
      <w:bookmarkStart w:id="99" w:name="__RefHeading___Toc1744200_2870459653"/>
      <w:bookmarkStart w:id="100" w:name="_Toc36"/>
      <w:bookmarkEnd w:id="99"/>
      <w:r>
        <w:rPr/>
        <w:t>10</w:t>
      </w:r>
      <w:r>
        <w:rPr>
          <w:rtl w:val="true"/>
        </w:rPr>
        <w:t xml:space="preserve">. </w:t>
      </w:r>
      <w:r>
        <w:rPr>
          <w:rtl w:val="true"/>
        </w:rPr>
        <w:t>بطن عقبه</w:t>
      </w:r>
      <w:bookmarkEnd w:id="10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منزل زباله، به بطن عَقَبه</w:t>
      </w:r>
      <w:r>
        <w:rPr>
          <w:rStyle w:val="FootnoteAnchor"/>
          <w:rtl w:val="true"/>
        </w:rPr>
        <w:footnoteReference w:id="18"/>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منزل با عمروبن لوذان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سفارش کرد حضرت از مسیر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می اندیشی بر من پوشیده نیست امّا به خدا آن ها دست از من بر ندارند تا خون مرا بریزند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منزل،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رؤیایی دید و آن را به شهادت خود تعبیر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اطلس غدیر و عاشورا،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الاعلاق النفیسه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منزلگاهی است که در آن چاه ها و برکه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گردنه ای بوده که آن را هموار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101" w:name="__RefHeading___Toc1744202_2870459653"/>
      <w:bookmarkStart w:id="102" w:name="_Toc37"/>
      <w:bookmarkEnd w:id="101"/>
      <w:r>
        <w:rPr/>
        <w:t>11</w:t>
      </w:r>
      <w:r>
        <w:rPr>
          <w:rtl w:val="true"/>
        </w:rPr>
        <w:t xml:space="preserve">. </w:t>
      </w:r>
      <w:r>
        <w:rPr>
          <w:rtl w:val="true"/>
        </w:rPr>
        <w:t>شَراف</w:t>
      </w:r>
      <w:bookmarkEnd w:id="102"/>
    </w:p>
    <w:p>
      <w:pPr>
        <w:pStyle w:val="BookText"/>
        <w:rPr/>
      </w:pPr>
      <w:r>
        <w:rPr>
          <w:rFonts w:ascii="Amiri" w:hAnsi="Amiri" w:eastAsia="Amiri" w:cs="Amiri"/>
          <w:color w:val="111111"/>
          <w:sz w:val="28"/>
          <w:sz w:val="28"/>
          <w:szCs w:val="28"/>
          <w:rtl w:val="true"/>
          <w:lang w:bidi="ar-SA"/>
        </w:rPr>
        <w:t>منزل شَراف</w:t>
      </w:r>
      <w:r>
        <w:rPr>
          <w:rStyle w:val="FootnoteAnchor"/>
          <w:rtl w:val="true"/>
        </w:rPr>
        <w:footnoteReference w:id="19"/>
      </w:r>
      <w:r>
        <w:rPr>
          <w:rFonts w:ascii="IRNazanin" w:hAnsi="IRNazanin" w:eastAsia="IRNazanin"/>
          <w:color w:val="111111"/>
          <w:sz w:val="28"/>
          <w:sz w:val="28"/>
          <w:szCs w:val="28"/>
          <w:rtl w:val="true"/>
          <w:lang w:bidi="fa-IR"/>
        </w:rPr>
        <w:t>منزل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پس از بطن عقبه و پیش از ذوحُسم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bookmarkStart w:id="103" w:name="pg8975_113892"/>
    </w:p>
    <w:p>
      <w:pPr>
        <w:pStyle w:val="BookText"/>
        <w:rPr/>
      </w:pPr>
      <w:bookmarkEnd w:id="103"/>
      <w:r>
        <w:rPr>
          <w:rFonts w:ascii="IRNazanin" w:hAnsi="IRNazanin" w:eastAsia="IRNazanin"/>
          <w:color w:val="111111"/>
          <w:sz w:val="28"/>
          <w:sz w:val="28"/>
          <w:szCs w:val="28"/>
          <w:rtl w:val="true"/>
          <w:lang w:bidi="fa-IR"/>
        </w:rPr>
        <w:t>در معجم البلدان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 به معنی بلندی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در 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ابوعبیدالسکونی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شراف سه چاه بزرگ موجود است که آبی شیرین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شراف نام یکی از عمالقه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شراف واقصه دو دختر اند که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w:t>
      </w:r>
    </w:p>
    <w:p>
      <w:pPr>
        <w:pStyle w:val="Heading4"/>
        <w:numPr>
          <w:ilvl w:val="3"/>
          <w:numId w:val="1"/>
        </w:numPr>
        <w:rPr/>
      </w:pPr>
      <w:bookmarkStart w:id="104" w:name="__RefHeading___Toc1744204_2870459653"/>
      <w:bookmarkStart w:id="105" w:name="_Toc38"/>
      <w:bookmarkEnd w:id="104"/>
      <w:r>
        <w:rPr/>
        <w:t>12</w:t>
      </w:r>
      <w:r>
        <w:rPr>
          <w:rtl w:val="true"/>
        </w:rPr>
        <w:t xml:space="preserve">. </w:t>
      </w:r>
      <w:r>
        <w:rPr>
          <w:rtl w:val="true"/>
        </w:rPr>
        <w:t>ذُوحُسم</w:t>
      </w:r>
      <w:bookmarkEnd w:id="105"/>
    </w:p>
    <w:p>
      <w:pPr>
        <w:pStyle w:val="BookText"/>
        <w:rPr/>
      </w:pPr>
      <w:r>
        <w:rPr>
          <w:rFonts w:ascii="Amiri" w:hAnsi="Amiri" w:eastAsia="Amiri" w:cs="Amiri"/>
          <w:color w:val="111111"/>
          <w:sz w:val="28"/>
          <w:sz w:val="28"/>
          <w:szCs w:val="28"/>
          <w:rtl w:val="true"/>
          <w:lang w:bidi="ar-SA"/>
        </w:rPr>
        <w:t>ذُوحُسم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منزلی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 لشکر حربن یزید روبه رو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یاران امام لشکر حُر را سیراب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ظهر خطبهٔ کوتاهی بیان کرد و دو سپاه به امامت حضرت نماز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 خطبه ای خواند و پس از خطبه، با حر به مذاکره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ادامهٔ مسیری غیر از مدینه و کوفه توافق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غدیر و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منزل به شکل ذُوحُسُم و ذوحُسَم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یاقوت حموی،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2/258</w:t>
      </w:r>
      <w:r>
        <w:rPr>
          <w:rFonts w:eastAsia="IRNazanin" w:cs="IRNazanin"/>
          <w:color w:val="111111"/>
          <w:sz w:val="28"/>
          <w:szCs w:val="28"/>
          <w:rtl w:val="true"/>
          <w:lang w:bidi="fa-IR"/>
        </w:rPr>
        <w:t>).</w:t>
      </w:r>
    </w:p>
    <w:p>
      <w:pPr>
        <w:pStyle w:val="Heading4"/>
        <w:numPr>
          <w:ilvl w:val="3"/>
          <w:numId w:val="1"/>
        </w:numPr>
        <w:rPr/>
      </w:pPr>
      <w:bookmarkStart w:id="106" w:name="__RefHeading___Toc1744206_2870459653"/>
      <w:bookmarkStart w:id="107" w:name="_Toc39"/>
      <w:bookmarkEnd w:id="106"/>
      <w:r>
        <w:rPr/>
        <w:t>13</w:t>
      </w:r>
      <w:r>
        <w:rPr>
          <w:rtl w:val="true"/>
        </w:rPr>
        <w:t xml:space="preserve">. </w:t>
      </w:r>
      <w:r>
        <w:rPr>
          <w:rtl w:val="true"/>
        </w:rPr>
        <w:t>عُذَیب الهِجانات</w:t>
      </w:r>
      <w:bookmarkEnd w:id="107"/>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درحالی که حر با سپاهیانش آن ها را همراهی می کردند به منزل عُذَیبُ الهجانات رسیدند</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عذیب، اردوگاه و زینستان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ایرانیان بوده که بر سر راه بیابان قرار داشته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جبیر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خود از این مکان به زیبایی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ای است پرنعمت و بر آن بنایی است و پیرامونش فلاتی است حاصلخیز که دیدگان مسافر را نمایشگاهی است پرطراوت و تفرج گاهی از خضارت و به ما گفتند که بارق نزدیک آنجاست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108" w:name="pg8975_113893"/>
    </w:p>
    <w:p>
      <w:pPr>
        <w:pStyle w:val="BookText"/>
        <w:rPr/>
      </w:pPr>
      <w:bookmarkEnd w:id="108"/>
      <w:r>
        <w:rPr>
          <w:rFonts w:ascii="IRNazanin" w:hAnsi="IRNazanin" w:eastAsia="IRNazanin"/>
          <w:color w:val="111111"/>
          <w:sz w:val="28"/>
          <w:sz w:val="28"/>
          <w:szCs w:val="28"/>
          <w:rtl w:val="true"/>
          <w:lang w:bidi="fa-IR"/>
        </w:rPr>
        <w:t xml:space="preserve">معجم البلدان هم به آب خوش گوار آنجا اشاره ای داشته و این محل را متعلق به بنی تمیم و منزلگاه حاجیان کوفه دانسته که دارای آب، برکه، چاه، خانه، قصر، مسجد و پاسگاه نگهبانی ایرانیان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Heading4"/>
        <w:numPr>
          <w:ilvl w:val="3"/>
          <w:numId w:val="1"/>
        </w:numPr>
        <w:rPr/>
      </w:pPr>
      <w:bookmarkStart w:id="109" w:name="__RefHeading___Toc1744208_2870459653"/>
      <w:bookmarkStart w:id="110" w:name="_Toc40"/>
      <w:bookmarkEnd w:id="109"/>
      <w:r>
        <w:rPr/>
        <w:t>14</w:t>
      </w:r>
      <w:r>
        <w:rPr>
          <w:rtl w:val="true"/>
        </w:rPr>
        <w:t xml:space="preserve">. </w:t>
      </w:r>
      <w:r>
        <w:rPr>
          <w:rtl w:val="true"/>
        </w:rPr>
        <w:t>قصر بنی مقتل ها</w:t>
      </w:r>
      <w:bookmarkEnd w:id="110"/>
    </w:p>
    <w:p>
      <w:pPr>
        <w:pStyle w:val="BookText"/>
        <w:rPr/>
      </w:pPr>
      <w:r>
        <w:rPr>
          <w:rFonts w:ascii="IRNazanin" w:hAnsi="IRNazanin" w:eastAsia="IRNazanin"/>
          <w:color w:val="111111"/>
          <w:sz w:val="28"/>
          <w:sz w:val="28"/>
          <w:szCs w:val="28"/>
          <w:rtl w:val="true"/>
          <w:lang w:bidi="fa-IR"/>
        </w:rPr>
        <w:t>این منزل بعد از منزل عُزیب الهجانات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حر</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صحبت کرد و از او خواست که به حضرت بپیوندد امّا وی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 از جنگ با حضرت بپرهیزد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بنی مقتل ها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یا قصر مقتل ها، به مقتل های ا بن حسان بن ثعلبه متعلق بوده که میان عین التَّمر و قُطقُطانَه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علاوه بر قصر، دارای مسجد و بناهای دیگری هم بوده که خراب شده و تنها تپه هایی از بقایای آن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4/364</w:t>
      </w:r>
      <w:r>
        <w:rPr>
          <w:rFonts w:eastAsia="IRNazanin" w:cs="IRNazanin"/>
          <w:color w:val="111111"/>
          <w:sz w:val="28"/>
          <w:szCs w:val="28"/>
          <w:rtl w:val="true"/>
          <w:lang w:bidi="fa-IR"/>
        </w:rPr>
        <w:t>).</w:t>
      </w:r>
    </w:p>
    <w:p>
      <w:pPr>
        <w:pStyle w:val="Heading4"/>
        <w:numPr>
          <w:ilvl w:val="3"/>
          <w:numId w:val="1"/>
        </w:numPr>
        <w:rPr/>
      </w:pPr>
      <w:bookmarkStart w:id="111" w:name="__RefHeading___Toc1744210_2870459653"/>
      <w:bookmarkStart w:id="112" w:name="_Toc41"/>
      <w:bookmarkEnd w:id="111"/>
      <w:r>
        <w:rPr/>
        <w:t>15</w:t>
      </w:r>
      <w:r>
        <w:rPr>
          <w:rtl w:val="true"/>
        </w:rPr>
        <w:t xml:space="preserve">. </w:t>
      </w:r>
      <w:r>
        <w:rPr>
          <w:rtl w:val="true"/>
        </w:rPr>
        <w:t>نینوا</w:t>
      </w:r>
      <w:bookmarkEnd w:id="112"/>
    </w:p>
    <w:p>
      <w:pPr>
        <w:pStyle w:val="BookText"/>
        <w:rPr/>
      </w:pPr>
      <w:r>
        <w:rPr>
          <w:rFonts w:ascii="IRNazanin" w:hAnsi="IRNazanin" w:eastAsia="IRNazanin"/>
          <w:color w:val="111111"/>
          <w:sz w:val="28"/>
          <w:sz w:val="28"/>
          <w:szCs w:val="28"/>
          <w:rtl w:val="true"/>
          <w:lang w:bidi="fa-IR"/>
        </w:rPr>
        <w:t>منزل پس از قصر بنی مقتل ها، نینوا</w:t>
      </w:r>
      <w:r>
        <w:rPr>
          <w:rStyle w:val="FootnoteAnchor"/>
          <w:rtl w:val="true"/>
        </w:rPr>
        <w:footnoteReference w:id="25"/>
      </w:r>
      <w:r>
        <w:rPr>
          <w:rFonts w:ascii="IRNazanin" w:hAnsi="IRNazanin" w:eastAsia="IRNazanin"/>
          <w:color w:val="111111"/>
          <w:sz w:val="28"/>
          <w:sz w:val="28"/>
          <w:szCs w:val="28"/>
          <w:rtl w:val="true"/>
          <w:lang w:bidi="fa-IR"/>
        </w:rPr>
        <w:t>است که در آنجا پیکی از جانب عبیدالله بن زیاد رسید که به حر دستور داده تا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بگیرد و ایشان را در زمین بی پناه و بی آبادی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این واژه در منطقهٔ عراق، به دو نینوا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شهری تاریخی، که سومین و آخرین پایتخت دولت آشور بوده که خرابه های آن در جانب چپ رودخانهٔ دجله، مقابل شهر موصل کنونی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حوقل به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این روستا یاد می کند که در آنجا قبر حضرت یونس بن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لسترنج،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نینوا از مهم ترین استان های شمالی عراق است و مرکز آن شهر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نینوا مروارید موصل نامیده می شده </w:t>
      </w:r>
      <w:bookmarkStart w:id="113" w:name="pg8975_113894"/>
    </w:p>
    <w:p>
      <w:pPr>
        <w:pStyle w:val="BookText"/>
        <w:rPr/>
      </w:pPr>
      <w:bookmarkEnd w:id="113"/>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بابان،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معجم البلدان از نینوای دیگری یاد می کند که ناحیه ای از سواد کوفه است که کربلا زیرمجموعهٔ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مجاور اراضی سدة الهندیه و در ادامهٔ غاضریه بوده که امروزه اراضی حسینیه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114" w:name="__RefHeading___Toc1744212_2870459653"/>
      <w:bookmarkStart w:id="115" w:name="_Toc42"/>
      <w:bookmarkEnd w:id="114"/>
      <w:r>
        <w:rPr/>
        <w:t>16</w:t>
      </w:r>
      <w:r>
        <w:rPr>
          <w:rtl w:val="true"/>
        </w:rPr>
        <w:t xml:space="preserve">. </w:t>
      </w:r>
      <w:r>
        <w:rPr>
          <w:rtl w:val="true"/>
        </w:rPr>
        <w:t xml:space="preserve">غاضریّه و </w:t>
      </w:r>
      <w:r>
        <w:rPr/>
        <w:t>17</w:t>
      </w:r>
      <w:r>
        <w:rPr>
          <w:rtl w:val="true"/>
        </w:rPr>
        <w:t xml:space="preserve">. </w:t>
      </w:r>
      <w:r>
        <w:rPr>
          <w:rtl w:val="true"/>
        </w:rPr>
        <w:t>شُفَیَّه</w:t>
      </w:r>
      <w:bookmarkEnd w:id="115"/>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این ده، یعنی نینوا و غاضریه، یا آن دیگری یعنی شُفَیّه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نمی توانم زیرا این فرد، فرستادهٔ مردی است که برای نظارت نزد من آمده که ببیند آیا من به دستور عبیدالله رفتار می کنم یا نه؟ من ناچارم در برابر چشم او دستورش را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غاضریه</w:t>
      </w:r>
      <w:r>
        <w:rPr>
          <w:rStyle w:val="FootnoteAnchor"/>
          <w:rtl w:val="true"/>
        </w:rPr>
        <w:footnoteReference w:id="26"/>
      </w:r>
      <w:r>
        <w:rPr>
          <w:rFonts w:ascii="IRNazanin" w:hAnsi="IRNazanin" w:eastAsia="IRNazanin"/>
          <w:color w:val="111111"/>
          <w:sz w:val="28"/>
          <w:sz w:val="28"/>
          <w:szCs w:val="28"/>
          <w:rtl w:val="true"/>
          <w:lang w:bidi="fa-IR"/>
        </w:rPr>
        <w:t>روستایی</w:t>
      </w:r>
    </w:p>
    <w:p>
      <w:pPr>
        <w:pStyle w:val="BookText"/>
        <w:rPr/>
      </w:pPr>
      <w:r>
        <w:rPr>
          <w:rFonts w:ascii="Amiri" w:hAnsi="Amiri" w:eastAsia="Amiri" w:cs="Amiri"/>
          <w:color w:val="111111"/>
          <w:sz w:val="28"/>
          <w:sz w:val="28"/>
          <w:szCs w:val="28"/>
          <w:rtl w:val="true"/>
          <w:lang w:bidi="ar-SA"/>
        </w:rPr>
        <w:t xml:space="preserve">از نواحی کوفه نزدیک کربلا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بغدادی،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نیز روستایی است که چاهی دارد که بنی اسد آن را حفر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Heading4"/>
        <w:numPr>
          <w:ilvl w:val="3"/>
          <w:numId w:val="1"/>
        </w:numPr>
        <w:rPr/>
      </w:pPr>
      <w:bookmarkStart w:id="116" w:name="__RefHeading___Toc1744214_2870459653"/>
      <w:bookmarkStart w:id="117" w:name="_Toc43"/>
      <w:bookmarkEnd w:id="116"/>
      <w:r>
        <w:rPr/>
        <w:t>18</w:t>
      </w:r>
      <w:r>
        <w:rPr>
          <w:rtl w:val="true"/>
        </w:rPr>
        <w:t xml:space="preserve">. </w:t>
      </w:r>
      <w:r>
        <w:rPr>
          <w:rtl w:val="true"/>
        </w:rPr>
        <w:t>کربلا</w:t>
      </w:r>
      <w:bookmarkEnd w:id="117"/>
    </w:p>
    <w:p>
      <w:pPr>
        <w:pStyle w:val="BookText"/>
        <w:rPr/>
      </w:pPr>
      <w:r>
        <w:rPr>
          <w:rFonts w:ascii="IRNazanin" w:hAnsi="IRNazanin" w:eastAsia="IRNazanin"/>
          <w:color w:val="111111"/>
          <w:sz w:val="28"/>
          <w:sz w:val="28"/>
          <w:szCs w:val="28"/>
          <w:rtl w:val="true"/>
          <w:lang w:bidi="fa-IR"/>
        </w:rPr>
        <w:t>به دستور حربن یزید،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چادرها را برپا کردند و ماجرای غمبار عاشورا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در این مکان روی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البلدان دربارهٔ نام گذاری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سستی در قدم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زمین اینجا در آدمی سستی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کَربَل نام گیاهی است که شاید در آنجا رشد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این ناحیه وارد شد، از نام محل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کرب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118" w:name="pg8975_113895"/>
    </w:p>
    <w:p>
      <w:pPr>
        <w:pStyle w:val="BookText"/>
        <w:rPr/>
      </w:pPr>
      <w:bookmarkEnd w:id="118"/>
      <w:r>
        <w:rPr>
          <w:rFonts w:ascii="IRNazanin" w:hAnsi="IRNazanin" w:eastAsia="IRNazanin"/>
          <w:color w:val="111111"/>
          <w:sz w:val="28"/>
          <w:sz w:val="28"/>
          <w:szCs w:val="28"/>
          <w:rtl w:val="true"/>
          <w:lang w:bidi="fa-IR"/>
        </w:rPr>
        <w:t xml:space="preserve">نظر دیگری هم هست که کلمهٔ کربلا از دو کلمهٔ آشوری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الله گرفته شده که معنی آن حرم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 می گویند این کلمه، فارسی و مصدر مرکب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معنی مکانی آسمانی و محل عبادت و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کربلا و حرم شریف</w:t>
      </w:r>
    </w:p>
    <w:p>
      <w:pPr>
        <w:pStyle w:val="BookText"/>
        <w:rPr/>
      </w:pPr>
      <w:r>
        <w:rPr>
          <w:rFonts w:ascii="IRNazanin" w:hAnsi="IRNazanin" w:eastAsia="IRNazanin"/>
          <w:color w:val="111111"/>
          <w:sz w:val="28"/>
          <w:sz w:val="28"/>
          <w:szCs w:val="28"/>
          <w:rtl w:val="true"/>
          <w:lang w:bidi="fa-IR"/>
        </w:rPr>
        <w:t xml:space="preserve">یکی از قدیمی ترین قسمت های کربلا، خرابه های قصر اخیضر است که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ماسینیون معتقد است که این قصر مربوط به ملوک حیرهٔ پیش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هرتسفلد آلمانی پس از کاوش در آن به وجود مسجد و محراب پی برد و این مکان را به سدهٔ سوم هجری مربوط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مشخص عمارت حسینی از سدهٔ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ساختمانی در آنجا وجود داشته که به دستور متوکل به سال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بنا شده و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شده و بر آن، آب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لسترنج،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دیلمی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ضریح باشکوهی روی قبر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آرامگاه حضرت دچار آتش سوزی شد و دوباره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ملکشاه سلجوقی هنگام شکار در آن منطقه به زیارت حضرت نایل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سلیمان قانونی در سال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م پس از زیارت آنجا، دستور بازسازی بنا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قاجار هم در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م اقدام به بازسازی آنجا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کربلا</w:t>
      </w:r>
    </w:p>
    <w:p>
      <w:pPr>
        <w:pStyle w:val="BookText"/>
        <w:rPr/>
      </w:pPr>
      <w:r>
        <w:rPr>
          <w:rFonts w:ascii="IRNazanin" w:hAnsi="IRNazanin" w:eastAsia="IRNazanin"/>
          <w:color w:val="111111"/>
          <w:sz w:val="28"/>
          <w:sz w:val="28"/>
          <w:szCs w:val="28"/>
          <w:rtl w:val="true"/>
          <w:lang w:bidi="fa-IR"/>
        </w:rPr>
        <w:t>شهر کربلا مرکز استان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آن طبق آمار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جمعیت نفوس در زمان حاضر بیش از این 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آن تا بغداد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تا نجف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4"/>
        <w:numPr>
          <w:ilvl w:val="3"/>
          <w:numId w:val="1"/>
        </w:numPr>
        <w:rPr/>
      </w:pPr>
      <w:bookmarkStart w:id="119" w:name="__RefHeading___Toc1744216_2870459653"/>
      <w:bookmarkStart w:id="120" w:name="_Toc44"/>
      <w:bookmarkEnd w:id="119"/>
      <w:r>
        <w:rPr/>
        <w:t>19</w:t>
      </w:r>
      <w:r>
        <w:rPr>
          <w:rtl w:val="true"/>
        </w:rPr>
        <w:t xml:space="preserve">. </w:t>
      </w:r>
      <w:r>
        <w:rPr>
          <w:rtl w:val="true"/>
        </w:rPr>
        <w:t>کوفه</w:t>
      </w:r>
      <w:bookmarkEnd w:id="1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حضرت درواقعهٔ طف به شهادت رسیدند و بدن های مبارکشان در همین ناحیه دفن شد امّا به همراه کاروان اسیران، سرهای شهیدان منازلی </w:t>
      </w:r>
    </w:p>
    <w:p>
      <w:pPr>
        <w:pStyle w:val="BookText"/>
        <w:rPr/>
      </w:pPr>
      <w:r>
        <w:rPr>
          <w:rFonts w:ascii="IRNazanin" w:hAnsi="IRNazanin" w:eastAsia="IRNazanin"/>
          <w:color w:val="111111"/>
          <w:sz w:val="28"/>
          <w:sz w:val="28"/>
          <w:szCs w:val="28"/>
          <w:rtl w:val="true"/>
          <w:lang w:bidi="fa-IR"/>
        </w:rPr>
        <w:t>را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دو منزل کوفه و دمشق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w:t>
      </w:r>
    </w:p>
    <w:p>
      <w:pPr>
        <w:pStyle w:val="BookText"/>
        <w:rPr/>
      </w:pPr>
      <w:r>
        <w:rPr>
          <w:rFonts w:ascii="IRNazanin" w:hAnsi="IRNazanin" w:eastAsia="IRNazanin"/>
          <w:color w:val="111111"/>
          <w:sz w:val="28"/>
          <w:sz w:val="28"/>
          <w:szCs w:val="28"/>
          <w:rtl w:val="true"/>
          <w:lang w:bidi="fa-IR"/>
        </w:rPr>
        <w:t>در البدان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از تکَوَّفَ گرفته شده و به معنی انباشته شدن ریگ ها و غلتیدن آن ها به روی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فقیه،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بر این باورند که تَکَوَّف به معنی تَجَمَّع است و علت نام گذاری این است که وقتی سعد بن ابی وقاص و لشکریانش برای اقامت به این محل رسیدند، سعد به لشکریان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تَکَوَّفُوا فی هذا المکان؛ در این مکان جمع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 فروشانی،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به معنی ریگ های دایره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نیز هست که کوفان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فقیه،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گذر زمان</w:t>
      </w:r>
    </w:p>
    <w:p>
      <w:pPr>
        <w:pStyle w:val="BookText"/>
        <w:rPr/>
      </w:pPr>
      <w:r>
        <w:rPr>
          <w:rFonts w:ascii="IRNazanin" w:hAnsi="IRNazanin" w:eastAsia="IRNazanin"/>
          <w:color w:val="111111"/>
          <w:sz w:val="28"/>
          <w:sz w:val="28"/>
          <w:szCs w:val="28"/>
          <w:rtl w:val="true"/>
          <w:lang w:bidi="fa-IR"/>
        </w:rPr>
        <w:t>البلدان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بزرگ در عراق است که قبة الاسلام و محل هجرت مسلمانان است و آن نخستین شهری است که مسلمانان در عراق در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هجری</w:t>
      </w:r>
      <w:r>
        <w:rPr>
          <w:rStyle w:val="FootnoteAnchor"/>
          <w:rtl w:val="true"/>
        </w:rPr>
        <w:footnoteReference w:id="2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ساختند که بر کرانهٔ فرات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پس از فتح عراق به دستور سعدبن ابی وقاص و بنا به فرمان عمر،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آکام المرجان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هوایش درست و آبش خوش 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مناطق و املاک قبایل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بصره نخستین شهری بود که مسلمانان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در سدهٔ چهارم دربارهٔ کوفه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بزرگ، سبک، خوش ساختمان با بازارهایی بزرگ، پربرکت و جامع مرافق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باستانی آنجا حیره بوده که ویران شده است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نخبة الدهر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نگاران می پندارند این شهر از روزگار نوح بوده و کوفان نام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دمشقی،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121" w:name="pg8975_113897"/>
    </w:p>
    <w:p>
      <w:pPr>
        <w:pStyle w:val="BookText"/>
        <w:rPr/>
      </w:pPr>
      <w:bookmarkEnd w:id="121"/>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کوفه</w:t>
      </w:r>
    </w:p>
    <w:p>
      <w:pPr>
        <w:pStyle w:val="BookText"/>
        <w:rPr/>
      </w:pPr>
      <w:r>
        <w:rPr>
          <w:rFonts w:ascii="IRNazanin" w:hAnsi="IRNazanin" w:eastAsia="IRNazanin"/>
          <w:color w:val="111111"/>
          <w:sz w:val="28"/>
          <w:sz w:val="28"/>
          <w:szCs w:val="28"/>
          <w:rtl w:val="true"/>
          <w:lang w:bidi="fa-IR"/>
        </w:rPr>
        <w:t xml:space="preserve">اکنون کوفه از نواحی شهر نجف است و در استان کربلا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کوفه از سطح دریا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 فروشانی،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به چاه های گوارا، نخلستان ها، باغ ها، حوض ها و جوی ها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w:t>
      </w:r>
    </w:p>
    <w:p>
      <w:pPr>
        <w:pStyle w:val="BookText"/>
        <w:rPr/>
      </w:pPr>
      <w:r>
        <w:rPr>
          <w:rFonts w:ascii="IRNazanin" w:hAnsi="IRNazanin" w:eastAsia="IRNazanin"/>
          <w:color w:val="111111"/>
          <w:sz w:val="28"/>
          <w:sz w:val="28"/>
          <w:szCs w:val="28"/>
          <w:rtl w:val="true"/>
          <w:lang w:bidi="fa-IR"/>
        </w:rPr>
        <w:t>یکی از مساجد مهم و مورد توجه شیعیان،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هنگامی که سعد و مشاورانش قصد پی ریزی نقشهٔ شهر کوفه را داشتند، نخستین مکانی که در این نقشه کشی مشخص شد، مسجد جامع کوفه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 فروشانی،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و گسترش مسجد کوفه در زمان مغیره بن شعبه، والی کوفه، در فاصلۀ سال های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فاصلهٔ سال های</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تغییرات عمده ای در آن به وجود آورد و هزینه های هنگفتی صرف آن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جبیر از این مسجد بازدید کرده و از عظمت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این یادکرد به پنج رواق در سمت قبله و دو رواق در طرف های دیگر اشاره می کند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خود به معماری و مقام های مختلف آن اشاره کرده و از خانهٔ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آرامگاه های بیرون مسجد یاد می کند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کنونی بازسازی شده و دارای ضلع های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متر است و از برج های مدور تشکیل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در مهم مسجد، باب السدَّه، باب الفیل، باب الکنده و باب الاثماط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 فروشانی،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4"/>
        <w:numPr>
          <w:ilvl w:val="3"/>
          <w:numId w:val="1"/>
        </w:numPr>
        <w:rPr/>
      </w:pPr>
      <w:bookmarkStart w:id="122" w:name="__RefHeading___Toc1744218_2870459653"/>
      <w:bookmarkStart w:id="123" w:name="_Toc45"/>
      <w:bookmarkEnd w:id="122"/>
      <w:r>
        <w:rPr/>
        <w:t>20</w:t>
      </w:r>
      <w:r>
        <w:rPr>
          <w:rtl w:val="true"/>
        </w:rPr>
        <w:t xml:space="preserve">. </w:t>
      </w:r>
      <w:r>
        <w:rPr>
          <w:rtl w:val="true"/>
        </w:rPr>
        <w:t>دمشق</w:t>
      </w:r>
      <w:bookmarkEnd w:id="12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کاروان اسیران، سر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شهیدان، منازل </w:t>
      </w:r>
    </w:p>
    <w:p>
      <w:pPr>
        <w:pStyle w:val="BookText"/>
        <w:rPr/>
      </w:pPr>
      <w:r>
        <w:rPr>
          <w:rFonts w:ascii="IRNazanin" w:hAnsi="IRNazanin" w:eastAsia="IRNazanin"/>
          <w:color w:val="111111"/>
          <w:sz w:val="28"/>
          <w:sz w:val="28"/>
          <w:szCs w:val="28"/>
          <w:rtl w:val="true"/>
          <w:lang w:bidi="fa-IR"/>
        </w:rPr>
        <w:t xml:space="preserve">گوناگونی را طی کردند و به شهر دمشق و دارالحکومهٔ یزید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w:t>
      </w:r>
    </w:p>
    <w:p>
      <w:pPr>
        <w:pStyle w:val="BookText"/>
        <w:rPr/>
      </w:pPr>
      <w:r>
        <w:rPr>
          <w:rFonts w:ascii="IRNazanin" w:hAnsi="IRNazanin" w:eastAsia="IRNazanin"/>
          <w:color w:val="111111"/>
          <w:sz w:val="28"/>
          <w:sz w:val="28"/>
          <w:szCs w:val="28"/>
          <w:rtl w:val="true"/>
          <w:lang w:bidi="fa-IR"/>
        </w:rPr>
        <w:t>ابن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دمشق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قانی پسر مالک پسر ارفخشد پسر سام پسر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که این شهر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دیگری نیز وجود دارد که سازندهٔ دمشق، جیرون، پسر سعدپسر عماد پسر ارم پسر سام پسر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 اینکه عازر، غلام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حبشی بود، این شهر را بنیان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در گذر زمان</w:t>
      </w:r>
    </w:p>
    <w:p>
      <w:pPr>
        <w:pStyle w:val="BookText"/>
        <w:rPr/>
      </w:pPr>
      <w:r>
        <w:rPr>
          <w:rFonts w:ascii="IRNazanin" w:hAnsi="IRNazanin" w:eastAsia="IRNazanin"/>
          <w:color w:val="111111"/>
          <w:sz w:val="28"/>
          <w:sz w:val="28"/>
          <w:szCs w:val="28"/>
          <w:rtl w:val="true"/>
          <w:lang w:bidi="fa-IR"/>
        </w:rPr>
        <w:t xml:space="preserve">یاقوت حموی قدمت این شهر را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و معتقد است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پس از بنای دمشق به دنیا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باستانی تا پیش از اسلام در دست رومیان بوده و در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هجری توسط ابوعبیدهٔ جراح به صلح گشوده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جبیر در سفرنامهٔ خود، از کلیسای مریم و هفت دروازهٔ مهم دمشق یعنی باب الشرقی، باب توما، باب السلامة، باب الفرادیس، باب الفرج، باب النصر، باب الجابیة و باب الصغیر یاد کرده است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دمشق</w:t>
      </w:r>
    </w:p>
    <w:p>
      <w:pPr>
        <w:pStyle w:val="BookText"/>
        <w:rPr/>
      </w:pPr>
      <w:r>
        <w:rPr>
          <w:rFonts w:ascii="IRNazanin" w:hAnsi="IRNazanin" w:eastAsia="IRNazanin"/>
          <w:color w:val="111111"/>
          <w:sz w:val="28"/>
          <w:sz w:val="28"/>
          <w:szCs w:val="28"/>
          <w:rtl w:val="true"/>
          <w:lang w:bidi="fa-IR"/>
        </w:rPr>
        <w:t xml:space="preserve">این شهر از 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شام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دمشق از سطح دریا،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بَردا یا رود دمشق از کوه های شهر سرچشمه گرفته و ناحیهٔ غوطَه را آبیاری کرده به دریاچهٔ دمشق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خردادبه،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رودخانه اکنون به همین نام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شهر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 از چوب و گل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بازارهایش سرپوشیده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بازار سراسری سرباز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را نهرها دریده و درخت ها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متضاد و ارزان، یخ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گرمابه هایش، شگفت آورتر از فواره هایش و عاقل تر از مردمش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آب وهوا است ولی هوایش خشک، مردمش ماجراجو، میوه هایش بی مزه، گوشت هایش سفت، خانه هایش تنگ، کوچه هایش اندوه زا و نانش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آنجا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مساحتش در دشت، نیم فرسنگ در نیم فرسنگ است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قدامة بن جعفر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کوهی به نام ثَلج در دمشق اشاره کرده است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کنونی شهر دمشق </w:t>
      </w:r>
      <w:r>
        <w:rPr>
          <w:rFonts w:eastAsia="IRNazanin" w:cs="IRNazanin"/>
          <w:color w:val="111111"/>
          <w:sz w:val="28"/>
          <w:szCs w:val="28"/>
          <w:lang w:bidi="fa-IR"/>
        </w:rPr>
        <w:t>3,045,000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دمشق</w:t>
      </w:r>
    </w:p>
    <w:p>
      <w:pPr>
        <w:pStyle w:val="BookText"/>
        <w:rPr/>
      </w:pPr>
      <w:r>
        <w:rPr>
          <w:rFonts w:ascii="IRNazanin" w:hAnsi="IRNazanin" w:eastAsia="IRNazanin"/>
          <w:color w:val="111111"/>
          <w:sz w:val="28"/>
          <w:sz w:val="28"/>
          <w:szCs w:val="28"/>
          <w:rtl w:val="true"/>
          <w:lang w:bidi="fa-IR"/>
        </w:rPr>
        <w:t>مسجد جامع دمشق یا بلاط الولید یا مسجد اموی یکی از مساجد بزرگ و باشکوه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اصطخری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جغرافی دان سدهٔ چهارم، دربارهٔ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بناهای صابیان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 جای ایشان بود و بعد از آن در دست یونانیان افتاد و آن موضع را موقر و مبجل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ملوک بت پرستان و جهودان در آنجا غالب و مستولی شدند، آن موضع را معبد ساختند و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سر بریدند و سر او را به در مسجد آویختند و آن 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طولانی، چون ترسایان غالب و منصور شدند، آن موضع را کنیسه و کتابخانهٔ خود ساختند و دین خود را در آنجا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رسید و لشکر اسلام در آنجا متغلّب و مظفر شدند، آن بقعه را مسجدی بنیاد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جیرون، همان جایگاه که سر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بودند، سر امیرالمؤمنین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چون ولید بن عبدالملک در آنجا اقامت ساخت، آن مسجد را در عمارت آورد</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72-73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نخبة الدهر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نزدیک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پرستشگاه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دمشقی،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24" w:name="pg8975_113900"/>
    </w:p>
    <w:p>
      <w:pPr>
        <w:pStyle w:val="Heading3"/>
        <w:numPr>
          <w:ilvl w:val="2"/>
          <w:numId w:val="1"/>
        </w:numPr>
        <w:rPr/>
      </w:pPr>
      <w:bookmarkStart w:id="125" w:name="__RefHeading___Toc1744220_2870459653"/>
      <w:bookmarkStart w:id="126" w:name="_Toc46"/>
      <w:bookmarkEnd w:id="124"/>
      <w:bookmarkEnd w:id="125"/>
      <w:r>
        <w:rPr>
          <w:rtl w:val="true"/>
        </w:rPr>
        <w:t>نتیجه گیری</w:t>
      </w:r>
      <w:bookmarkEnd w:id="1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انجام این پژوهش، بررسی اعلام جغرافیایی مسیر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از مدینه تا کربلا و حرکت سرهای مبارک شهیدان از آنجا تا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توجه نویسنده به مکان هایی است که در کتاب ارشاد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برای معرفی و تبیین این منازل از متون جغرافیایی گوناگون در سده های پیشین و نیز کتاب های جغرافیایی زمان حاضر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از منظری دیگر به واقعهٔ عاشورا نگریسته ویژگی های جغرافیایی و تا حدودی تاریخی منازل میان راه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پژوهشگران و دوست داران تاریخ و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و قیام حسینی را از منظرهای دیگر هم مورد بررسی و پژوهش قرار دهند</w:t>
      </w:r>
      <w:r>
        <w:rPr>
          <w:rFonts w:eastAsia="IRNazanin" w:cs="IRNazanin"/>
          <w:color w:val="111111"/>
          <w:sz w:val="28"/>
          <w:szCs w:val="28"/>
          <w:rtl w:val="true"/>
          <w:lang w:bidi="fa-IR"/>
        </w:rPr>
        <w:t xml:space="preserve">. </w:t>
      </w:r>
      <w:bookmarkStart w:id="127" w:name="pg8975_113901"/>
    </w:p>
    <w:p>
      <w:pPr>
        <w:pStyle w:val="Heading3"/>
        <w:numPr>
          <w:ilvl w:val="2"/>
          <w:numId w:val="1"/>
        </w:numPr>
        <w:rPr/>
      </w:pPr>
      <w:bookmarkStart w:id="128" w:name="__RefHeading___Toc1744222_2870459653"/>
      <w:bookmarkStart w:id="129" w:name="_Toc47"/>
      <w:bookmarkEnd w:id="127"/>
      <w:bookmarkEnd w:id="128"/>
      <w:r>
        <w:rPr>
          <w:rtl w:val="true"/>
        </w:rPr>
        <w:t>منابع</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رسته، احمدبن عمر</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الاعلاق النفیسه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دکترحسین قره چانلو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فقیه، ابی عبدالله احمدبن محمدبن اسحاق الهمدانی</w:t>
      </w:r>
      <w:r>
        <w:rPr>
          <w:rFonts w:eastAsia="IRNazanin" w:cs="IRNazanin"/>
          <w:color w:val="111111"/>
          <w:sz w:val="28"/>
          <w:szCs w:val="28"/>
          <w:rtl w:val="true"/>
          <w:lang w:bidi="fa-IR"/>
        </w:rPr>
        <w:t>.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البلدان،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الاولی؛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دکترمحمدعلی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محمدبن احمد</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اتابکی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خردادبه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 و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دکترحسین قره چانلو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ابوالفدا</w:t>
      </w:r>
      <w:r>
        <w:rPr>
          <w:rFonts w:eastAsia="IRNazanin" w:cs="IRNazanin"/>
          <w:color w:val="111111"/>
          <w:sz w:val="28"/>
          <w:szCs w:val="28"/>
          <w:rtl w:val="true"/>
          <w:lang w:bidi="fa-IR"/>
        </w:rPr>
        <w:t>.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عبدالمحمد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اصطخری، ابواسحاق ابراهیم</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ومسالک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اسعدبن عبدالله تستری،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موقوفات دکتر محمود افشار؛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داوود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جغرافیایی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دمشقی، محمدبن ابی طالب</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الدهر فی عجائب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 طبیبیان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بابان، جمال</w:t>
      </w:r>
      <w:r>
        <w:rPr>
          <w:rFonts w:eastAsia="IRNazanin" w:cs="IRNazanin"/>
          <w:color w:val="111111"/>
          <w:sz w:val="28"/>
          <w:szCs w:val="28"/>
          <w:rtl w:val="true"/>
          <w:lang w:bidi="fa-IR"/>
        </w:rPr>
        <w:t>.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اسماء المدن والمواقع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دارالثقافة و النشرالکردیة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صفی الدین عبدالمؤمن بن عبدالحق</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البلادی، عاتق بن غیث</w:t>
      </w:r>
      <w:r>
        <w:rPr>
          <w:rFonts w:eastAsia="IRNazanin" w:cs="IRNazanin"/>
          <w:color w:val="111111"/>
          <w:sz w:val="28"/>
          <w:szCs w:val="28"/>
          <w:rtl w:val="true"/>
          <w:lang w:bidi="fa-IR"/>
        </w:rPr>
        <w:t>.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جیهانی، ابوالقاسم بن احمد</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کاتب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تصحیح، توضیح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الحسنی، السید عبدالرزاق</w:t>
      </w:r>
      <w:r>
        <w:rPr>
          <w:rFonts w:eastAsia="IRNazanin" w:cs="IRNazanin"/>
          <w:color w:val="111111"/>
          <w:sz w:val="28"/>
          <w:szCs w:val="28"/>
          <w:rtl w:val="true"/>
          <w:lang w:bidi="fa-IR"/>
        </w:rPr>
        <w:t>.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قدیماً و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دارالرافدین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محمدبن عبدالمنعم</w:t>
      </w:r>
      <w:r>
        <w:rPr>
          <w:rFonts w:eastAsia="IRNazanin" w:cs="IRNazanin"/>
          <w:color w:val="111111"/>
          <w:sz w:val="28"/>
          <w:szCs w:val="28"/>
          <w:rtl w:val="true"/>
          <w:lang w:bidi="fa-IR"/>
        </w:rPr>
        <w:t>.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المعطارفی خبر 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محمدبن محمد</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فروشانی، نعمت الله</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از پیدایش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عبدالباقی، محمدفؤاد</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لالفاظ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قدامة بن جعفر</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قره چانلو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کحاله، عمررضا</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جغرافیة شبه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الفجالة الجدیدة؛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لسترنج</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 سرزمین های خلافت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ابوعبدالله محمدبن احمد</w:t>
      </w:r>
      <w:r>
        <w:rPr>
          <w:rFonts w:eastAsia="IRNazanin" w:cs="IRNazanin"/>
          <w:color w:val="111111"/>
          <w:sz w:val="28"/>
          <w:szCs w:val="28"/>
          <w:rtl w:val="true"/>
          <w:lang w:bidi="fa-IR"/>
        </w:rPr>
        <w:t>.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التقاسیم فی معرفة الاقالیم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دکترعلینقی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مؤلفان و مترجمان ایران، 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منجم، اسحاق بن حسین</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آکام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محمدآصف فکرت، معاونت فرهنگی آستان قدس رضوی، 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غدیر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اسماء الاماکن فی المملکة العربیة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دارة الملک عبدالعزیز؛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بغدادی، ابی عبدالله</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سازمان میراث فرهنگی کشور، چاپ اوّل؛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حَمَوی بغدادی، ابی عبدالله</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سازمان میراث فرهنگی کشور، 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حَمَوی بغدادی، ابی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احمدبن ابی یعقوب اسحاق بن جعفربن وهب بن واضح</w:t>
      </w:r>
      <w:r>
        <w:rPr>
          <w:rFonts w:eastAsia="IRNazanin" w:cs="IRNazanin"/>
          <w:color w:val="111111"/>
          <w:sz w:val="28"/>
          <w:szCs w:val="28"/>
          <w:rtl w:val="true"/>
          <w:lang w:bidi="fa-IR"/>
        </w:rPr>
        <w:t>.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bookmarkStart w:id="130" w:name="pg8975_113904"/>
    </w:p>
    <w:p>
      <w:pPr>
        <w:pStyle w:val="Heading2"/>
        <w:numPr>
          <w:ilvl w:val="1"/>
          <w:numId w:val="1"/>
        </w:numPr>
        <w:rPr/>
      </w:pPr>
      <w:bookmarkStart w:id="131" w:name="__RefHeading___Toc1744224_2870459653"/>
      <w:bookmarkStart w:id="132" w:name="_Toc48"/>
      <w:bookmarkEnd w:id="130"/>
      <w:bookmarkEnd w:id="131"/>
      <w:r>
        <w:rPr>
          <w:rtl w:val="true"/>
        </w:rPr>
        <w:t>جایگاه امام حسین</w:t>
      </w:r>
      <w:r>
        <w:rPr>
          <w:rtl w:val="true"/>
        </w:rPr>
        <w:t>(</w:t>
      </w:r>
      <w:r>
        <w:rPr>
          <w:rtl w:val="true"/>
        </w:rPr>
        <w:t>علیه السلام</w:t>
      </w:r>
      <w:r>
        <w:rPr>
          <w:rtl w:val="true"/>
        </w:rPr>
        <w:t xml:space="preserve">) </w:t>
      </w:r>
      <w:r>
        <w:rPr>
          <w:rtl w:val="true"/>
        </w:rPr>
        <w:t>در تفاسیر دانشمندان اهل سنت</w:t>
      </w:r>
      <w:bookmarkEnd w:id="132"/>
    </w:p>
    <w:p>
      <w:pPr>
        <w:pStyle w:val="Heading3"/>
        <w:numPr>
          <w:ilvl w:val="2"/>
          <w:numId w:val="1"/>
        </w:numPr>
        <w:rPr/>
      </w:pPr>
      <w:bookmarkStart w:id="133" w:name="__RefHeading___Toc1744226_2870459653"/>
      <w:bookmarkStart w:id="134" w:name="_Toc49"/>
      <w:bookmarkEnd w:id="133"/>
      <w:r>
        <w:rPr>
          <w:rtl w:val="true"/>
        </w:rPr>
        <w:t xml:space="preserve">محمد اسماعیل عبدالهی </w:t>
      </w:r>
      <w:r>
        <w:rPr>
          <w:rtl w:val="true"/>
        </w:rPr>
        <w:t xml:space="preserve">- </w:t>
      </w:r>
      <w:r>
        <w:rPr>
          <w:rtl w:val="true"/>
        </w:rPr>
        <w:t>محمد کرمی نیا</w:t>
      </w:r>
      <w:bookmarkEnd w:id="134"/>
    </w:p>
    <w:p>
      <w:pPr>
        <w:pStyle w:val="BookText"/>
        <w:rPr/>
      </w:pPr>
      <w:r>
        <w:rPr>
          <w:rFonts w:ascii="IRNazanin" w:hAnsi="IRNazanin" w:eastAsia="IRNazanin"/>
          <w:color w:val="111111"/>
          <w:sz w:val="28"/>
          <w:sz w:val="28"/>
          <w:szCs w:val="28"/>
          <w:rtl w:val="true"/>
          <w:lang w:bidi="fa-IR"/>
        </w:rPr>
        <w:t xml:space="preserve">محمد اسماعیل عبدالهی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گروه علمی فرق و ادیان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m.s.abdollahy@hotmail.com</w:t>
      </w:r>
    </w:p>
    <w:p>
      <w:pPr>
        <w:pStyle w:val="BookText"/>
        <w:rPr/>
      </w:pPr>
      <w:r>
        <w:rPr>
          <w:rFonts w:ascii="IRNazanin" w:hAnsi="IRNazanin" w:eastAsia="IRNazanin"/>
          <w:color w:val="111111"/>
          <w:sz w:val="28"/>
          <w:sz w:val="28"/>
          <w:szCs w:val="28"/>
          <w:rtl w:val="true"/>
          <w:lang w:bidi="fa-IR"/>
        </w:rPr>
        <w:t xml:space="preserve">محمد کرمی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 کارشناسی علوم قرآن و حدیث، دانشگاه علوم و معارف قرآن کریم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karaminia.mohammad@yahoo.com</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10/01/96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13/04/96</w:t>
      </w:r>
    </w:p>
    <w:p>
      <w:pPr>
        <w:pStyle w:val="Heading3"/>
        <w:numPr>
          <w:ilvl w:val="2"/>
          <w:numId w:val="1"/>
        </w:numPr>
        <w:rPr/>
      </w:pPr>
      <w:bookmarkStart w:id="135" w:name="__RefHeading___Toc1744228_2870459653"/>
      <w:bookmarkStart w:id="136" w:name="_Toc50"/>
      <w:bookmarkEnd w:id="135"/>
      <w:r>
        <w:rPr>
          <w:rtl w:val="true"/>
        </w:rPr>
        <w:t xml:space="preserve">چکیده </w:t>
      </w:r>
      <w:r>
        <w:rPr>
          <w:rtl w:val="true"/>
        </w:rPr>
        <w:t>:</w:t>
      </w:r>
      <w:bookmarkEnd w:id="13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شریف ثقلین دو چیز گران بها را میان مردم به ودیعه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دیگری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اهل بیت و پنجمین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ویژگی های خاصی که میان دیگر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مورد توجه ویژۀ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چون برابر روایات، آیاتی در قرآن از جانب خداوند درشان و منزلت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آن حضرت و روایات مربوط به ایشان مورد توجه مفسرین اهل تسنن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می کوشیم به این پرسش پاسخ دهیم که آرا و دیدگاه های مفسران اهل تسنن دربارۀ جایگاه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چیست؟ آیات فراوانی درشان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که مفسرین اهل سنت بعضی را درباره حضرت تفسیر کرده اند، و بعضی دیگر را تأویل و تطبیق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جایگاه آن حضرت در منابع تفسیری اهل سنت بررسی شده است؛ و ثابت شده که همان طور </w:t>
      </w:r>
      <w:bookmarkStart w:id="137" w:name="pg8975_113905"/>
    </w:p>
    <w:p>
      <w:pPr>
        <w:pStyle w:val="BookText"/>
        <w:rPr/>
      </w:pPr>
      <w:bookmarkEnd w:id="137"/>
      <w:r>
        <w:rPr>
          <w:rFonts w:ascii="IRNazanin" w:hAnsi="IRNazanin" w:eastAsia="IRNazanin"/>
          <w:color w:val="111111"/>
          <w:sz w:val="28"/>
          <w:sz w:val="28"/>
          <w:szCs w:val="28"/>
          <w:rtl w:val="true"/>
          <w:lang w:bidi="fa-IR"/>
        </w:rPr>
        <w:t>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و تاریخ اسلام جایگاهی ویژه دارد، در روایات تفسیری اهل سنت نیز دارای جایگاهی والا و درخور توجه است که نمی توان ساده از کنار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تفاسیر، قرآن</w:t>
      </w:r>
    </w:p>
    <w:p>
      <w:pPr>
        <w:pStyle w:val="Heading3"/>
        <w:numPr>
          <w:ilvl w:val="2"/>
          <w:numId w:val="1"/>
        </w:numPr>
        <w:rPr/>
      </w:pPr>
      <w:bookmarkStart w:id="138" w:name="__RefHeading___Toc1744230_2870459653"/>
      <w:bookmarkStart w:id="139" w:name="_Toc51"/>
      <w:bookmarkEnd w:id="138"/>
      <w:r>
        <w:rPr>
          <w:rtl w:val="true"/>
        </w:rPr>
        <w:t xml:space="preserve">مقدمه </w:t>
      </w:r>
      <w:r>
        <w:rPr>
          <w:rtl w:val="true"/>
        </w:rPr>
        <w:t>:</w:t>
      </w:r>
      <w:bookmarkEnd w:id="139"/>
    </w:p>
    <w:p>
      <w:pPr>
        <w:pStyle w:val="Heading4"/>
        <w:numPr>
          <w:ilvl w:val="3"/>
          <w:numId w:val="1"/>
        </w:numPr>
        <w:rPr/>
      </w:pPr>
      <w:bookmarkStart w:id="140" w:name="__RefHeading___Toc1744232_2870459653"/>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ثقلین دو چیز گران بها را میان مردم به ودیعه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دیگری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قرآن، ثقل اکبر و به اهل بیت، ثقل اصغر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اهل بیت و پنجمین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جهت ویژگی خاصی که بین دیگر بزرگان معصوم دارند و مورد توجه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بوده و آیاتی درشان و منزلت آن حضرت نازل شده است که مورد توجه اهل سنت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دلیل اهمیت معرفی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مفسرین اهل سنت از این مسألۀ مهم غافل نبوده اند و روایاتی را که در تفسیر برخی آیات مربوط به آن حضرت نقل شده است، در تفاسیر خود ذیل آیات مربوطه بیان کرده اند</w:t>
      </w:r>
      <w:r>
        <w:rPr>
          <w:rFonts w:eastAsia="IRNazanin" w:cs="IRNazanin"/>
          <w:color w:val="111111"/>
          <w:sz w:val="28"/>
          <w:szCs w:val="28"/>
          <w:rtl w:val="true"/>
          <w:lang w:bidi="fa-IR"/>
        </w:rPr>
        <w:t>.</w:t>
      </w:r>
    </w:p>
    <w:p>
      <w:pPr>
        <w:pStyle w:val="Heading4"/>
        <w:numPr>
          <w:ilvl w:val="3"/>
          <w:numId w:val="1"/>
        </w:numPr>
        <w:rPr/>
      </w:pPr>
      <w:bookmarkStart w:id="142" w:name="__RefHeading___Toc1744234_2870459653"/>
      <w:bookmarkStart w:id="143" w:name="_Toc53"/>
      <w:bookmarkEnd w:id="142"/>
      <w:r>
        <w:rPr/>
        <w:t>1</w:t>
      </w:r>
      <w:r>
        <w:rPr>
          <w:rtl w:val="true"/>
        </w:rPr>
        <w:t xml:space="preserve">- </w:t>
      </w:r>
      <w:r>
        <w:rPr>
          <w:rtl w:val="true"/>
        </w:rPr>
        <w:t>زندگی و شخصیت امام حسین</w:t>
      </w:r>
      <w:r>
        <w:rPr>
          <w:rtl w:val="true"/>
        </w:rPr>
        <w:t>(</w:t>
      </w:r>
      <w:r>
        <w:rPr>
          <w:rtl w:val="true"/>
        </w:rPr>
        <w:t>علیه السلام</w:t>
      </w:r>
      <w:r>
        <w:rPr>
          <w:rtl w:val="true"/>
        </w:rPr>
        <w:t>)</w:t>
      </w:r>
      <w:bookmarkEnd w:id="143"/>
    </w:p>
    <w:p>
      <w:pPr>
        <w:pStyle w:val="BookText"/>
        <w:rPr/>
      </w:pPr>
      <w:r>
        <w:rPr>
          <w:rFonts w:ascii="IRNazanin" w:hAnsi="IRNazanin" w:eastAsia="IRNazanin"/>
          <w:color w:val="111111"/>
          <w:sz w:val="28"/>
          <w:sz w:val="28"/>
          <w:szCs w:val="28"/>
          <w:rtl w:val="true"/>
          <w:lang w:bidi="fa-IR"/>
        </w:rPr>
        <w:t>در باب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مورخین آن را در روز سه شنبه یا پنج شنبه سوم یا پنجم ماه شعبان و گروهی آن را در آخرین روز ربیع الاول سال سوم هجری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ولادت آن حضرت را در روز سوم یا پنجم ماه شعبان سال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عکبری بغدادی،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حموی،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آن را بیست وپنج شعبان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نویسندگان بدون ذکر روز، آن را ماه شعبان سال چهارم هجری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از پیامبر در این باب در مجامع حدیثی اهل سنت واردشده است که همۀ آن ها عظمت و شخصیت والای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رساند و این که آن حضرت </w:t>
      </w:r>
      <w:bookmarkStart w:id="144" w:name="pg8975_113906"/>
    </w:p>
    <w:p>
      <w:pPr>
        <w:pStyle w:val="BookText"/>
        <w:rPr/>
      </w:pPr>
      <w:bookmarkEnd w:id="144"/>
      <w:r>
        <w:rPr>
          <w:rFonts w:ascii="IRNazanin" w:hAnsi="IRNazanin" w:eastAsia="IRNazanin"/>
          <w:color w:val="111111"/>
          <w:sz w:val="28"/>
          <w:sz w:val="28"/>
          <w:szCs w:val="28"/>
          <w:rtl w:val="true"/>
          <w:lang w:bidi="fa-IR"/>
        </w:rPr>
        <w:t>همواره مورد توجه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 جایی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 ریحانة و ریحانتای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دلبند است و حسن و حسین دو دلبند من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التلیدی المغربی،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تلمسانی،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محمد بن طولون شمس الدین،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الجزری،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قندوزی،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توجهات تنها به دلیل ارتباط نسبی نیست، بلکه بیشتر به دلیل اثرگذاری در دین و نقش هدایت گری این بزرگواران در بین مسلمین و حفظ دین ناب است و در این میان نقش تفسیری این امام همام را به عنوان مهم ترین منبع وحیانی نمی توان نادیدهگرفت و این نقش بی بدیل را می توان در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واقدی،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نسائی،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سید بن طاووس،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مظلوم که همهٔ هستی خود را در راه خدا و برای احیای دین خدا فدا کرد و با کلام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وارید أن آمر بالمعروف و انهی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هستی فهماند، وارث علم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به بطون قرآن و در علم تفسیر فردی بی نظیر است</w:t>
      </w:r>
      <w:r>
        <w:rPr>
          <w:rFonts w:eastAsia="IRNazanin" w:cs="IRNazanin"/>
          <w:color w:val="111111"/>
          <w:sz w:val="28"/>
          <w:szCs w:val="28"/>
          <w:rtl w:val="true"/>
          <w:lang w:bidi="fa-IR"/>
        </w:rPr>
        <w:t>.</w:t>
      </w:r>
    </w:p>
    <w:p>
      <w:pPr>
        <w:pStyle w:val="Heading4"/>
        <w:numPr>
          <w:ilvl w:val="3"/>
          <w:numId w:val="1"/>
        </w:numPr>
        <w:rPr/>
      </w:pPr>
      <w:bookmarkStart w:id="145" w:name="__RefHeading___Toc1744236_2870459653"/>
      <w:bookmarkStart w:id="146" w:name="_Toc54"/>
      <w:bookmarkEnd w:id="145"/>
      <w:r>
        <w:rPr/>
        <w:t>2</w:t>
      </w:r>
      <w:r>
        <w:rPr>
          <w:rtl w:val="true"/>
        </w:rPr>
        <w:t xml:space="preserve">- </w:t>
      </w:r>
      <w:r>
        <w:rPr>
          <w:rtl w:val="true"/>
        </w:rPr>
        <w:t>امام حسین ع در تفاسیر اهل سنت</w:t>
      </w:r>
      <w:bookmarkEnd w:id="146"/>
    </w:p>
    <w:p>
      <w:pPr>
        <w:pStyle w:val="BookText"/>
        <w:rPr/>
      </w:pPr>
      <w:r>
        <w:rPr>
          <w:rFonts w:ascii="IRNazanin" w:hAnsi="IRNazanin" w:eastAsia="IRNazanin"/>
          <w:color w:val="111111"/>
          <w:sz w:val="28"/>
          <w:sz w:val="28"/>
          <w:szCs w:val="28"/>
          <w:rtl w:val="true"/>
          <w:lang w:bidi="fa-IR"/>
        </w:rPr>
        <w:t>با توجه به شخصیت والای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هدایت گری وی آیاتی از قرآن به آن حضرت تفسیر شده است که اهل سنت نیز در تفاسیر خود از آن چشم پوشی نکرده اند و ما در این مقاله آن آیات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چون در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نزدیک به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نام آن بزرگوار در کنار سایر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تفاسیر اهل سنت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 انَّهُ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پروردگارش کلمه ای چند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توبۀ او را بپذیرفت، زیرا توبه پذیر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کلماتی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فراگرفته است، ابن نجار از ابن عباس </w:t>
      </w:r>
    </w:p>
    <w:p>
      <w:pPr>
        <w:pStyle w:val="BookText"/>
        <w:rPr/>
      </w:pP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کلمات که آدم با تمسک به آن ها توبه کرد چیست؟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بِحَقِّ مُحَمَّدٍ وَ عَلِی وَ فَاطِمَةَ وَ الْحَسَنِ وَ 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سیوطی، بی تا،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منبع وحی سخن می گوید، در تفسیر این آیه، آن را به اسماء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یکی از آنان هم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بیانگر آبروی صاحبان اسم های شریف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توبۀ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نظام این عالم، ویژگی کلمات الهی تلقی شده از سوی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این حدیث شریف می تواند گویای مقام والای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پس که به آگاهی رسیده ای، هر کس که دربارۀ او با تو مجادله کند،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حاضر آوریم، ما فرزندان خود را و شما فرزندان خود را، ما زنان خود را و شما زنان خود را، ما برادران خود را و شما برادران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و تضرع کنیم و لعنت خدا را بر دروغ گویان بفرستیم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مفسران اهل سنت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روایت کرده اند هنگامی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می آمد، دست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بزرگوار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پشت سر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نجران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النصاری إنی لأری وجوها لو سألوا اللّه تعالی أن یزیل جبلا من مکانه لأزاله فلا تباهلوا فتهلکوا، فأذعنوا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ثعلبی،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فوق دلالت می کند که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پیامبر هستند و برای تأکید این قول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این آیات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مادر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او را ذریۀ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می شود که به پسر دختر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و فرزندان بی واسطۀ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شوند، درواقع والاترین مقام در سنجۀ خداوندی برای آن بزرگواران به شمار می آید و هیچ کس در جهان خلقت به چنین مقامی مقدور و مقرر نگشته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خودتان را مکشید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در تفسیر این آیه گفت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اهل بیت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به آیۀ مباهله استناد کرده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خود رسول اکرم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ابناء هذه الأمة الحسن و الحسین و کان نساؤها فاطمة و انفسهم النبی 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تفسیر ابن عباس خداوند از قتل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یکی از آن 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اهل بیت یکی پس از دیگری به دست بعضی از همین مردم به شهادت رسیده اند و شهادت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حدی مظلومانه بود که شهادت همۀ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الشعاع قرارداد و عجیب اینجاست که آنظالمان این آیات را می خواندند و بعضی از آنان تفسیر آن را به طور مستقیم از ابن عباس شنیده بودند و قتل آن مظلوم را مباح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خدا و پیامبرش اطاعت کند، همراه با کسانی خواهد بود که خدا نعمتشان داده است، چون انبیا و صدیقان و شهیدان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چه نیکو رفیقان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روایات زیادی به این مضمون از راویان مختلفی در تفاسیر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در تفسیر آیه می 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واجبات باید از خداوند اطاعت کرد و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نمود و آن ها کسانی هستند که خداوند برای آن ها از پیامبران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اولین تصدیق کنندۀ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شامل می شود و شهدا یعنی علی، جعفر، حمزه، حسن و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سادات شهدا هستند، شامل می شود و صالحین یعنی سلمان، اباذر، صهیب، بلال، خباب و عمار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یازده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بهشتی که در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منزل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منزل است، تفسیر کرده اند</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که مربوط به شهدا است معصومین را، که یکی از آنان هم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کنار دیگر شهدای غیر معصوم آورده و طوری بیان کرده که همۀ آنان در یک درجه هستند ولی از بخش آخر روایت 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مقام شهدای معصوم ازجمله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شهدا کاملاً متمایز است، چون در تفسیر این بخش از آیه، خداوند حضرت را، در بهشت در منزلی که خود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هستند،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گفت این امر نشان گر جایگاه والای سرور و سالار شهیدان،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تفاسیر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داوود بن سلیمان نقل می کند و او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از اجداد کرام خود روایت کرده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النَّبِیینَ مُحَمَّدٌ، وَ مِنَ الصِّدِّیقِینَ عَلِی بْنُ أَبِی طَالِبٍ، وَ مِنَ الشُّهَداءِ حَمْزَةُ، وَ مِنَ الصَّالِحِینَ الْحَسَنُ وَ الْحُسَینُ وَ حَسُنَ أُولئِک رَفِیقاً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سَوَاءً؛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صدیقین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شهدا حمزه است و از صالحین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p>
    <w:p>
      <w:pPr>
        <w:pStyle w:val="BookText"/>
        <w:rPr/>
      </w:pPr>
      <w:r>
        <w:rPr>
          <w:rFonts w:ascii="IRNazanin" w:hAnsi="IRNazanin" w:eastAsia="IRNazanin"/>
          <w:color w:val="111111"/>
          <w:sz w:val="28"/>
          <w:sz w:val="28"/>
          <w:szCs w:val="28"/>
          <w:rtl w:val="true"/>
          <w:lang w:bidi="fa-IR"/>
        </w:rPr>
        <w:t xml:space="preserve">شده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مثل این روایت از اصبغ بن نباته از ابن عباس نیز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ابْتَغُوا إِلَیهِ الْوَسیلَةَ وَ جاهِدُوا فی سَبیلِهِ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بترسید و به او تقرب جویید و در راهش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روایات متعددی نقل شده است، که بعضی از آن ها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صلاتکم و سلوا الله لی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فسالوه، أو أخبر هم أن الوسیله درجه فی الجنه لیس ینالها الا رجل واحد، و أرجو أن أکون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فقط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وسیله معرفی می کند، که هیچ کس به آن مقام نمی رسد مگر یک مرد که امید دارم آن مرد من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 الله لی الوسیله، فإنه لم یسالها لی عبد فی الدنیا إلا کنت له شهیداً أو شفیعا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با وسیله قرار دادن من سؤال کنید چراکه هر کس در دنیا مرا وسیله قرار دهد، من به نفع او شهادت می دهم و یا در روز قیامت از او شفاعت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به اسناد خود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درجه ای است که با وسیله به دست می آید پس اگر آن را از خدا مسألت کردید، مرا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آن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 تو در آن مقام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هم مثل من وسیلۀ رسیدن به بهشت هستند</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به اسناد خود از سالم بن ثوبان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بالای منبر کوفه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بهشت دو لؤلؤ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سفید و دیگری زردرنگ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تا عرش خداوند کشیده شده و آن مقاممحمود است که از آن هفتاد هزار غرفه، که هر یک از خانه های آن سه میل وسعت دارد و غرفه های آن و درهای آن از یک عرق هستند که اسم آن وسیله است و آن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زردرنگ هم مثل آن است و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اوست</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یدْعُونَ یبْتَغُونَ إِلی رَبِّهِمُ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النَّبِی 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ابوهریره اجمالاً وجود وسیله را پذیرفته اند ولی آن را فقط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اند، پس اصل وجود وسیله و به تبع آن شفاعت، خدشه ناپذیر است، و در روایت ابن عباس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سوم علاوه بر تصریح به وجود وسیله، مصادیق را هم متذکر شده است و آن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و در روایت ابن ابی حاتم به طور مطلق آورده است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نتیجه می گیریم که 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یکی از آن 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سفارش ثقل اکبر است تا از ثقل اصغر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توجه به آن ها خود موجب هدایت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کیفَ ضَرَبَ اللَّهُ مَثَلاً کلِمَةً طَیبَةً کشَجَرَةٍ طَیبَةٍ أَصْلُها ثابِتٌ وَ فَرْعُها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 ای که خدا چگونه مثل زد؟ سخن پاک چون درختی پاک است که ریشه اش در زمین استوار و شاخه هایش در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می گوید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عرض کردم یا بن رسول الله منظور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به من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سلام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ثمر آن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شاخۀ آن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 آن شاخه، ائمه از فرزندان اوست و برگ آن شیعیان و محبین ما اهل 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ابوالقاسم قرشی به اسناد خود از مینا مولی عبدالرحمن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عبدالرحمن بن عوف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مینا قبل از آن که احادیث با اباطیل مخلوط شود، حدیثی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أَنَاشَجَرَةٌ وَ فَاطِمَةُ فَرْعُهَا وَ عَلِی لِقَاحُهَا، وَ حَسَنٌ وَ حُسَینٌ ثَمَرُهَا، وَ مُحِبُّوهُمْ مِنْ أُمَّتِی وَرَقُهَا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جَنَّةِ عَدْنٍ وَ الَّذِی بَعَثَنِی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الحیری هم این روایت را از عبدالرحمن به همین صورت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آن روز که تولّد یافت، و آن روز که می میرد، و آن روز که زنده برانگیخته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ابن عساکر از قره بن خالد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بَکتِ السَّمَاءُ وَ الْأَرْضُ إِلَّا عَلَی یحْیی بْنِ زَکرِیا وَ الْحُسَینِ بْنِ عَلِی وَ حَمَرتها بکاؤها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احدی از مردم گریه نکرده به جزء یحیی بن زکریا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قدر گریه کرد که آسمان سرخ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سیوطی، بی تا،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جهت مظلومیت آن دو بزرگوار است چراکه هر دو به دست بدترین و شقی ترین افراد روی زمین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جایگاه والای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سنت است، که امام را از مصادیق آیه، که خداوند در روز شهادتش سلام و درود می فرستد، شمرده و در تفاسیر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خدا می خواهد پلیدی را از شما دور کند و شما را پاک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روایات بسیار زیادی از اهل سنت به طور متواتر واردشده است، که آوردن همه آن ها در اینجا میسر نیست و ما در این مقاله به برخی از آن ها اشاره ای می 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ابن جریر، ابن منذر، حاکم، ابن مردویه و بیهقی به اسناد خودشان از ام </w:t>
      </w:r>
    </w:p>
    <w:p>
      <w:pPr>
        <w:pStyle w:val="BookText"/>
        <w:rPr/>
      </w:pPr>
      <w:r>
        <w:rPr>
          <w:rFonts w:ascii="IRNazanin" w:hAnsi="IRNazanin" w:eastAsia="IRNazanin"/>
          <w:color w:val="111111"/>
          <w:sz w:val="28"/>
          <w:sz w:val="28"/>
          <w:szCs w:val="28"/>
          <w:rtl w:val="true"/>
          <w:lang w:bidi="fa-IR"/>
        </w:rPr>
        <w:t>السلمه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بیتی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البیت فاطمة و علی و الحسن و الحسین فجللهم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بکساء کان علیه ثم قال هؤلاء اهل بیتی فاذهب عنهم الرجس و طهرهم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پانی پتی،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آیۀ تطهیر، ابن جریر و ابن ابی حاتم و طبرانی از سعید خدری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من،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شبیه، احمد، مسلم، ابن جریر، ابن ابی حاتم و حاکم از عایشه روایتی را شبیه این روایت نقل کرده اند،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لباس پشمین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تطهیر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بغوی،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هستند که تأویل امور آن ها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باشد اطلاق آل به او کامل تر است و شکی نیست که فاطمه،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تعلقات را به پیامبر دارند و این مطلب با نقل متواتر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آنان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روایات وارده، آیۀ تطهیر در حق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والای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اهل سنت به آن تصریح می کنند، نشان از منزلت خاص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چنین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به ولید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مِثْلِی لَا یبَایعُ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والای عصمت کجا و شریران پست و بی مقدار کجا؟ بسی جای تأسف است که آنانی که آن امام همام را به شهادت رساندند، این آیات را نخوانده بودند؟</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اندکی از شب را می خوابیدند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بن مؤمن به اسناد خود از عبدالله بن عباس در تفسیر آیه نقل می کند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نَزَلَتْ فِی عَلِی بْنِ أَبِی طَالِبٍ وَ الْحَسَنِ وَ الْحُسَینِ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کانَ عَلِی یصَلِّی ثُلُثَی اللَّیلِ الْأَخِیرِ، وَ ینَامُ الثُّلُثَ الْأَوَّلَ، فَإِذَا کانَ السَّحَرُ جَلَسَ فِی الِاسْتِغْفَارِ وَ الدُّعَاءِ، وَ کانَ وِرْدُهُ فِی کلِّ لَیلَةٍ سَبْعِینَ رَکعَةً خَتَمَ فِیهَا الْقُرْآنَ؛</w:t>
      </w:r>
    </w:p>
    <w:p>
      <w:pPr>
        <w:pStyle w:val="BookText"/>
        <w:rPr/>
      </w:pPr>
      <w:r>
        <w:rPr>
          <w:rFonts w:ascii="IRNazanin" w:hAnsi="IRNazanin" w:eastAsia="IRNazanin"/>
          <w:color w:val="111111"/>
          <w:sz w:val="28"/>
          <w:sz w:val="28"/>
          <w:szCs w:val="28"/>
          <w:rtl w:val="true"/>
          <w:lang w:bidi="fa-IR"/>
        </w:rPr>
        <w:t>این آیه درشان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شب را می خوابید و دوسوم بعدی را به نماز می ایستاد و در وقت سحر به دعا و استغفار سپری می کرد و در هر شب هفتاد رکعت نماز می خواند که در آن قرآن را ختم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این روایت عبدالله بن عباس عبادت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می شود ولی با توجه به اینکه آیه دربارۀ هر چهار بزرگوار نازل شده است، پس باید عبادت را هم به همهٔ آن ها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سیاق آیه کلی است و نمی توان آن را بدون قرینه تخصیص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 روز به هزار رکعت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بستی سجستانی،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عبادت دیگر امامان و فاطمه سلام الله علیها نیز کم نبود، و این را تاریخ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در کربلا، مهلت می گیرد تا آن شب را به نماز و دعا و تلاوت قرآن بگذراند و می فرماید خدا می داند چقدر نماز و قرآن و دعا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کثیر،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بِإیمانٍ أَلْحَقْنا بِهِمْ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خود ایمان آوردند و فرزندانشان در ایمان، پیروی 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را به آن ها ملحق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محمدبن عبدالله به اسناد خود از ابن عباس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اتَّبَعَتْهُمْ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عبدالعزیز بن یحیی نیز همین روایت را عیناً از ابن عباس نقل کرده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الآیه، فِی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وَ فاطِمَهَ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حسکانی،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روایات ذکرشده می توان به نکات زیردست یافت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تفسیر آیه، اهل بیت را از ذریۀ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و این ذریه به معنای </w:t>
      </w:r>
      <w:bookmarkStart w:id="147" w:name="pg8975_113915"/>
    </w:p>
    <w:p>
      <w:pPr>
        <w:pStyle w:val="BookText"/>
        <w:rPr/>
      </w:pPr>
      <w:bookmarkEnd w:id="147"/>
      <w:r>
        <w:rPr>
          <w:rFonts w:ascii="IRNazanin" w:hAnsi="IRNazanin" w:eastAsia="IRNazanin"/>
          <w:color w:val="111111"/>
          <w:sz w:val="28"/>
          <w:sz w:val="28"/>
          <w:szCs w:val="28"/>
          <w:rtl w:val="true"/>
          <w:lang w:bidi="fa-IR"/>
        </w:rPr>
        <w:t>ذریۀ معمول نیست چراکه اگر در معنای معمول به کار می رفت قاعدتاً دیگر بچه های پیامبر را هم شامل می شد؛ درحالی که گفته اند، فقط در حق این افراد خاص نازل شده است و این شأنی است که دیگر ذریه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ادامۀ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فرزندانشان را در بهشت به آن ها ملحق خواهیم کرد، معلوم می شود که درجۀ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بسیار بالا و عالی است چراکه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این درجه از بهشت قطعاً برای معصومین خواهد بود و از این بخش آیه می توان فهمید که آنان معصوم اند و دارای جایگاهی ویژه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پدر و فرزندانی که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روایتی از ابوالنضر به اسناد خود از ابی یعفور و او هم از بعضی اصحابش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ابی جعفر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نیز اسحاق از جابر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این بزرگواران را چگونه می توان بیان کرد؟ که خداوند به آنان قسم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برای قسم یاد کردن لازم است، حتماً در آن مورد قسم قداست و مقام بسیار والایی داشته باشد تا به آن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خدای –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قسم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چیز جایگاهی خاص پیدا می کند و در این آیه خدا به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می کند تا شأن و عظمت این عزیزان را، که یکی از آن 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فرماید</w:t>
      </w:r>
      <w:r>
        <w:rPr>
          <w:rFonts w:eastAsia="IRNazanin" w:cs="IRNazanin"/>
          <w:color w:val="111111"/>
          <w:sz w:val="28"/>
          <w:szCs w:val="28"/>
          <w:rtl w:val="true"/>
          <w:lang w:bidi="fa-IR"/>
        </w:rPr>
        <w:t>.</w:t>
      </w:r>
    </w:p>
    <w:p>
      <w:pPr>
        <w:pStyle w:val="Heading3"/>
        <w:numPr>
          <w:ilvl w:val="2"/>
          <w:numId w:val="1"/>
        </w:numPr>
        <w:rPr/>
      </w:pPr>
      <w:bookmarkStart w:id="148" w:name="__RefHeading___Toc1744238_2870459653"/>
      <w:bookmarkStart w:id="149" w:name="_Toc55"/>
      <w:bookmarkEnd w:id="148"/>
      <w:r>
        <w:rPr>
          <w:rtl w:val="true"/>
        </w:rPr>
        <w:t>نتیجه گیری</w:t>
      </w:r>
      <w:bookmarkEnd w:id="149"/>
    </w:p>
    <w:p>
      <w:pPr>
        <w:pStyle w:val="BookText"/>
        <w:rPr/>
      </w:pPr>
      <w:r>
        <w:rPr>
          <w:rFonts w:ascii="IRNazanin" w:hAnsi="IRNazanin" w:eastAsia="IRNazanin"/>
          <w:color w:val="111111"/>
          <w:sz w:val="28"/>
          <w:sz w:val="28"/>
          <w:szCs w:val="28"/>
          <w:rtl w:val="true"/>
          <w:lang w:bidi="fa-IR"/>
        </w:rPr>
        <w:t>با توجه پژوهش انجام شده، نام و یاد و شخصیت و نقش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تفسیری اهل سنت جایگاه و نقش بسیار برجسته ای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یاد آن بزرگوار در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اذعان مفسرین سنی، توسط آن حضرت زنده نگه داشته شده و در مواقع مختلف، پیامبر سفارش آن بزرگوار را به عناوین مختلف می نمودند، یا مقام و عظمت او را به مردم گوش زد می فرمود و با بیانات مختلف </w:t>
      </w:r>
    </w:p>
    <w:p>
      <w:pPr>
        <w:pStyle w:val="BookText"/>
        <w:rPr/>
      </w:pPr>
      <w:r>
        <w:rPr>
          <w:rFonts w:ascii="IRNazanin" w:hAnsi="IRNazanin" w:eastAsia="IRNazanin"/>
          <w:color w:val="111111"/>
          <w:sz w:val="28"/>
          <w:sz w:val="28"/>
          <w:szCs w:val="28"/>
          <w:rtl w:val="true"/>
          <w:lang w:bidi="fa-IR"/>
        </w:rPr>
        <w:t>نقش پررنگ ایشان را در سعادت بشری یادآور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فراخور موضوع، آیاتی را که در شأن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ازجملهٔ آنان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تفسیر یا تطبیق می فرمود، تا همه به عظمت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شخصیت و مقام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در جامعۀ آن زمان آشکار شده که مفسرین سنی در تفاسیر خود، آیات مزبور را آورده اند و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و روایات مربوط به آیه را از طرق مختلف نقل کرده اند که بخش عظیمی از آن را به تواتر یا نزدیک به تواتر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تمام اختلافاتی که در برخی تفاسیر اهل سنت وجود دارد، از جهت مضمون روایات اختلاف چندانی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حاکی از نقش برجستۀ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تفسیری است</w:t>
      </w:r>
      <w:r>
        <w:rPr>
          <w:rFonts w:eastAsia="IRNazanin" w:cs="IRNazanin"/>
          <w:color w:val="111111"/>
          <w:sz w:val="28"/>
          <w:szCs w:val="28"/>
          <w:rtl w:val="true"/>
          <w:lang w:bidi="fa-IR"/>
        </w:rPr>
        <w:t xml:space="preserve">. </w:t>
      </w:r>
      <w:bookmarkStart w:id="150" w:name="pg8975_113917"/>
    </w:p>
    <w:p>
      <w:pPr>
        <w:pStyle w:val="Heading3"/>
        <w:numPr>
          <w:ilvl w:val="2"/>
          <w:numId w:val="1"/>
        </w:numPr>
        <w:rPr/>
      </w:pPr>
      <w:bookmarkStart w:id="151" w:name="__RefHeading___Toc1744240_2870459653"/>
      <w:bookmarkStart w:id="152" w:name="_Toc56"/>
      <w:bookmarkEnd w:id="150"/>
      <w:bookmarkEnd w:id="151"/>
      <w:r>
        <w:rPr>
          <w:rtl w:val="true"/>
        </w:rPr>
        <w:t>منابع</w:t>
      </w:r>
      <w:bookmarkEnd w:id="15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تهرانی، محمدجواد،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هادی؛</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p>
    <w:p>
      <w:pPr>
        <w:pStyle w:val="BookText"/>
        <w:rPr/>
      </w:pPr>
      <w:r>
        <w:rPr>
          <w:rFonts w:ascii="IRNazanin" w:hAnsi="IRNazanin" w:eastAsia="IRNazanin"/>
          <w:color w:val="111111"/>
          <w:sz w:val="28"/>
          <w:sz w:val="28"/>
          <w:szCs w:val="28"/>
          <w:rtl w:val="true"/>
          <w:lang w:bidi="fa-IR"/>
        </w:rPr>
        <w:t>ابن جوزی، عبدالرحمن بن علی</w:t>
      </w:r>
      <w:r>
        <w:rPr>
          <w:rFonts w:eastAsia="IRNazanin" w:cs="IRNazanin"/>
          <w:color w:val="111111"/>
          <w:sz w:val="28"/>
          <w:szCs w:val="28"/>
          <w:rtl w:val="true"/>
          <w:lang w:bidi="fa-IR"/>
        </w:rPr>
        <w:t>.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المسیر فی علم التفسیر،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p>
    <w:p>
      <w:pPr>
        <w:pStyle w:val="BookText"/>
        <w:rPr/>
      </w:pPr>
      <w:r>
        <w:rPr>
          <w:rFonts w:ascii="IRNazanin" w:hAnsi="IRNazanin" w:eastAsia="IRNazanin"/>
          <w:color w:val="111111"/>
          <w:sz w:val="28"/>
          <w:sz w:val="28"/>
          <w:szCs w:val="28"/>
          <w:rtl w:val="true"/>
          <w:lang w:bidi="fa-IR"/>
        </w:rPr>
        <w:t>ابن طاوس، علی بن موسی</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جهان؛</w:t>
      </w:r>
    </w:p>
    <w:p>
      <w:pPr>
        <w:pStyle w:val="BookText"/>
        <w:rPr/>
      </w:pPr>
      <w:r>
        <w:rPr>
          <w:rFonts w:ascii="IRNazanin" w:hAnsi="IRNazanin" w:eastAsia="IRNazanin"/>
          <w:color w:val="111111"/>
          <w:sz w:val="28"/>
          <w:sz w:val="28"/>
          <w:szCs w:val="28"/>
          <w:rtl w:val="true"/>
          <w:lang w:bidi="fa-IR"/>
        </w:rPr>
        <w:t>ابن کثیر، اسماعیل بن عمر</w:t>
      </w:r>
      <w:r>
        <w:rPr>
          <w:rFonts w:eastAsia="IRNazanin" w:cs="IRNazanin"/>
          <w:color w:val="111111"/>
          <w:sz w:val="28"/>
          <w:szCs w:val="28"/>
          <w:rtl w:val="true"/>
          <w:lang w:bidi="fa-IR"/>
        </w:rPr>
        <w:t>.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القران العظیم،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p>
    <w:p>
      <w:pPr>
        <w:pStyle w:val="BookText"/>
        <w:rPr/>
      </w:pPr>
      <w:r>
        <w:rPr>
          <w:rFonts w:ascii="IRNazanin" w:hAnsi="IRNazanin" w:eastAsia="IRNazanin"/>
          <w:color w:val="111111"/>
          <w:sz w:val="28"/>
          <w:sz w:val="28"/>
          <w:szCs w:val="28"/>
          <w:rtl w:val="true"/>
          <w:lang w:bidi="fa-IR"/>
        </w:rPr>
        <w:t>اسماعیل بن کثیر، عماد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المعارف؛</w:t>
      </w:r>
    </w:p>
    <w:p>
      <w:pPr>
        <w:pStyle w:val="BookText"/>
        <w:rPr/>
      </w:pPr>
      <w:r>
        <w:rPr>
          <w:rFonts w:ascii="IRNazanin" w:hAnsi="IRNazanin" w:eastAsia="IRNazanin"/>
          <w:color w:val="111111"/>
          <w:sz w:val="28"/>
          <w:sz w:val="28"/>
          <w:szCs w:val="28"/>
          <w:rtl w:val="true"/>
          <w:lang w:bidi="fa-IR"/>
        </w:rPr>
        <w:t>امین عاملی، سیدمحسن</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w:t>
      </w:r>
    </w:p>
    <w:p>
      <w:pPr>
        <w:pStyle w:val="BookText"/>
        <w:rPr/>
      </w:pPr>
      <w:r>
        <w:rPr>
          <w:rFonts w:ascii="IRNazanin" w:hAnsi="IRNazanin" w:eastAsia="IRNazanin"/>
          <w:color w:val="111111"/>
          <w:sz w:val="28"/>
          <w:sz w:val="28"/>
          <w:szCs w:val="28"/>
          <w:rtl w:val="true"/>
          <w:lang w:bidi="fa-IR"/>
        </w:rPr>
        <w:t>آلوسی، محمودبن عبدالله</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فی تفسیر القرآن العظیم و السبع المثانی،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p>
    <w:p>
      <w:pPr>
        <w:pStyle w:val="BookText"/>
        <w:rPr/>
      </w:pPr>
      <w:r>
        <w:rPr>
          <w:rFonts w:ascii="IRNazanin" w:hAnsi="IRNazanin" w:eastAsia="IRNazanin"/>
          <w:color w:val="111111"/>
          <w:sz w:val="28"/>
          <w:sz w:val="28"/>
          <w:szCs w:val="28"/>
          <w:rtl w:val="true"/>
          <w:lang w:bidi="fa-IR"/>
        </w:rPr>
        <w:t>بحرانی، سید هاشم</w:t>
      </w:r>
      <w:r>
        <w:rPr>
          <w:rFonts w:eastAsia="IRNazanin" w:cs="IRNazanin"/>
          <w:color w:val="111111"/>
          <w:sz w:val="28"/>
          <w:szCs w:val="28"/>
          <w:rtl w:val="true"/>
          <w:lang w:bidi="fa-IR"/>
        </w:rPr>
        <w:t>.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 موسسة البعثة قم،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p>
    <w:p>
      <w:pPr>
        <w:pStyle w:val="BookText"/>
        <w:rPr/>
      </w:pPr>
      <w:r>
        <w:rPr>
          <w:rFonts w:ascii="IRNazanin" w:hAnsi="IRNazanin" w:eastAsia="IRNazanin"/>
          <w:color w:val="111111"/>
          <w:sz w:val="28"/>
          <w:sz w:val="28"/>
          <w:szCs w:val="28"/>
          <w:rtl w:val="true"/>
          <w:lang w:bidi="fa-IR"/>
        </w:rPr>
        <w:t>البستی المعتزلی، ابی القاسم اسماعیل بن احمد</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المراتب فی فضائل امیرالمؤمنین و سیدالوصیین علی بن ابی طالب صلوات الله علیه،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دلیل ما؛</w:t>
      </w:r>
    </w:p>
    <w:p>
      <w:pPr>
        <w:pStyle w:val="BookText"/>
        <w:rPr/>
      </w:pPr>
      <w:r>
        <w:rPr>
          <w:rFonts w:ascii="IRNazanin" w:hAnsi="IRNazanin" w:eastAsia="IRNazanin"/>
          <w:color w:val="111111"/>
          <w:sz w:val="28"/>
          <w:sz w:val="28"/>
          <w:szCs w:val="28"/>
          <w:rtl w:val="true"/>
          <w:lang w:bidi="fa-IR"/>
        </w:rPr>
        <w:t>بغوی، حسین بن مسعود</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التنزیل،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العربی؛بلاذری، احمدبن یحیی</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البلاذری،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p>
    <w:p>
      <w:pPr>
        <w:pStyle w:val="BookText"/>
        <w:rPr/>
      </w:pPr>
      <w:r>
        <w:rPr>
          <w:rFonts w:ascii="IRNazanin" w:hAnsi="IRNazanin" w:eastAsia="IRNazanin"/>
          <w:color w:val="111111"/>
          <w:sz w:val="28"/>
          <w:sz w:val="28"/>
          <w:szCs w:val="28"/>
          <w:rtl w:val="true"/>
          <w:lang w:bidi="fa-IR"/>
        </w:rPr>
        <w:t>بیضاوی، عبدالله بن عمر</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التنزیل و أسرار التأویل،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عبدالرحمن مرعشی،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p>
    <w:p>
      <w:pPr>
        <w:pStyle w:val="BookText"/>
        <w:rPr/>
      </w:pPr>
      <w:r>
        <w:rPr>
          <w:rFonts w:ascii="IRNazanin" w:hAnsi="IRNazanin" w:eastAsia="IRNazanin"/>
          <w:color w:val="111111"/>
          <w:sz w:val="28"/>
          <w:sz w:val="28"/>
          <w:szCs w:val="28"/>
          <w:rtl w:val="true"/>
          <w:lang w:bidi="fa-IR"/>
        </w:rPr>
        <w:t>پانی پتی، ثناءالله</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المظهری،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رشدیة؛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تلمسانی، محمدبن ابی بکر</w:t>
      </w:r>
      <w:r>
        <w:rPr>
          <w:rFonts w:eastAsia="IRNazanin" w:cs="IRNazanin"/>
          <w:color w:val="111111"/>
          <w:sz w:val="28"/>
          <w:szCs w:val="28"/>
          <w:rtl w:val="true"/>
          <w:lang w:bidi="fa-IR"/>
        </w:rPr>
        <w:t>.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الجوهرة فی نسب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w:t>
      </w:r>
    </w:p>
    <w:p>
      <w:pPr>
        <w:pStyle w:val="BookText"/>
        <w:rPr/>
      </w:pPr>
      <w:r>
        <w:rPr>
          <w:rFonts w:ascii="IRNazanin" w:hAnsi="IRNazanin" w:eastAsia="IRNazanin"/>
          <w:color w:val="111111"/>
          <w:sz w:val="28"/>
          <w:sz w:val="28"/>
          <w:szCs w:val="28"/>
          <w:rtl w:val="true"/>
          <w:lang w:bidi="fa-IR"/>
        </w:rPr>
        <w:t>النوری؛</w:t>
      </w:r>
    </w:p>
    <w:p>
      <w:pPr>
        <w:pStyle w:val="BookText"/>
        <w:rPr/>
      </w:pPr>
      <w:r>
        <w:rPr>
          <w:rFonts w:ascii="IRNazanin" w:hAnsi="IRNazanin" w:eastAsia="IRNazanin"/>
          <w:color w:val="111111"/>
          <w:sz w:val="28"/>
          <w:sz w:val="28"/>
          <w:szCs w:val="28"/>
          <w:rtl w:val="true"/>
          <w:lang w:bidi="fa-IR"/>
        </w:rPr>
        <w:t>التلیدی المغربی، ابوالفتوح عبدالله بن عبدالقادر</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الباهرة،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العالمی للتقریب بین المذاهب الاسلامیة؛</w:t>
      </w:r>
    </w:p>
    <w:p>
      <w:pPr>
        <w:pStyle w:val="BookText"/>
        <w:rPr/>
      </w:pPr>
      <w:r>
        <w:rPr>
          <w:rFonts w:ascii="IRNazanin" w:hAnsi="IRNazanin" w:eastAsia="IRNazanin"/>
          <w:color w:val="111111"/>
          <w:sz w:val="28"/>
          <w:sz w:val="28"/>
          <w:szCs w:val="28"/>
          <w:rtl w:val="true"/>
          <w:lang w:bidi="fa-IR"/>
        </w:rPr>
        <w:t>ثعلبی، احمد بن محمد</w:t>
      </w:r>
      <w:r>
        <w:rPr>
          <w:rFonts w:eastAsia="IRNazanin" w:cs="IRNazanin"/>
          <w:color w:val="111111"/>
          <w:sz w:val="28"/>
          <w:szCs w:val="28"/>
          <w:rtl w:val="true"/>
          <w:lang w:bidi="fa-IR"/>
        </w:rPr>
        <w:t>.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 المعروف تفسیر الثعلبی،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p>
    <w:p>
      <w:pPr>
        <w:pStyle w:val="BookText"/>
        <w:rPr/>
      </w:pPr>
      <w:r>
        <w:rPr>
          <w:rFonts w:ascii="IRNazanin" w:hAnsi="IRNazanin" w:eastAsia="IRNazanin"/>
          <w:color w:val="111111"/>
          <w:sz w:val="28"/>
          <w:sz w:val="28"/>
          <w:szCs w:val="28"/>
          <w:rtl w:val="true"/>
          <w:lang w:bidi="fa-IR"/>
        </w:rPr>
        <w:t>الجزری، شمس الدین محمدبن محمدبن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 المطالب فی 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جهان؛</w:t>
      </w:r>
    </w:p>
    <w:p>
      <w:pPr>
        <w:pStyle w:val="BookText"/>
        <w:rPr/>
      </w:pPr>
      <w:r>
        <w:rPr>
          <w:rFonts w:ascii="IRNazanin" w:hAnsi="IRNazanin" w:eastAsia="IRNazanin"/>
          <w:color w:val="111111"/>
          <w:sz w:val="28"/>
          <w:sz w:val="28"/>
          <w:szCs w:val="28"/>
          <w:rtl w:val="true"/>
          <w:lang w:bidi="fa-IR"/>
        </w:rPr>
        <w:t>حرانی، عبدالله بن نورالله</w:t>
      </w:r>
      <w:r>
        <w:rPr>
          <w:rFonts w:eastAsia="IRNazanin" w:cs="IRNazanin"/>
          <w:color w:val="111111"/>
          <w:sz w:val="28"/>
          <w:szCs w:val="28"/>
          <w:rtl w:val="true"/>
          <w:lang w:bidi="fa-IR"/>
        </w:rPr>
        <w:t>.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 المعارف،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عبیدالله بن عبدالله محقق</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لقواعد التفضیل،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w:t>
      </w:r>
    </w:p>
    <w:p>
      <w:pPr>
        <w:pStyle w:val="BookText"/>
        <w:rPr/>
      </w:pPr>
      <w:r>
        <w:rPr>
          <w:rFonts w:ascii="IRNazanin" w:hAnsi="IRNazanin" w:eastAsia="IRNazanin"/>
          <w:color w:val="111111"/>
          <w:sz w:val="28"/>
          <w:sz w:val="28"/>
          <w:szCs w:val="28"/>
          <w:rtl w:val="true"/>
          <w:lang w:bidi="fa-IR"/>
        </w:rPr>
        <w:t>حلی، جعفربن محمدبن نما</w:t>
      </w:r>
      <w:r>
        <w:rPr>
          <w:rFonts w:eastAsia="IRNazanin" w:cs="IRNazanin"/>
          <w:color w:val="111111"/>
          <w:sz w:val="28"/>
          <w:szCs w:val="28"/>
          <w:rtl w:val="true"/>
          <w:lang w:bidi="fa-IR"/>
        </w:rPr>
        <w:t>.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منیرالاحزان،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حموی، محمد بن اسحاق</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المؤمنین الحموی،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تهران؛</w:t>
      </w:r>
    </w:p>
    <w:p>
      <w:pPr>
        <w:pStyle w:val="BookText"/>
        <w:rPr/>
      </w:pPr>
      <w:r>
        <w:rPr>
          <w:rFonts w:ascii="IRNazanin" w:hAnsi="IRNazanin" w:eastAsia="IRNazanin"/>
          <w:color w:val="111111"/>
          <w:sz w:val="28"/>
          <w:sz w:val="28"/>
          <w:szCs w:val="28"/>
          <w:rtl w:val="true"/>
          <w:lang w:bidi="fa-IR"/>
        </w:rPr>
        <w:t>سمرقندی، نصربن محمدبن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p>
    <w:p>
      <w:pPr>
        <w:pStyle w:val="BookText"/>
        <w:rPr/>
      </w:pP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فی معرفة مذاهب الطوائف،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خیام؛</w:t>
      </w:r>
    </w:p>
    <w:p>
      <w:pPr>
        <w:pStyle w:val="BookText"/>
        <w:rPr/>
      </w:pPr>
      <w:r>
        <w:rPr>
          <w:rFonts w:ascii="IRNazanin" w:hAnsi="IRNazanin" w:eastAsia="IRNazanin"/>
          <w:color w:val="111111"/>
          <w:sz w:val="28"/>
          <w:sz w:val="28"/>
          <w:szCs w:val="28"/>
          <w:rtl w:val="true"/>
          <w:lang w:bidi="fa-IR"/>
        </w:rPr>
        <w:t>سیوطی، جلال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عمومی حضرت آیت الله العظمی مرعشی نجفی؛</w:t>
      </w:r>
    </w:p>
    <w:p>
      <w:pPr>
        <w:pStyle w:val="BookText"/>
        <w:rPr/>
      </w:pPr>
      <w:r>
        <w:rPr>
          <w:rFonts w:ascii="IRNazanin" w:hAnsi="IRNazanin" w:eastAsia="IRNazanin"/>
          <w:color w:val="111111"/>
          <w:sz w:val="28"/>
          <w:sz w:val="28"/>
          <w:szCs w:val="28"/>
          <w:rtl w:val="true"/>
          <w:lang w:bidi="fa-IR"/>
        </w:rPr>
        <w:t>شوشتری، نورالله</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عمومی حضرت آیت الله العظمی مرعشی نجفی؛</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p>
    <w:p>
      <w:pPr>
        <w:pStyle w:val="BookText"/>
        <w:rPr/>
      </w:pPr>
      <w:r>
        <w:rPr>
          <w:rFonts w:ascii="IRNazanin" w:hAnsi="IRNazanin" w:eastAsia="IRNazanin"/>
          <w:color w:val="111111"/>
          <w:sz w:val="28"/>
          <w:sz w:val="28"/>
          <w:szCs w:val="28"/>
          <w:rtl w:val="true"/>
          <w:lang w:bidi="fa-IR"/>
        </w:rPr>
        <w:t>طبری، عمادالدین حسن بن علی</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الأبرار،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مکتوب؛</w:t>
      </w:r>
    </w:p>
    <w:p>
      <w:pPr>
        <w:pStyle w:val="BookText"/>
        <w:rPr/>
      </w:pPr>
      <w:r>
        <w:rPr>
          <w:rFonts w:ascii="IRNazanin" w:hAnsi="IRNazanin" w:eastAsia="IRNazanin"/>
          <w:color w:val="111111"/>
          <w:sz w:val="28"/>
          <w:sz w:val="28"/>
          <w:szCs w:val="28"/>
          <w:rtl w:val="true"/>
          <w:lang w:bidi="fa-IR"/>
        </w:rPr>
        <w:t>طبری، محمدبن جریر</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علی بن جمعة</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دارالتفسیر؛</w:t>
      </w:r>
    </w:p>
    <w:p>
      <w:pPr>
        <w:pStyle w:val="BookText"/>
        <w:rPr/>
      </w:pPr>
      <w:r>
        <w:rPr>
          <w:rFonts w:ascii="IRNazanin" w:hAnsi="IRNazanin" w:eastAsia="IRNazanin"/>
          <w:color w:val="111111"/>
          <w:sz w:val="28"/>
          <w:sz w:val="28"/>
          <w:szCs w:val="28"/>
          <w:rtl w:val="true"/>
          <w:lang w:bidi="fa-IR"/>
        </w:rPr>
        <w:t xml:space="preserve">عکبری بغدادی، محمدبن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محبین؛</w:t>
      </w:r>
    </w:p>
    <w:p>
      <w:pPr>
        <w:pStyle w:val="BookText"/>
        <w:rPr/>
      </w:pPr>
      <w:r>
        <w:rPr>
          <w:rFonts w:ascii="IRNazanin" w:hAnsi="IRNazanin" w:eastAsia="IRNazanin"/>
          <w:color w:val="111111"/>
          <w:sz w:val="28"/>
          <w:sz w:val="28"/>
          <w:szCs w:val="28"/>
          <w:rtl w:val="true"/>
          <w:lang w:bidi="fa-IR"/>
        </w:rPr>
        <w:t>فخر رازی، ابوعبدالله محمدبن عمر</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w:t>
      </w:r>
    </w:p>
    <w:p>
      <w:pPr>
        <w:pStyle w:val="BookText"/>
        <w:rPr/>
      </w:pPr>
      <w:r>
        <w:rPr>
          <w:rFonts w:ascii="IRNazanin" w:hAnsi="IRNazanin" w:eastAsia="IRNazanin"/>
          <w:color w:val="111111"/>
          <w:sz w:val="28"/>
          <w:sz w:val="28"/>
          <w:szCs w:val="28"/>
          <w:rtl w:val="true"/>
          <w:lang w:bidi="fa-IR"/>
        </w:rPr>
        <w:t>فیض کاشانی، محمدبن شاه مرتضی</w:t>
      </w:r>
      <w:r>
        <w:rPr>
          <w:rFonts w:eastAsia="IRNazanin" w:cs="IRNazanin"/>
          <w:color w:val="111111"/>
          <w:sz w:val="28"/>
          <w:szCs w:val="28"/>
          <w:rtl w:val="true"/>
          <w:lang w:bidi="fa-IR"/>
        </w:rPr>
        <w:t>.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الامام الامیرالمؤمنین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العامه؛</w:t>
      </w:r>
    </w:p>
    <w:p>
      <w:pPr>
        <w:pStyle w:val="BookText"/>
        <w:rPr/>
      </w:pPr>
      <w:r>
        <w:rPr>
          <w:rFonts w:ascii="IRNazanin" w:hAnsi="IRNazanin" w:eastAsia="IRNazanin"/>
          <w:color w:val="111111"/>
          <w:sz w:val="28"/>
          <w:sz w:val="28"/>
          <w:szCs w:val="28"/>
          <w:rtl w:val="true"/>
          <w:lang w:bidi="fa-IR"/>
        </w:rPr>
        <w:t>قرطبی، محمد بن احمد</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الحکام،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w:t>
      </w:r>
    </w:p>
    <w:p>
      <w:pPr>
        <w:pStyle w:val="BookText"/>
        <w:rPr/>
      </w:pPr>
      <w:r>
        <w:rPr>
          <w:rFonts w:ascii="IRNazanin" w:hAnsi="IRNazanin" w:eastAsia="IRNazanin"/>
          <w:color w:val="111111"/>
          <w:sz w:val="28"/>
          <w:sz w:val="28"/>
          <w:szCs w:val="28"/>
          <w:rtl w:val="true"/>
          <w:lang w:bidi="fa-IR"/>
        </w:rPr>
        <w:t>قمی، ابن قولویه</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تهرانی، محمدجواد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حق؛</w:t>
      </w:r>
    </w:p>
    <w:p>
      <w:pPr>
        <w:pStyle w:val="BookText"/>
        <w:rPr/>
      </w:pPr>
      <w:r>
        <w:rPr>
          <w:rFonts w:ascii="IRNazanin" w:hAnsi="IRNazanin" w:eastAsia="IRNazanin"/>
          <w:color w:val="111111"/>
          <w:sz w:val="28"/>
          <w:sz w:val="28"/>
          <w:szCs w:val="28"/>
          <w:rtl w:val="true"/>
          <w:lang w:bidi="fa-IR"/>
        </w:rPr>
        <w:t>قندوزی، سلیمان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لذوی القربی،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کاتب واقدی، ابن سعد</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p>
    <w:p>
      <w:pPr>
        <w:pStyle w:val="BookText"/>
        <w:rPr/>
      </w:pPr>
      <w:r>
        <w:rPr>
          <w:rFonts w:ascii="IRNazanin" w:hAnsi="IRNazanin" w:eastAsia="IRNazanin"/>
          <w:color w:val="111111"/>
          <w:sz w:val="28"/>
          <w:sz w:val="28"/>
          <w:szCs w:val="28"/>
          <w:rtl w:val="true"/>
          <w:lang w:bidi="fa-IR"/>
        </w:rPr>
        <w:t>کلینی، محمدبن یعقوب بن اسحاق</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علمیه اسلامی؛</w:t>
      </w:r>
    </w:p>
    <w:p>
      <w:pPr>
        <w:pStyle w:val="BookText"/>
        <w:rPr/>
      </w:pPr>
      <w:r>
        <w:rPr>
          <w:rFonts w:ascii="IRNazanin" w:hAnsi="IRNazanin" w:eastAsia="IRNazanin"/>
          <w:color w:val="111111"/>
          <w:sz w:val="28"/>
          <w:sz w:val="28"/>
          <w:szCs w:val="28"/>
          <w:rtl w:val="true"/>
          <w:lang w:bidi="fa-IR"/>
        </w:rPr>
        <w:t>کوفی، ابن عثم</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دارالأضواء؛</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جلاءالعیون،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سرور؛</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مؤسسةالوفاء؛</w:t>
      </w:r>
    </w:p>
    <w:p>
      <w:pPr>
        <w:pStyle w:val="BookText"/>
        <w:rPr/>
      </w:pPr>
      <w:r>
        <w:rPr>
          <w:rFonts w:ascii="IRNazanin" w:hAnsi="IRNazanin" w:eastAsia="IRNazanin"/>
          <w:color w:val="111111"/>
          <w:sz w:val="28"/>
          <w:sz w:val="28"/>
          <w:szCs w:val="28"/>
          <w:rtl w:val="true"/>
          <w:lang w:bidi="fa-IR"/>
        </w:rPr>
        <w:t>محمدبن طولون شمس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الأثنی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رضی؛</w:t>
      </w:r>
    </w:p>
    <w:p>
      <w:pPr>
        <w:pStyle w:val="BookText"/>
        <w:rPr/>
      </w:pPr>
      <w:r>
        <w:rPr>
          <w:rFonts w:ascii="IRNazanin" w:hAnsi="IRNazanin" w:eastAsia="IRNazanin"/>
          <w:color w:val="111111"/>
          <w:sz w:val="28"/>
          <w:sz w:val="28"/>
          <w:szCs w:val="28"/>
          <w:rtl w:val="true"/>
          <w:lang w:bidi="fa-IR"/>
        </w:rPr>
        <w:t>مسعودی، علی بن حسین</w:t>
      </w:r>
      <w:r>
        <w:rPr>
          <w:rFonts w:eastAsia="IRNazanin" w:cs="IRNazanin"/>
          <w:color w:val="111111"/>
          <w:sz w:val="28"/>
          <w:szCs w:val="28"/>
          <w:rtl w:val="true"/>
          <w:lang w:bidi="fa-IR"/>
        </w:rPr>
        <w:t>.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الوصیة للإمام علی بن أبی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p>
    <w:p>
      <w:pPr>
        <w:pStyle w:val="BookText"/>
        <w:rPr/>
      </w:pPr>
      <w:r>
        <w:rPr>
          <w:rFonts w:ascii="IRNazanin" w:hAnsi="IRNazanin" w:eastAsia="IRNazanin"/>
          <w:color w:val="111111"/>
          <w:sz w:val="28"/>
          <w:sz w:val="28"/>
          <w:szCs w:val="28"/>
          <w:rtl w:val="true"/>
          <w:lang w:bidi="fa-IR"/>
        </w:rPr>
        <w:t>مشهدی، میرزا محمد</w:t>
      </w:r>
      <w:r>
        <w:rPr>
          <w:rFonts w:eastAsia="IRNazanin" w:cs="IRNazanin"/>
          <w:color w:val="111111"/>
          <w:sz w:val="28"/>
          <w:szCs w:val="28"/>
          <w:rtl w:val="true"/>
          <w:lang w:bidi="fa-IR"/>
        </w:rPr>
        <w:t>.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کنزالدقائق،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الغدیر؛</w:t>
      </w:r>
    </w:p>
    <w:p>
      <w:pPr>
        <w:pStyle w:val="BookText"/>
        <w:rPr/>
      </w:pPr>
      <w:r>
        <w:rPr>
          <w:rFonts w:ascii="IRNazanin" w:hAnsi="IRNazanin" w:eastAsia="IRNazanin"/>
          <w:color w:val="111111"/>
          <w:sz w:val="28"/>
          <w:sz w:val="28"/>
          <w:szCs w:val="28"/>
          <w:rtl w:val="true"/>
          <w:lang w:bidi="fa-IR"/>
        </w:rPr>
        <w:t>میبدی، ابوالفضل رشیدالدین</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الاسرار،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نسائی، احمدبن شعیب</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أمیرالمؤمنین،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یزدی حائری، علی بن زین العابدین</w:t>
      </w:r>
      <w:r>
        <w:rPr>
          <w:rFonts w:eastAsia="IRNazanin" w:cs="IRNazanin"/>
          <w:color w:val="111111"/>
          <w:sz w:val="28"/>
          <w:szCs w:val="28"/>
          <w:rtl w:val="true"/>
          <w:lang w:bidi="fa-IR"/>
        </w:rPr>
        <w:t>.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bookmarkStart w:id="153" w:name="pg8975_113920"/>
    </w:p>
    <w:p>
      <w:pPr>
        <w:pStyle w:val="Heading2"/>
        <w:numPr>
          <w:ilvl w:val="1"/>
          <w:numId w:val="1"/>
        </w:numPr>
        <w:rPr/>
      </w:pPr>
      <w:bookmarkStart w:id="154" w:name="__RefHeading___Toc1744242_2870459653"/>
      <w:bookmarkStart w:id="155" w:name="_Toc57"/>
      <w:bookmarkEnd w:id="153"/>
      <w:bookmarkEnd w:id="154"/>
      <w:r>
        <w:rPr>
          <w:rtl w:val="true"/>
        </w:rPr>
        <w:t>قیام امام حسین</w:t>
      </w:r>
      <w:r>
        <w:rPr>
          <w:rtl w:val="true"/>
        </w:rPr>
        <w:t>(</w:t>
      </w:r>
      <w:r>
        <w:rPr>
          <w:rtl w:val="true"/>
        </w:rPr>
        <w:t>علیه السلام</w:t>
      </w:r>
      <w:r>
        <w:rPr>
          <w:rtl w:val="true"/>
        </w:rPr>
        <w:t>)</w:t>
      </w:r>
      <w:r>
        <w:rPr>
          <w:rtl w:val="true"/>
        </w:rPr>
        <w:t>، اهداف و انگیزه های آن</w:t>
      </w:r>
      <w:bookmarkEnd w:id="155"/>
    </w:p>
    <w:p>
      <w:pPr>
        <w:pStyle w:val="Heading3"/>
        <w:numPr>
          <w:ilvl w:val="2"/>
          <w:numId w:val="1"/>
        </w:numPr>
        <w:rPr/>
      </w:pPr>
      <w:bookmarkStart w:id="156" w:name="__RefHeading___Toc1744244_2870459653"/>
      <w:bookmarkStart w:id="157" w:name="_Toc58"/>
      <w:bookmarkEnd w:id="156"/>
      <w:r>
        <w:rPr>
          <w:rtl w:val="true"/>
        </w:rPr>
        <w:t>بابک هادیان حیدری</w:t>
      </w:r>
      <w:bookmarkEnd w:id="157"/>
    </w:p>
    <w:p>
      <w:pPr>
        <w:pStyle w:val="BookText"/>
        <w:rPr/>
      </w:pPr>
      <w:r>
        <w:rPr>
          <w:rFonts w:ascii="IRNazanin" w:hAnsi="IRNazanin" w:eastAsia="IRNazanin"/>
          <w:color w:val="111111"/>
          <w:sz w:val="28"/>
          <w:sz w:val="28"/>
          <w:szCs w:val="28"/>
          <w:rtl w:val="true"/>
          <w:lang w:bidi="fa-IR"/>
        </w:rPr>
        <w:t>بابک هادیان حیدری</w:t>
      </w:r>
    </w:p>
    <w:p>
      <w:pPr>
        <w:pStyle w:val="BookText"/>
        <w:rPr/>
      </w:pPr>
      <w:r>
        <w:rPr>
          <w:rFonts w:ascii="IRNazanin" w:hAnsi="IRNazanin" w:eastAsia="IRNazanin"/>
          <w:color w:val="111111"/>
          <w:sz w:val="28"/>
          <w:sz w:val="28"/>
          <w:szCs w:val="28"/>
          <w:rtl w:val="true"/>
          <w:lang w:bidi="fa-IR"/>
        </w:rPr>
        <w:t>دانشجوی الهیات و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و حدیث، دانشگاه مازندران</w:t>
      </w:r>
    </w:p>
    <w:p>
      <w:pPr>
        <w:pStyle w:val="BookText"/>
        <w:rPr/>
      </w:pPr>
      <w:r>
        <w:rPr>
          <w:rFonts w:eastAsia="Times New Roman" w:cs="Times New Roman" w:ascii="Times New Roman" w:hAnsi="Times New Roman"/>
          <w:color w:val="111111"/>
          <w:sz w:val="28"/>
          <w:szCs w:val="28"/>
          <w:lang w:val="en-US" w:bidi="en-US"/>
        </w:rPr>
        <w:t>applehdsaheb@gmail.com</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10/01/96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17/04/96</w:t>
      </w:r>
    </w:p>
    <w:p>
      <w:pPr>
        <w:pStyle w:val="Heading3"/>
        <w:numPr>
          <w:ilvl w:val="2"/>
          <w:numId w:val="1"/>
        </w:numPr>
        <w:rPr/>
      </w:pPr>
      <w:bookmarkStart w:id="158" w:name="__RefHeading___Toc1744246_2870459653"/>
      <w:bookmarkStart w:id="159" w:name="_Toc59"/>
      <w:bookmarkEnd w:id="158"/>
      <w:r>
        <w:rPr>
          <w:rtl w:val="true"/>
        </w:rPr>
        <w:t>چکیده</w:t>
      </w:r>
      <w:bookmarkEnd w:id="159"/>
    </w:p>
    <w:p>
      <w:pPr>
        <w:pStyle w:val="BookText"/>
        <w:rPr/>
      </w:pPr>
      <w:r>
        <w:rPr>
          <w:rFonts w:ascii="IRNazanin" w:hAnsi="IRNazanin" w:eastAsia="IRNazanin"/>
          <w:color w:val="111111"/>
          <w:sz w:val="28"/>
          <w:sz w:val="28"/>
          <w:szCs w:val="28"/>
          <w:rtl w:val="true"/>
          <w:lang w:bidi="fa-IR"/>
        </w:rPr>
        <w:t>دربارۀ اهداف و انگیزه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گران، تفسیر و تحلیل های مختلفی را ارائه داده اند، اما برخی از این تحلیل ها که عمدتاً از سوی مستشرقانی مانند لامنس و ناآگاهان از حقیقت و جوهرهٔ دین اسلام ارائه شده است، کاملاً از واقعیت دور است و با مبانی اعتقادی و شخصیت والای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آنان، اهداف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مادی و آن هم در جهت کسب خلافت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 حالی است که اهداف ایشان تنها به جهت کسب رضایت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مقاله به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با تأکید بر مبانی اعتقادی و 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کوشیم اهداف و انگیزه های قیام عاشورای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حاکی از آن است که تمامی اهداف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احیای دین و سنت، اصلاح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امربه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نامۀ کوفیان و تنها برای خلافت و حکومت بر مردم نبود بلکه هدف ایشان تنها جلب رضایت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حکومت ظالم را نپذیرفتند و قیام کردند؛ زیرا می دانستند قیام ایشان آغازگر نهضتی بزرگ تر می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عاشورا، احیای دین و سنت، اصلاح امت، نامۀ کوفیان</w:t>
      </w:r>
      <w:r>
        <w:rPr>
          <w:rFonts w:eastAsia="IRNazanin" w:cs="IRNazanin"/>
          <w:color w:val="111111"/>
          <w:sz w:val="28"/>
          <w:szCs w:val="28"/>
          <w:rtl w:val="true"/>
          <w:lang w:bidi="fa-IR"/>
        </w:rPr>
        <w:t xml:space="preserve">. </w:t>
      </w:r>
      <w:bookmarkStart w:id="160" w:name="pg8975_113921"/>
    </w:p>
    <w:p>
      <w:pPr>
        <w:pStyle w:val="Heading3"/>
        <w:numPr>
          <w:ilvl w:val="2"/>
          <w:numId w:val="1"/>
        </w:numPr>
        <w:rPr/>
      </w:pPr>
      <w:bookmarkStart w:id="161" w:name="__RefHeading___Toc1744248_2870459653"/>
      <w:bookmarkStart w:id="162" w:name="_Toc60"/>
      <w:bookmarkEnd w:id="160"/>
      <w:bookmarkEnd w:id="161"/>
      <w:r>
        <w:rPr>
          <w:rtl w:val="true"/>
        </w:rPr>
        <w:t>مقدمه</w:t>
      </w:r>
      <w:bookmarkEnd w:id="162"/>
    </w:p>
    <w:p>
      <w:pPr>
        <w:pStyle w:val="Heading4"/>
        <w:numPr>
          <w:ilvl w:val="3"/>
          <w:numId w:val="1"/>
        </w:numPr>
        <w:rPr/>
      </w:pPr>
      <w:bookmarkStart w:id="163" w:name="__RefHeading___Toc1744250_2870459653"/>
      <w:bookmarkStart w:id="164" w:name="_Toc61"/>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عاشورا حماسه ای بزرگ است که در همان زمان خود نیز به صورت یک حماسه ظهور کرد؛ سپس به حادثه ای غم انگیز تبدیل شد که در آن اشک و ماتم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قرون اخیر به خصوص بعد از انقلاب اسلامی ایران بار دیگر چهرهٔ عاشورا به همان چهرهٔ نخستین خود بازگشته است و مردم تنها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نمی ریزند بلکه روح حماسی این قیام را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این قیام را روح حماسی خود قرار داده اند و در برابر ظالمان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تاریخ به خوبی نمایان گر این حقیقت است که عصر سلاطین بنی امیه بر بلاد اسلامی، نشان از بی عدالتی این خاندان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هدف اصلی حکومت بنی امیه بر بلاد اسلامی، محو کردن نام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تبعیض و بی عدالتی، بیدادگری، شکنجه و آزار شیعیان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کربلا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با پذیرش شهادت خویش آن را آبیاری کرده اند، بدون شک امری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ایشان نمونه ای از یک انسان کامل هستند که هرگز بی هدف پا در این عرصه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و یاران باوفایشان و البته خانوادۀ بزرگوار آن حضرت برای حضور در عرصۀ کربلا اهدافی داشته اند که فراتر از مادیات، بلکه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توان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را مصداق این کلام خداوند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پروردگارشان دعای آنان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من عمل هیچ عمل کننده ای از شما را از مرد یا زن که همه از یکدیگرند تباه نمی کنم؛ پس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کردند و از خانه هایشان رانده شدند و در راه من آزار دیدند و جنگیدند و کشته شدند، قطعاً بدی هایشان را محو خواهم کرد و آنان را به بهشت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وارد </w:t>
      </w:r>
    </w:p>
    <w:p>
      <w:pPr>
        <w:pStyle w:val="BookText"/>
        <w:rPr/>
      </w:pPr>
      <w:r>
        <w:rPr>
          <w:rFonts w:ascii="IRNazanin" w:hAnsi="IRNazanin" w:eastAsia="IRNazanin"/>
          <w:color w:val="111111"/>
          <w:sz w:val="28"/>
          <w:sz w:val="28"/>
          <w:szCs w:val="28"/>
          <w:rtl w:val="true"/>
          <w:lang w:bidi="fa-IR"/>
        </w:rPr>
        <w:t xml:space="preserve">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است از سوی خدا و خداست که پاداش نیکو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آیاتی دیگر نیز همین سخن آمده است که می تواند مصداقی از آن حضرت و یارانشان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مِنْهُ وَ مَغْفِرَةً وَ رَحْمَةً وَ کانَ اَللّهُ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گروه از مؤمنان که بدون بیماری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 مالی و عذر دیگر، از رفتن به جهاد خودداری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نشستند، با آن هایی که برای اهدافی در راه خدا با اموال و جان هایشان به جهاد برخاستند،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کسانی را که با اموال و جان هایشان جهاد می کنند به مقام و مرتبه ای بزرگ بر خانه نشینان برتری بخشیده است؛ وهر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ایمان و عمل صالحشان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پاداش نیک داده و جهاد کنندگان را بر خانه 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پاداشی بزرگ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درجات و رتبه هایی و آمرزش و رحمتی ویژه از سوی خود؛ و خدا همواره بسیار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اسلام درخطر باشد و امکان تسلط بر مشرکان و ظالمان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جان، مال و فرزندان در جهت اصلاح جامعهٔ اسلامی بر تمامی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خود گواه تلاش های مخلصانهٔ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بزرگوارشان در اعتلای اسلام است؛ اما آنچه در این موضوع اهمیت بسیار دارد اهداف و انگیزه های این قیام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پیشینه این موضوع، کتاب ها و مقالاتی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قرآن، حدیث و تاریخ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محمد محمدی ری شهری، نشر موسسه علمی فرهنگی دار الحدیث، سازمان چاپ و نشر،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مرتضی مطهری، انتشارات صدرا،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جمعی از نویسندگان، تهران سازمان پژوهش و برنامه ریزی </w:t>
      </w:r>
      <w:bookmarkStart w:id="165" w:name="pg8975_113923"/>
    </w:p>
    <w:p>
      <w:pPr>
        <w:pStyle w:val="BookText"/>
        <w:rPr/>
      </w:pPr>
      <w:bookmarkEnd w:id="165"/>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ناشناخته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جلال الدین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آبگین رایان،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محمد محمدی ری شهری و ترجمه مهدی مهریزی و محمد مرادی و عبد الهادی مسعودی، قم موسسه علمی فرهنگی دار 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حماسه جاویدان، اثر محمد شفیعی مازندرانی،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اثر محمدعلی رضایی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پژوهش های تفسیر و علوم قرآن، سال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سیدالشهداء، اهداف و انگیزه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عبدالله امینی، مجله حکومت اسلامی، پاییز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اهداف و انگیزه های مشترک قیام های حسینی و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عبدالکریم پاک نیا، مجله مبلغان، بهمن و اسفندماه،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محسن رنجبر، مجله تاریخ اسلام در آینه پژوهش، پاییز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پیش شماره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دنیا گرایانه از قیام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محسن رنجبر، مجله معرفت، اردیبهشت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آثار بخشی از این موضوع را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اولاً چندین موضوع را در یک مقاله بررسی کرده اند؛ و دیگر اینکه، آثار و پیامدهای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بُعد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مقالّۀ حاضر کوشیده است با شیوه ای نوین، که همان بررسی موضوع بر اساس شواهد تاریخی و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اهمیت این موضوع، و اینکه انقلاب ما نیز متأثر از پیامدهای عاشورا است، نگارندۀ این مقاله بر آن شده که در این مجال کوتاه به این سؤال اصلی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انگیزه های اصلی قیام عاشورا چیست؟</w:t>
      </w:r>
    </w:p>
    <w:p>
      <w:pPr>
        <w:pStyle w:val="Heading4"/>
        <w:numPr>
          <w:ilvl w:val="3"/>
          <w:numId w:val="1"/>
        </w:numPr>
        <w:rPr/>
      </w:pPr>
      <w:bookmarkStart w:id="166" w:name="__RefHeading___Toc1744252_2870459653"/>
      <w:bookmarkStart w:id="167" w:name="_Toc62"/>
      <w:bookmarkEnd w:id="166"/>
      <w:r>
        <w:rPr/>
        <w:t>1</w:t>
      </w:r>
      <w:r>
        <w:rPr>
          <w:rtl w:val="true"/>
        </w:rPr>
        <w:t xml:space="preserve">. </w:t>
      </w:r>
      <w:r>
        <w:rPr>
          <w:rtl w:val="true"/>
        </w:rPr>
        <w:t>انگیزه های اصلی قیام عاشورا</w:t>
      </w:r>
      <w:bookmarkEnd w:id="167"/>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قیامشان علیه ظلم به دنبال اهدافی بودند که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دین و سنت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خونین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باوفایشان برای اهداف والایی بوده است، چراکه ممکن نیست آن امام بزرگوار بی دلیل جان خویش را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مطمئن بود که آن </w:t>
      </w:r>
    </w:p>
    <w:p>
      <w:pPr>
        <w:pStyle w:val="BookText"/>
        <w:rPr/>
      </w:pPr>
      <w:r>
        <w:rPr>
          <w:rFonts w:ascii="IRNazanin" w:hAnsi="IRNazanin" w:eastAsia="IRNazanin"/>
          <w:color w:val="111111"/>
          <w:sz w:val="28"/>
          <w:sz w:val="28"/>
          <w:szCs w:val="28"/>
          <w:rtl w:val="true"/>
          <w:lang w:bidi="fa-IR"/>
        </w:rPr>
        <w:t>حضرت و یارانشان به دنبال اهدافی والاتر و بالاتر از تمنیات مادی این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هدف مادیات بود، امام در این راه جان و مال خود فدا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آن امام بزرگوار احیای دین و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دین، راهگشای تمامی انسان ها به سوی سعادت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دین از آن جهت است که افراد بزرگی همچون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خویش را برای نجات آن از سلطهٔ ظالمان و ستمگران مخلصانه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بسیار زیبایی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همچو عزیز است که فرزندان پیغمبر جان خودشان را فدای اسلام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جوان ها، با آن اصحاب، برای اسلام جنگیدند و جان دادند و اسلام را احیا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معاویه زنده بود قیام نکردند و حتی به دیگرآن هم اجازه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معاویه ظاهر دین را رعایت می کرد و بسیار فریب کار بود به همین دلیل خطاب به محمد بن بشر هَمْدانی و سفیان بن لیلی هَمْدانی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لِیکن کلُّ امرِئٍ مِنکم حِلسا مِن أحلاسِ بَیتِهِ ما دامَ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 فَإِن یهلِک و أنتُم أحیاءٌ، رَجَونا أن یخیرَ اللّهُ لَنا و یؤتِینا رُشدَنا و لا یکلَنا إلی أنفُسِنافَ،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الحدیث فی معهد باقرالعلوم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r>
        <w:rPr>
          <w:rFonts w:ascii="Amiri" w:hAnsi="Amiri" w:eastAsia="Amiri" w:cs="Amiri"/>
          <w:color w:val="111111"/>
          <w:sz w:val="28"/>
          <w:sz w:val="28"/>
          <w:szCs w:val="28"/>
          <w:rtl w:val="true"/>
          <w:lang w:bidi="ar-SA"/>
        </w:rPr>
        <w:t xml:space="preserve">؛ میلانی،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هنگامی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همۀ شما باید در خانه خود بنشینید و اگر هلاک شد و شما زنده بودید، امیدواریم که خدا برای ما نیک بگزیند و به راهمان درآورد و به خودمان واننهد که بی گمان، خداوند، باتقواپیشگان و نیکوکاران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یزید بن معاویه بعد از پدرش به ناحق به خلافت رسید، برخلاف پدر هرگونه فسقی را انجام می داد و تاریخ گواه آن است که در دوران یزید چه بدعت هایی وارد 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دین خدا کم کم رو به زوال و نابودی است، برای احیای دین و سنت، در نامه ای به سرشناسان بصره این گونه نوشتند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السُّنَّةَ قَد امیتَت و إنَّ البِدعَةَ قَد احییت و نُعِشَت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مرده است و بدعت، زنده و برافراشته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روز عاشورا در برابر لشکر عظیم عمر بن سعد هدف خویش را از قیام، احیای دین و سنتی که در دوران بنی امیه نابود شد بیان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تَعجَلوا حَتّی اخبِرَکم خَبری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أتَیتُکم حَتّی أتَتنی کتُبُ أماثِلِکم بِأَنَّ السُّنَّةَ قَد امیتَت، وَ النِّفاقَ قَد نَجَمَ، وَ الحُدودَ قَد عُطِّلَت، فَاقدَم لَعَلَّ اللّهَ تَبارَک و تَعالی یصلِحُ بِک 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کرِهتُم ذلِک، فَأَنَا راجِعٌ عَنکم، وَ ارجِعوا إلی أنفُسِکم فَانظُروا هَل یصلُحُ لَکم قَتلی، أو یحِلُّ لَکم دَمی؟ أ لَستُ ابنَ بِنتِ نَبِیکم وَ ابنَ ابنِ عَمِّهِ وَ ابنَ أوَّلِ المُؤمِنینَ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حَمزَةُ وَ العَبّاسُ و جَعفَرٌ عُمومَتی؟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یبلُغکم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 فی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سَیدا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عساکر،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عجله نکنید تا خبرم را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شما نیامدم تا آنکه نامه های بزرگانِ شما به من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مُرده و نفاق، سر برآورده و حدود الهی،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شاید که خدای تبارک و تعالی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نزد شما آمدم و اگر آمدنم را ناخوش دارید، بازمی گردم و شما هم به خود آیید و بنگرید که آیا کشتن من به صلاح شماست یا خون من بر شما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پسر دختر پیامبرتان و پسرِ پسرعموی او پسرِ نخستین مؤمن نیستم؟ آیا حمزه و عباس و جعفر، عموهای من نیستند؟ آیا گفتۀ پیامبر خدا درباره من و دربارۀ برادرم به شما نرسیده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بهشتی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پیروانش در بصره نوشت و آن را با یکی از طرفداران خود به نام سلمان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نامه چنین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مِنَ الحُسَینِ بنِ عَلِی إلی مالِک بنِ مِسمَعٍ، وَ الأَحنَفِ بنِ قَیسٍ، وَ المُنذِرِ بنِ الجارودِ و مَسعودِ بنِ عَمرٍو قَیسِ بنِ الهَیثَمِ، سَلامٌ عَلَیکم، أمّا بَعدُ؛ فَإِنّی أدعوکم إلی إحیاءِ مَعالِمِ الحَقِّ و إماتَةِ البِدَعِ، فَإِن تُجیبوا تَهتَدوا سُبُلَ الرَّشادِ،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احمدی میانجی،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3/134</w:t>
      </w:r>
      <w:r>
        <w:rPr>
          <w:rFonts w:ascii="Amiri" w:hAnsi="Amiri" w:eastAsia="Amiri" w:cs="Amiri"/>
          <w:color w:val="111111"/>
          <w:sz w:val="28"/>
          <w:sz w:val="28"/>
          <w:szCs w:val="28"/>
          <w:rtl w:val="true"/>
          <w:lang w:bidi="ar-SA"/>
        </w:rPr>
        <w:t xml:space="preserve">، ابن قتیبة </w:t>
      </w:r>
    </w:p>
    <w:p>
      <w:pPr>
        <w:pStyle w:val="BookText"/>
        <w:rPr/>
      </w:pPr>
      <w:r>
        <w:rPr>
          <w:rFonts w:ascii="IRNazanin" w:hAnsi="IRNazanin" w:eastAsia="IRNazanin"/>
          <w:color w:val="111111"/>
          <w:sz w:val="28"/>
          <w:sz w:val="28"/>
          <w:szCs w:val="28"/>
          <w:rtl w:val="true"/>
          <w:lang w:bidi="fa-IR"/>
        </w:rPr>
        <w:t xml:space="preserve">الدینوری،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به مالک بن مَسمَع و احنف بن قیس و مُنذر بن جارود و مسعود بن عمرو قیس بن 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به زنده داشتن نشانه های حق و میراندن بدعت ها فرامی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اجابت کنید، به راه های هدایت، رهنمون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واضح است که یکی از اهداف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دین خدا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بردن بدعت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حضرت و یاران باوفایشان به شهادت رسیدند، اما این شهادت، آتش زیر خاکستر را روشن کرد و بعدها ثمرۀ آن را در قیام توابین و مختار ثقفی 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مسلحانه برای یاری دین خدا</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احیای دین خدا نه تنها با سخنشان سعی در افشای جنایات بنی امیه داشتند، بلکه با شمشیر نیز علیه آنان به مبارزه پرداختند و تا پای جان برای احیای دین خدا، دینی که در زمان بنی امیه ملعبهٔ دست سیاسیون شده بود،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معاویه با انگیزه های سیاسی دستور به جعل حدیث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دین ابزاری برای کسب وجهه بود و برخی آن را ابزاری برای کسب قدرت و ثروت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در این دوران چهرۀ دین خدشه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بنی امیه سعی کردند با قیامشان به دین خدا عزت ببخشند و این کار را با تقدیم جان خویش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قیام خویش را چنین بیان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لِلفَرَزدَقِ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فَرَزدَقُ، إنَّ هؤُلاءِ قَومٌ لَزِموا طاعَةَ الشَّیطانِ و تَرَکوا طاعَةَ الرَّحمنِ و أظهَرُوا الفَسادَ فِی الأَرضِ و أبطَلُوا الحُدودَ و شَرِبُوا الخُمورَ، وَ استَأثَروا فی أموالِ الفُقَراءِ وَ المَساکینِ و أنَا أولی مَن قامَ بِنُصرَةِ دینِ اللّهِ و إعزازِ شَرعِهِ وَ الجِهادِ فی سَبیلِهِ، لِتَکونَ کلِمَةُ اللَّهِ هِی الْعُلْیا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الحدیث فی معهد باقرالعلوم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فرزدق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به اطاعت </w:t>
      </w:r>
    </w:p>
    <w:p>
      <w:pPr>
        <w:pStyle w:val="BookText"/>
        <w:rPr/>
      </w:pPr>
      <w:r>
        <w:rPr>
          <w:rFonts w:ascii="IRNazanin" w:hAnsi="IRNazanin" w:eastAsia="IRNazanin"/>
          <w:color w:val="111111"/>
          <w:sz w:val="28"/>
          <w:sz w:val="28"/>
          <w:szCs w:val="28"/>
          <w:rtl w:val="true"/>
          <w:lang w:bidi="fa-IR"/>
        </w:rPr>
        <w:t>از شیطان چسبیدند و اطاعت خدای رحمان را وانهادند و فساد را در زمین، آشکار کردند و حدود الهی را باطل نمودند و شراب نوشیدند و اموال فقیران و بینوایان را از آنِ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کس به قیام برای یاری دین خدا و عزت بخشیدن به آیین او جهاد در راه او هستم تا فرمان خدا، والاترین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تاریخ طبری به نقل از ابوعثمان نَهدی آمده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نگاشت و با یکی از وابستگانش به نام سلیمان برای سران سپاه بصره و بزرگان آنجا، مانند مالک بن مَسمَع بکری، احنف بن قیس، مُنذر بن جارود، مسعود بن عمرو، قیس بن هیثم و عمرو بن عبید اللّه بن معمّر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نامۀ واحدی که برای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اللّهَ اصطَفی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خَلقِهِ و أکرَمَهُ بِنُبُوَّتِهِ، وَ اختارَهُ لِرِسالَتِهِ، ثُمَّ قَبَضَهُ اللّهُ إلَیهِ و قَد نَصَحَ لِعِبادِهِ و بَلَّغَ ما ارسِلَ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أهلَهُ و أولِیاءَهُ و أوصِیاءَهُ ورَثَتَهُ و أحَقَّ النّاسِ بِمَقامِهِ فِی النّاسِ، فَاستَأثَرَ عَلَینا قَومُنا بِذلِک، فَرَضینا و کرِهنَا الفُرقَةَ و أحبَبنَا العافِیةَ و نَحنُ نَعلَمُ أنّا أحَقُّ بِذلِک الحَقِّ المُستَحَقِّ عَلَینا مِمَّن 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بَعَثتُ رَسولی إلَیکم بِهذَا الکتابِ و أنَا أدعوکم إلی کتابِ اللّهِ و سُنَّةِ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السُّنَّةَ قَد امیتَت و إنَّ البِدعَةَ قَد احییت و إن تَسمَعوا قَولی و تُطیعوا أمری أهدِکم سَبیلَ الرَّشادِ، والسلام عَلَیکم و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جریر طبری،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4/265</w:t>
      </w:r>
      <w:r>
        <w:rPr>
          <w:rFonts w:ascii="Amiri" w:hAnsi="Amiri" w:eastAsia="Amiri" w:cs="Amiri"/>
          <w:color w:val="111111"/>
          <w:sz w:val="28"/>
          <w:sz w:val="28"/>
          <w:szCs w:val="28"/>
          <w:rtl w:val="true"/>
          <w:lang w:bidi="ar-SA"/>
        </w:rPr>
        <w:t xml:space="preserve">؛ السماوی،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خلقش برگزید و با نبوّت خویش، گرامی داشت و برای رسالتش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او را به سوی خویش برگرفت، درحالی که برای بندگانش خیرخواهی کرده بود و آنچه برای آن فرستاده شده بود،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و اولیا و اوصیا وارثان او هستیم که در میان مردم، سزاوارترینِ مردم به جایگاه او هستیم؛ امّا قوم ما، جایگاه ما را از آنِ خود کردند و ما رضایت دادیم و تفرقه را ناخوش داشتیم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به این حقّ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کسی هستیم که آن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 را با این نامه به سوی شما روانه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 خوانم که بی تردید، سنّت، مرده و بدعت، زنده گشته است و اگر گفته ام را بشنوید و فرمانم را اطاعت کنید، شما را </w:t>
      </w:r>
    </w:p>
    <w:p>
      <w:pPr>
        <w:pStyle w:val="BookText"/>
        <w:rPr/>
      </w:pPr>
      <w:r>
        <w:rPr>
          <w:rFonts w:ascii="IRNazanin" w:hAnsi="IRNazanin" w:eastAsia="IRNazanin"/>
          <w:color w:val="111111"/>
          <w:sz w:val="28"/>
          <w:sz w:val="28"/>
          <w:szCs w:val="28"/>
          <w:rtl w:val="true"/>
          <w:lang w:bidi="fa-IR"/>
        </w:rPr>
        <w:t>به راه هدایت، رهنمون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 با یزید و قیام در برابر او</w:t>
      </w:r>
    </w:p>
    <w:p>
      <w:pPr>
        <w:pStyle w:val="BookText"/>
        <w:rPr/>
      </w:pPr>
      <w:r>
        <w:rPr>
          <w:rFonts w:ascii="IRNazanin" w:hAnsi="IRNazanin" w:eastAsia="IRNazanin"/>
          <w:color w:val="111111"/>
          <w:sz w:val="28"/>
          <w:sz w:val="28"/>
          <w:szCs w:val="28"/>
          <w:rtl w:val="true"/>
          <w:lang w:bidi="fa-IR"/>
        </w:rPr>
        <w:t>جهاد و قیام علیه ظالمان نوعی عبادت است که امام حسین در راستای یاری دین خدا، در ابتدای امر، در زمان معاویه با یزید بیعت نکرد چراکه پذیرش یزید همان پذیرش ظلم بود به همین دلیل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در برابر تهدیدات معاویه برای گرفتن بیعت برای یزید ایستاد؛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جنگ نبود بلکه خواهان عدالت بود، عدالتی که در دوران بنی امیه نشانی از آن نبود بدین جهت زمانی که از امام خواستند با یزید بیعت کند امام نپذیرفت و تصمیم به قیام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 محمد بن حنفیه به ایشان پیشنهاد دادند حال که بیعت نمی کنید سکوت کنید و از یزید بن معاویه کناره 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الحُسَینُ فَإِنَّهُ خَرَجَ بِبَنیهِ و إخوَتِهِ و بَنی أخیهِ و جُلِّ اهل بیتهِ إلّا محمد بنَ الحَنَفِیةِ، فَإِنَّهُ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أنتَ أحَبُّ النّاسِ إلَی و أعَزُّهُم عَلَی و لَستُ أدَّخِرُ النَّصیحَةَ لِأَحَدٍ مِنَ الخَلقِ أحَقَّ بِها مِنک، تَنَحَّ بِتَبِعَتِک عَن یزیدَ بنِ مُعاوِیةَ و عَنِ الأَمصارِ مَا استَطَعتَ، ثُمَّ ابعَث رُسُلَک إلَی النّاسِ فَادعُهُم إلی نَفسِک، فَإِن بایعوا لَک حَمِدتَ اللّهَ عَلی ذلِک و إن أجمَعَ النّاسُ عَلی غَیرِک لَم ینقُصِ اللّهُ بِذلِک دینَک و لا عَقلَک و لا یذهِبُ بِهِ مُروءَتَک و لا فَضلَک، إنّی أخافُ أن تَدخُلَ مِصرا مِن هذِهِ الأَمصارِ و تَأتِی جَماعَةً مِنَ النّاسِ فَیختَلِفونَ بَینَهُم، فَمِنهُم طائِفَةٌ مَعَک و اخری عَلَیک، فَیقتَتِلونَ فَتَکونُ لِأَوَّلِ الأَسِنَّةِ، فَإِذا خَیرُ هذِهِ الامَّةِ کلِّها نَفسا و أبا و امّا أضیعُها دَما و أذَلُّها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ذاهِبٌ 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مَکةَ، فَإِنِ اطمَأَنَّت بِک الدّارُ فَسَبیلُ ذلِک و إن نَبَت بِک لَحِقتَ بِالرِّمالِ و شَعَفِ الجِبالِ و خَرَجتَ مِن بَلَدٍ إلی بَلَدٍ حَتّی تَنظُرَ إلی ما یصیرُ أمرُ النّاسِ و تَعرِفَ عِندَ ذلِک الرَّأی، فَإِنَّک أصوَبُ ما یکونُ رَأیا و أحزَمُهُ عَمَلًا حینَ تَستَقبِلُ الامورَ استِقبالًا و لا تَکونُ الامورُ عَلَیک أبَدا أشکلَ مِنها حینَ تَستَدبِرُها استِدبارا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أخی، قَد نَصَحتَ فَأَشفَقتَ، فَأَرجو أن یکونَ رَأیک سَدیدا مُوَفَّقا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ابومخنف،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مفید،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44/327</w:t>
      </w:r>
      <w:r>
        <w:rPr>
          <w:rFonts w:ascii="Amiri" w:hAnsi="Amiri" w:eastAsia="Amiri" w:cs="Amiri"/>
          <w:color w:val="111111"/>
          <w:sz w:val="28"/>
          <w:sz w:val="28"/>
          <w:szCs w:val="28"/>
          <w:rtl w:val="true"/>
          <w:lang w:bidi="ar-SA"/>
        </w:rPr>
        <w:t xml:space="preserve">؛ بحرانی اصفهانی،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پسران و برادران و پسرانِ برادرانش و بیشتر خاندانش خارج شد، به جز محمد بن حنفیه که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محبوب ترینِ مردم و </w:t>
      </w:r>
    </w:p>
    <w:p>
      <w:pPr>
        <w:pStyle w:val="BookText"/>
        <w:rPr/>
      </w:pPr>
      <w:r>
        <w:rPr>
          <w:rFonts w:ascii="IRNazanin" w:hAnsi="IRNazanin" w:eastAsia="IRNazanin"/>
          <w:color w:val="111111"/>
          <w:sz w:val="28"/>
          <w:sz w:val="28"/>
          <w:szCs w:val="28"/>
          <w:rtl w:val="true"/>
          <w:lang w:bidi="fa-IR"/>
        </w:rPr>
        <w:t>عزیزترینِ آنان نزد منی و خیرخواهی را برای کسی سزاوارتر از تو، نیندوخته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پیروانت تا می توانی از یزید بن معاویه و نیز از شهرها کناره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 هایت را به سوی مردم بفرست و آنان را به سوی خود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بیعت کردند، خدا را بر آن می ستایی و اگر مردم، گردِ جز تو جمع شدند، خداوند با آن، از دین و عقل تو نمی کاهد و جوانمردی و فضیلتت از میان نمی رود، که من می ترسم اگر وارد یکی از این شهرها شوی و به نزد گروهی از مردم درآیی، میانشان اختلاف بیفتد و گروهی با تو گروهی علیه تو شوند و به جآن همبیفتند و در این میان، تو آماج نیزه ها گردی و بهترینِ این امّت ازنظر شرافت ذاتی و نسبی، خونش ضایع ترین و خودش خوارترین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آنجا جای مطمئن و محل استقرار بود، که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مطابق میلت نبود، به شن زارها و قلّۀ کوه ها و از شهری به شهری می روی تا ببینی کار مردم به کجا می کشد و آن زمان، می دانی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ترین رأی و دوراندیشانه ترین کار، زمانی به دست می آید که به جد، به استقبال رخدادها بروی و هیچ گاه رخدادها بر تو از این مشکل تر نیست که از پشتِ سر، آن ها را دنبال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کردی و دلسوزی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نظرت استوار و با توفیق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آمده است که عبد اللّه بن مطیع عَدَوی نیز در مسیر کوفه مانند محمد بن حنفیه به حضرت پیشنهاد سکوت دادند و امام در جواب او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سَیرا إلَی الکوفَةِ، فَانتَهی إلی ماءٍ مِن مِیاهِ العَرَبِ، فَإِذا عَلَیهِ عَبدُ اللّهِ بنُ مُطیعٍ العَدَوِی و هُوَ نازِلٌ هاهُنا، فَلَمّا رَأَی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امّی یا ابنَ رسول الله، ما أقدَمَک؟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احتَمَلَهُ فَأَنزَلَهُ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مَوتِ مُعاوِیةَ ما قَد بَلَغَک، فَکتَبَ إلَی أهلُ العِراقِ یدعونَنی إلی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مُطیعٍ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اذَکرُک اللّهَ یا ابنَ رسول الله و حُرمَةَ الإِسلامِ أن تُنتَهَک، أنشُدُک اللّهَ فی حُرمَةِ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أنشُدُک اللّهَ فی حُرمَةِ العَرَبِ، فَوَ اللّهِ لَئِن طَلَبتَ ما فی أیدی بَنی امَیةَ لَیقتُلُنَّک و لَئِن قَتَلوک لا یهابونَ بَعدَک أحَدا أبَدا، وَ اللّهِ آن ها لَحُرمَةُ الإِسلامِ تُنتَهَک و حُرمَةُ قُرَیشٍ و حُرمَةُ العَرَبِ، فَلا تَفعَل و لا تَأتِ الکوفَةَ و لا تَعَرَّض لِبَنی </w:t>
      </w:r>
    </w:p>
    <w:p>
      <w:pPr>
        <w:pStyle w:val="BookText"/>
        <w:rPr/>
      </w:pPr>
      <w:r>
        <w:rPr>
          <w:rFonts w:ascii="Amiri" w:hAnsi="Amiri" w:eastAsia="Amiri" w:cs="Amiri"/>
          <w:color w:val="111111"/>
          <w:sz w:val="28"/>
          <w:sz w:val="28"/>
          <w:szCs w:val="28"/>
          <w:rtl w:val="true"/>
          <w:lang w:bidi="ar-SA"/>
        </w:rPr>
        <w:t>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إلّا أن یمضِی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ابومخنف،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میلانی،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کوفه حرکت کرد و به آبی از آب های عرب رسید که عبداللّه بن مطیع عَدَوی در آنجا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آمده ای؟ و کمک کرد تا ایشان،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مرگ معاویه که خبرداری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عراقیان به من نامه نوشته اند و مرا به سوی خود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مطیع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حرمت اسلام باش که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شکستن حرمت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از هتک حرمت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عرب، جلوگیری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آنچه را در اختیار بنی امیه است، بطلبی، تو را می کشند و اگر تو را بکشند، پس از تو، هرگز از کس دیگری نمی هراسند و به خدا سوگند، حرمت اسلام و قریش و عرب،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نکن و به کوفه مرو به بنی امیه،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پیشنهاد او خودداری کرد و به راهش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افراد در روز عاشورا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تسلیم حکم پسرعمویت یزید باش،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قسم، من خودم را به دست خویشتن ذلیل شما نخواهم کرد و نظیر غلام ها فرار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شخص متکبری که به روز حساب، یعنی قیامت، ایمان نیاورد به پروردگار خودم و پروردگار شما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باعزت بهتر از زندگی با ذلت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مازندرانی،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44/192</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ادعای خلافت نداشتند بلکه تنها برای اعتلا و یاری دین خدا با یزید بن معاویه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مروان،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بیعت با یزید فرمان داد،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تَأمُرُنی بِبَیعَةِ یزیدَ و هُوَ رَجُلٌ فاسِقٌ؟ لَقَد قُلتَ شَطَطا مِنَ القَولِ یا عَظیمَ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ألومُک عَلی قَولِک لِأَنَّک اللَّعینُ الَّذی لَعَنَک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فی </w:t>
      </w:r>
    </w:p>
    <w:p>
      <w:pPr>
        <w:pStyle w:val="BookText"/>
        <w:rPr/>
      </w:pPr>
      <w:r>
        <w:rPr>
          <w:rFonts w:ascii="Amiri" w:hAnsi="Amiri" w:eastAsia="Amiri" w:cs="Amiri"/>
          <w:color w:val="111111"/>
          <w:sz w:val="28"/>
          <w:sz w:val="28"/>
          <w:szCs w:val="28"/>
          <w:rtl w:val="true"/>
          <w:lang w:bidi="ar-SA"/>
        </w:rPr>
        <w:t>صُلبِ أبیک الحَکمِ بنِ أبِی العاصِ، فَإِنَّ مَن لَعَنَهُ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لَهُ و لا مِنهُ إلّا أن یدعُوَ إلی بَیعَةِ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عَنّی یا عَدُوَّ اللّهِ، فَإِنّا اهل بیت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الحَقُّ فینا و بِالحَقِّ تَنطِقُ ألسِنَتُنا و 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عَلی آلِ أبی سُفیانَ و عَلَی الطُّلَقاءِ أبناءِ الطُّلَقاءِ، فَإِذا رَأَیتُم مُعاوِیةَ عَلی مِنبَری فَابقُروا بَطنَهُ، فَوَ اللّهِ لَقَد رَآهُ أهلُ المَدینَةِ عَلی مِنبَرِ جَدّی فَلَم یفعَلوا ما امِروا بِهِ، فَابتَلاهُمُ اللّهُ بِابنِهِ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اللّهُ فِی النّارِ 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الحدیث فی معهد باقرالعلوم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ابن أعثم الکوفی،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یعقوب،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بیعت با یزید، فرمان می دهی، درحالی که او مردی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لغزشت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 بیراهه ای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سخنت سرزنش نمی کنم که تو بر زبان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شدی، درحالی که هنوز در پشت پدرت، حکم بن ابی عاص بودی و لعنت شدۀ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این نمی تواند باشد که به بیعت با یزید، فرابخواند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که ما خاندان پیامبر خداییم و حق، میان ماست و زبان هایمان، به حق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خاندان ابوسفیان و نیز بر آزادشدگان فرزندان آزادشدگان، حرام است و چون معاویه را بر منبر من دیدید، شکمش را بشکافید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اهل مدینه، او را بر منبر جدم دیدند و آنچه فرمان یافته بودند، نکردند و خدا هم آنان را به پسرش یزید،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عذابش را در آتش دوزخ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مروان به ولید، حاکم مدینه، اشاره کرد کسانی را که به بیعت با یزید رضایت نداده اند، گردن بزند،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وَیلی عَلَیک یا بنَ الزَّرقاءِ</w:t>
      </w:r>
      <w:r>
        <w:rPr>
          <w:rStyle w:val="FootnoteAnchor"/>
          <w:rtl w:val="true"/>
        </w:rPr>
        <w:footnoteReference w:id="33"/>
      </w:r>
      <w:r>
        <w:rPr>
          <w:rFonts w:ascii="IRNazanin" w:hAnsi="IRNazanin" w:eastAsia="IRNazanin"/>
          <w:color w:val="111111"/>
          <w:sz w:val="28"/>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تَأمُرُ بِضَربِ عُنُقی؟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و لَؤُمتَ، نَحنُ اهل بیت النُّبُوَّةِ و مَعدِنُ الرِّسالَةِ و یزیدُ فاسِقٌ شارِبُ الخَمرِ و قاتِلُ النَّفسِ و مِثلی لا یبایعُ لِمِثلِهِ و لکن نُصبِحُ و تُصبِحونَ أینا أحَقُّ بِالخِلافَةِ وَ البَیعَةِ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نما الحلی،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وای بر تو، ای پسر زنِ کبود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گردن زدن من فرمان می دهی؟ نادرست گفتی و پستی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و معدن رسالتیم و یزید، فاسق، شراب خوار و قاتل مردم است؛ مانند من، با مانند او بیعت نمی کند؛ امّا ما و شما منتظر می مانیم تا ببینیم کدام یک از ما به خلافت و بیعت،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اینان حتی سخنان معاویه را نیز عمل نکردند چراکه او دربارهٔ حق بودن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و در وصیت خود به مدارا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 خواند که این وصیت را ابی مخنف از عبدالملک بن نوقل بن مساحق بن عبدالله بن مخرمة درباره بیعت نکردن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قیام آن حضرت چنین نقل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معاویه به مرضی که موجب مرگش گردید مبتلا شد، پسرش یزید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من رنج و محنت سفر و به اینجا و آنجا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گرفتن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تو کم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خودم به شهرهای مختلف رفته ام و از مردم برایت بیعت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را برایت آماده و مهیا ساخته ام، دشمنانت را سرکوب کرده ام،گردنکشان عرب را در برابرت خاضع نموده ام، وحدت و یکپارچگی را برایت فراهم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خلافتی که برایت برپاشده از کسی باکی ندارم جز چهار نفر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و عبدالله بن عمر و عبدالله بن زبیر و عبدالرحمن بن أبی بکر، أمّا عبدالله بن عمر، کسی است که بشدت در عبادت فرو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او را به سختی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ببیند غیر از او کسی باقی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بیعت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أهل عراق در کمین اند تا او را به قیام دعوت کنند، اگر علیه تو قیام کرد و تو بر او چیره شدی از او درگذر؛ زیرا از خانواده ای مهم است و حقی عظیم بر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اگر ببیند همراهانش عملی انجام داده اند او هم همانند آنان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بیش از زن بارگی و خوش گذرانی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که خود را به زمین چسبانده و چون شیر به سویت خیز گرفته و مثل روباه در کمین است تا تو را بفریبد و اگر فرصتی به دست آورد به سویت حمله می کند عبدالله بن زبیر است، اگر با تو چنین کرد او را قطعه قطعه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یزید برخلاف آنچه </w:t>
      </w:r>
    </w:p>
    <w:p>
      <w:pPr>
        <w:pStyle w:val="BookText"/>
        <w:rPr/>
      </w:pPr>
      <w:r>
        <w:rPr>
          <w:rFonts w:ascii="IRNazanin" w:hAnsi="IRNazanin" w:eastAsia="IRNazanin"/>
          <w:color w:val="111111"/>
          <w:sz w:val="28"/>
          <w:sz w:val="28"/>
          <w:szCs w:val="28"/>
          <w:rtl w:val="true"/>
          <w:lang w:bidi="fa-IR"/>
        </w:rPr>
        <w:t>پدرش برای اوصیت کرد عمل کرد و آن امام همام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آن حضرت به دنبال عدالتی بودند که در دوران بنی امیه، به ویژه یزید، فراموش شده بود؛ و هرگز به دنبال جنگ نبود که اگر بودند باید زمان معاویه این چنین می کردند حال که این کار را نکردند و آن حضرت واقعاً برحق بودند، چراکه حتی معاویه به آن اذعان می کند و فرزند خویش را به مدارا با ایشان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نه تنها مدارا نکرد بلکه ایشان را در قیام سراسر حق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ستمگران</w:t>
      </w:r>
    </w:p>
    <w:p>
      <w:pPr>
        <w:pStyle w:val="BookText"/>
        <w:rPr/>
      </w:pPr>
      <w:r>
        <w:rPr>
          <w:rFonts w:ascii="IRNazanin" w:hAnsi="IRNazanin" w:eastAsia="IRNazanin"/>
          <w:color w:val="111111"/>
          <w:sz w:val="28"/>
          <w:sz w:val="28"/>
          <w:szCs w:val="28"/>
          <w:rtl w:val="true"/>
          <w:lang w:bidi="fa-IR"/>
        </w:rPr>
        <w:t>در برابر ستم نباید خاموش بود بلکه باید در برابر ستم کاران و تجاوزگران ایستاد جنگید، چراکه سکوت در برابر ستم نوعی پذیرش ستم است که در این صورت بلا همه گیر می شود و صاحبان حق از حق خویش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در مبارزه با ستم کاران، جهاد استماته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جانبازی است؛ که عبارت از فداکاری در راه حق است و مبارزه با ستم؛ گر چه به قیمت جان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جهاد در زمان خود پیامبر تشریع شد و بهترین نمونه اش جنگ مؤته است که سه هزار قشون اعزامی اسلام در برابر دویست هزار قشون مجهز روم واقع شد و بعد از اینکه این خبر به قشون اسلام رسید، در مقام مشورت برآمدند و جمعی به ریاست جعفربن ابی طالب و عبد اللَّه بن رواحه نظر دادند که باید جهاد کرد و کشته شد و پس از ملاقات با دشمن، فرماندهان سپاه پیامبر که جعفربن ابی طالب و زیدبن حارثه و عبداللَّه بن رواحه بودند به ترتیب به قشون دشمن زدند و جنگیدند تا شهید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دیگر که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تأثیرات آن را در این زمان می بینیم همان جهاد استماته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سخنانش با یاران حرّبن یزید خطاب به مردم 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 إن تَتَّقوا و تَعرِفُوا الحَقَّ لِأَهلِهِ یکن أرضی للّهِ و نَحنُ أهلَ البیتِ أولی بِوِلایةِ هذَا الأَمرِ عَلَیکم مِن هؤُلاءِ المُدَّعینَ ما لَیسَ لَهُم، وَ السّائِرینَ فیکم بِالجَورِ وَ </w:t>
      </w:r>
    </w:p>
    <w:p>
      <w:pPr>
        <w:pStyle w:val="BookText"/>
        <w:rPr/>
      </w:pPr>
      <w:r>
        <w:rPr>
          <w:rFonts w:ascii="Amiri" w:hAnsi="Amiri" w:eastAsia="Amiri" w:cs="Amiri"/>
          <w:color w:val="111111"/>
          <w:sz w:val="28"/>
          <w:sz w:val="28"/>
          <w:szCs w:val="28"/>
          <w:rtl w:val="true"/>
          <w:lang w:bidi="ar-SA"/>
        </w:rPr>
        <w:t xml:space="preserve">العُدوانِ و إن أنتُم کرِهتُمونا و جَهِلتُم حَقَّنا و کانَ رَأیکم غَیرَ ما أتَتنی کتُبُکم و قَدِمَت بِهِ عَلَی رُسُلُکمُ، انصَرَفتُ 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مخنف،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بورزید و حق را برای اهلش به رسمیت بشناسید، این، خدا را بهتر خشنود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به سرپرستی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این مدّعی آن، که حقّی ندارند و میانِ شما با ستم و تجاوز، رفتار می کنند،سزاوارتریم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خوش ندارید و حقّ ما را نمی شناسید و نظرتان غیرازآن چیزی است که نوشته ها و فرستادگان شما به من رساندند، بازمی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تاریخ طبری به نقل از عقبةبن ابیعیزار نقل کرده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 خود و یاران حُر در بیضه</w:t>
      </w:r>
      <w:r>
        <w:rPr>
          <w:rStyle w:val="FootnoteAnchor"/>
          <w:rtl w:val="true"/>
        </w:rPr>
        <w:footnoteReference w:id="35"/>
      </w:r>
      <w:r>
        <w:rPr>
          <w:rFonts w:ascii="IRNazanin" w:hAnsi="IRNazanin" w:eastAsia="IRNazanin"/>
          <w:color w:val="111111"/>
          <w:sz w:val="28"/>
          <w:sz w:val="28"/>
          <w:szCs w:val="28"/>
          <w:rtl w:val="true"/>
          <w:lang w:bidi="fa-IR"/>
        </w:rPr>
        <w:t>، در اهمیت قیام برای مبارزه با ستم گران خطبه خواندند و پس از حمد و ثنای الهی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 اللّهِ، ناکثا لِعَهدِ اللّهِ، مُخالِفا لِسُنَّةِ رسول الله، یعمَلُ فی عِبادِ اللّهِ بِالإِثمِ وَ العُدوانِ، فَلَم یغَیر عَلَیهِ بِفِعلٍ و لا قَولٍ، کانَ حَقّا عَلَی اللّهِ أن یدخِلَهُ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هؤُلاءِ قَد لَزِموا طاعَةَ الشَّیطانِ و تَرَکوا طاعَةَ الرَّحمنِ و أظهَرُوا الفَسادَ و عَطَّلُوا الحُدودَ، وَ استَأثَروا بِالفَی ءِ و أحَلّوا حَرامَ اللّهِ و حَرَّموا حَلالَهُ و أنَا أحَقُّ مَن غَیرَ، قَد أتَتنی کتُبُکم و قَدِمَت عَلَی رُسُلُکم بِبَیعَتِکم؛ أنَّکم لا تُسلِمُونّی و لا تَخذُلُونّی، فَإِن تَمَمتُم عَلی بَیعَتِکم تُصیبوا رُشدَکم، فَأَنَا الحُسَینُ بنُ عَلِی، وَ ابنُ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نَفسی مَعَ أنفُسِکم و أهلی مَعَ أهلیکم، فَلَکم فِی اسوَةٌ؛ و إن لَم تَفعَلوا و نَقَضتُم عَهدَکم و خَلَعتُم بَیعَتی مِن أعناقِکم، فَلَعَمری ما هِی لَکم بِنُکرٍ، لَقَد فَعَلتُموها بِأَبی و أخی وَ ابنِ عَمّی مُسلِمٍ، وَ المَغرورُ مَنِ اغتَرَّ بِکم، فَحَظَّکم أخطَأتُم و نَصیبَکم ضَیعتُم و مَن نَکثَ فَإِنَّما ینکثُ عَلی نَفسِهِ و سَیغنِی اللّهُ عَنکم، والسلام عَلَیکم و رَحمَةُ اللّهِ و بَرَکاتُهُ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جریر طبری،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4/304</w:t>
      </w:r>
      <w:r>
        <w:rPr>
          <w:rFonts w:ascii="Amiri" w:hAnsi="Amiri" w:eastAsia="Amiri" w:cs="Amiri"/>
          <w:color w:val="111111"/>
          <w:sz w:val="28"/>
          <w:sz w:val="28"/>
          <w:szCs w:val="28"/>
          <w:rtl w:val="true"/>
          <w:lang w:bidi="ar-SA"/>
        </w:rPr>
        <w:t xml:space="preserve">؛ ابن اثیر،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فرمانروای ستمکاری را ببیند که حرمت های الهی را حلال می شمارد و پیمان خدا را می شکند و با سنّت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 کند و میان بندگان خدا با گناه و تجاوز عمل می کند، ولی با عمل و گفتار، بر او نیاشوبد، بر خداوند است که او را به همان جایی درآورد </w:t>
      </w:r>
    </w:p>
    <w:p>
      <w:pPr>
        <w:pStyle w:val="BookText"/>
        <w:rPr/>
      </w:pPr>
      <w:r>
        <w:rPr>
          <w:rFonts w:ascii="IRNazanin" w:hAnsi="IRNazanin" w:eastAsia="IRNazanin"/>
          <w:color w:val="111111"/>
          <w:sz w:val="28"/>
          <w:sz w:val="28"/>
          <w:szCs w:val="28"/>
          <w:rtl w:val="true"/>
          <w:lang w:bidi="fa-IR"/>
        </w:rPr>
        <w:t>که آن ستمکار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طاعت شیطان چسبیدند و طاعت خدای رحمان را وانهادند و فساد را آشکار و حدود الهی را تعطیل کردند و اموال عمومی را برای خود برداشتند و حرام خدا را حلال و حلال او را حرام شمردند؛ و من، سزاوارترین کسی هستم که برآشوبد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هایتان به من رسید و فرستادگان شما بیعتتان را به من عرضه کردند که مرا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کنید وا نمی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بیعتتان را به پایان برسانید، به راه هدایت 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 پسر علی و فاطمه،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کنار شمایم و خانواده ام با خانواده های شما هستند و در من، الگویی برای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نکنید و عهدتان را بشکنید و بیعتم را از گردن خود بردارید که به جانم سوگند، این از شما دور نیست که آن را با پدر و مادر و پسرعمویم، مسلم، کردید و فریب خورده کسی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که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بخورد، پس به نصیب خود نرسیده اید و آن را تباه نموده اید و هر کس پیمان بشکند، به زیانِ خود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مرا از شما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می کنند و می فرمایند من حسینم، پسر علی و فاطمه،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کنار شمایم و خانواده ام با خانواده های شما هستند و در من، الگویی برای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دیگرانی که می گویند لشکر عمر بن سعد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شناختند گزافی بیش 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معرفی خود بیان کردند که قیام ایشان علیه ظالمان است و فرمودند که ایشان حق هستند و باطل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علاوه بر بیان هدف از قیام خویش، حق بودن خود را نیز بیان کرده اند و چه حجتی از این بالاتر که سخن فرزند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در ظاهر پاسخ به دعوت کوفیان انگیزۀ اصلی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به شمار می رود؛ اما مکرراً در کلام آن امام بزرگوار یکی از اهداف اصلی قیام، اصلاح امت و احیای دو فریضۀ امربه معروف و نهی از منکر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امربه معروف و نهی از منکر یکی از مسئولیت های همگانی در برابر کاهش فساد است؛ که در صورت عدم انجام آن، پایه های شریعت در هم شکسته می شود و به مرور اصل دین از بین می رود و </w:t>
      </w:r>
    </w:p>
    <w:p>
      <w:pPr>
        <w:pStyle w:val="BookText"/>
        <w:rPr/>
      </w:pPr>
      <w:r>
        <w:rPr>
          <w:rFonts w:ascii="IRNazanin" w:hAnsi="IRNazanin" w:eastAsia="IRNazanin"/>
          <w:color w:val="111111"/>
          <w:sz w:val="28"/>
          <w:sz w:val="28"/>
          <w:szCs w:val="28"/>
          <w:rtl w:val="true"/>
          <w:lang w:bidi="fa-IR"/>
        </w:rPr>
        <w:t>جامعه به فساد و تباهی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فریضه ای که قرآن یکی از دلایل هلاکت و انقراض اقوام پیشین را فراموش کردن این فریضه معرفی کرده و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یتَناهَوْنَ عَنْ مُنکرٍ فَعَلُوهُ لَبِئْسَ ما کانُوا یفْعَلُونَ؛</w:t>
      </w:r>
    </w:p>
    <w:p>
      <w:pPr>
        <w:pStyle w:val="BookText"/>
        <w:rPr/>
      </w:pPr>
      <w:r>
        <w:rPr>
          <w:rFonts w:ascii="IRNazanin" w:hAnsi="IRNazanin" w:eastAsia="IRNazanin"/>
          <w:color w:val="111111"/>
          <w:sz w:val="28"/>
          <w:sz w:val="28"/>
          <w:szCs w:val="28"/>
          <w:rtl w:val="true"/>
          <w:lang w:bidi="fa-IR"/>
        </w:rPr>
        <w:t>آنان یکدیگر را از کارهای زشتی که مرتکب می شدند بازنمی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بد بود آنچه را انجام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در قرآن کریم نتیجۀ ترک امربه معروف و نهی از منکر را موجب اختلاف در جامعه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تَفَرَّقُوا وَ اِخْتَلَفُوا مِنْ بَعْدِ ما جاءَهُمُ اَلْبَیناتُ وَ أُولئِک لَهُمْ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باید از شما 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اتفاق، الفت، برادری، مواسات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نمایند و به کار شایسته و پسندیده وادارند و از کار ناپسند و زشت بازدارند؛ و اینان هستند که یقیناً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کسانی نباشید که پس ازآنکه دلایل روشن برای آنان آمد، پراکنده و گروه گروه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پیدا کردند و آنان را عذابی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امربه معروف و نهی از منکر آن چنان اهمیت دارد که خداوند متعال آن را ازجمله ملاک های برتری امت اسلامی معرفی کرده و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وَ لَوْ آمَنَ أَهْلُ اَلْکتابِ لَکانَ خَیراً لَهُمْ مِنْهُمُ اَلْمُؤْمِنُونَ وَ أَکثَرُهُمُ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بهترین امتی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جوامع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شده اید، به کار شایسته و پسندیده فرمان می دهید و از کار ناپسند و زشت بازمی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تحقیق، معرفت، صدق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ایمان می آورید؛ و اگر اهل کتاب ایمان می آوردند قطعاً برای آنان بهتر بود؛ برخی از آنان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و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بیشترشان فاسق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خویش به برادر خود محمد هدف قیام خویش را اصلاح </w:t>
      </w:r>
    </w:p>
    <w:p>
      <w:pPr>
        <w:pStyle w:val="BookText"/>
        <w:rPr/>
      </w:pPr>
      <w:r>
        <w:rPr>
          <w:rFonts w:ascii="IRNazanin" w:hAnsi="IRNazanin" w:eastAsia="IRNazanin"/>
          <w:color w:val="111111"/>
          <w:sz w:val="28"/>
          <w:sz w:val="28"/>
          <w:szCs w:val="28"/>
          <w:rtl w:val="true"/>
          <w:lang w:bidi="fa-IR"/>
        </w:rPr>
        <w:t>امت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بِدَواةٍ و بَیاضٍ و کتَبَ هذِهِ الوَصِیةَ لِأَخیهِ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أوصی بِهِ الحُسَینُ بنُ عَلِی بنِ أبی طالِبٍ إلی أخیهِ محمد المَعروفِ بِابنِ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یشهَدُ أن لا إلهَ إلَّا اللّهُ وَحدَهُ لا شَریک لَهُ و أنَّ مُحَمَّدا عَبدُهُ و رَسولُهُ، جاءَ بِالحَقِّ مِن عِندِ الحَقِّ و أنَّ الجَنَّةَ وَ النّارَ حَقٌّ و أنَّ السّاعَةَ آتِیةٌ لا رَیبَ فیها و أنَّ اللّهَ یبعَثُ مَن فِی القُبورِ و أنّی لَم أخرُج أشِرا و لا بَطِرا و لا مُفسِدا و لا ظالِما و إنَّما خَرَجتُ لِطَلَبِ الإِصلاحِ فی امَّةِ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آمُرَ بِالمَعروفِ و أنهی عَنِ المُنکرِ و أسیرَ بِسیرَةِ جَدّی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رَدَّ عَلَی هذا أصبِرُ حَتّی یقضِی اللّهُ بَینی و بَینَ القَومِ بِالحَقِّ و یحکمَ بَینی و بَینَهُم و هُوَ خَیرُ الحاکمینَ و هذِهِ وَصِیتی یا أخی إلَیک و ما تَوفیقی إلّا بِاللّهِ عَلَیهِ تَوَکلتُ و إلَیهِ انیب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موسوی،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کاغذی خواست و این وصیت را برای برادرش محمد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حسین بن علی بن ابی طالب به برادرش محمد، معروف به ابن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گواهی می دهد که خدایی جز اللّه نیست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فرستادۀ اوست و حق را از نزد حق آورد و بهشت و دوزخ، حق است و بی تردید، قیامت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کسانی را که در قبر هستند،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 سرمستی و طغیان و فساد و ستم نشوریده ام؛ بلکه تنها برای پی جویی اصلاح در امّت جدم بیرون آمده ام و می خواهم امربه معروف و نهی از منکر کنم و به سیرۀ جدم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به حق بپذیرد، که خداوند به حق سزاوارتر است و هر کس این را از من نپذیرد، صبر می کنم تا خداوند، میان من و این مردم، به حق قضاوت کند و میان من و آنان، حکم برانَد که او بهترین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من به توست، ای برادر من و توفیق من، جز باخدا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به سوی او بازمی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جایگاه امربه معروف و نهی از منکر در مقایسه با دیگر فرایض چنین می فرمایند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أَعْمالُ الْبِرِّ کلُّها وَ الْجِهادُ فِی سَبِیلِ اللَّهِ عِنْدَ الْأَمْرِ بِالْمَعْرُوفِ وَ النَّهْی عَنِ الْمُنْکرِ إِلَّا کنَفْثَةٍ فِی بَحْرٍ لُجِّی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شریف الرضی،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ابن ابی الحدید،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تمام کارهای نیک، حتّی جهاد در راه خدا، در برابر امربه معروف و نهی از منکر چون آب دهان است در برابر یک دریای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آن حضرت آمده که برای یاران حر این چنین سخن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عقبة بن أبی 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أصحابَهُ و أصحابَ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 اللّهِ، ناکثا لِعَهدِ اللّهِ، مُخالِفا لِسُنَّةِ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یعمَلُ فی عِبادِ اللّهِ بِالإِثمِ وَ العُدوانِ، فَلَم یغَیر عَلَیهِ بِفِعلٍ و لا قَولٍ، کانَ حَقّا عَلَی اللّهِ أن یدخِلَهُ مُدخَلَه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جریر طبری،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4/304</w:t>
      </w:r>
      <w:r>
        <w:rPr>
          <w:rFonts w:ascii="Amiri" w:hAnsi="Amiri" w:eastAsia="Amiri" w:cs="Amiri"/>
          <w:color w:val="111111"/>
          <w:sz w:val="28"/>
          <w:sz w:val="28"/>
          <w:szCs w:val="28"/>
          <w:rtl w:val="true"/>
          <w:lang w:bidi="ar-SA"/>
        </w:rPr>
        <w:t xml:space="preserve">؛ ابن اثیر،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شریف الرضی،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xml:space="preserve">؛ ابن شعبه حرانی،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تاریخ طبری به نقل از عقبةبن ابی عیزار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یاران خود و یاران حُر، سخن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فرمانروایی ستمکار را ببیند که حرمت های الهی را زیر پا می گذارد و پیمان خدا را می شکند و با سنّت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کند و در میان مردمان به گناه و تجاوز عمل می نماید و با کردار و گفتار بر او نیاشوبد، حقّ خداست که او را در همان جایی داخل کند که آن فرمانروا را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کوفیان</w:t>
      </w:r>
    </w:p>
    <w:p>
      <w:pPr>
        <w:pStyle w:val="BookText"/>
        <w:rPr/>
      </w:pPr>
      <w:r>
        <w:rPr>
          <w:rFonts w:ascii="IRNazanin" w:hAnsi="IRNazanin" w:eastAsia="IRNazanin"/>
          <w:color w:val="111111"/>
          <w:sz w:val="28"/>
          <w:sz w:val="28"/>
          <w:szCs w:val="28"/>
          <w:rtl w:val="true"/>
          <w:lang w:bidi="fa-IR"/>
        </w:rPr>
        <w:t>یکی از انگیزه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به سوی کوفه این بود که آنان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نوشتند متن یکی از نامه های آنان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به سوی حسین بن علی از طرف شیعیانی که مؤمن و مسلمان هستند؛ اما بعد؛ فوراً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انتظار تو هستند و کسی غیر از تو غمخوار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شبث بن ربعی، حجار بن ابجر، یزیدبن حارث بن رویم، عروةبن قیس، عمروبن حجاج زبیدی و محمّدبن عمرو تیمی برای امام حسین نوشتند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باغهای ما سبز، میوه جات رسیده، گیاه زمین روییده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دارای برگ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میخواهی به جانب لشکری که آماده و مجهز است بیا</w:t>
      </w:r>
      <w:r>
        <w:rPr>
          <w:rFonts w:eastAsia="IRNazanin" w:cs="IRNazanin"/>
          <w:color w:val="111111"/>
          <w:sz w:val="28"/>
          <w:szCs w:val="28"/>
          <w:rtl w:val="true"/>
          <w:lang w:bidi="fa-IR"/>
        </w:rPr>
        <w:t xml:space="preserve">. </w:t>
      </w:r>
      <w:bookmarkStart w:id="168" w:name="pg8975_113939"/>
    </w:p>
    <w:p>
      <w:pPr>
        <w:pStyle w:val="BookText"/>
        <w:rPr/>
      </w:pPr>
      <w:bookmarkEnd w:id="168"/>
      <w:r>
        <w:rPr>
          <w:rFonts w:ascii="IRNazanin" w:hAnsi="IRNazanin" w:eastAsia="IRNazanin"/>
          <w:color w:val="111111"/>
          <w:sz w:val="28"/>
          <w:sz w:val="28"/>
          <w:szCs w:val="28"/>
          <w:rtl w:val="true"/>
          <w:lang w:bidi="fa-IR"/>
        </w:rPr>
        <w:t xml:space="preserve">سلام و رحمت و برکات خدا بر تو بر پدرت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زمانی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کوفه رسیدند و متوجه شدند که آن مردمانی که به ایشان نامه نوشتند در مقابل ایشان ایستاده اند خطاب به آنان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مَعذِرَةٌ إلَی اللّهِ عز و جل و إلَیکم، إنّی لَم آتِکم حَتّی أتَتنی کتُبُکم و قَدِمَت عَلَی رُسُلُکم؛ أنِ اقدَم عَلَینا فَإِنَّهُ لَیسَ لَنا إمامٌ لَعَلَّ اللّهَ یجمَعُنا بِک عَلَی الهُدی، فَإِن کنتُم عَلی ذلِک فَقَد جِئتُکم، فَإِن تُعطونی ما أطمَئِنُّ إلَیهِ مِن عُهودِکم ومَواثیقِکم أقدَم مِصرَکم، وإن لَم تَفعَلوا وکنتُم لِمَقدَمی کارِهینَ انصَرَفتُ عَنکم إلَی المَکانِ الَّذی أقبَلتُ مِنهُ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مخنف کوفی،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نوری،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عذری به پیشگاه خدای عز و جل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نیامدم تا آنکه نامه های شما به من رسید و فرستادگانتان بر من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 آی که پیشوایی نداریم و شاید خدا، ما را به وسیلۀ تو بر هدایت،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همان گفته هستید، نزدتان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عهدی مطمئن و قابل اعتماد به من می دهید، به شهرتان درآیم و اگر چنین نمی کنید و آمدن من را ناخوش دارید، به همان جایی بازمی گردم که پیش از حرکت به سوی شما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اهداف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کوفیان بود که ایشان را از مدینه به کوفه رساند تا با اتحاد با آنان علیه یزید و بنی امیه قیام کنند</w:t>
      </w:r>
      <w:r>
        <w:rPr>
          <w:rFonts w:eastAsia="IRNazanin" w:cs="IRNazanin"/>
          <w:color w:val="111111"/>
          <w:sz w:val="28"/>
          <w:szCs w:val="28"/>
          <w:rtl w:val="true"/>
          <w:lang w:bidi="fa-IR"/>
        </w:rPr>
        <w:t>.</w:t>
      </w:r>
    </w:p>
    <w:p>
      <w:pPr>
        <w:pStyle w:val="Heading3"/>
        <w:numPr>
          <w:ilvl w:val="2"/>
          <w:numId w:val="1"/>
        </w:numPr>
        <w:rPr/>
      </w:pPr>
      <w:bookmarkStart w:id="169" w:name="__RefHeading___Toc1744254_2870459653"/>
      <w:bookmarkStart w:id="170" w:name="_Toc63"/>
      <w:bookmarkEnd w:id="169"/>
      <w:r>
        <w:rPr>
          <w:rtl w:val="true"/>
        </w:rPr>
        <w:t>نتیجه گیری</w:t>
      </w:r>
      <w:bookmarkEnd w:id="170"/>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باوفایشان برای قیام عاشورا، اهداف و انگیزه هایی الهی داشته اند که متأسفانه مستشرقین با ارائۀ تحلیل های نادرست و مادی از این قیام سعی در خدشه دار کردن هدف والای ایشان داشتند؛ اما نتایج و دستاوردهای مقالۀ حاضر به آن ها پاسخی کوبنده داده است که مهم ترین نتایج آن را می توان در موارد ذیل، تبیین و تقریر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خویش را می دانستند ولی باز با وفاداری نزد امام ماندند و ایشان را تنها نگذاشتند؛ و ایشان را در قیامشان حمایت کردند که این موضوع نشان از غیرمادی بودن اهداف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اگر اهداف مادی بود هنگامی </w:t>
      </w:r>
    </w:p>
    <w:p>
      <w:pPr>
        <w:pStyle w:val="BookText"/>
        <w:rPr/>
      </w:pPr>
      <w:r>
        <w:rPr>
          <w:rFonts w:ascii="IRNazanin" w:hAnsi="IRNazanin" w:eastAsia="IRNazanin"/>
          <w:color w:val="111111"/>
          <w:sz w:val="28"/>
          <w:sz w:val="28"/>
          <w:szCs w:val="28"/>
          <w:rtl w:val="true"/>
          <w:lang w:bidi="fa-IR"/>
        </w:rPr>
        <w:t>که خطر جان به میان آمد باید از این راه پا پس می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مصداق اتم و اکمل یک انسان کامل بود که برای احیای دین خدا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تا در سایۀ این اهداف والا بتوانند، مردم را به سعادت که خداوند وعده داده،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متون اسلامی بر جنگیدن و مبارزه با ظلم تأکید فراوان شده است و یکی از اهداف مهم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قیامش همین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مبارزۀ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بود که به اقتضای زمانۀ خویش صلاح را در قیام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اوقات صلح کردن نوعی مبارزۀ عاقلانه است؛ مانند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ایشآن هم، برحسب زمانه، صلاح را در این امر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 های قیام و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نامه های بسیار زیاد آنان بود که سبب شد از شهر مدینه به کوفه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کسانی که به امام نامه دادند زمانی که امام داشتند به سوی کوفه می آمدند مسیرشان را بستند و امام را به شهادت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هدف والای دیگری نیز در قیام خویش داشتند که امروزه نیاز به آن احساس می شود و آن احیای دو فریضۀ امربه معروف و نهی از منکر است که وقتی خبر اعمال فاسقانۀ یزید به امام رسید، دیگر سکوت را جایز ندیدند و برای انجام این دو فریضه قیام 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زیر خاکستر را روشن کرد که قیام توابین و قیام مختار ثقفی تحت شعاع این شهادت بوده است</w:t>
      </w:r>
      <w:r>
        <w:rPr>
          <w:rFonts w:eastAsia="IRNazanin" w:cs="IRNazanin"/>
          <w:color w:val="111111"/>
          <w:sz w:val="28"/>
          <w:szCs w:val="28"/>
          <w:rtl w:val="true"/>
          <w:lang w:bidi="fa-IR"/>
        </w:rPr>
        <w:t xml:space="preserve">. </w:t>
      </w:r>
      <w:bookmarkStart w:id="171" w:name="pg8975_113941"/>
    </w:p>
    <w:p>
      <w:pPr>
        <w:pStyle w:val="Heading3"/>
        <w:numPr>
          <w:ilvl w:val="2"/>
          <w:numId w:val="1"/>
        </w:numPr>
        <w:rPr/>
      </w:pPr>
      <w:bookmarkStart w:id="172" w:name="__RefHeading___Toc1744256_2870459653"/>
      <w:bookmarkStart w:id="173" w:name="_Toc64"/>
      <w:bookmarkEnd w:id="171"/>
      <w:bookmarkEnd w:id="172"/>
      <w:r>
        <w:rPr>
          <w:rtl w:val="true"/>
        </w:rPr>
        <w:t>منابع</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انصاریان، 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 عبدالحمیدبن هبة الله</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أعثم الکوفی، احمد</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للطباعة و النشر و التوزیع؛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یحیی</w:t>
      </w:r>
      <w:r>
        <w:rPr>
          <w:rFonts w:eastAsia="IRNazanin" w:cs="IRNazanin"/>
          <w:color w:val="111111"/>
          <w:sz w:val="28"/>
          <w:szCs w:val="28"/>
          <w:rtl w:val="true"/>
          <w:lang w:bidi="fa-IR"/>
        </w:rPr>
        <w:t>.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محمدباقر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طبری، محمد</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العلماء الاجلاء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الأعلمی للمطبوعات؛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 دار المعارف؛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میانجی، علی</w:t>
      </w:r>
      <w:r>
        <w:rPr>
          <w:rFonts w:eastAsia="IRNazanin" w:cs="IRNazanin"/>
          <w:color w:val="111111"/>
          <w:sz w:val="28"/>
          <w:szCs w:val="28"/>
          <w:rtl w:val="true"/>
          <w:lang w:bidi="fa-IR"/>
        </w:rPr>
        <w:t>.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حسن بن علی</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چاپ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مازندرانی، محمدبن علی</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محمدباقر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 الدینوری، ابو حذیفه احمد بن داوود</w:t>
      </w:r>
      <w:r>
        <w:rPr>
          <w:rFonts w:eastAsia="IRNazanin" w:cs="IRNazanin"/>
          <w:color w:val="111111"/>
          <w:sz w:val="28"/>
          <w:szCs w:val="28"/>
          <w:rtl w:val="true"/>
          <w:lang w:bidi="fa-IR"/>
        </w:rPr>
        <w:t>.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نما الحلی، جعفربن محمد</w:t>
      </w:r>
      <w:r>
        <w:rPr>
          <w:rFonts w:eastAsia="IRNazanin" w:cs="IRNazanin"/>
          <w:color w:val="111111"/>
          <w:sz w:val="28"/>
          <w:szCs w:val="28"/>
          <w:rtl w:val="true"/>
          <w:lang w:bidi="fa-IR"/>
        </w:rPr>
        <w:t>.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و منیر سبل الاشجان، نجف </w:t>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 الحیدریة؛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ابومخنف کوفی، لوط بن یحیی</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یوسفی 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 چاپ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اصفهانی، عبدالله بن نورالله</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 المعارف و الأحوال الامام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موحد ابطحی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موسوی، محمد بن أبی طالب</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تسلیة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فارس 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المعارف الاسلامیة؛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سماوی، محمد</w:t>
      </w:r>
      <w:r>
        <w:rPr>
          <w:rFonts w:eastAsia="IRNazanin" w:cs="IRNazanin"/>
          <w:color w:val="111111"/>
          <w:sz w:val="28"/>
          <w:szCs w:val="28"/>
          <w:rtl w:val="true"/>
          <w:lang w:bidi="fa-IR"/>
        </w:rPr>
        <w:t>.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العین فی 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محمدجعفر الطبسی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حرس الثورة الإسلامیة؛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باقر</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صبحی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مدینة الحکم و الآثار،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کمره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چاپ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لجنة الحدیث فی معهد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المعروف للطباعة و النشر؛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بن محمدتقی</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الجامعة لدرر أخبار الائمة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چاپ دوم؛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روح الله</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چهارم؛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میلانی، سید محمدهادی</w:t>
      </w:r>
      <w:r>
        <w:rPr>
          <w:rFonts w:eastAsia="IRNazanin" w:cs="IRNazanin"/>
          <w:color w:val="111111"/>
          <w:sz w:val="28"/>
          <w:szCs w:val="28"/>
          <w:rtl w:val="true"/>
          <w:lang w:bidi="fa-IR"/>
        </w:rPr>
        <w:t>.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قادتنا کیف نعرفهم؟،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حسین بن محمدتقی</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احمد حسین</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الثورة و المأساة،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للطباعة و النشر و التوزیع</w:t>
      </w:r>
      <w:r>
        <w:rPr>
          <w:rFonts w:eastAsia="IRNazanin" w:cs="IRNazanin"/>
          <w:color w:val="111111"/>
          <w:sz w:val="28"/>
          <w:szCs w:val="28"/>
          <w:rtl w:val="true"/>
          <w:lang w:bidi="fa-IR"/>
        </w:rPr>
        <w:t xml:space="preserve">. </w:t>
      </w:r>
      <w:bookmarkStart w:id="174" w:name="pg8975_113944"/>
    </w:p>
    <w:p>
      <w:pPr>
        <w:pStyle w:val="Heading2"/>
        <w:numPr>
          <w:ilvl w:val="1"/>
          <w:numId w:val="1"/>
        </w:numPr>
        <w:rPr/>
      </w:pPr>
      <w:bookmarkStart w:id="175" w:name="__RefHeading___Toc1744258_2870459653"/>
      <w:bookmarkStart w:id="176" w:name="_Toc65"/>
      <w:bookmarkEnd w:id="174"/>
      <w:bookmarkEnd w:id="175"/>
      <w:r>
        <w:rPr>
          <w:rtl w:val="true"/>
        </w:rPr>
        <w:t>نقش کوفیان در شکل گیری واقعه کربلا از منظر شعر فارسی و عربی</w:t>
      </w:r>
      <w:bookmarkEnd w:id="176"/>
    </w:p>
    <w:p>
      <w:pPr>
        <w:pStyle w:val="Heading3"/>
        <w:numPr>
          <w:ilvl w:val="2"/>
          <w:numId w:val="1"/>
        </w:numPr>
        <w:rPr/>
      </w:pPr>
      <w:bookmarkStart w:id="177" w:name="__RefHeading___Toc1744260_2870459653"/>
      <w:bookmarkStart w:id="178" w:name="_Toc66"/>
      <w:bookmarkEnd w:id="177"/>
      <w:r>
        <w:rPr>
          <w:rtl w:val="true"/>
        </w:rPr>
        <w:t xml:space="preserve">دکتر ناصر قاسمی </w:t>
      </w:r>
      <w:r>
        <w:rPr>
          <w:rtl w:val="true"/>
        </w:rPr>
        <w:t xml:space="preserve">- </w:t>
      </w:r>
      <w:r>
        <w:rPr>
          <w:rtl w:val="true"/>
        </w:rPr>
        <w:t>حمید رهی</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ناصر قاسمی</w:t>
      </w:r>
    </w:p>
    <w:p>
      <w:pPr>
        <w:pStyle w:val="BookText"/>
        <w:rPr/>
      </w:pPr>
      <w:r>
        <w:rPr>
          <w:rFonts w:eastAsia="Times New Roman" w:cs="Times New Roman" w:ascii="Times New Roman" w:hAnsi="Times New Roman"/>
          <w:color w:val="111111"/>
          <w:sz w:val="28"/>
          <w:szCs w:val="28"/>
          <w:lang w:val="en-US" w:bidi="en-US"/>
        </w:rPr>
        <w:t>naserghasemi@ut.ac.ir</w:t>
      </w:r>
    </w:p>
    <w:p>
      <w:pPr>
        <w:pStyle w:val="BookText"/>
        <w:rPr/>
      </w:pPr>
      <w:r>
        <w:rPr>
          <w:rFonts w:ascii="IRNazanin" w:hAnsi="IRNazanin" w:eastAsia="IRNazanin"/>
          <w:color w:val="111111"/>
          <w:sz w:val="28"/>
          <w:sz w:val="28"/>
          <w:szCs w:val="28"/>
          <w:rtl w:val="true"/>
          <w:lang w:bidi="fa-IR"/>
        </w:rPr>
        <w:t>عضو هیات علمی پردیس فارابی دانشگاه تهران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رهی</w:t>
      </w:r>
    </w:p>
    <w:p>
      <w:pPr>
        <w:pStyle w:val="BookText"/>
        <w:rPr/>
      </w:pPr>
      <w:r>
        <w:rPr>
          <w:rFonts w:eastAsia="Times New Roman" w:cs="Times New Roman" w:ascii="Times New Roman" w:hAnsi="Times New Roman"/>
          <w:color w:val="111111"/>
          <w:sz w:val="28"/>
          <w:szCs w:val="28"/>
          <w:lang w:val="en-US" w:bidi="en-US"/>
        </w:rPr>
        <w:t>Hamid.rayatolabbas@gmail.com</w:t>
      </w:r>
    </w:p>
    <w:p>
      <w:pPr>
        <w:pStyle w:val="BookText"/>
        <w:rPr/>
      </w:pPr>
      <w:r>
        <w:rPr>
          <w:rFonts w:ascii="IRNazanin" w:hAnsi="IRNazanin" w:eastAsia="IRNazanin"/>
          <w:color w:val="111111"/>
          <w:sz w:val="28"/>
          <w:sz w:val="28"/>
          <w:szCs w:val="28"/>
          <w:rtl w:val="true"/>
          <w:lang w:bidi="fa-IR"/>
        </w:rPr>
        <w:t>کارشناس ارشد زبان و ادبیات عرب</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20/02/96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21/05/96</w:t>
      </w:r>
    </w:p>
    <w:p>
      <w:pPr>
        <w:pStyle w:val="Heading3"/>
        <w:numPr>
          <w:ilvl w:val="2"/>
          <w:numId w:val="1"/>
        </w:numPr>
        <w:rPr/>
      </w:pPr>
      <w:bookmarkStart w:id="179" w:name="__RefHeading___Toc1744262_2870459653"/>
      <w:bookmarkStart w:id="180" w:name="_Toc67"/>
      <w:bookmarkEnd w:id="179"/>
      <w:r>
        <w:rPr>
          <w:rtl w:val="true"/>
        </w:rPr>
        <w:t>چکیده</w:t>
      </w:r>
      <w:bookmarkEnd w:id="180"/>
    </w:p>
    <w:p>
      <w:pPr>
        <w:pStyle w:val="BookText"/>
        <w:rPr/>
      </w:pPr>
      <w:r>
        <w:rPr>
          <w:rFonts w:ascii="IRNazanin" w:hAnsi="IRNazanin" w:eastAsia="IRNazanin"/>
          <w:color w:val="111111"/>
          <w:sz w:val="28"/>
          <w:sz w:val="28"/>
          <w:szCs w:val="28"/>
          <w:rtl w:val="true"/>
          <w:lang w:bidi="fa-IR"/>
        </w:rPr>
        <w:t>از عوامل اصلی پیدایش واقعهٔ عظیم و دردناک کربلا که طبیعتاً در شعر عاشورایی سرایان دیده می شود، مسألۀ کوفه ویژگی های مردم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موضوع، قبل از واقعۀ عاشورا نیز مورد توجه بوده است، اما در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جلوهٔ نمایان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دوره های ادبی جامعهٔ عرب، که در آن به واقعهٔ کربلا توجه ویژه ای شده، عصر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فارسی زبانان نیز، از مهم ترین دوره هایی که شاعران به این جریان پرداخته اند، دورهٔ بازگشت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با استفاده از مکتب آمریکایی با هدف بررسی وجوه تشابه و تفاوت زاویهٔ نگاه شعر فارسی دورهٔ بازگشت و شعر عربی عصر عباسی و بررسی مضامین مشترک در باب نقش کوفیان در شکل گیری واقعۀ کربلا از منظر شعر شاعران این دو دوره، صورت گرفته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دو دوره، دنیاطلبی، بی وفایی، کینه توزی، فریب کاری و نفاق کوفیان را از عوامل اصلی شکل گیری واقعۀ کربلا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w:t>
      </w:r>
      <w:bookmarkStart w:id="181" w:name="pg8975_113945"/>
    </w:p>
    <w:p>
      <w:pPr>
        <w:pStyle w:val="BookText"/>
        <w:rPr/>
      </w:pPr>
      <w:bookmarkEnd w:id="181"/>
      <w:r>
        <w:rPr>
          <w:rFonts w:ascii="IRNazanin" w:hAnsi="IRNazanin" w:eastAsia="IRNazanin"/>
          <w:color w:val="111111"/>
          <w:sz w:val="28"/>
          <w:sz w:val="28"/>
          <w:szCs w:val="28"/>
          <w:rtl w:val="true"/>
          <w:lang w:bidi="fa-IR"/>
        </w:rPr>
        <w:t>اینکه شاعران عرب، عموماً با زبان تند و صریح دربارهٔ کوفیان سخن گفته اند درحالی که فارسی زبانان دورهٔ بازگشت، بیشتر از زبان تعریض و کنایه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تفاوت ها اینکه دقت نظر شاعران عرب، در استفاده از کلمات و تعابیر به کاررفته در شعر، بیش از فارسی زبانان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کوفیان، دورهٔ بازگشت ادبی، عصر عباسی، ادبیات تطبیقی</w:t>
      </w:r>
      <w:r>
        <w:rPr>
          <w:rFonts w:eastAsia="IRNazanin" w:cs="IRNazanin"/>
          <w:color w:val="111111"/>
          <w:sz w:val="28"/>
          <w:szCs w:val="28"/>
          <w:rtl w:val="true"/>
          <w:lang w:bidi="fa-IR"/>
        </w:rPr>
        <w:t>.</w:t>
      </w:r>
    </w:p>
    <w:p>
      <w:pPr>
        <w:pStyle w:val="Heading3"/>
        <w:numPr>
          <w:ilvl w:val="2"/>
          <w:numId w:val="1"/>
        </w:numPr>
        <w:rPr/>
      </w:pPr>
      <w:bookmarkStart w:id="182" w:name="__RefHeading___Toc1744264_2870459653"/>
      <w:bookmarkStart w:id="183" w:name="_Toc68"/>
      <w:bookmarkEnd w:id="182"/>
      <w:r>
        <w:rPr>
          <w:rtl w:val="true"/>
        </w:rPr>
        <w:t>مقدمه</w:t>
      </w:r>
      <w:bookmarkEnd w:id="183"/>
    </w:p>
    <w:p>
      <w:pPr>
        <w:pStyle w:val="Heading4"/>
        <w:numPr>
          <w:ilvl w:val="3"/>
          <w:numId w:val="1"/>
        </w:numPr>
        <w:rPr/>
      </w:pPr>
      <w:bookmarkStart w:id="184" w:name="__RefHeading___Toc1744266_2870459653"/>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حادثهٔ عظیم عاشورا و هرآنچه با این واقعۀ دردناک تاریخی مرتبط است همواره در ادبیات،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اگرچه در جامعه ای عربی اتفاق افتاد، اما عواطف و احساسات ملل و ادیان گوناگون را برانگیخت و در ادبیات جوامع مختلف به ویژه نزد ایرانیان و ادب فارسی، جایگاه ویژه ای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این موضوع، در حیطهٔ پژوهش های مربوط به ادبیات تطبیقی جای گیرد و یکی از مهم ترین و باارزش ترین مباحث آن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سخن از واقعۀ کربلا به میان می آید، یکی از مسائلی که همواره دربارۀ آن بحث می شود و از آن به عنوان یکی از اصلی ترین دلایل شکل گیری این حادثه یاد می شود، مسألۀ کوفه و کوفیان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عاشورایی نیز، همواره مردم کوفه مذمّت شده اند ویژگی های منفی آن ها، از عوامل اصلی تقویت حکومت اموی و تنهایی و غربت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فارسی، یکی از دوره هایی که در آن، اندیشه های مذهبی در مدح و مرثیهٔ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 کند، دورۀ بازگشت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این دوره، بیش از دوره های پیش، به موضوعات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رأس آن، رثای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ادبیات عرب، دوره ای که شاعران، بیش از پیش به این مقوله پرداختند، عصر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بعد از واقعۀ عاشورا، فضای اختناق توسط حکومت اموی حاکم </w:t>
      </w:r>
      <w:bookmarkStart w:id="186" w:name="pg8975_113946"/>
    </w:p>
    <w:p>
      <w:pPr>
        <w:pStyle w:val="BookText"/>
        <w:rPr/>
      </w:pPr>
      <w:bookmarkEnd w:id="186"/>
      <w:r>
        <w:rPr>
          <w:rFonts w:ascii="IRNazanin" w:hAnsi="IRNazanin" w:eastAsia="IRNazanin"/>
          <w:color w:val="111111"/>
          <w:sz w:val="28"/>
          <w:sz w:val="28"/>
          <w:szCs w:val="28"/>
          <w:rtl w:val="true"/>
          <w:lang w:bidi="fa-IR"/>
        </w:rPr>
        <w:t>شد، زمینه ای برای سرودن شعر عاشورایی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روی کار آمدن عباسیان – با توجه به اینکه عباسیان ادعای دوستی و خویشاوندی با اهل بیت و مخالفت با سیاست های امویان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برای شاعران فراهم آمد تا واقعۀ عظیم عاشورا و عوامل شکل دهندهٔ آن را به تصویر بکشند و به دفاع از قیام حسینی و مقابله با اسلام یزیدی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به بررسی اشعار شاعران این دو دوره در ادبیات فارسی و عربی، دربارهٔ یکی از مضامین مهم حوزهٔ عاشورایی، یعنی نقش کوفیان در شکل گیری واقعهٔ کربلا،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مقاله، از شاعرانی استفاده شده است که در اشعار خود، به صورت قابل توجهی به مسألۀ کوفه ویژگی های مردم کوفه پرداخته اند</w:t>
      </w:r>
      <w:r>
        <w:rPr>
          <w:rFonts w:eastAsia="IRNazanin" w:cs="IRNazanin"/>
          <w:color w:val="111111"/>
          <w:sz w:val="28"/>
          <w:szCs w:val="28"/>
          <w:rtl w:val="true"/>
          <w:lang w:bidi="fa-IR"/>
        </w:rPr>
        <w:t>.</w:t>
      </w:r>
    </w:p>
    <w:p>
      <w:pPr>
        <w:pStyle w:val="Heading4"/>
        <w:numPr>
          <w:ilvl w:val="3"/>
          <w:numId w:val="1"/>
        </w:numPr>
        <w:rPr/>
      </w:pPr>
      <w:bookmarkStart w:id="187" w:name="__RefHeading___Toc1744268_2870459653"/>
      <w:bookmarkStart w:id="188" w:name="_Toc70"/>
      <w:bookmarkEnd w:id="187"/>
      <w:r>
        <w:rPr/>
        <w:t>1</w:t>
      </w:r>
      <w:r>
        <w:rPr>
          <w:rtl w:val="true"/>
        </w:rPr>
        <w:t xml:space="preserve">. </w:t>
      </w:r>
      <w:r>
        <w:rPr>
          <w:rtl w:val="true"/>
        </w:rPr>
        <w:t>سوالات اصلی</w:t>
      </w:r>
      <w:bookmarkEnd w:id="188"/>
    </w:p>
    <w:p>
      <w:pPr>
        <w:pStyle w:val="BookText"/>
        <w:rPr/>
      </w:pPr>
      <w:r>
        <w:rPr>
          <w:rFonts w:ascii="IRNazanin" w:hAnsi="IRNazanin" w:eastAsia="IRNazanin"/>
          <w:color w:val="111111"/>
          <w:sz w:val="28"/>
          <w:sz w:val="28"/>
          <w:szCs w:val="28"/>
          <w:rtl w:val="true"/>
          <w:lang w:bidi="fa-IR"/>
        </w:rPr>
        <w:t>نگاه شاعران عصر عباسی و دورهٔ بازگشت ادبی در شعر خود، به کوفیان چگونه بوده است؟</w:t>
      </w:r>
    </w:p>
    <w:p>
      <w:pPr>
        <w:pStyle w:val="BookText"/>
        <w:rPr/>
      </w:pPr>
      <w:r>
        <w:rPr>
          <w:rFonts w:ascii="IRNazanin" w:hAnsi="IRNazanin" w:eastAsia="IRNazanin"/>
          <w:color w:val="111111"/>
          <w:sz w:val="28"/>
          <w:sz w:val="28"/>
          <w:szCs w:val="28"/>
          <w:rtl w:val="true"/>
          <w:lang w:bidi="fa-IR"/>
        </w:rPr>
        <w:t>شاعران این دو دورهٔ ادبی، چه ویژگی هایی از کوفیان را زمینه ساز واقعهٔ کربلا دانسته اند؟وجوه اشتراک وجوه تمایز در شعر شاعران این دو دوره، در باب بیان ویژگی های کوفیان کدام اند؟</w:t>
      </w:r>
    </w:p>
    <w:p>
      <w:pPr>
        <w:pStyle w:val="Heading4"/>
        <w:numPr>
          <w:ilvl w:val="3"/>
          <w:numId w:val="1"/>
        </w:numPr>
        <w:rPr/>
      </w:pPr>
      <w:bookmarkStart w:id="189" w:name="__RefHeading___Toc1744270_2870459653"/>
      <w:bookmarkStart w:id="190" w:name="_Toc71"/>
      <w:bookmarkEnd w:id="189"/>
      <w:r>
        <w:rPr/>
        <w:t>2</w:t>
      </w:r>
      <w:r>
        <w:rPr>
          <w:rtl w:val="true"/>
        </w:rPr>
        <w:t xml:space="preserve">. </w:t>
      </w:r>
      <w:r>
        <w:rPr>
          <w:rtl w:val="true"/>
        </w:rPr>
        <w:t>پیشینهٔ پژوهش</w:t>
      </w:r>
      <w:bookmarkEnd w:id="190"/>
    </w:p>
    <w:p>
      <w:pPr>
        <w:pStyle w:val="BookText"/>
        <w:rPr/>
      </w:pPr>
      <w:r>
        <w:rPr>
          <w:rFonts w:ascii="IRNazanin" w:hAnsi="IRNazanin" w:eastAsia="IRNazanin"/>
          <w:color w:val="111111"/>
          <w:sz w:val="28"/>
          <w:sz w:val="28"/>
          <w:szCs w:val="28"/>
          <w:rtl w:val="true"/>
          <w:lang w:bidi="fa-IR"/>
        </w:rPr>
        <w:t>بیشتر کتاب هایی که در آن مسألۀ کوفه و کوفیان مطرح شده است، در لابه لای پژوهش های عاشورایی، به این مبحث پرداخته اند، اما کتاب های مستقلی که صرفاً دربارهٔ کوفه نوشته شده نیز وجود دارد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و تحولات تاریخی دوران امام علی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حبیبی،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دانش</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ضمن بیان علل پیدایش کوفه، مهم ترین وقایع زمان خلافت حضرت </w:t>
      </w:r>
      <w:bookmarkStart w:id="191" w:name="pg8975_113947"/>
    </w:p>
    <w:p>
      <w:pPr>
        <w:pStyle w:val="BookText"/>
        <w:rPr/>
      </w:pPr>
      <w:bookmarkEnd w:id="191"/>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تحولاتی که بعد از انتقال مرکز خلافت از مدینه به کوفه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خلافت و امامت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حادثۀ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و خلافت یزید و سرانجام مبارزه با عوامل حکومت بنی امیه در کوفه به همراه جریان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عراق تحلیل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تاریخی کوفه، لویی ماسینیون،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عبدالرحیم قنوات،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از تأسیس کوفه شروع می کند و سپس از راه ها، مقبره ها، نقشۀ اقتصادی شهر، دارالاماره، مساجد کوفه، محله مشهور کناسه، نجف و مزار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کار نویسنده اهمیت می بخشد، این است که او علاوه بر مراجعه به متون و منابع مکتوب، طی دو سفر به کوفه، از آثار باقی مانده در این شهر بازدید کرده و در عراق به حفاری های باستان شناسی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مقاله هایی که درباره مسأله کوفه و مردم این شهر، نوشته شده است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در عصر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حسین فاطمی، مجله نامه تاریخ پژوهان، 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زمستان</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اجتماعی کوفه در آستانۀ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نجفی نژاد، فصلنامه تاریخ، شماره</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پاییز</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شناسی رفتار سیاسی مردم کوفه در آستانۀ قیام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سیمین قربان پور، مجله تاریخ فرهنگ و تمدن اسلامی، 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پاییز</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اندازی به ساختار فرهنگی سیاسی کوفه در آستانۀ قیام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هادی منش، مجله مبلغان، شماره</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دی و بهمن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اما مقاله ای که در آن صرفاً به موضوع ویژگی های کوفیان از منظر شعر پرداخته باشد، وجود ندارد</w:t>
      </w:r>
      <w:r>
        <w:rPr>
          <w:rFonts w:eastAsia="IRNazanin" w:cs="IRNazanin"/>
          <w:color w:val="111111"/>
          <w:sz w:val="28"/>
          <w:szCs w:val="28"/>
          <w:rtl w:val="true"/>
          <w:lang w:bidi="fa-IR"/>
        </w:rPr>
        <w:t>.</w:t>
      </w:r>
    </w:p>
    <w:p>
      <w:pPr>
        <w:pStyle w:val="Heading4"/>
        <w:numPr>
          <w:ilvl w:val="3"/>
          <w:numId w:val="1"/>
        </w:numPr>
        <w:rPr/>
      </w:pPr>
      <w:bookmarkStart w:id="192" w:name="__RefHeading___Toc1744272_2870459653"/>
      <w:bookmarkStart w:id="193" w:name="_Toc72"/>
      <w:bookmarkEnd w:id="192"/>
      <w:r>
        <w:rPr/>
        <w:t>3</w:t>
      </w:r>
      <w:r>
        <w:rPr>
          <w:rtl w:val="true"/>
        </w:rPr>
        <w:t xml:space="preserve">. </w:t>
      </w:r>
      <w:r>
        <w:rPr>
          <w:rtl w:val="true"/>
        </w:rPr>
        <w:t>روش پژوهش</w:t>
      </w:r>
      <w:bookmarkEnd w:id="1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از مکتب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مکاتب حوزهٔ ادبیات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bookmarkStart w:id="194" w:name="pg8975_113948"/>
    </w:p>
    <w:p>
      <w:pPr>
        <w:pStyle w:val="BookText"/>
        <w:rPr/>
      </w:pPr>
      <w:bookmarkEnd w:id="194"/>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آمریکایی به دنبال ارتباط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این مکتب، محقق نباید به دنبال شرط تأثیر و تأثر باشد؛ به عبارت دیگر، این میدان، میدان تشخیص زیبایی است نه پژوهش های تاریخی برای یافتن مؤثر و متأثر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مقاله به بررسی مضامین شعری دورهٔ بازگشت ادبی و عصر عباسی، دربارهٔ ویژگی های کوفیان و نقش آن ها در شکل گیری حادثه کربلا پرداخته و در پرتو مکتب آمریکایی، به بررسی وجوه تشابه و تفاوت این دو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علوش،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عبود،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195" w:name="__RefHeading___Toc1744274_2870459653"/>
      <w:bookmarkStart w:id="196" w:name="_Toc73"/>
      <w:bookmarkEnd w:id="195"/>
      <w:r>
        <w:rPr/>
        <w:t>4</w:t>
      </w:r>
      <w:r>
        <w:rPr>
          <w:rtl w:val="true"/>
        </w:rPr>
        <w:t xml:space="preserve">. </w:t>
      </w:r>
      <w:r>
        <w:rPr>
          <w:rtl w:val="true"/>
        </w:rPr>
        <w:t>ضرورت و اهمیت پژوهش</w:t>
      </w:r>
      <w:bookmarkEnd w:id="196"/>
    </w:p>
    <w:p>
      <w:pPr>
        <w:pStyle w:val="BookText"/>
        <w:rPr/>
      </w:pPr>
      <w:r>
        <w:rPr>
          <w:rFonts w:ascii="IRNazanin" w:hAnsi="IRNazanin" w:eastAsia="IRNazanin"/>
          <w:color w:val="111111"/>
          <w:sz w:val="28"/>
          <w:sz w:val="28"/>
          <w:szCs w:val="28"/>
          <w:rtl w:val="true"/>
          <w:lang w:bidi="fa-IR"/>
        </w:rPr>
        <w:t>همواره کوفیان با صفات ناشی از ضعف روحی، در اذهان عمومی قرار گرفته اند که علل آن در پژوهش های تاریخی،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گسترهٔ فضای شعر عاشورایی، به قدری است که تمام زوایای این واقعهٔ عظیم تاریخ را در خود جای دهد، لازم به نظر می رسد که نگاه شاعران را دربارهٔ مسألۀ کوفه ویژگی های مردم کوفه و نقش آن ها در ایجاد حادثه کربلا بررسی شود تا بهتر بتوان دلیل منفی نگری به کوفیان را درک کرد</w:t>
      </w:r>
      <w:r>
        <w:rPr>
          <w:rFonts w:eastAsia="IRNazanin" w:cs="IRNazanin"/>
          <w:color w:val="111111"/>
          <w:sz w:val="28"/>
          <w:szCs w:val="28"/>
          <w:rtl w:val="true"/>
          <w:lang w:bidi="fa-IR"/>
        </w:rPr>
        <w:t>.</w:t>
      </w:r>
    </w:p>
    <w:p>
      <w:pPr>
        <w:pStyle w:val="Heading4"/>
        <w:numPr>
          <w:ilvl w:val="3"/>
          <w:numId w:val="1"/>
        </w:numPr>
        <w:rPr/>
      </w:pPr>
      <w:bookmarkStart w:id="197" w:name="__RefHeading___Toc1744276_2870459653"/>
      <w:bookmarkStart w:id="198" w:name="_Toc74"/>
      <w:bookmarkEnd w:id="197"/>
      <w:r>
        <w:rPr/>
        <w:t>5</w:t>
      </w:r>
      <w:r>
        <w:rPr>
          <w:rtl w:val="true"/>
        </w:rPr>
        <w:t xml:space="preserve">. </w:t>
      </w:r>
      <w:r>
        <w:rPr>
          <w:rtl w:val="true"/>
        </w:rPr>
        <w:t>دربارهٔ دورهٔ بازگشت ادبی</w:t>
      </w:r>
      <w:bookmarkEnd w:id="19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بود که از نیمهٔ دوم قرن دوازدهم تا اوایل قرن چهاردهم هجری قمری، فضای ادبی ایران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دورهٔ صفوی، شاعران برای ادامهٔ فعالیت هنری خود به هندوستان رفتند و در کنار شاعران آن سرزمین، سبکی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رفته رفته شعر و ادبیات از انحصار دربار خارج شد و در میان مردم کوچه و بازار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نازک اندیشی، افراط در خیال پردازی و اصرار بر صنعت گری های زبانی، سبک هندی را به سبکی گنگ و پیچیده تبدیل کرد و آن را از رونق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برهه ای از زمان نیز هنر، در حالت فترت و سستی قرار داشت؛ تا آنکه در دورهٔ آقامحمدخان قاجار، با برقراری آرامش نسبی در کشور </w:t>
      </w:r>
    </w:p>
    <w:p>
      <w:pPr>
        <w:pStyle w:val="BookText"/>
        <w:rPr/>
      </w:pPr>
      <w:r>
        <w:rPr>
          <w:rFonts w:ascii="IRNazanin" w:hAnsi="IRNazanin" w:eastAsia="IRNazanin"/>
          <w:color w:val="111111"/>
          <w:sz w:val="28"/>
          <w:sz w:val="28"/>
          <w:szCs w:val="28"/>
          <w:rtl w:val="true"/>
          <w:lang w:bidi="fa-IR"/>
        </w:rPr>
        <w:t xml:space="preserve">و اجتماع گروهی از ادیبان و هنرمندان در نواحی مختلف به ویژه اصفهان، شیراز و خراسان، بار دیگر، انجمن های ادبی راه اندازی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کوب،</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و نویسندگانی که در این انجمن ها رفت و آمد داشتند، از پیچیدگی و گنگی سبک هندی خسته بودند و تصمیم گرفتند با نگاه به آثار شاعران بزرگ گذشته سبک آن ها را احیا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میرسیدعلی مشتاق اصفهانی، سیدمحمد شعله اصفهانی و میرزامحمد نصیرالدین اصفهانی از پایه گذاران اصلی این انجمن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افرادی همچون آذر بیگدلی، هاتف اصفهانی، صباحی بیدگلی و صهبای قمی از دست پروردگان این گروه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آرین پور،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فتحعلی شاه قاجار، به دلیل فضای سیاسی و فرهنگی مناسب و قریحهٔ شاعری شخصِ شاه، این انجمن ها رونق بیشتری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شاعرانی همچون مجمر کاشانی، فتحعلی خان صبا و نشاط اصفهانی دور شاه جمع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تخلّص 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تقلید از شاعران سبک های عراقی و خراسانی، به ابتذال و انحطاط سبک هندی پایان دادند و به روش پیشینیان بازگشتند و نهضتی را پدید آوردند که بعدها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بازگشت ادبی را به دو دوره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توجه به سبک عراقی و تقلید از شاعران مشهور این سبک و 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سبک خراسانی و تقلید از شاعران این سبک در کنار توجه به سبک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که مورد توجه سرایندگان نهضت بازگشت ادبی قرار گرفتند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رودکی، فرخی، انوری، خاقانی، منوچهری، فردوسی، ناصرخسرو، نظامی، مولوی، سعدی 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بازگشت ادبی را نمی توان در زمرهٔ سبک های ادبی جای داد؛ چراکه تقریباً هیچ گونه نوآوری در آن به چشم نمی خورد و اساس این نهضت بر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کلام مهدی اخوان ثالث حق مطلب را بهتر ادا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نهضت بازگشت، فقط مانند کودتایی بود برای ساقط کردن سلطنت انحصاری دودمان سبک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آن به تنگ آمده بودند </w:t>
      </w:r>
      <w:bookmarkStart w:id="199" w:name="pg8975_113950"/>
    </w:p>
    <w:p>
      <w:pPr>
        <w:pStyle w:val="BookText"/>
        <w:rPr/>
      </w:pPr>
      <w:bookmarkEnd w:id="1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ایجاد ملوک الطوایفی در شعر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هیچ چهرهٔ درخشان تر از چهره های پیش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که حتی مشتی آدم های دروغین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دروغین، سنایی دروغین، منوچهری دروغین و دیگر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ثالث،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محمدرضا شفیعی کدکنی، این عصر، عصر مدیحه های تکراری است و شاعران این دوران کاریکاتور شاعران قرون گذشته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سبب دقت فراوان در شعر گذشتگان و روشن کردن نقاط قوت و ضعف این اشعار می توان گفت شاعران نهضت بازگشت نخستین سبک شناسان زبان فارسی بودند و به نوعی این دوره، پایه گذاری نقد ادبی در دوران معاصر بوده است که این خدمت آنان به ادبیات فارسی قابل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میان اشعار شاعران عصر بازگشت، باورها و اندیشه هایی همچون باورهای مذهبیِ منعکس شده در مدح و مرثیه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که در سده های گذشته و در شعر متقدّمان یا سابقه نداشته و یا نادر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مؤتمن،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عاشورایی شاعرانی همچون صباحی بیدگلی، وصال شیرازی، سروش اصفهانی، وقار شیرازی، محمود خان صبا و ادیب الممالک فراهانی، که نمونه هایی از آن ذکر خواهد شد، گویای این مسأله هست</w:t>
      </w:r>
      <w:r>
        <w:rPr>
          <w:rFonts w:eastAsia="IRNazanin" w:cs="IRNazanin"/>
          <w:color w:val="111111"/>
          <w:sz w:val="28"/>
          <w:szCs w:val="28"/>
          <w:rtl w:val="true"/>
          <w:lang w:bidi="fa-IR"/>
        </w:rPr>
        <w:t>.</w:t>
      </w:r>
    </w:p>
    <w:p>
      <w:pPr>
        <w:pStyle w:val="Heading4"/>
        <w:numPr>
          <w:ilvl w:val="3"/>
          <w:numId w:val="1"/>
        </w:numPr>
        <w:rPr/>
      </w:pPr>
      <w:bookmarkStart w:id="200" w:name="__RefHeading___Toc1744278_2870459653"/>
      <w:bookmarkStart w:id="201" w:name="_Toc75"/>
      <w:bookmarkEnd w:id="200"/>
      <w:r>
        <w:rPr/>
        <w:t>6</w:t>
      </w:r>
      <w:r>
        <w:rPr>
          <w:rtl w:val="true"/>
        </w:rPr>
        <w:t xml:space="preserve">. </w:t>
      </w:r>
      <w:r>
        <w:rPr>
          <w:rtl w:val="true"/>
        </w:rPr>
        <w:t>شعر عاشورایی در عصر عباسی</w:t>
      </w:r>
      <w:bookmarkEnd w:id="20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جاودانگی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نهضتی که بنیان نهاد، همچنین تأثیراتی که واقعهٔ عاشورا در فکر و احساس بشریّت ایجاد کرد، شاعران عصر عباسی را بر آن داشت تا به بازتاب این مهم در ادبیات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زنده نگه داشتن این الگوهای قهرمانی و حماسهٔ بی نظیرشان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عاشورایی سرایان عصر عباسی با بیان مصائب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قیام حضرت، دلاورانه وارد عرصۀ شعر و ادب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حمیری، دعبل خزاعی، منصور نمری، عبدی کوفی و ده ها شاعر دیگر کوشیدند این مشعل را فروزان تر کنند</w:t>
      </w:r>
      <w:r>
        <w:rPr>
          <w:rFonts w:eastAsia="IRNazanin" w:cs="IRNazanin"/>
          <w:color w:val="111111"/>
          <w:sz w:val="28"/>
          <w:szCs w:val="28"/>
          <w:rtl w:val="true"/>
          <w:lang w:bidi="fa-IR"/>
        </w:rPr>
        <w:t xml:space="preserve">. </w:t>
      </w:r>
      <w:bookmarkStart w:id="202" w:name="pg8975_113951"/>
    </w:p>
    <w:p>
      <w:pPr>
        <w:pStyle w:val="BookText"/>
        <w:rPr/>
      </w:pPr>
      <w:bookmarkEnd w:id="202"/>
      <w:r>
        <w:rPr>
          <w:rFonts w:ascii="IRNazanin" w:hAnsi="IRNazanin" w:eastAsia="IRNazanin"/>
          <w:color w:val="111111"/>
          <w:sz w:val="28"/>
          <w:sz w:val="28"/>
          <w:szCs w:val="28"/>
          <w:rtl w:val="true"/>
          <w:lang w:bidi="fa-IR"/>
        </w:rPr>
        <w:t>عصر عباسی دوم نیز که به دوران شکوفایی شعر و ادب شهرت دارد، تعدادی از بهترین شاعران حسینی را در خود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که شامل قرن چهارم تا ششم است، چهره هایی مانند صنوبری، کشاجم، ابوفراس، ابن هانی، شریف رضی، مهیار دیلمی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درخشیدند و آثار ماندگاری از خود به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رثا در عصر عباسی دوم متحول شد و به شعر گریه و ناله و خالی از روح مبارزه طلبی و مقاومت خونخواهی تبدیل شد که البته باید شعر کسانی همچون شریف رضی را از این گروه، مستثنی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رایج ترین ویژگی های شعر عاشورایی در دورۀ عباسی، رثا و نوحه سرایی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اندیشۀ رستگاری و نجات در آخرت، یکی دیگر از ویژگی های شعر رثای حسینی در این دوره است که نمونهٔ آن در شعر صنوبری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قرن دوم هجری آغاز شکل گیری موضوع انتقام و خون خواهی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شدن آن به عنصری اساسی در شعر رثای حسینی بوده است، که نمونهٔ آن در شعر دعبل خزاعی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الدجیلی،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برخی از شاعران نیز لبریز از خشم و نفرت از امویان و کینه توزی از عباسیان است که نمونهٔ آن، شعر منصور نمری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منصور النمری،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4"/>
        <w:numPr>
          <w:ilvl w:val="3"/>
          <w:numId w:val="1"/>
        </w:numPr>
        <w:rPr/>
      </w:pPr>
      <w:bookmarkStart w:id="203" w:name="__RefHeading___Toc1744280_2870459653"/>
      <w:bookmarkStart w:id="204" w:name="_Toc76"/>
      <w:bookmarkEnd w:id="203"/>
      <w:r>
        <w:rPr/>
        <w:t>7</w:t>
      </w:r>
      <w:r>
        <w:rPr>
          <w:rtl w:val="true"/>
        </w:rPr>
        <w:t xml:space="preserve">. </w:t>
      </w:r>
      <w:r>
        <w:rPr>
          <w:rtl w:val="true"/>
        </w:rPr>
        <w:t>کوفیان در کلام بزرگان</w:t>
      </w:r>
      <w:bookmarkEnd w:id="20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اینکه بخواهیم ویژگی های کوفیان و تأثیر آن ها را در به وجودآمدن واقعهٔ کربلا از منظر شعر بررسی کنیم، نگاه بزرگان به ویژه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کوفیان ازنظر می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بررسی سخنان بزرگان دیده می شود، این است که اگرچه در برخی متون حدیثی و تاریخی، ستایش کوفیان به چشم می خورد اما غالباً کوفیان با ویژگی های منفی همچون دنیاگرایی و سستی در جهاد و راسخ نبودن در عقیده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کوفیان به دلیل خستگی، در مقابل غارت ها و شبیخون های شامیان به مناطق مختلف قلمرو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کردند و همین امر، باعث توبیخ و شکوهٔ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أنظر إلیکم تَکُشُّونَ کشِیشَ الضُبابِ لا </w:t>
      </w:r>
    </w:p>
    <w:p>
      <w:pPr>
        <w:pStyle w:val="BookText"/>
        <w:rPr/>
      </w:pPr>
      <w:r>
        <w:rPr>
          <w:rFonts w:ascii="IRNazanin" w:hAnsi="IRNazanin" w:eastAsia="IRNazanin"/>
          <w:color w:val="111111"/>
          <w:sz w:val="28"/>
          <w:sz w:val="28"/>
          <w:szCs w:val="28"/>
          <w:rtl w:val="true"/>
          <w:lang w:bidi="fa-IR"/>
        </w:rPr>
        <w:t>تأخذونَ حَقّاً وَ لَاتَمنَعُونَ ضَیماً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همچون کفتارها و سوسمارهایی می بینم که هنگام احساس خطر به لانه های خود می خزند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دنیاداری و دنیاطلبی را وجه غالب گرایش مردم عصر خود، به ویژه کوفیان، معرفی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 و الدّینُ لَعِقٌ عَلَی ألسِنَتِهِم، یحُوطونَهُ مَا درَّت مَعائشُهُم فَإذا مُحِّصوا بِالبلاء قَلَّ الدیّانون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بندگان دنیایند و دین، تنها بر زبان آن ها جاری است، تا زمانی که معیشت آن ها برقرار باشد، دین دارند اما هرگاه در امتحان افتند، دین داران اندک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مردمانی هستند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تَوازَرَ عَلَیه مَن غَرَّتهُ الدنیا وَ بَاعَ حَظَّهُ بِالأرذَلِ الأدنی وَ شَرَی آخِرَتَه بالثَّمَنِ الأوکسِ و تَغَطرَسَ و تَرَدّی فِی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همدست شدند که دنیا آنان را فریفت و بهرهٔ خود را به قیمتی ناچیز و پست معامله کردند و آخرتشان را به بهای ناچیز فروختند و تکبر و گردن فرازی کردند و اسیر هوای نفس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تاریخ کوفه به عباراتی از شخصیت های بزرگ برمی خوریم که کوفیان را مردمانی فریبکار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در گفتگو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خیرخواهی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العراق قومٌ غُدُر فلا تَقَربنّهم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فریبکارند، پس مبادا به آن ها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نیز گرفتار همین خوی کوفیان شد و در گفتگو با طوعه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ایمانی که به مسلم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مسلم بن عقیل کذبنی هولاء القوم و غرّونی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دیگر کوفیان، قابلیت تحریک پذیری سریع، عدم عاقبت اندیشی، تصمیم گیری آنی و پشیمانی فوری از آن، ترس از تهدیدات گروه یا جناح مخالف و داشتن روحیهٔ متغیر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 دهد آنچه در این سرزمین به کار مردم نمی آمد سخنی بود که از واقع بینی و خیرخواهی برخیزد و آنچه را به جان می خریدند و فوراً منتقل می کردند، گفتاری بود که عاطفه و احساس را تحریک کند و گویندهٔ آن با هیجان و حرارت بیشتر، آن سخنان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پسِ آن سخنان چه هدف و غرضی نهفته باشد برای شنونده مطرح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بن صوحان دربارۀ مردم </w:t>
      </w:r>
      <w:bookmarkStart w:id="205" w:name="pg8975_113953"/>
    </w:p>
    <w:p>
      <w:pPr>
        <w:pStyle w:val="BookText"/>
        <w:rPr/>
      </w:pPr>
      <w:bookmarkEnd w:id="205"/>
      <w:r>
        <w:rPr>
          <w:rFonts w:ascii="IRNazanin" w:hAnsi="IRNazanin" w:eastAsia="IRNazanin"/>
          <w:color w:val="111111"/>
          <w:sz w:val="28"/>
          <w:sz w:val="28"/>
          <w:szCs w:val="28"/>
          <w:rtl w:val="true"/>
          <w:lang w:bidi="fa-IR"/>
        </w:rPr>
        <w:t>کوفه به معاویه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قبهٔ اسلام و جای بزرگان است اما در آنجا اوباشی هستند که نمی گذارند مردم از بزرگان خود اطاعت کنند و این صفت مردم ظاهر دوست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افتخاریان،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206" w:name="__RefHeading___Toc1744282_2870459653"/>
      <w:bookmarkStart w:id="207" w:name="_Toc77"/>
      <w:bookmarkEnd w:id="206"/>
      <w:r>
        <w:rPr/>
        <w:t>8</w:t>
      </w:r>
      <w:r>
        <w:rPr>
          <w:rtl w:val="true"/>
        </w:rPr>
        <w:t xml:space="preserve">. </w:t>
      </w:r>
      <w:r>
        <w:rPr>
          <w:rtl w:val="true"/>
        </w:rPr>
        <w:t>ویژگی های کوفیان و نقش آن ها در شکل گیری واقعۀ کربلا از منظر شعر فارسی و عربی</w:t>
      </w:r>
      <w:bookmarkEnd w:id="207"/>
    </w:p>
    <w:p>
      <w:pPr>
        <w:pStyle w:val="BookText"/>
        <w:rPr/>
      </w:pPr>
      <w:r>
        <w:rPr>
          <w:rFonts w:ascii="IRNazanin" w:hAnsi="IRNazanin" w:eastAsia="IRNazanin"/>
          <w:color w:val="111111"/>
          <w:sz w:val="28"/>
          <w:sz w:val="28"/>
          <w:szCs w:val="28"/>
          <w:rtl w:val="true"/>
          <w:lang w:bidi="fa-IR"/>
        </w:rPr>
        <w:t>اکنون به بررسی وجوه تشابه و تفاوت شعر فارسی دورۀ بازگشت و شعر عربی عصر عباسی دربارهٔ ویژگی های کوفیان و نقش آن ها درواقعهٔ کربلا می پردازیم تا مضامین مشترک و جلوه های تمایز شاعران فارسی زبان و عرب زبان را، در این مقوله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ها</w:t>
      </w:r>
    </w:p>
    <w:p>
      <w:pPr>
        <w:pStyle w:val="BookText"/>
        <w:rPr/>
      </w:pPr>
      <w:r>
        <w:rPr>
          <w:rFonts w:ascii="IRNazanin" w:hAnsi="IRNazanin" w:eastAsia="IRNazanin"/>
          <w:color w:val="111111"/>
          <w:sz w:val="28"/>
          <w:sz w:val="28"/>
          <w:szCs w:val="28"/>
          <w:rtl w:val="true"/>
          <w:lang w:bidi="fa-IR"/>
        </w:rPr>
        <w:t>شاعران عصر عباسی و دورهٔ بازگشت ادبی، همواره در اشعار خود به مذمّت اهل کوفه پرداخته اند و با صفات رذیله از آن ها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می توان گفت وجه اشتراک شاعران این دو دوره، در بیان صفات ویژگی های کوفیان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این دو دوره، کوفیان را از عوامل اصلی شکل گیری واقعه عاشورا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با ذمّ ویژگی های کوفیان، درواقع به ذمّ تفکر اموی و عثمانی و دفاع از تفکر حسینی و عاشورایی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و عافیت طلبی</w:t>
      </w:r>
    </w:p>
    <w:p>
      <w:pPr>
        <w:pStyle w:val="BookText"/>
        <w:rPr/>
      </w:pPr>
      <w:r>
        <w:rPr>
          <w:rFonts w:ascii="IRNazanin" w:hAnsi="IRNazanin" w:eastAsia="IRNazanin"/>
          <w:color w:val="111111"/>
          <w:sz w:val="28"/>
          <w:sz w:val="28"/>
          <w:szCs w:val="28"/>
          <w:rtl w:val="true"/>
          <w:lang w:bidi="fa-IR"/>
        </w:rPr>
        <w:t>اولین و مهم ترین خصلتی که در اشعار شاعران به آن پرداخته شده و می توان گفت زمینه ساز ویژگی های منفی دیگر نیز بوده است، دنیاگرایی و عافیت طلبی کوفیان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شیرازی، این ویژگی کوفیان را به زیبایی در شعر خود جلوه گر می کند و با تشبیه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 که کوفیان، برای رسیدن به ثروت دنیا، امام خود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غیرتم کُشد که سلیمان عهد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دیوسیرتان پیِ تخت و نگین کُشند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ابوفراس حمدانی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عصر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هوای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بارز دنیاطلبی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عاقبت به شرّی کوفیان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 لِقومٍ تابعوا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یَسوءُهم غداً عقباه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الحمدانی،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قومی که پیرو هوای نفس خود شدند که عاقبت سوء آن، فردا گریبان گیرشان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نمونهٔ بارز این دنیاگرایی و عافیت طلبی در شخصیت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اشراف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به طمع حکومت ری، فرماندهی سپاه یزید را پذیرفت و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صباحی بیدگلی این گونه بیان می دارد کهعمربن سعد برای رسیدن به ری، اولاد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سرزمینشان جدا کرد و درواقع سرزمین نبوی را به خاطر رسیدن به مُلک ری،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یثرب به باد رفت به تعمیر خاک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 خراب شد به تمنّای مُلک 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صباحی بیدگلی،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شریف مرتضی – ملقب به سید مرتضی – با لحن تند و نفرین آمیز، اشاره می کند که عمربن سعد به خاطر یک امر دنیایی و بی ارزش، پیامبر خدا و امام خود را – و درواقع آخرت خود را – فروخت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رسول الله بِالنَّزرِ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عمر بن سعد، که چقدر ارزان،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و بی حیایی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عامهٔ مردم، نام کوفی جماعت با بی وفایی و خُلف وعده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یک روز، نامه پشت نامه می نویسند و با شور و اشتیاق از امامشان دعوت می کنند و روز دیگر در مقابل امامشان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صف به صف گرد مسلم بن عقیل حلقه می زنند و بعد از گذشت چند ساعت، مسلم را تنها و بی پناه رها می کنند و </w:t>
      </w:r>
    </w:p>
    <w:p>
      <w:pPr>
        <w:pStyle w:val="BookText"/>
        <w:rPr/>
      </w:pPr>
      <w:r>
        <w:rPr>
          <w:rFonts w:ascii="IRNazanin" w:hAnsi="IRNazanin" w:eastAsia="IRNazanin"/>
          <w:color w:val="111111"/>
          <w:sz w:val="28"/>
          <w:sz w:val="28"/>
          <w:szCs w:val="28"/>
          <w:rtl w:val="true"/>
          <w:lang w:bidi="fa-IR"/>
        </w:rPr>
        <w:t>به پیمان خود پشت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دیلمی، دست روی این روحیهٔ عجیب کوفیان می گذارد و آن ها را مورد عتاب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بِکُلِّ یدٍ أمس قد بایعته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ساقت له الیوم أیدی الحتوف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دستی که دیروز بیعت سپردند، امروز هیولای مرگ را به سویش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اصفهانی در ترکیب بند خود، ماجرای صحبت های محمدحنفیه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حرکت به سمت کوفه، به نظم درآورده است که یک بیت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عهد کوفیان نتوان داشت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ز بارگاه رسول امین مکُن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محجوب،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ادیب الممالک فراهانی نیز بی وفایی کوفیان را در ماجرای مسلم بن عقیل به تصویر می کشد؛ جایی که در هنگام اقامهٔ نماز، همه از پشت سرِ مسلم پراکنده شدند و او در کوفه حیران و سرگردان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صدهزار تن که ستادند در پی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نمانده بود چو فارغ شد از نماز</w:t>
      </w:r>
    </w:p>
    <w:p>
      <w:pPr>
        <w:pStyle w:val="BookText"/>
        <w:rPr/>
      </w:pPr>
      <w:r>
        <w:rPr>
          <w:rFonts w:ascii="IRNazanin" w:hAnsi="IRNazanin" w:eastAsia="IRNazanin"/>
          <w:color w:val="111111"/>
          <w:sz w:val="28"/>
          <w:sz w:val="28"/>
          <w:szCs w:val="28"/>
          <w:rtl w:val="true"/>
          <w:lang w:bidi="fa-IR"/>
        </w:rPr>
        <w:t xml:space="preserve">دید آن کسان که لاف هواداری اش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زمان ز ملاقاتش احتراز</w:t>
      </w:r>
    </w:p>
    <w:p>
      <w:pPr>
        <w:pStyle w:val="BookText"/>
        <w:rPr/>
      </w:pPr>
      <w:r>
        <w:rPr>
          <w:rFonts w:ascii="IRNazanin" w:hAnsi="IRNazanin" w:eastAsia="IRNazanin"/>
          <w:color w:val="111111"/>
          <w:sz w:val="28"/>
          <w:sz w:val="28"/>
          <w:szCs w:val="28"/>
          <w:rtl w:val="true"/>
          <w:lang w:bidi="fa-IR"/>
        </w:rPr>
        <w:t xml:space="preserve">و آنان که دامنش بگرفتند با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 دست کین به گریبان او دراز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این چنین بیان می کند که این قوم، وقتی از یک سو سپاه عظیم و قدرتمند شام را دیدند و از سوی دیگر، بوی سکه های عبیدالله بن زیاد به مشام آن ها رسید و تهدیدها و تطمیع های او را دیدند و احساس قدرت کردند، بر عهد و پیمان خود پشت کردند و جفا را بر وفا ترجیح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سَالموا عَجزاً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قَدَرُوا شَنُّوا الحروبا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ناتوان بودند از درِ صلح وارد شدند وقتی قدرتمند شدند اعلام </w:t>
      </w:r>
    </w:p>
    <w:p>
      <w:pPr>
        <w:pStyle w:val="BookText"/>
        <w:rPr/>
      </w:pPr>
      <w:r>
        <w:rPr>
          <w:rFonts w:ascii="IRNazanin" w:hAnsi="IRNazanin" w:eastAsia="IRNazanin"/>
          <w:color w:val="111111"/>
          <w:sz w:val="28"/>
          <w:sz w:val="28"/>
          <w:szCs w:val="28"/>
          <w:rtl w:val="true"/>
          <w:lang w:bidi="fa-IR"/>
        </w:rPr>
        <w:t>جنگ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w:t>
      </w:r>
    </w:p>
    <w:p>
      <w:pPr>
        <w:pStyle w:val="BookText"/>
        <w:rPr/>
      </w:pPr>
      <w:r>
        <w:rPr>
          <w:rFonts w:ascii="IRNazanin" w:hAnsi="IRNazanin" w:eastAsia="IRNazanin"/>
          <w:color w:val="111111"/>
          <w:sz w:val="28"/>
          <w:sz w:val="28"/>
          <w:szCs w:val="28"/>
          <w:rtl w:val="true"/>
          <w:lang w:bidi="fa-IR"/>
        </w:rPr>
        <w:t>تشیّع در کوفه یکنواخت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اندکی از آن ها تشیّعِ اعتقادی داشتند و تشیّع اکثریت کوفیان، تشیّع سیاسی بود که می توانست براثر حوادث سیاسی و فشار و تهدید و تطمیع،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معاویه با سیاست های خود انجام داد و تفکر عثمانی و اموی را حاکم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پناه،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معاویه، هواداران امویان قوی ترین گروه اجتماعی در کوفه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دنبال شدت گرفتن نامه های کوفیان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نامه نگاران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اموی، از حقد و کینه نسبت به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و همواره به دنبال انتقام بدر و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هایی که دلاوری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و سرافکندگی آل ابوسفیان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فرصتی طلایی برای بروز کینهٔ امویان و انتقام آن ها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خان صبا جلوهٔ این کینه را در آتش زدن خیمه ها،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کوفه دامن کین بر میان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بر آتش غم خلق جهان زدند</w:t>
      </w:r>
    </w:p>
    <w:p>
      <w:pPr>
        <w:pStyle w:val="BookText"/>
        <w:rPr/>
      </w:pPr>
      <w:r>
        <w:rPr>
          <w:rFonts w:ascii="IRNazanin" w:hAnsi="IRNazanin" w:eastAsia="IRNazanin"/>
          <w:color w:val="111111"/>
          <w:sz w:val="28"/>
          <w:sz w:val="28"/>
          <w:szCs w:val="28"/>
          <w:rtl w:val="true"/>
          <w:lang w:bidi="fa-IR"/>
        </w:rPr>
        <w:t xml:space="preserve">در خیمه اش به کینه زدند آتشی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شرر به خرمن هفت آسمان زدند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شاعران عرب زبان عصر عباسی نیز، به این مسأله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این کینه ها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ضغن شغافٍ هبَّ بعد رقاده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أفئدة ملأی یفضنَ ذحولا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های دیرینی که از خواب طولانی بیدار شد و دل هایی که در تلاطمِ انتقام به جوش آمد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 در ابیات دیگری، به زیبایی به خیال باطل این گروه اشاره می کند و بیان می دارد که هرگز آن ها توانایی خاموش کردنِ نور اسلام را نخواهند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أخذتُم عمّا جَری یومَ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حنینٍ فیما تخالون ثارا</w:t>
      </w:r>
    </w:p>
    <w:p>
      <w:pPr>
        <w:pStyle w:val="BookText"/>
        <w:rPr/>
      </w:pPr>
      <w:r>
        <w:rPr>
          <w:rFonts w:ascii="Amiri" w:hAnsi="Amiri" w:eastAsia="Amiri" w:cs="Amiri"/>
          <w:color w:val="111111"/>
          <w:sz w:val="28"/>
          <w:sz w:val="28"/>
          <w:szCs w:val="28"/>
          <w:rtl w:val="true"/>
          <w:lang w:bidi="ar-SA"/>
        </w:rPr>
        <w:t xml:space="preserve">حاشَ لله ما قطعتم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صرتُمُ بذاک مَصارا</w:t>
      </w:r>
    </w:p>
    <w:p>
      <w:pPr>
        <w:pStyle w:val="BookText"/>
        <w:rPr/>
      </w:pPr>
      <w:r>
        <w:rPr>
          <w:rFonts w:ascii="Amiri" w:hAnsi="Amiri" w:eastAsia="Amiri" w:cs="Amiri"/>
          <w:color w:val="111111"/>
          <w:sz w:val="28"/>
          <w:sz w:val="28"/>
          <w:szCs w:val="28"/>
          <w:rtl w:val="true"/>
          <w:lang w:bidi="ar-SA"/>
        </w:rPr>
        <w:t xml:space="preserve">إنَّ نورَ الإسلام ثاو ما اسطا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أن یکسفوا الأنوارا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خودتان خیال می کنید انتقام بدر و حنین را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نکرده اید و به این آرزو نرسیده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پیروز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نور اسلام است که علی رغم تلاش گروهی که می خواهند آن را از بین ببرند، باقی و جاویدان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نظر و عمل</w:t>
      </w:r>
    </w:p>
    <w:p>
      <w:pPr>
        <w:pStyle w:val="BookText"/>
        <w:rPr/>
      </w:pPr>
      <w:r>
        <w:rPr>
          <w:rFonts w:ascii="IRNazanin" w:hAnsi="IRNazanin" w:eastAsia="IRNazanin"/>
          <w:color w:val="111111"/>
          <w:sz w:val="28"/>
          <w:sz w:val="28"/>
          <w:szCs w:val="28"/>
          <w:rtl w:val="true"/>
          <w:lang w:bidi="fa-IR"/>
        </w:rPr>
        <w:t>فاصله بین نظر و عمل، مسأله ای امروزی است که باید به بررسی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نظر ممکن است نظریه های زیادی وجود داشته باشد اما کدام یک از آن ها ضمانت اجرایی دارد؟</w:t>
      </w:r>
    </w:p>
    <w:p>
      <w:pPr>
        <w:pStyle w:val="BookText"/>
        <w:rPr/>
      </w:pPr>
      <w:r>
        <w:rPr>
          <w:rFonts w:ascii="IRNazanin" w:hAnsi="IRNazanin" w:eastAsia="IRNazanin"/>
          <w:color w:val="111111"/>
          <w:sz w:val="28"/>
          <w:sz w:val="28"/>
          <w:szCs w:val="28"/>
          <w:rtl w:val="true"/>
          <w:lang w:bidi="fa-IR"/>
        </w:rPr>
        <w:t>مصداق عینی این مسأله، رفتار کوفیان در حادثهٔ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سخن، با امام بودند اما به وقت عمل، ریزه خوار سفرهٔ یزیدیان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به نبوت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راسخ داشتند اما نوادهٔ ایشان را به مسلخ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صباحی بیدگلی این نکته را به روش استفهام انکاری از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کُشند و یاد کنند از نبی،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نبی نبوَد عترت 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صباحی بیدگلی،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وقار شیرازی نیز این چنین به اسلام آن ها طعنه می زند و مسلمان بودن این گروه را زیر سؤال می برد، زیرا مسلمانی به زبان نیست بلکه در عرصهٔ عمل، مسلمان از نامسلمان متمایز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بین که طوف حرم می کنند و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مقام و به رکن و حرم زنند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جالب و قابل تأمل اینکه آن ها شناخت کامل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محبت او را در دل داشتند و حق و باطل را می شناختند اما در صحنهٔ عمل، نه تنها سکوت </w:t>
      </w:r>
    </w:p>
    <w:p>
      <w:pPr>
        <w:pStyle w:val="BookText"/>
        <w:rPr/>
      </w:pPr>
      <w:r>
        <w:rPr>
          <w:rFonts w:ascii="IRNazanin" w:hAnsi="IRNazanin" w:eastAsia="IRNazanin"/>
          <w:color w:val="111111"/>
          <w:sz w:val="28"/>
          <w:sz w:val="28"/>
          <w:szCs w:val="28"/>
          <w:rtl w:val="true"/>
          <w:lang w:bidi="fa-IR"/>
        </w:rPr>
        <w:t>نکردند بلکه روبروی امام،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بین عقیده و عمل در کوفیان را وصال شیرازی چنین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نامه یار حسین و به کرده جفت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مکر و دَغَل جفت و از مروّت، طاق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در قصیدۀ معروف خود که به ألِفیه مشهور است،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قتلوه بعد علمٍ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خامس أصحاب الکساء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درحالی که می دانستند که پنجمین نور آل عباست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ناشناسی</w:t>
      </w:r>
    </w:p>
    <w:p>
      <w:pPr>
        <w:pStyle w:val="BookText"/>
        <w:rPr/>
      </w:pPr>
      <w:r>
        <w:rPr>
          <w:rFonts w:ascii="IRNazanin" w:hAnsi="IRNazanin" w:eastAsia="IRNazanin"/>
          <w:color w:val="111111"/>
          <w:sz w:val="28"/>
          <w:sz w:val="28"/>
          <w:szCs w:val="28"/>
          <w:rtl w:val="true"/>
          <w:lang w:bidi="fa-IR"/>
        </w:rPr>
        <w:t>درحالی که فقط پنجاه سال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و عده ای از کوفیانِ حاضر در کربلا، در زمان پیامبر حضور داشتند و در رکاب ایشان بودند، اما سخت ترین مصائب را بر اهل بیت ایشان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صباحی بیدگلی تعجب خود را از این موضوع بیان می کند و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نبی چگونه فراموش شد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است این قدر از رحلت نبی</w:t>
      </w:r>
    </w:p>
    <w:p>
      <w:pPr>
        <w:pStyle w:val="BookText"/>
        <w:rPr/>
      </w:pPr>
      <w:r>
        <w:rPr>
          <w:rFonts w:ascii="IRNazanin" w:hAnsi="IRNazanin" w:eastAsia="IRNazanin"/>
          <w:color w:val="111111"/>
          <w:sz w:val="28"/>
          <w:sz w:val="28"/>
          <w:szCs w:val="28"/>
          <w:rtl w:val="true"/>
          <w:lang w:bidi="fa-IR"/>
        </w:rPr>
        <w:t xml:space="preserve">یارب تو آگهی که رعایت کسی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بیت نبی، حرمت 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صباحی بیدگلی،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اینکه می دانستند این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ها و خویشان آن ها را از جاهلیت نجات داد و به صحنهٔ ایمان و اعتقاد به خدا کشاند اما اجر رسالت پیامبر، کُشتن عزیزترین فرزند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جرجانی در همین رابطه، 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أجرکم وَ أنتم فی ضَلالَتِکُم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شَفاحفرة مِن حَرِّ نیرانِ</w:t>
      </w:r>
    </w:p>
    <w:p>
      <w:pPr>
        <w:pStyle w:val="BookText"/>
        <w:rPr/>
      </w:pPr>
      <w:r>
        <w:rPr>
          <w:rFonts w:ascii="Amiri" w:hAnsi="Amiri" w:eastAsia="Amiri" w:cs="Amiri"/>
          <w:color w:val="111111"/>
          <w:sz w:val="28"/>
          <w:sz w:val="28"/>
          <w:szCs w:val="28"/>
          <w:rtl w:val="true"/>
          <w:lang w:bidi="ar-SA"/>
        </w:rPr>
        <w:t xml:space="preserve">ألم أؤلّف قلوباً منکم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مثارة بینَ أحقادٍ وَ أضغانِ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هدایت نکردم درحالی که در گمراهی بودید و در حفره های آتش جا داشتید؟ آیا بین قلب هایتان الفت ایجاد نکردم درحالی که فرقه فرقه و پر از حقد و </w:t>
      </w:r>
    </w:p>
    <w:p>
      <w:pPr>
        <w:pStyle w:val="BookText"/>
        <w:rPr/>
      </w:pPr>
      <w:r>
        <w:rPr>
          <w:rFonts w:ascii="IRNazanin" w:hAnsi="IRNazanin" w:eastAsia="IRNazanin"/>
          <w:color w:val="111111"/>
          <w:sz w:val="28"/>
          <w:sz w:val="28"/>
          <w:szCs w:val="28"/>
          <w:rtl w:val="true"/>
          <w:lang w:bidi="fa-IR"/>
        </w:rPr>
        <w:t>کینه بودید؟</w:t>
      </w:r>
    </w:p>
    <w:p>
      <w:pPr>
        <w:pStyle w:val="BookText"/>
        <w:rPr/>
      </w:pPr>
      <w:r>
        <w:rPr>
          <w:rFonts w:ascii="IRNazanin" w:hAnsi="IRNazanin" w:eastAsia="IRNazanin"/>
          <w:color w:val="111111"/>
          <w:sz w:val="28"/>
          <w:sz w:val="28"/>
          <w:szCs w:val="28"/>
          <w:rtl w:val="true"/>
          <w:lang w:bidi="fa-IR"/>
        </w:rPr>
        <w:t>سید مرتضی نیز با نگاهی مشابه، خطاب به امت گمراه و قدرنشناس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أعَزّکُم بعدَ الخمولِ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أدناکُمُ مِن أمانٍ بعدَ تبعیدِ؟</w:t>
      </w:r>
    </w:p>
    <w:p>
      <w:pPr>
        <w:pStyle w:val="BookText"/>
        <w:rPr/>
      </w:pPr>
      <w:r>
        <w:rPr>
          <w:rFonts w:ascii="Amiri" w:hAnsi="Amiri" w:eastAsia="Amiri" w:cs="Amiri"/>
          <w:color w:val="111111"/>
          <w:sz w:val="28"/>
          <w:sz w:val="28"/>
          <w:szCs w:val="28"/>
          <w:rtl w:val="true"/>
          <w:lang w:bidi="ar-SA"/>
        </w:rPr>
        <w:t xml:space="preserve">لولاهُمُ کنتم لَحماً لمُزدَرِدٍ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خُلَّهٔ ً لِقصیر الباع مَعضُودِ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سست شدید، چه کسی عزتتان داد وقتی از هم دور شدید چه کسی شما را به هم نزدیک کرد؟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خوراک خورندگان و هم نشین ضعیفان و بی اراده ها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 شیرازی نیز قدرنشناسی کوفیان را مورد عتاب قرار می دهد و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کآرد ز حق پیغام، بهر امّت گمره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امّت کِی بُوَد فرزند کُشتن، مزد پیغامش؟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دورویی</w:t>
      </w:r>
    </w:p>
    <w:p>
      <w:pPr>
        <w:pStyle w:val="BookText"/>
        <w:rPr/>
      </w:pPr>
      <w:r>
        <w:rPr>
          <w:rFonts w:ascii="IRNazanin" w:hAnsi="IRNazanin" w:eastAsia="IRNazanin"/>
          <w:color w:val="111111"/>
          <w:sz w:val="28"/>
          <w:sz w:val="28"/>
          <w:szCs w:val="28"/>
          <w:rtl w:val="true"/>
          <w:lang w:bidi="fa-IR"/>
        </w:rPr>
        <w:t>ویژگی دیگر کوفیان که البته شامل همه نمی شد، بلکه سران، نقشه پردازان و عدۀ خاصی از آن ها را در بر می گرفت، نفاق بود که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یکی از خطراتی است که در هر زمانی می تواند جامعه را دچار بحران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رویارویی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ای از مردم را به نام دین به کربلا کشانده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سعد لشکر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 همان نتیجهٔ نفاق آگاهانه و عالمانۀ سران، و دنباله روی ناآگاهانه و جاهلانۀ عوام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مهیار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عرب عصر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استخدام صنعت استعاره، از نفاق کوفیان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فطاروا له حاملین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بأجنحةٍ غشّها فی الحفیف</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 نفاق به سویش پرواز کردند که زیر آن بال ها مکر و حیله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خان صبا، نهادینه شدن نفاق در وجود سران کوفی و جلوهٔ بیرونی آن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از نفاق چون که سرشت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نهادشان گفتی که نیست نام پیمبر به یادشان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ولایی عصر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ترین جلوهٔ نفاق، یعنی ظاهرسازی را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لاینوه فی المقال و اضمروا قلوباً علی الأحقاد منطویات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الدجیلی،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او نرمی کردند و عداوت را در دل هایی که کینه در آن ها پیچیده بود، پنهان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ناهمانندی ها</w:t>
      </w:r>
    </w:p>
    <w:p>
      <w:pPr>
        <w:pStyle w:val="BookText"/>
        <w:rPr/>
      </w:pPr>
      <w:r>
        <w:rPr>
          <w:rFonts w:ascii="IRNazanin" w:hAnsi="IRNazanin" w:eastAsia="IRNazanin"/>
          <w:color w:val="111111"/>
          <w:sz w:val="28"/>
          <w:sz w:val="28"/>
          <w:szCs w:val="28"/>
          <w:rtl w:val="true"/>
          <w:lang w:bidi="fa-IR"/>
        </w:rPr>
        <w:t>در این بخش، به بررسی ناهمانندی های شاعران عرب عصر عباسی و شاعران فارسی زبان دوره بازگشت ادبی، در باب ویژگی های کوفیان و نقش آن ها در بروز واقعهٔ کربلا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 دورهٔ بازگشت، بیش از شاعران عصر عباسی از آرایه ها و صنایع ادبی همچون استعاره، مراعات نظیر، ایهام، جناس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که این مسأله در اشعار وصال شیرازی بیش از سایر شاعران فارسی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بیان کینه توزی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آغازش در کوفه و ماجرای شهادت مسلم بن عقیل به تصویر کشیده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صنعت ایهام تناسب، چنین بیان می دارد که برای انتقام از خون کافر، خون مسلم را ریختند که همان طور که مشخص است، در اینجا منظور از مسلم، هم شخص مسلم بن عقیل است و هم به معنای مسلمان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 خون کافر، خون مسلم شد شگفتی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 های ناسور اُحُد در کوفه مرهم 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 چقدر ظریف به این نکته اشاره می کند که وفای کوفیان، بیش از جفای بنی امیه، جان اهل بیت پیامبر را سوزاند؛ زیرا حقد و کینهٔ بنی امیه بارز و مشهود بود اما کوفیانی که ابتدا دست یاری برابر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کرده بودند، به ناگاه عهد خود را شکستند و بزرگ ترین درد را بر اهل بیت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ز دلنوازیِ ایشان جگر گداخت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از جفا نکشید، از وفا کشید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بیت، وصال از جناس ناقص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اینکه می تواند در اینجا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اما واژه ای را به کار می برد که بتواند منظور خود را از طریق هم نشینی کلمات و قرابت موسیقایی این دواژه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بیت دیگری، وصال شیرازی با استفاده از مراعات نظیری که در 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دنیاطلبی شخصیت عمر بن سعد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فرات بست بر اولاد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نان ری، پسر سعد شوم بخت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خان صبا نیز شمشیر کوفیان را به داس تشبیه می کند که گل های باغ رسالت را 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داس کوفیانِ جفاپیشه شد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نبی ز لاله و شمشاد و یاسمین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تفاوت ها این است که در اشعار شاعران عرب، تعابیری دیده می شود که دارای بار معنایی منحصربه فردی هستند؛ به عبارت دیگر از واژه هایی استفاده شده است که به شعر و مقصود شاعر، عمق بخشیده است و فهم آن را نیازمند دقت نظر بیشتری کرده است و مشخص است که شاعر در بیان این تعابیر، هدفی را دنبال کرده و به کلمه کلمهٔ شعر خود دقت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دقیق این مطلب، نمونه هایی را ذکر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مرتضی در باب بی وفایی و بدعهدی کوفیان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أمن بعد أن أعطیتموه عهودکم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خفافاً إلی تلک العهود عجولا</w:t>
      </w:r>
    </w:p>
    <w:p>
      <w:pPr>
        <w:pStyle w:val="BookText"/>
        <w:rPr/>
      </w:pPr>
      <w:r>
        <w:rPr>
          <w:rFonts w:ascii="IRNazanin" w:hAnsi="IRNazanin" w:eastAsia="IRNazanin"/>
          <w:color w:val="111111"/>
          <w:sz w:val="28"/>
          <w:sz w:val="28"/>
          <w:szCs w:val="28"/>
          <w:rtl w:val="true"/>
          <w:lang w:bidi="fa-IR"/>
        </w:rPr>
        <w:t xml:space="preserve">رجعتم عن القصد المبین تناکصاً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حُلتم عن الحق المنیر حؤولا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خود را استوار کردید اما پس از آن، به عهد خود پشت نمودید و از راه حق، کناره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بیت دوم، از پیمان بستن با امام،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سید مرتضی،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با او را همچون راه روشن و خورشید تابانی می 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تناکُص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روی گرداندن از او، آسیبی به این خورشید وارد نمی کند، بلکه ضرر و زیان آن را، خودِ روی گردانان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اینجا در عینِ اینکه از بی وفایی کوفیان می گوید، می خواهد مقام و مرتبت امام را نیز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حمّاد عبدی اشاره به نامه نگاری کوفیان به امام دارد و بیان می دارد که در آن نامه ها حقد و کینهٔ خود را پنهان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کانوا خداعاً کاتبوه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بکتبٍ شرحها عجب عجیب</w:t>
      </w:r>
    </w:p>
    <w:p>
      <w:pPr>
        <w:pStyle w:val="BookText"/>
        <w:rPr/>
      </w:pPr>
      <w:r>
        <w:rPr>
          <w:rFonts w:ascii="IRNazanin" w:hAnsi="IRNazanin" w:eastAsia="IRNazanin"/>
          <w:color w:val="111111"/>
          <w:sz w:val="28"/>
          <w:sz w:val="28"/>
          <w:szCs w:val="28"/>
          <w:rtl w:val="true"/>
          <w:lang w:bidi="fa-IR"/>
        </w:rPr>
        <w:t xml:space="preserve">ولکن أضمروا بغضاً و حقداً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الصدور لها لهیب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خدعه و نیرنگ، نامه نوشتند اما آتش بغض و کینه ای را که در سینه داشتند پنهان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نظر در کلمات به کاررفته در بیت دوم، مشاهده می شود که شاعر از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ضغائن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ضغینة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که با وجود اینکه هر سه واژه، معنای واحدی دارند اما داری قلّت و شدّت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یک امر نفسانی و درونی است که انجام کار دشمنانه، شرط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ممکن است فردی نسبت به فرد دیگر در درون، بغض و کینه داشته باشد اما درصدد ضربه زدن به آن فرد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به کینه ای گفته می شود که فرد، منتظر فرصتی برای انتقام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ضغائن نیز به معنای کینه های ریشه دار و عمیق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p>
    <w:p>
      <w:pPr>
        <w:pStyle w:val="BookText"/>
        <w:rPr/>
      </w:pPr>
      <w:r>
        <w:rPr>
          <w:rFonts w:ascii="IRNazanin" w:hAnsi="IRNazanin" w:eastAsia="IRNazanin"/>
          <w:color w:val="111111"/>
          <w:sz w:val="28"/>
          <w:sz w:val="28"/>
          <w:szCs w:val="28"/>
          <w:rtl w:val="true"/>
          <w:lang w:bidi="fa-IR"/>
        </w:rPr>
        <w:t xml:space="preserve">زیات و دیگران،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شاعر با به کارگیری انواع کلماتی که بر معنای کینه دلالت می کند، می خواهد شدت کینهٔ این گروه،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تعدّد واژگان برای بیان یک معنای واحد، نشان دهندهٔ قوّت وجود آن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نیز در قصیده معروف خود که به ألِفیه مشهور است،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حَمَلوا رأساً یصلّون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الأکرم طوعاً و إبا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را به نیزه زدند که – چه با اشتیاق چه با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جدش صلوات می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بیت، سید رضی به نکتهٔ قابل تأملی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به کار بردن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و إبا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اگرچه این ها امّت پیامبر بودند اما برخی از اینان از همان ابتدا، گمراه بودند و با اکراه و اجبار، اسلام را پذیرفتند واقعۀ کربلا موجب شد این گروه چهرهٔ واقعی خود را نشان دهند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عصر عباسی با زبانی تند و صریح از رذایل کوفیان سروده اند؛ درحالی که شاعران دورهٔ بازگشت، بیشتر با تعریض و کنایه سخن گفته اند و چه بسا زبان تعریض و بیان کنایی، تأثیرگذارتر و دل چسب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علی بن احمد جرجانی دربارۀ روز محشر و خطاب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ظالمان اموی چنین با زبان تند و صریح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یا أمة حَفَّ الضلال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فاستَبدَلَت لِلعَمی کُفراً بِإیمان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دور گمراهی و ضلالت جمع شدید و از سرِ کوری و نابینایی، کفر را به ایمان بدل کردید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صباحی بیدگلی با کنایه و تعریض اشاره دارد به اینکه کوفیانی که دم از وفا می زدند، آن قدر بی حیا شدند که از کردهٔ خود پشیمان نبودند و حتی هنوز هم دم از دین و دیانت می زدند</w:t>
      </w:r>
      <w:r>
        <w:rPr>
          <w:rFonts w:eastAsia="IRNazanin" w:cs="IRNazanin"/>
          <w:color w:val="111111"/>
          <w:sz w:val="28"/>
          <w:szCs w:val="28"/>
          <w:rtl w:val="true"/>
          <w:lang w:bidi="fa-IR"/>
        </w:rPr>
        <w:t xml:space="preserve">: </w:t>
      </w:r>
      <w:bookmarkStart w:id="208" w:name="pg8975_113964"/>
    </w:p>
    <w:p>
      <w:pPr>
        <w:pStyle w:val="BookText"/>
        <w:rPr/>
      </w:pPr>
      <w:bookmarkEnd w:id="208"/>
      <w:r>
        <w:rPr>
          <w:rFonts w:ascii="IRNazanin" w:hAnsi="IRNazanin" w:eastAsia="IRNazanin"/>
          <w:color w:val="111111"/>
          <w:sz w:val="28"/>
          <w:sz w:val="28"/>
          <w:szCs w:val="28"/>
          <w:rtl w:val="true"/>
          <w:lang w:bidi="fa-IR"/>
        </w:rPr>
        <w:t xml:space="preserve">با این جفا نی اند پشیمان، وفا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خطا زنند دم از دین، حیا ببین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صباحی بیدگلی،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خان صبا نیز با چنین بیانی به نمک نشناسی و حرمت شکنی کوفیان اشاره دارد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دادند اجر و مزد نبی را به تیغ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خوش تلافی احسان مصطفی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می شود که شاعر، با بیان طعنه آمیز و کنایی به حرمت نشناسی کوفیان اشاره دارد و 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خوب نیکی پیامبر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تعریض دربارۀ رفتار کوفیان سخن می گوید</w:t>
      </w:r>
      <w:r>
        <w:rPr>
          <w:rFonts w:eastAsia="IRNazanin" w:cs="IRNazanin"/>
          <w:color w:val="111111"/>
          <w:sz w:val="28"/>
          <w:szCs w:val="28"/>
          <w:rtl w:val="true"/>
          <w:lang w:bidi="fa-IR"/>
        </w:rPr>
        <w:t>.</w:t>
      </w:r>
    </w:p>
    <w:p>
      <w:pPr>
        <w:pStyle w:val="Heading3"/>
        <w:numPr>
          <w:ilvl w:val="2"/>
          <w:numId w:val="1"/>
        </w:numPr>
        <w:rPr/>
      </w:pPr>
      <w:bookmarkStart w:id="209" w:name="__RefHeading___Toc1744284_2870459653"/>
      <w:bookmarkStart w:id="210" w:name="_Toc78"/>
      <w:bookmarkEnd w:id="209"/>
      <w:r>
        <w:rPr>
          <w:rtl w:val="true"/>
        </w:rPr>
        <w:t>نتیجه گیری</w:t>
      </w:r>
      <w:bookmarkEnd w:id="210"/>
    </w:p>
    <w:p>
      <w:pPr>
        <w:pStyle w:val="BookText"/>
        <w:rPr/>
      </w:pPr>
      <w:r>
        <w:rPr>
          <w:rFonts w:ascii="IRNazanin" w:hAnsi="IRNazanin" w:eastAsia="IRNazanin"/>
          <w:color w:val="111111"/>
          <w:sz w:val="28"/>
          <w:sz w:val="28"/>
          <w:szCs w:val="28"/>
          <w:rtl w:val="true"/>
          <w:lang w:bidi="fa-IR"/>
        </w:rPr>
        <w:t>شاعران عصر عباسی و دورهٔ بازگشت ادبی، همواره در اشعار خود به مذمّت اهل کوفه پرداخته اند و با صفات رذیله و تعابیر طعنه آمیز از آن ها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کوفیان را مردمی دنیاپرست، سست پیمان و فریبکار معرفی کرده اند و از نفاق این گروه و کینه توزی ها و بی وفایی های آن ها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وجوه مشترک شعر دو دورهٔ عباسی و بازگشت ادبی، آن است که هر دو، کوفیان را از عوامل اصلی شکل گیری واقعۀ عاشورا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هر دو دوره، با ذمّ ویژگی های کوفیان، درواقع به ذمّ تفکر اموی و عثمانی و دفاع از تفکر حسینی و عاشورایی پرداختند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تفاوت های شعر این دو دوره نیز می توان به این نکته اشاره کرد که فارسی زبانان دورهٔ بازگشت، بیش از شاعران عصر عباسی از آرایه ها و صنایع ادبی همچون استعاره، مراعات نظیر، ایهام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تفاوت ها این است که در اشعار شاعران عرب، تعابیر خاصی دیده می شود و مشخص است که آن ها در بیان این تعابیر، هدفی را دنبال کرده اند و به کلمه کلمهٔ شعر خود دقت داشته اند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زبانان عصر عباسی با زبانی تند و صریح از رذایل کوفیان سروده اند؛ درحالی که شاعران دورهٔ بازگشت، بیشتر با تعریض و کنایه سخن گفته اند و البته چه بسا زبان تعریض و بیان طعنه آمیز، تأثیرگذارتر و دل چسب تر باشد</w:t>
      </w:r>
      <w:r>
        <w:rPr>
          <w:rFonts w:eastAsia="IRNazanin" w:cs="IRNazanin"/>
          <w:color w:val="111111"/>
          <w:sz w:val="28"/>
          <w:szCs w:val="28"/>
          <w:rtl w:val="true"/>
          <w:lang w:bidi="fa-IR"/>
        </w:rPr>
        <w:t xml:space="preserve">. </w:t>
      </w:r>
      <w:bookmarkStart w:id="211" w:name="pg8975_113966"/>
    </w:p>
    <w:p>
      <w:pPr>
        <w:pStyle w:val="Heading3"/>
        <w:numPr>
          <w:ilvl w:val="2"/>
          <w:numId w:val="1"/>
        </w:numPr>
        <w:rPr/>
      </w:pPr>
      <w:bookmarkStart w:id="212" w:name="__RefHeading___Toc1744286_2870459653"/>
      <w:bookmarkStart w:id="213" w:name="_Toc79"/>
      <w:bookmarkEnd w:id="211"/>
      <w:bookmarkEnd w:id="212"/>
      <w:r>
        <w:rPr>
          <w:rtl w:val="true"/>
        </w:rPr>
        <w:t>منابع</w:t>
      </w:r>
      <w:r>
        <w:rPr>
          <w:rtl w:val="true"/>
        </w:rPr>
        <w:t>:</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اسماعیل</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شعر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سخن؛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آرین پور، یحیی</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 تا نیما،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زوّار، چاپ</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 ثالث، مهدی</w:t>
      </w:r>
      <w:r>
        <w:rPr>
          <w:rFonts w:eastAsia="IRNazanin" w:cs="IRNazanin"/>
          <w:color w:val="111111"/>
          <w:sz w:val="28"/>
          <w:szCs w:val="28"/>
          <w:rtl w:val="true"/>
          <w:lang w:bidi="fa-IR"/>
        </w:rPr>
        <w:t>.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نیما مردی بود مردستان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اندیشه و هنر،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افتخاریان دامغانی، سیدجواد</w:t>
      </w:r>
      <w:r>
        <w:rPr>
          <w:rFonts w:eastAsia="IRNazanin" w:cs="IRNazanin"/>
          <w:color w:val="111111"/>
          <w:sz w:val="28"/>
          <w:szCs w:val="28"/>
          <w:rtl w:val="true"/>
          <w:lang w:bidi="fa-IR"/>
        </w:rPr>
        <w:t>.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آزادگی،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جاویدان؛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جامع سیدالشهدا،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حبیبی، فاطمه</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تحولات تاریخی دوران امام علی و حسنین،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زیات و دیگران</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الوسیط،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پروهان؛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 احمد</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نظم و نثر دورهٔ بازگشت ادبی،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پایا، 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دجیلی، عمران</w:t>
      </w:r>
      <w:r>
        <w:rPr>
          <w:rFonts w:eastAsia="IRNazanin" w:cs="IRNazanin"/>
          <w:color w:val="111111"/>
          <w:sz w:val="28"/>
          <w:szCs w:val="28"/>
          <w:rtl w:val="true"/>
          <w:lang w:bidi="fa-IR"/>
        </w:rPr>
        <w:t>.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دعبل خزاعی،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اللبنانیة، الطبعة الثالثة؛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مهیار</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مهیار الدیلمی،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المصریه،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الحمدانی، أبوفراس</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أبوفراس الحمدانی، شرح دکتر خلیل الدویهی،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 الطبعة الرابعة؛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فراهانی، ادیب الممالک</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ادیب الممالک فراهانی، به تصحیح وحید دستگردی،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فروغی؛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رضی، شریف</w:t>
      </w:r>
      <w:r>
        <w:rPr>
          <w:rFonts w:eastAsia="IRNazanin" w:cs="IRNazanin"/>
          <w:color w:val="111111"/>
          <w:sz w:val="28"/>
          <w:szCs w:val="28"/>
          <w:rtl w:val="true"/>
          <w:lang w:bidi="fa-IR"/>
        </w:rPr>
        <w:t>.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الشریف الرضی،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 کوب، عبدالحسین</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ادبی،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 چاپ</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جواد</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 أو شعراءالحسین،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 کدکنی، محمدرضا</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شعر فارسی از مشروطیت تا سقوط سلطنت،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سخن، چاپ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محمدمهدی</w:t>
      </w:r>
      <w:r>
        <w:rPr>
          <w:rFonts w:eastAsia="IRNazanin" w:cs="IRNazanin"/>
          <w:color w:val="111111"/>
          <w:sz w:val="28"/>
          <w:szCs w:val="28"/>
          <w:rtl w:val="true"/>
          <w:lang w:bidi="fa-IR"/>
        </w:rPr>
        <w:t>.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کربلا فی وجدان الشعبیة، دارالکتاب الإسلامیة، الطبعة الثانیة؛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صباحی بیدگلی، سلیمان</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صباحی بیدگلی،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مسعودی آرانی،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ابوجعفر محمدبن جریر</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 الملوک،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روائع التراث الإسلامیة؛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محمدبن حسن بن علی</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 عبده</w:t>
      </w:r>
      <w:r>
        <w:rPr>
          <w:rFonts w:eastAsia="IRNazanin" w:cs="IRNazanin"/>
          <w:color w:val="111111"/>
          <w:sz w:val="28"/>
          <w:szCs w:val="28"/>
          <w:rtl w:val="true"/>
          <w:lang w:bidi="fa-IR"/>
        </w:rPr>
        <w:t>.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المقارن مشکلات وآفاق،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الکتاب العرب؛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العشاش، الطیب</w:t>
      </w:r>
      <w:r>
        <w:rPr>
          <w:rFonts w:eastAsia="IRNazanin" w:cs="IRNazanin"/>
          <w:color w:val="111111"/>
          <w:sz w:val="28"/>
          <w:szCs w:val="28"/>
          <w:rtl w:val="true"/>
          <w:lang w:bidi="fa-IR"/>
        </w:rPr>
        <w:t>.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منصور النمری،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الطباعة؛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علوش، سعید</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الأدب المقارن،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الثقافی العربی؛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محجوب، محمدجعفر</w:t>
      </w:r>
      <w:r>
        <w:rPr>
          <w:rFonts w:eastAsia="IRNazanin" w:cs="IRNazanin"/>
          <w:color w:val="111111"/>
          <w:sz w:val="28"/>
          <w:szCs w:val="28"/>
          <w:rtl w:val="true"/>
          <w:lang w:bidi="fa-IR"/>
        </w:rPr>
        <w:t>.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سروش اصفهانی،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شریف</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شریف مرتضی، شرح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التونجی،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کلمات القران الکریم،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آثار علامه مصطفوی، چاپ</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ابوعبدالله محمدبن محمدبن نعمان العکبری</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معرفه حجج الله علی العباد،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قم، المؤتمر العالمی لألفیه الشیخ المفید؛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ابوعبدالله محمدبن محمدبن نعمان العکبری</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مفید، ترجمهٔ سید علیرضا جعفری،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نبوغ، چاپ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مؤتمن، زین العابدین</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شعر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طهوری؛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پناه، محمدرضا</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تفکر عثمانی درواقعه کربلا،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 چاپ دوم؛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یزدی، عباس</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دیوان وصال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دانشجو</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8975_113970"/>
      <w:bookmarkStart w:id="215" w:name="pg8975_113970"/>
      <w:bookmarkEnd w:id="215"/>
    </w:p>
    <w:p>
      <w:pPr>
        <w:pStyle w:val="Heading2"/>
        <w:numPr>
          <w:ilvl w:val="1"/>
          <w:numId w:val="1"/>
        </w:numPr>
        <w:rPr/>
      </w:pPr>
      <w:bookmarkStart w:id="216" w:name="pg8975_113970"/>
      <w:bookmarkStart w:id="217" w:name="__RefHeading___Toc1744288_2870459653"/>
      <w:bookmarkStart w:id="218" w:name="_Toc80"/>
      <w:bookmarkEnd w:id="216"/>
      <w:bookmarkEnd w:id="217"/>
      <w:r>
        <w:rPr>
          <w:rtl w:val="true"/>
        </w:rPr>
        <w:t>نکته هایی از معارف حسینی</w:t>
      </w:r>
      <w:bookmarkEnd w:id="218"/>
    </w:p>
    <w:p>
      <w:pPr>
        <w:pStyle w:val="Heading3"/>
        <w:numPr>
          <w:ilvl w:val="2"/>
          <w:numId w:val="1"/>
        </w:numPr>
        <w:rPr/>
      </w:pPr>
      <w:bookmarkStart w:id="219" w:name="__RefHeading___Toc1744290_2870459653"/>
      <w:bookmarkStart w:id="220" w:name="_Toc81"/>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درباره 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در دهه اول ذی حجه، باید دو نکته تاریخی و فقهی را بررسی کرد</w:t>
      </w:r>
      <w:r>
        <w:rPr>
          <w:rFonts w:eastAsia="IRNazanin" w:cs="IRNazanin"/>
          <w:color w:val="111111"/>
          <w:sz w:val="28"/>
          <w:szCs w:val="28"/>
          <w:rtl w:val="true"/>
          <w:lang w:bidi="fa-IR"/>
        </w:rPr>
        <w:t>:</w:t>
      </w:r>
    </w:p>
    <w:p>
      <w:pPr>
        <w:pStyle w:val="Heading3"/>
        <w:numPr>
          <w:ilvl w:val="2"/>
          <w:numId w:val="1"/>
        </w:numPr>
        <w:rPr/>
      </w:pPr>
      <w:bookmarkStart w:id="221" w:name="__RefHeading___Toc1744292_2870459653"/>
      <w:bookmarkStart w:id="222" w:name="_Toc82"/>
      <w:bookmarkEnd w:id="221"/>
      <w:r>
        <w:rPr/>
        <w:t>1</w:t>
      </w:r>
      <w:r>
        <w:rPr>
          <w:rtl w:val="true"/>
        </w:rPr>
        <w:t xml:space="preserve">. </w:t>
      </w:r>
      <w:r>
        <w:rPr>
          <w:rtl w:val="true"/>
        </w:rPr>
        <w:t>نکته تاریخی</w:t>
      </w:r>
      <w:bookmarkEnd w:id="222"/>
    </w:p>
    <w:p>
      <w:pPr>
        <w:pStyle w:val="BookText"/>
        <w:rPr/>
      </w:pPr>
      <w:r>
        <w:rPr>
          <w:rFonts w:ascii="IRNazanin" w:hAnsi="IRNazanin" w:eastAsia="IRNazanin"/>
          <w:color w:val="111111"/>
          <w:sz w:val="28"/>
          <w:sz w:val="28"/>
          <w:szCs w:val="28"/>
          <w:rtl w:val="true"/>
          <w:lang w:bidi="fa-IR"/>
        </w:rPr>
        <w:t xml:space="preserve">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اول ذی حجه، از مکه خارج شده، ظاهرا مورد اتفاق مورخان است؛ اما درباره روز خروج ایشان،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روز خروج را سوم، برخی هفتم، برخی هشتم و برخی نهم ذی حجه گزارش کرده اند؛ ولی قول مشهور و درست تر،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ترویه؛ یعنی هشتم ذی حجه، از مکه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صحیحی که معاویه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نیز این نظر را تأیید می کند</w:t>
      </w:r>
      <w:r>
        <w:rPr>
          <w:rFonts w:eastAsia="IRNazanin" w:cs="IRNazanin"/>
          <w:color w:val="111111"/>
          <w:sz w:val="28"/>
          <w:szCs w:val="28"/>
          <w:rtl w:val="true"/>
          <w:lang w:bidi="fa-IR"/>
        </w:rPr>
        <w:t>.</w:t>
      </w:r>
    </w:p>
    <w:p>
      <w:pPr>
        <w:pStyle w:val="Heading3"/>
        <w:numPr>
          <w:ilvl w:val="2"/>
          <w:numId w:val="1"/>
        </w:numPr>
        <w:rPr/>
      </w:pPr>
      <w:bookmarkStart w:id="223" w:name="__RefHeading___Toc1744294_2870459653"/>
      <w:bookmarkStart w:id="224" w:name="_Toc83"/>
      <w:bookmarkEnd w:id="223"/>
      <w:r>
        <w:rPr/>
        <w:t>2</w:t>
      </w:r>
      <w:r>
        <w:rPr>
          <w:rtl w:val="true"/>
        </w:rPr>
        <w:t xml:space="preserve">. </w:t>
      </w:r>
      <w:r>
        <w:rPr>
          <w:rtl w:val="true"/>
        </w:rPr>
        <w:t>نکته فقهی</w:t>
      </w:r>
      <w:bookmarkEnd w:id="22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یافته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ترویه، حج خود را به عمره تبدیل کرد و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مبدأ اصلی این شهرت، سخن شماری از مقتل نگاران و سیره نویسان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علامه مجلسی در تبیین علت رفتن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مکه و خروج از </w:t>
      </w:r>
    </w:p>
    <w:p>
      <w:pPr>
        <w:pStyle w:val="BookText"/>
        <w:rPr/>
      </w:pPr>
      <w:r>
        <w:rPr>
          <w:rFonts w:ascii="IRNazanin" w:hAnsi="IRNazanin" w:eastAsia="IRNazanin"/>
          <w:color w:val="111111"/>
          <w:sz w:val="28"/>
          <w:sz w:val="28"/>
          <w:szCs w:val="28"/>
          <w:rtl w:val="true"/>
          <w:lang w:bidi="fa-IR"/>
        </w:rPr>
        <w:t>مکه در موسم حج،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خبرهای گذشته، برایت روشن شد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کشته شدن، از مدینه به مکه گریخت و همین طور، پس از آن که دریافت آنها می خواهند غافلگیرانه او را بکشند، از مکه هم رفت تا جایی که برایش فراهم نشد که حجش را به پایان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من و پدر و مادر و فرزندانم، فدای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احرام، خارج شد و نگران و چشم انتظار، از مکه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خدا لعنتشان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ی مناطق را بر او تنگ کردند و جایی برای گریز او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معتبری دیدم که یزید، عمرو بن سعید بن عاص را با سپاهی عظیم، راهی کرد و او را مسئول حج قرار داد و امیر حج گزاران کرد، در حالی که به او سفارش کرده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پنهانی دستگیر کند و اگر نشد، ترور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سعید، سی تن از امویان شیطان صفت را در لابلای حج گزاران فرستاد و دستور دادکه در هر حال و وضعیتی که ممکن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متوجه ماجرا شد، از احرام حج، بیرون آمد و عمره تمتع را به عمره مفرده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قابل قبول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روایت معاویه بن عمار و نیز روایت ابراهیم بن عمیر یمانی – که از نظر سند معتبرند – به روشنی دلالت دارند که عمره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بوده، نه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مکه، اساسا محرم نبوده و از این جهت، مشکلی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معاویه بن عمار، این است که وی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کسی که عمره تمتع انجام دهد، با عمره گزار مفرده چیست؟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المتمتع مرتبط بالحج، و المعتمر اذا فرغ منها ذهب حیث شاء ، و قد اعتمر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الحجه ثمّ راح یوم الترویه الی العراق ، و النّاس یروحون الی منی، و لا باس بالعمره فی ذی الحجه لمن لا یرید الحج</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به حج، متصل می شود؛ اما عمره گزار مفرده، وقتی فارغ شد هر جا که بخواهد،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حجه، عمره مفرده گزارد و در روز ترویه، عازم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عازم منا بودند، و </w:t>
      </w:r>
    </w:p>
    <w:p>
      <w:pPr>
        <w:pStyle w:val="BookText"/>
        <w:rPr/>
      </w:pPr>
      <w:r>
        <w:rPr>
          <w:rFonts w:ascii="IRNazanin" w:hAnsi="IRNazanin" w:eastAsia="IRNazanin"/>
          <w:color w:val="111111"/>
          <w:sz w:val="28"/>
          <w:sz w:val="28"/>
          <w:szCs w:val="28"/>
          <w:rtl w:val="true"/>
          <w:lang w:bidi="fa-IR"/>
        </w:rPr>
        <w:t>اشکالی ندارد که کسی که قصد حج دارد، در ماه ذی حجه، عمره مفرده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نظر فقهی، تبدیل احرام حج به عمره، صحیح نیست و کسی که محرم به احرام حج است، اگر نتواند حجش را به انجام برساند، تنها با قربانی کردن، از احرام بیرون می آید و حج او تبدیل به عمره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بزرگوار آیت الله سید محسن حکیم، در این باره می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برخی از کتابهای مقتل آمده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اش را به عمره مفرده تبدیل کرد – که نشان می دهد ایشان، عمره تمتع به جا آورده بوده و از آن، به عمره مفرده عدول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احادیث وارد شده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اعتماد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که اگر دلیل قابل اعتمادی وجود داشت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خود را به عمره تبدیل کرده است، فقها بر خلاف آن، فتوا نمی دادند؛ اما همان طور که اشاره شد، نه تنها دلیلی بر این نکته وجود ندارد، بلکه دلایلی بر خلاف آن نیز در دست است</w:t>
      </w:r>
      <w:r>
        <w:rPr>
          <w:rFonts w:eastAsia="IRNazanin" w:cs="IRNazanin"/>
          <w:color w:val="111111"/>
          <w:sz w:val="28"/>
          <w:szCs w:val="28"/>
          <w:rtl w:val="true"/>
          <w:lang w:bidi="fa-IR"/>
        </w:rPr>
        <w:t xml:space="preserve">. </w:t>
      </w:r>
      <w:bookmarkStart w:id="225" w:name="pg8975_113973"/>
    </w:p>
    <w:p>
      <w:pPr>
        <w:pStyle w:val="Heading2"/>
        <w:numPr>
          <w:ilvl w:val="1"/>
          <w:numId w:val="1"/>
        </w:numPr>
        <w:rPr/>
      </w:pPr>
      <w:bookmarkStart w:id="226" w:name="__RefHeading___Toc1744296_2870459653"/>
      <w:bookmarkStart w:id="227" w:name="_Toc84"/>
      <w:bookmarkEnd w:id="225"/>
      <w:bookmarkEnd w:id="226"/>
      <w:r>
        <w:rPr>
          <w:rtl w:val="true"/>
        </w:rPr>
        <w:t xml:space="preserve">نکته </w:t>
      </w:r>
      <w:r>
        <w:rPr/>
        <w:t>2</w:t>
      </w:r>
      <w:r>
        <w:rPr>
          <w:rtl w:val="true"/>
        </w:rPr>
        <w:t xml:space="preserve"> .</w:t>
      </w:r>
      <w:r>
        <w:rPr>
          <w:rtl w:val="true"/>
        </w:rPr>
        <w:t>کربلا چشم اندازی ساختار شناسانه</w:t>
      </w:r>
      <w:bookmarkEnd w:id="227"/>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چشم اندازی ساختار شناسانه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گستره جهان اسلام خواه از دید جغرافیایی و خواه از دید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کمتر مکانی را می توان یافت که از ویژگیهای کربلا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نظر دینی که عامل بسیار مهمی در هویت کربلا است، بلکه از نگاه تاریخ ادیان و تکامل شعائر دینی هم، کمتر جایی در دیگر ادیان و مذاهب از هویت و اصالت بسیار بالای کربلا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پس از مکه مکرمه و مدینه منوره کربلا، مشهورترین مکان زیارتی جهان اسلام و بلکه کل جهان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واقعه کربلا شواهد باستان شناسی و نیز روایاتی که مؤید این شواهد است، همگی عنصر قداست شهر کربلا را پر رنگ تر می کند از دیدگاه ریشه شناسی، معنای واژگانی نام کربلا در زبان آرامی بی ن النهری ن معادل قرب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 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همین پدیده دال بر این میکند که منطقه کربلا قرنها پیش از واقعه کربلا و در نزد سکنه اولیه آن منطقه از صبغه دینی و احترام ویژه ای برخوردار بود افزون براین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 ف كامل الزی ارات نقل شده است که خداوند سرزمین کربلا را هزار سال پیش از مکه مکرمه خلق کرد و این که خداوند به کعبه معظمه اجازه فخر فروشی نسبت به کربلا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درباره اماکن مقدس و پدیده مناسک دینی معلوم می شود که اماکنی که مقدس تلقی می شوند دارای دست کم یک هسته مرکزی هستند، که بنای مقدس برگرد آن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نگاه ساختار شناسانه مؤید این نکته است که هر ساختاری از اجزائی تشکیل شده است که با ترتیب و چینش خاصی در کنار یکدیگر قرار گرفته و نقش واحدی را به صورت یک کل ایفا می 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دقیق تر به شهر کربلا عناصر شاخص و مهمی در آن جا قابل توجه هستند که </w:t>
      </w:r>
    </w:p>
    <w:p>
      <w:pPr>
        <w:pStyle w:val="BookText"/>
        <w:rPr/>
      </w:pPr>
      <w:r>
        <w:rPr>
          <w:rFonts w:ascii="IRNazanin" w:hAnsi="IRNazanin" w:eastAsia="IRNazanin"/>
          <w:color w:val="111111"/>
          <w:sz w:val="28"/>
          <w:sz w:val="28"/>
          <w:szCs w:val="28"/>
          <w:rtl w:val="true"/>
          <w:lang w:bidi="fa-IR"/>
        </w:rPr>
        <w:t xml:space="preserve">عبارتند از حرم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تل زینبیه خیمه گاه مقبره حربن یزید ریاحی و دیگر پدیده هایی که همگی دارای عنصر معنوی قداست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از لحاظ ساختاری، همه این بناها و اماکن مقدسه دارای دست کم دو جزء اصلی بوده که یکی محور یا مرکز قداست می باشد و دیگری بنایی است که برگرد آن شکل گرفته است براین اساس حرم مطهر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هسته مرکزی است که قبر شریف آن حضرت است و مابقی اعم از ضریح مطهر، رواق ها، مساجد، صحن ها، حجره ها، گنبد و مناره ها همگی برگرد آن پیکر مبارک بنا شده و شکل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آنچه در مورد حرم مطهر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درباره حرم جناب حرهم صادق است بنابراین آنچه به مقبره حر قداست بخشیده است، پیکر آن شهی د والا مقام بعنوان هسته مرکزی نقطه قداست می باشد که آن مکان را شایسته زیارت و تکریم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این بحث نتیجه میشود این است که در ساختار مکان زیارتی وجود یک نقطه مرکزی یا اصلی برخوردار از قداست شرط لازم است این نقطه مرکزی بصورت های گوناگون ، اعم از ضریح، محراب و یا جایگاه در اصطلاح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نگه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،بقعه حرم و سایر بناها در گرداگرد این مرکز برخوردار از قداست شکل گرفته و گسترده تر می تواند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ساختار در مورد حرم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اماکن دینی در کربلا تفاوت هایی دارد آنچه در حرم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 تعدد مراکز یا نقاط اصلی برخوردار از قداست میباشد که البته سلسله مراتبی هم در آنها قابل تشخیص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نقطه مرکزی یا اصلی برخوردار از قداست در درون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آن حضرت است که در بردارنده پیکر شریف و مطهر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پای مبارک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آداب ماثور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قبرهای این دو بزرگوار اندکی از یکدیگر فاصله داشته ولی بعدها هر دو در درون یک صندوق و ضریح جاسازی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قبرهای این دو شهید بزرگوار، محدوده حائر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که در روایات به صورتهای گوناگونی گفته شده است و در اصطلاح فقهی، محدوده حدود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قبر شریف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 حائر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محدوده حائر مقدس حسینی مکان بعدی قتلگاه آن حضرت است که در فاصله تقریبا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قبر شریف و در جهت جنوب غربی ضریح مطهر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قتلگاه که در داخل بنای قدیمی حرم مطهر و تقریبا در پایین مناره سمت راست با فرض ایستادن رو به قبله از سمت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قرار دارد دارای دو پنجره به سمت صحن شریف است یکی از سمت قبله و دیگری از سمت غرب، که دیدن داخل آن را برای زائران از بیرون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فقط از داخل حرم امکان ورود به اندرون آن امکان 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دو نقطه که به طور خاص با محوریت و مرکزیت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 السلام مطرح و مشخص هستند نوبت به اتاقکی می رسد که در ضلع جنوبی پایین ضریح مطهر قرار گرفته و به مزار دسته جمعی تعداد فراوانی از شهدای روز عاشورا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حرم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مکان دیگر هم هست که مورد توجه و زیارت زائران میباشد یکی صندوقی است که تقریبا در فاصله میان ضریح مطهر تا قتلگاه بوده و بنای یادبود شهی د عاشورا حبیب بن مظاهر الاسدی است و دیگری که در ضلع شمال غربی ضریح مطهر قرار دارد قبر شریف ابراهی م المجاب از اولاد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نقاط زیارتی میتوان از کل بنای حرم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یاد کرد که احترام و قداست دینی آن به سبب وجود نقاط مقدس فوق الذكر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حرم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روضه منوره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 رشید حضرت علی علیه السلام هم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مرکزی در </w:t>
      </w:r>
    </w:p>
    <w:p>
      <w:pPr>
        <w:pStyle w:val="BookText"/>
        <w:rPr/>
      </w:pPr>
      <w:r>
        <w:rPr>
          <w:rFonts w:ascii="IRNazanin" w:hAnsi="IRNazanin" w:eastAsia="IRNazanin"/>
          <w:color w:val="111111"/>
          <w:sz w:val="28"/>
          <w:sz w:val="28"/>
          <w:szCs w:val="28"/>
          <w:rtl w:val="true"/>
          <w:lang w:bidi="fa-IR"/>
        </w:rPr>
        <w:t xml:space="preserve">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پیکر مطهر آن بزرگوار است که ضریحی با شکوه بر گرداگرد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حرم شریف آن حضرت، قبری از شهید دیگری از شهدای روز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،نبوده اما در بیرون از ساختمان حرم و در ضلع جنوب شرقی آن، دو نماد بعنوان جای قطع شدن دستان آن بزرگوار موجود است که ره گذران در آنجا توقف کرده و سلام می دهند البته این دو مکان یادبود از نظر تعداد زائر اصلا قابل قیاس با قبر شریف و ضریح آن حضرت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 اماکن دیگری هم وجود دارد که به سبب ارتباط تاریخی شان با واقعه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زائران را به خود جلب میکنند در سمت جنوب غربی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در آن سوی خیابانی که از کنار حرم می گذرد تل زینبیه قرار دارد که مکانی مرتفع بوده و در داخل آن زیارتنامه ای مختصر برای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زینبیه فاقد قبر است و فقط بدلیل اینکه مکانی مرتفع بود که امکان نگاه کردن به صحنه میدان نبرد روز عاشورا را فراهم می کرد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می ایستاد از اهمیت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و احترام برخوردار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مکان زیارتی فاقد قبر خیمه گاه میباشد که در فاصله تقریبا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حرم امام حسین علیه السلام و در سمت قبله و اندکی متمایل بسمت غرب در پشت تل زینبیه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مکان و شکل دقیق خیمه گاه اصلی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مورد بحث میان متخصصان تاریخ و جغرافیای کربلا می باشد، اما این مکان به سبب ارتباط تاریخی اش با واقعه کربلا مورد احترام و زیارت دوست داران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مکانهای مرتبط با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نقطه ای نام برد که در محله باب السلالمه واقع در ضلع شمالی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که اکنون در کوچه ای واقع در بازار این محله قدیمی کربلا قرار دارد، مکانی را نشان می دهد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سعد در شب عاشورا در آنجا با هم به گفتگو پرداختند و هدف صلح طلبانه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w:t>
      </w:r>
    </w:p>
    <w:p>
      <w:pPr>
        <w:pStyle w:val="BookText"/>
        <w:rPr/>
      </w:pPr>
      <w:r>
        <w:rPr>
          <w:rFonts w:ascii="IRNazanin" w:hAnsi="IRNazanin" w:eastAsia="IRNazanin"/>
          <w:color w:val="111111"/>
          <w:sz w:val="28"/>
          <w:sz w:val="28"/>
          <w:szCs w:val="28"/>
          <w:rtl w:val="true"/>
          <w:lang w:bidi="fa-IR"/>
        </w:rPr>
        <w:t>کردن عمر بن سعد از شعله ور کردن آتش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دیگری که در محدوده امروزی و تقریبا در منتهی الیه سمت غربی شهر کربلا قرار دارد به شهید سرافراز روز عاشورا جناب حربن یزید ریاحی مربوط می شود که قبر و ضریح و حرمش در آن جا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دست کم دو مکان دیگر هم هست که بدلیل انتسابشان به وجود مقدس حضرت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مسجد حنانه در نجف اشرف است و دیگری مسجد راس الحسین در ضلع شرقی مسجد اموی 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مکان فاقد قبر بوده اما هرکدام دارای نقاط دقیقی هستند که جایگاه قرار دادن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نشان میدهند و از این رو مکان های زیارتی می باشند سابقا تابلوی کوچکی بر سردر مسجد راس الحسین نصب شده بود که این جمله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راس سی دنا الحسی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مواردی که مطرح شد می توان این نتیجه را بدست آورد که در اکثر اماکنی که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میشود و از باب احترام و تکریم مسجد و یا حرمی برگرداگرد آن ساخته شده است وجود دست کم یک نقطه یا مکان مرکزی یا اصلی ضروری است و سایر بناها در اطراف آن ساخته میشوند همین نقطه محوری یا مرکزی به لحاظ ساختاری از مرکزیت و به لحاظ انتسابش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قداست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چنان است که هر چه انتساب این نقطه و یا مکان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باشد، مثلا قبر مطهر حضرت در مقام مقایسه با مسجد راس الحسی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قداست آن بیشتر می باشد البته موضوع قداست قابل اندازه گیری و سنجش نبوده و یقینا هم امری نسبی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ملاحظه موارد مطرح شده تنها مورد استثنا خود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است که از نقاط متعدد مقدس برخوردار است که بدون تردید مقدس ترین آنها قبر شریف و مضجع نورانی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28" w:name="pg8975_113978"/>
    </w:p>
    <w:p>
      <w:pPr>
        <w:pStyle w:val="Heading2"/>
        <w:numPr>
          <w:ilvl w:val="1"/>
          <w:numId w:val="1"/>
        </w:numPr>
        <w:rPr/>
      </w:pPr>
      <w:bookmarkStart w:id="229" w:name="__RefHeading___Toc1744298_2870459653"/>
      <w:bookmarkStart w:id="230" w:name="_Toc85"/>
      <w:bookmarkEnd w:id="228"/>
      <w:bookmarkEnd w:id="229"/>
      <w:r>
        <w:rPr>
          <w:rtl w:val="true"/>
        </w:rPr>
        <w:t>معرفی کتاب</w:t>
      </w:r>
      <w:bookmarkEnd w:id="230"/>
    </w:p>
    <w:p>
      <w:pPr>
        <w:pStyle w:val="Heading3"/>
        <w:numPr>
          <w:ilvl w:val="2"/>
          <w:numId w:val="1"/>
        </w:numPr>
        <w:rPr/>
      </w:pPr>
      <w:bookmarkStart w:id="231" w:name="__RefHeading___Toc1744300_2870459653"/>
      <w:bookmarkStart w:id="232" w:name="_Toc86"/>
      <w:bookmarkEnd w:id="231"/>
      <w:r>
        <w:rPr>
          <w:rtl w:val="true"/>
        </w:rPr>
        <w:t>محمد اسفندیاری</w:t>
      </w:r>
      <w:bookmarkEnd w:id="232"/>
    </w:p>
    <w:p>
      <w:pPr>
        <w:pStyle w:val="Heading4"/>
        <w:numPr>
          <w:ilvl w:val="3"/>
          <w:numId w:val="1"/>
        </w:numPr>
        <w:rPr/>
      </w:pPr>
      <w:bookmarkStart w:id="233" w:name="__RefHeading___Toc1744302_2870459653"/>
      <w:bookmarkStart w:id="234" w:name="_Toc87"/>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بررسی تاریخ عاشورا</w:t>
      </w:r>
    </w:p>
    <w:p>
      <w:pPr>
        <w:pStyle w:val="BookText"/>
        <w:rPr/>
      </w:pPr>
      <w:r>
        <w:rPr>
          <w:rFonts w:ascii="IRNazanin" w:hAnsi="IRNazanin" w:eastAsia="IRNazanin"/>
          <w:color w:val="111111"/>
          <w:sz w:val="28"/>
          <w:sz w:val="28"/>
          <w:szCs w:val="28"/>
          <w:rtl w:val="true"/>
          <w:lang w:bidi="fa-IR"/>
        </w:rPr>
        <w:t xml:space="preserve">محمد ابراهیم آیتی مقدمه علی اکبر غفاری چاپ دوم تهران کتابخانه صدوق،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وزیری تصویر</w:t>
      </w:r>
    </w:p>
    <w:p>
      <w:pPr>
        <w:pStyle w:val="BookText"/>
        <w:rPr/>
      </w:pPr>
      <w:r>
        <w:rPr>
          <w:rFonts w:ascii="IRNazanin" w:hAnsi="IRNazanin" w:eastAsia="IRNazanin"/>
          <w:color w:val="111111"/>
          <w:sz w:val="28"/>
          <w:sz w:val="28"/>
          <w:szCs w:val="28"/>
          <w:rtl w:val="true"/>
          <w:lang w:bidi="fa-IR"/>
        </w:rPr>
        <w:t xml:space="preserve">کتاب فوق دربردارنده سخنرانی های دکتر آیتی در رادیو ایران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سخنرانی ها تاریخ عاشوراست و در آن ضمن توصیف قیام امام حسین ع به تحلیل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اول تا چهارم گزارشی از قیام آن حضرت تا عاشورا ارائه شده و در سخنرانی پنجم تا پانزدهم از رخدادهای بعد از قیام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سخنرانیها تقریبا همان اندازه که به قیام و شهادت امام پرداخته شده از خطبهها و برخوردهای اسیران اهل بیت سخن رفته و به این موضوع بیش از آنچه توجه می شود توجه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جای کتاب گفته شده که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آوردن حکومت نبود، بلکه برای شهادت بود تا بدین وسیله دین پایدار بماند همچنین توضیح داده شده که استقبال امام از شهادت به این معنی نیست که راهی به زنده ماندن نداشت و اگر </w:t>
      </w:r>
    </w:p>
    <w:p>
      <w:pPr>
        <w:pStyle w:val="BookText"/>
        <w:rPr/>
      </w:pPr>
      <w:r>
        <w:rPr>
          <w:rFonts w:ascii="IRNazanin" w:hAnsi="IRNazanin" w:eastAsia="IRNazanin"/>
          <w:color w:val="111111"/>
          <w:sz w:val="28"/>
          <w:sz w:val="28"/>
          <w:szCs w:val="28"/>
          <w:rtl w:val="true"/>
          <w:lang w:bidi="fa-IR"/>
        </w:rPr>
        <w:t>تسلیم هم میشد باز او را می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نیز توضیح داده شده که شهادت آن حضرت برای شفاعت گنهکاران و کفاره گناهان این امت نیست و این پندار نادرست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از کتاب به عذرها و بهانههای افرادی که از همراهی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خالی کردند پرداخته و گفته شده است از مردم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امام را همراهی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نیست که زندگی خود را فدای وظیفه نکردند بلکه عجب از آن مردمی است که با هر وضعی که پیش آمد آن حضرت را یاری کردند و تا پای جان در راه نصرت حق 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نویسنده، زیارت ناحیه مقدسه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تاریخ صدور آن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تاریخ امام زمان متولد نشده بود ص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گزارش آمدن اسیران اهل بیت را در اربعین به کربلا مقبول نمی شمارد و مآخذ آن را فقط كتاب لهوف سی د بن طاووس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نویسنده در جریان تاریخ عاشورا چند زن فداکار نقشی برجسته داشتند و لذا در بحثی مستقل به این موضوع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اشاره شد بخش زیادی از مباحث کتاب به رخدادهای پس از شهادت امام، یعنی خطبه ها و برخوردهای اسیران اهل بیت اختصاص دارد نویسنده، خطبه های اسیران را از منابع مهم تاریخ کربلا و از عوامل بقای قیام امام دانسته و توجه بلیغی به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بخشی از کتاب در شرح خطبه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کتاب شامل پانزده سخنرانی است و به پایان آن دو سخنرانی دیگر ملحق شده که مطالب آن اختصاص به امام حسین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قاضی طباطبایی در کتاب تحقیق درباره اول اربعی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استبعاد این نویسنده را درباره آمدن اسیران اهل بیت در اربعین به کربلا، نادرست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و او را در این موضوع تحت تأثیر حاجی نوری در لؤلؤ و مرجان شمرده است</w:t>
      </w:r>
      <w:r>
        <w:rPr>
          <w:rFonts w:eastAsia="IRNazanin" w:cs="IRNazanin"/>
          <w:color w:val="111111"/>
          <w:sz w:val="28"/>
          <w:szCs w:val="28"/>
          <w:rtl w:val="true"/>
          <w:lang w:bidi="fa-IR"/>
        </w:rPr>
        <w:t xml:space="preserve">. </w:t>
      </w:r>
      <w:bookmarkStart w:id="235" w:name="pg8975_113980"/>
    </w:p>
    <w:p>
      <w:pPr>
        <w:pStyle w:val="Heading4"/>
        <w:numPr>
          <w:ilvl w:val="3"/>
          <w:numId w:val="1"/>
        </w:numPr>
        <w:rPr/>
      </w:pPr>
      <w:bookmarkStart w:id="236" w:name="__RefHeading___Toc1744304_2870459653"/>
      <w:bookmarkStart w:id="237" w:name="_Toc88"/>
      <w:bookmarkEnd w:id="235"/>
      <w:bookmarkEnd w:id="236"/>
      <w:r>
        <w:rPr>
          <w:rtl w:val="true"/>
        </w:rPr>
        <w:t>فراخوان نگارش مقاله برای فصلنامه پژوهش نامه معارف حسینی</w:t>
      </w:r>
      <w:bookmarkEnd w:id="237"/>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می باشند، با نیتی الهی و به دور از نگرشهای سیاسی و زودگذر، بر آن شدند که انتشار فصلنامه پژوهشنامه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پژوهش نامه معارف حسینی ضمن قدردانی از تلاشهای صورت گرفته در تبلیغ و ترویج فرهنگ حسینی درصدد است در حوزه های ذیل به ترویج و گسترش فرهنگ حسینی بپردازد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ویژگیهای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والگو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و احادیث گزارش شده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و سبک زندگی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توصیفی، تحلیلی و انتقادی منابع و مصادر مرتبط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و هنر عاشورایی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میشود که مقالات علمی خود را بر اساس فرمت تعریف شده نشریه به سامانه فصلنامه ارسال نمایند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مبتلاکردی حسین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49175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پژوهش نامه معارف حسینی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Vol.2, No.7, Autumn 2017</w:t>
      </w:r>
    </w:p>
    <w:p>
      <w:pPr>
        <w:pStyle w:val="BookText"/>
        <w:rPr/>
      </w:pPr>
      <w:r>
        <w:rPr>
          <w:rFonts w:eastAsia="Times New Roman" w:cs="Times New Roman" w:ascii="Times New Roman" w:hAnsi="Times New Roman"/>
          <w:color w:val="111111"/>
          <w:sz w:val="28"/>
          <w:szCs w:val="28"/>
          <w:lang w:val="en-US" w:bidi="en-US"/>
        </w:rPr>
        <w:t>Journal of Husayni Research Studies is credited with</w:t>
      </w:r>
    </w:p>
    <w:p>
      <w:pPr>
        <w:pStyle w:val="BookText"/>
        <w:rPr/>
      </w:pPr>
      <w:r>
        <w:rPr>
          <w:rFonts w:eastAsia="Times New Roman" w:cs="Times New Roman" w:ascii="Times New Roman" w:hAnsi="Times New Roman"/>
          <w:color w:val="111111"/>
          <w:sz w:val="28"/>
          <w:szCs w:val="28"/>
          <w:lang w:val="en-US" w:bidi="en-US"/>
        </w:rPr>
        <w:t>being the first Iranian quarterly journal of research</w:t>
      </w:r>
    </w:p>
    <w:p>
      <w:pPr>
        <w:pStyle w:val="BookText"/>
        <w:rPr/>
      </w:pPr>
      <w:r>
        <w:rPr>
          <w:rFonts w:eastAsia="Times New Roman" w:cs="Times New Roman" w:ascii="Times New Roman" w:hAnsi="Times New Roman"/>
          <w:color w:val="111111"/>
          <w:sz w:val="28"/>
          <w:szCs w:val="28"/>
          <w:lang w:val="en-US" w:bidi="en-US"/>
        </w:rPr>
        <w:t>papers in the realm of Husayni, particularly Ashura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studies. Although published mainly in Persian, the</w:t>
      </w:r>
    </w:p>
    <w:p>
      <w:pPr>
        <w:pStyle w:val="BookText"/>
        <w:rPr/>
      </w:pPr>
      <w:r>
        <w:rPr>
          <w:rFonts w:eastAsia="Times New Roman" w:cs="Times New Roman" w:ascii="Times New Roman" w:hAnsi="Times New Roman"/>
          <w:color w:val="111111"/>
          <w:sz w:val="28"/>
          <w:szCs w:val="28"/>
          <w:lang w:val="en-US" w:bidi="en-US"/>
        </w:rPr>
        <w:t>scope of papers published in it is by no means limited to</w:t>
      </w:r>
    </w:p>
    <w:p>
      <w:pPr>
        <w:pStyle w:val="BookText"/>
        <w:rPr/>
      </w:pPr>
      <w:r>
        <w:rPr>
          <w:rFonts w:eastAsia="Times New Roman" w:cs="Times New Roman" w:ascii="Times New Roman" w:hAnsi="Times New Roman"/>
          <w:color w:val="111111"/>
          <w:sz w:val="28"/>
          <w:szCs w:val="28"/>
          <w:lang w:val="en-US" w:bidi="en-US"/>
        </w:rPr>
        <w:t>Iran and/or the Persian language; it is international in</w:t>
      </w:r>
    </w:p>
    <w:p>
      <w:pPr>
        <w:pStyle w:val="BookText"/>
        <w:rPr/>
      </w:pPr>
      <w:r>
        <w:rPr>
          <w:rFonts w:eastAsia="Times New Roman" w:cs="Times New Roman" w:ascii="Times New Roman" w:hAnsi="Times New Roman"/>
          <w:color w:val="111111"/>
          <w:sz w:val="28"/>
          <w:szCs w:val="28"/>
          <w:lang w:val="en-US" w:bidi="en-US"/>
        </w:rPr>
        <w:t>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Sayyid Muhammad-KazemTabataba'ie</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Sayyid Khalil Bastan, AllamahTabataba'ie University Dr. Ali Bayat, University of Tehran</w:t>
      </w:r>
    </w:p>
    <w:p>
      <w:pPr>
        <w:pStyle w:val="BookText"/>
        <w:rPr/>
      </w:pPr>
      <w:r>
        <w:rPr>
          <w:rFonts w:eastAsia="Times New Roman" w:cs="Times New Roman" w:ascii="Times New Roman" w:hAnsi="Times New Roman"/>
          <w:color w:val="111111"/>
          <w:sz w:val="28"/>
          <w:szCs w:val="28"/>
          <w:lang w:val="en-US" w:bidi="en-US"/>
        </w:rPr>
        <w:t>Dr. Mustafa Delshad-Tehrani, Quran and Hadith University Dr. Muhammad-Reza Fakhr-Rohani, University of Qum</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 Dr. Muhammad-Jawad Rudgar, Institute of Islamic Culture and Thought Dr. Husayn-Ali Sa'di, Imam Sadiq University</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 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+98-21-43858321</w:t>
      </w:r>
    </w:p>
    <w:p>
      <w:pPr>
        <w:pStyle w:val="BookText"/>
        <w:rPr/>
      </w:pPr>
      <w:r>
        <w:rPr>
          <w:rFonts w:eastAsia="Times New Roman" w:cs="Times New Roman" w:ascii="Times New Roman" w:hAnsi="Times New Roman"/>
          <w:color w:val="111111"/>
          <w:sz w:val="28"/>
          <w:szCs w:val="28"/>
          <w:lang w:val="en-US" w:bidi="en-US"/>
        </w:rPr>
        <w:t>Mailing address: PO Box 49175-853, Gorgan,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An Analysis of the Imamate Doctrine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Evidence from the Arba'een Ziarat-Text</w:t>
      </w:r>
    </w:p>
    <w:p>
      <w:pPr>
        <w:pStyle w:val="BookText"/>
        <w:rPr/>
      </w:pPr>
      <w:r>
        <w:rPr>
          <w:rFonts w:eastAsia="Times New Roman" w:cs="Times New Roman" w:ascii="Times New Roman" w:hAnsi="Times New Roman"/>
          <w:color w:val="111111"/>
          <w:sz w:val="28"/>
          <w:szCs w:val="28"/>
          <w:lang w:val="en-US" w:bidi="en-US"/>
        </w:rPr>
        <w:t>Muhammad Ranjbar Husayni and Najmeh San'atiyan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Arba'een ziarat-text is an authoritative yext such that one of the  markers of a true Muslim believer is reading it on the day of Arba'een. It is a  pack of noble teachings in the field of Shiite imamate thought.The present  paper seeks to unfold some of the teachings available in this ziarat-text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Arba'een ziarat-text, Divine proof, legatee, relational nobility,  infallibility</w:t>
      </w:r>
    </w:p>
    <w:p>
      <w:pPr>
        <w:pStyle w:val="BookText"/>
        <w:rPr/>
      </w:pPr>
      <w:r>
        <w:rPr>
          <w:rFonts w:eastAsia="Times New Roman" w:cs="Times New Roman" w:ascii="Times New Roman" w:hAnsi="Times New Roman"/>
          <w:color w:val="111111"/>
          <w:sz w:val="28"/>
          <w:szCs w:val="28"/>
          <w:lang w:val="en-US" w:bidi="en-US"/>
        </w:rPr>
        <w:t>Ashura-Oriented Historiographical Sources</w:t>
      </w:r>
    </w:p>
    <w:p>
      <w:pPr>
        <w:pStyle w:val="BookText"/>
        <w:rPr/>
      </w:pPr>
      <w:r>
        <w:rPr>
          <w:rFonts w:eastAsia="Times New Roman" w:cs="Times New Roman" w:ascii="Times New Roman" w:hAnsi="Times New Roman"/>
          <w:color w:val="111111"/>
          <w:sz w:val="28"/>
          <w:szCs w:val="28"/>
          <w:lang w:val="en-US" w:bidi="en-US"/>
        </w:rPr>
        <w:t>in the First Two Centuries of the Islamic History</w:t>
      </w:r>
    </w:p>
    <w:p>
      <w:pPr>
        <w:pStyle w:val="BookText"/>
        <w:rPr/>
      </w:pPr>
      <w:r>
        <w:rPr>
          <w:rFonts w:eastAsia="Times New Roman" w:cs="Times New Roman" w:ascii="Times New Roman" w:hAnsi="Times New Roman"/>
          <w:color w:val="111111"/>
          <w:sz w:val="28"/>
          <w:szCs w:val="28"/>
          <w:lang w:val="en-US" w:bidi="en-US"/>
        </w:rPr>
        <w:t>Sina Mirshahi</w:t>
      </w:r>
    </w:p>
    <w:p>
      <w:pPr>
        <w:pStyle w:val="BookText"/>
        <w:rPr/>
      </w:pPr>
      <w:r>
        <w:rPr>
          <w:rFonts w:eastAsia="Times New Roman" w:cs="Times New Roman" w:ascii="Times New Roman" w:hAnsi="Times New Roman"/>
          <w:color w:val="111111"/>
          <w:sz w:val="28"/>
          <w:szCs w:val="28"/>
          <w:lang w:val="en-US" w:bidi="en-US"/>
        </w:rPr>
        <w:t>Despite its bitterness, the Ashura episode has been a significant event in  the Shiite history, hence it has proved of immense value and contribution to  the development of the Shiite denomination. The mission of conveying the  message and narrative of this event to the Muslim ummah has since led to  the emergence of another kind of historiography that is generally called  'martyrdom account' (Arabic: maqtal). Therefore, writing maqtal generally  conveys a sense of being related to the Ashura event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Granted that maqtals describe the tyranny that a cruel ruler committed  against the Infallibles, this kind of writing generically pertains to Imam al Husayn and his companions, all because of the tragic influence of the Ashura  massacre. In the same way, the maqtal-authors have usually viewed it as a  religious duty to develop such accounts, especially those which bring about  the sharpest and most profound emotive influence on the audience. This  tragic-cum-cathartic effect in turn led to much more popular support in favor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the Ahl al-Bayt. The present paper deals with the maqtals produced in the  first two centuries of the Islamic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The first century, the second century, Ashura-oriented  hidtorigraphy, sources</w:t>
      </w:r>
    </w:p>
    <w:p>
      <w:pPr>
        <w:pStyle w:val="BookText"/>
        <w:rPr/>
      </w:pPr>
      <w:r>
        <w:rPr>
          <w:rFonts w:eastAsia="Times New Roman" w:cs="Times New Roman" w:ascii="Times New Roman" w:hAnsi="Times New Roman"/>
          <w:color w:val="111111"/>
          <w:sz w:val="28"/>
          <w:szCs w:val="28"/>
          <w:lang w:val="en-US" w:bidi="en-US"/>
        </w:rPr>
        <w:t>Geographical Names on the Itinerary of the Imam al-Husayn's  Entourage: Evidence from Sheikh al-Mufid's Kitab al-Irshad</w:t>
      </w:r>
    </w:p>
    <w:p>
      <w:pPr>
        <w:pStyle w:val="BookText"/>
        <w:rPr/>
      </w:pPr>
      <w:r>
        <w:rPr>
          <w:rFonts w:eastAsia="Times New Roman" w:cs="Times New Roman" w:ascii="Times New Roman" w:hAnsi="Times New Roman"/>
          <w:color w:val="111111"/>
          <w:sz w:val="28"/>
          <w:szCs w:val="28"/>
          <w:lang w:val="en-US" w:bidi="en-US"/>
        </w:rPr>
        <w:t>Hasan Fazl and Ardashir Asad Beigi and Mahmood Mahdavi Damghani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present paper seeks to determine the precise locations of the places  mentioned in the events and episodes associated with Imam al-Husayn's  movement, as indicated in the late Sheikh al-Mufid's Kitab al-Irshad. A  prime reason for writing the present paper is simply that some places have  received only marginal notes, hence inadequate attention. It is hoped that it  would also contribute substantial geographical information to Ashura  research literature. Noteworthy is that some places that are mentioned in  ancient sources are no longer available, hence absent from modern maps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Kitab al-Irshad, Sheikh al-Mufid, Imam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georaphical proper names</w:t>
      </w:r>
    </w:p>
    <w:p>
      <w:pPr>
        <w:pStyle w:val="BookText"/>
        <w:rPr/>
      </w:pPr>
      <w:r>
        <w:rPr>
          <w:rFonts w:eastAsia="Times New Roman" w:cs="Times New Roman" w:ascii="Times New Roman" w:hAnsi="Times New Roman"/>
          <w:color w:val="111111"/>
          <w:sz w:val="28"/>
          <w:szCs w:val="28"/>
          <w:lang w:val="en-US" w:bidi="en-US"/>
        </w:rPr>
        <w:t>The Status of Imam al-Husayn</w:t>
      </w:r>
    </w:p>
    <w:p>
      <w:pPr>
        <w:pStyle w:val="BookText"/>
        <w:rPr/>
      </w:pPr>
      <w:r>
        <w:rPr>
          <w:rFonts w:eastAsia="Times New Roman" w:cs="Times New Roman" w:ascii="Times New Roman" w:hAnsi="Times New Roman"/>
          <w:color w:val="111111"/>
          <w:sz w:val="28"/>
          <w:szCs w:val="28"/>
          <w:lang w:val="en-US" w:bidi="en-US"/>
        </w:rPr>
        <w:t>in Certain Sunni Exegeses of the Holy Quran</w:t>
      </w:r>
    </w:p>
    <w:p>
      <w:pPr>
        <w:pStyle w:val="BookText"/>
        <w:rPr/>
      </w:pPr>
      <w:r>
        <w:rPr>
          <w:rFonts w:eastAsia="Times New Roman" w:cs="Times New Roman" w:ascii="Times New Roman" w:hAnsi="Times New Roman"/>
          <w:color w:val="111111"/>
          <w:sz w:val="28"/>
          <w:szCs w:val="28"/>
          <w:lang w:val="en-US" w:bidi="en-US"/>
        </w:rPr>
        <w:t>Muhammad-Ismail Abdollahi and Muhammad Karaminiya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Prophet Muhammad left two precious entities, i.e., the Holy Quran  and the Ahl al-Bayt, amongst people. As a member of the Ahl al-Bayt, Imam  al-Husayn has been of special significance to the Prophet Muhammad. Since  certain Quranic verses were revealed in favor of and in relation to Imam al</w:t>
      </w:r>
    </w:p>
    <w:p>
      <w:pPr>
        <w:pStyle w:val="BookText"/>
        <w:rPr/>
      </w:pPr>
      <w:r>
        <w:rPr>
          <w:rFonts w:eastAsia="Times New Roman" w:cs="Times New Roman" w:ascii="Times New Roman" w:hAnsi="Times New Roman"/>
          <w:color w:val="111111"/>
          <w:sz w:val="28"/>
          <w:szCs w:val="28"/>
          <w:lang w:val="en-US" w:bidi="en-US"/>
        </w:rPr>
        <w:t>Husayn, Sunni exegetes of the Holy Quran paid attention to him. In this way,  such exegetes rendered their interpretations of such verses. The result is that  the sublime personality of Imam al-Husayn has received the same high status  in Sunni exegetes of the Holy Quran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Sunnis, Imam al-Husayn, exegeses, the Holy Quran</w:t>
      </w:r>
    </w:p>
    <w:p>
      <w:pPr>
        <w:pStyle w:val="BookText"/>
        <w:rPr/>
      </w:pPr>
      <w:r>
        <w:rPr>
          <w:rFonts w:eastAsia="Times New Roman" w:cs="Times New Roman" w:ascii="Times New Roman" w:hAnsi="Times New Roman"/>
          <w:color w:val="111111"/>
          <w:sz w:val="28"/>
          <w:szCs w:val="28"/>
          <w:lang w:val="en-US" w:bidi="en-US"/>
        </w:rPr>
        <w:t>The movement of Imam al-Husayn: Aims and Motifs</w:t>
      </w:r>
    </w:p>
    <w:p>
      <w:pPr>
        <w:pStyle w:val="BookText"/>
        <w:rPr/>
      </w:pPr>
      <w:r>
        <w:rPr>
          <w:rFonts w:eastAsia="Times New Roman" w:cs="Times New Roman" w:ascii="Times New Roman" w:hAnsi="Times New Roman"/>
          <w:color w:val="111111"/>
          <w:sz w:val="28"/>
          <w:szCs w:val="28"/>
          <w:lang w:val="en-US" w:bidi="en-US"/>
        </w:rPr>
        <w:t>Babak Hadiyan Heydari</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movement of Imam al-Husayn has since inspired many researchers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reflect on his aims and motifs. Typical Western researchers, e.g., the Belgian  Henri Lammens, ascribe a merely power-seeking aim to this movement.  Despite such shallow analysis, the words and deeds of Imam al-Husayn  prove that his movent and speeches were all for the sake of Allah. Moreover,  he intended to direct people to the right path. As such, he never succumbed  to the whims and wills of the then tyrant ruler. He knew well that his  movement was going to make the beginning of a yet greater movement in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al-Ashura, the Ashura movement, revival of the Islamic  religion and the Prophetic sunna, reform of the Muslim community, the  Kufans' letters</w:t>
      </w:r>
    </w:p>
    <w:p>
      <w:pPr>
        <w:pStyle w:val="BookText"/>
        <w:rPr/>
      </w:pPr>
      <w:r>
        <w:rPr>
          <w:rFonts w:eastAsia="Times New Roman" w:cs="Times New Roman" w:ascii="Times New Roman" w:hAnsi="Times New Roman"/>
          <w:color w:val="111111"/>
          <w:sz w:val="28"/>
          <w:szCs w:val="28"/>
          <w:lang w:val="en-US" w:bidi="en-US"/>
        </w:rPr>
        <w:t>The Role of the Kufans in the Formation</w:t>
      </w:r>
    </w:p>
    <w:p>
      <w:pPr>
        <w:pStyle w:val="BookText"/>
        <w:rPr/>
      </w:pPr>
      <w:r>
        <w:rPr>
          <w:rFonts w:eastAsia="Times New Roman" w:cs="Times New Roman" w:ascii="Times New Roman" w:hAnsi="Times New Roman"/>
          <w:color w:val="111111"/>
          <w:sz w:val="28"/>
          <w:szCs w:val="28"/>
          <w:lang w:val="en-US" w:bidi="en-US"/>
        </w:rPr>
        <w:t>of the Karbala Episode: Evidence from Arabic and Persian Poems Naser Qasemi and Hamid Rahi</w:t>
      </w:r>
    </w:p>
    <w:p>
      <w:pPr>
        <w:pStyle w:val="BookText"/>
        <w:rPr/>
      </w:pPr>
      <w:r>
        <w:rPr>
          <w:rFonts w:eastAsia="Times New Roman" w:cs="Times New Roman" w:ascii="Times New Roman" w:hAnsi="Times New Roman"/>
          <w:color w:val="111111"/>
          <w:sz w:val="28"/>
          <w:szCs w:val="28"/>
          <w:lang w:val="en-US" w:bidi="en-US"/>
        </w:rPr>
        <w:t>The general characteristics of the Kufans have long been regarded as a  factor in the formation of the Karbala episode. Despite this disloyalty had  been highlighted in the pre-Ashura periods, its more prominent  manifestation was certainly in the Karbala episode. As for the Arabic  literature, the Karbala episode received the highest attention in the Abbasid  Arabic literature. For Persian literature, it marked a restoration period, 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Based on an American literary school, the present paper compares and  contrasts common features in Arabic and Persian Ashura literature, as it  deals with the role of the Kufans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analysis shows that such moral characteristics as excessive attention  to this worldly life, animosity, duplicity, and hypocrisy make the main  features of the Kufans' behavior. Arab poets seem more outspoken, while  Persian poets make allusions, rather than making explicit references. Arab  poets seem more exact in their diction</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The Karbala episode, the Kufans, the literary restoration  period, the Abbasid era, comparative literature</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سفر جنگی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مدینه بازگردیم، عزیزترین افراد، ذلیل ترین آنها را بیرون خواهدکرد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آنگاه که گروهی از آنان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یثرب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جای ماندن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برگردید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طَیبه را خداوند به خاطر خاتم پیامبران مبارک کند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کحّاله با اندکی تفاوت، ارتفاع شهر را از سطح دریا،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طول جغرافیایی آن 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عرض جغرافیایی 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کند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کسی است که بعد از آنکه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درحدیبیه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پیروز ساخت، در درون مکه هم دست آنان را از شما و دست شما را از آنان کوتاه ساخت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اولین خانه ای که برای عبادت مردم مقرر شده همان است که در سرزمین بکه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مایهٔ برکت و هدایت جهانیان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معجم معالم الحجاز، طول جغرافیایی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 جغرافیایی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البلادی،</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تو محبوب ترین زمین خدا برای منی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Tan-eim</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ابن رسته، صاحبان کتب معجم معالم الحجاز و ممالک و مسالک این مسأله را صحه می گذارند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البلادی،</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اصطخری،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گذاری آن بدین سبب است که رسول گرامی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حجه الوداع به عبدالرحمان بن ابی بکر فرمود با خواهرش عایشه از آنجا محرم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بطوطه،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Zat-e-ergh</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Hajez(hajer)</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Zaroud</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Khuzaimiya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البته مقدسی آن را جُزیمیّه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احسن التقاسیم،</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Tha'labiya</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Zobale</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Batn-e-Agabe</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sharaf</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zou-Hosm</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ozaib - ol - hejanat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اسلحه خانه</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عبیدالله بن حر ذکر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اطلس غدیر و عاشورا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Ghasr – e- Bani Maghatel</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Nainava</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qhazerieh</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shofay-yeh</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زمان ساخت کوفه نظرهای دیگری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انصاری دمشقی سال بنا را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کرده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کند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صفری فروشانی،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یطِعِ اللَّهَ یعْنِی فِی فَرَائِضِهِ وَ الرَّسُولَ فِی سُنَّتِهِ فَأُولئِک مَعَ الَّذِینَ أَنْعَمَ اللَّهُ عَلَیهِمْ مِنَ النَّبِیینَ یعْنِی مُحَمَّداً وَ الصِّدِّیقِینَ یعْنِی عَلِی بْنَ أَبِی طَالِبٍ وَ کانَ أَوَّل مَنْ صَدَّقَ بِرَسُولِ اللَّهِ ص وَ الشُّهَداءِ یعْنِی عَلِی بْنَ أَبِی طَالِبٍ وَ جَعْفَرَ الطَّیارَ، وَ حَمْزَةَ بْنَ عَبْدِ الْمُطَّلِبِ وَ الْحَسَنَ وَ الْحُسَینَ، هَؤُلَاءِ سَادَاتُ الشُّهَدَاءِ وَ الصَّالِحِینَ یعْنِی سَلْمَانَ وَ أَبَا ذَرٍّ وَ صُهَیبَ وَ بِلَالًا وَ خَبَّاباً وَ عَمَّاراً وَ حَسُنَ أُولئِک أَی الْأَئِمَّةُ الْأَحَدَ عَشَرَ رَفِیقاً یعْنِی فِی الْجَنَّةِ ذلِک الْفَضْلُ مِنَ اللَّهِ وَ کفی بِاللَّهِ عَلِیماً إِنَّ مَنْزِلَ عَلِی وَ فَاطِمَةَ وَ الْحَسَنِ وَ الْحُسَینِ وَ مَنْزِلَ رَسُولِ اللَّهِ وَ هُمْ فِی الْجَنَّةِ وَاحِد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 درجة تدعی الوسیلة، فإذا سألتم اللّه فسلوا لی الوسیلة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یسکن معک؟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 فاطمة و الحسن و الحسین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 بن أبی طالب ینادی علی منبر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إن فی الجنة لؤلؤتین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بیضاء، و الأخری صفراء، أما البیضاء فإنها إلی بطنان العرش، و المقام المحمود من اللؤلؤة البیضاء سبعون ألف غرفة، کل بیت منها ثلاثة أمیال، و غرفها و أبوابها و أسرتها و سکانها من عرق واحد، و اسمها الوسیلة، هی لمحمد صلّی اللّه علیه و سلّم و أهل بیته، و الصفراء فیها مثل ذلک هی لإبراهیم علیه السلام و أهل بیته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مادربزرگ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زنان فرومایه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مهره های رژیم خودکامه اموی بود و خود عنصری کج اندیش و خشن و نیرنگ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محفل فرماندار مدینه که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بیعت دعوت کرده بود، حضور داشت و او را تحریک می کرد که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رها نکند و در همان محفل، یا از او بیعت بگیرد یا بی سروصدا گردن او را بزند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طلبی</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بیضه، نام آبگاهی میان واقصه و عذیب است که به چاه بنی یربوع، متّصل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دانش نامه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دار الحدیث،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رضا فخر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استادیار دانشگاه قم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43774</Words>
  <Characters>179076</Characters>
  <CharactersWithSpaces>221451</CharactersWithSpaces>
  <Paragraphs>1646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2026-08-20T07:52:34Z</dcterms:created>
  <dc:creator>ghaemiyeh.com</dc:creator>
  <dc:description/>
  <dc:language>en-US</dc:language>
  <cp:lastModifiedBy/>
  <dcterms:modified xsi:type="dcterms:W3CDTF">2026-08-20T11:22:39Z</dcterms:modified>
  <cp:revision>1</cp:revision>
  <dc:subject/>
  <dc:title>پژوهش نامه معارف حسینی 7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