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نقدی بر کتاب امر به معروف و نهی از منکر در اندیشه اسلامی اثر مایکل کوک ترجمه احمد نمایی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9442_65377670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419444_65377670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419446_653776707">
            <w:r>
              <w:rPr>
                <w:webHidden/>
                <w:rStyle w:val="IndexLink"/>
                <w:rtl w:val="true"/>
              </w:rPr>
              <w:t>فهرست مطالب</w:t>
            </w:r>
            <w:r>
              <w:rPr>
                <w:rStyle w:val="IndexLink"/>
                <w:rtl w:val="true"/>
              </w:rPr>
              <w:tab/>
            </w:r>
            <w:r>
              <w:rPr>
                <w:rStyle w:val="IndexLink"/>
              </w:rPr>
              <w:t>15</w:t>
            </w:r>
          </w:hyperlink>
        </w:p>
        <w:p>
          <w:pPr>
            <w:pStyle w:val="Contents3"/>
            <w:tabs>
              <w:tab w:val="clear" w:pos="8459"/>
              <w:tab w:val="right" w:pos="9026" w:leader="dot"/>
            </w:tabs>
            <w:rPr/>
          </w:pPr>
          <w:hyperlink w:anchor="__RefHeading___Toc2419448_65377670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419450_653776707">
            <w:r>
              <w:rPr>
                <w:webHidden/>
                <w:rStyle w:val="IndexLink"/>
                <w:rtl w:val="true"/>
              </w:rPr>
              <w:t>پیش‌درآمد</w:t>
            </w:r>
            <w:r>
              <w:rPr>
                <w:rStyle w:val="IndexLink"/>
                <w:rtl w:val="true"/>
              </w:rPr>
              <w:tab/>
            </w:r>
            <w:r>
              <w:rPr>
                <w:rStyle w:val="IndexLink"/>
              </w:rPr>
              <w:t>27</w:t>
            </w:r>
          </w:hyperlink>
        </w:p>
        <w:p>
          <w:pPr>
            <w:pStyle w:val="Contents3"/>
            <w:tabs>
              <w:tab w:val="clear" w:pos="8459"/>
              <w:tab w:val="right" w:pos="9026" w:leader="dot"/>
            </w:tabs>
            <w:rPr/>
          </w:pPr>
          <w:hyperlink w:anchor="__RefHeading___Toc2419452_653776707">
            <w:r>
              <w:rPr>
                <w:webHidden/>
                <w:rStyle w:val="IndexLink"/>
                <w:rtl w:val="true"/>
              </w:rPr>
              <w:t>مایکل کوک و انگیزۀ او برای نوشتن کتاب امر به معروف و نهی از منکر در اندیشۀ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2419454_65377670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41945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31</w:t>
            </w:r>
          </w:hyperlink>
        </w:p>
        <w:p>
          <w:pPr>
            <w:pStyle w:val="Contents4"/>
            <w:tabs>
              <w:tab w:val="clear" w:pos="8176"/>
              <w:tab w:val="right" w:pos="9026" w:leader="dot"/>
            </w:tabs>
            <w:rPr/>
          </w:pPr>
          <w:hyperlink w:anchor="__RefHeading___Toc241945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31</w:t>
            </w:r>
          </w:hyperlink>
        </w:p>
        <w:p>
          <w:pPr>
            <w:pStyle w:val="Contents3"/>
            <w:tabs>
              <w:tab w:val="clear" w:pos="8459"/>
              <w:tab w:val="right" w:pos="9026" w:leader="dot"/>
            </w:tabs>
            <w:rPr/>
          </w:pPr>
          <w:hyperlink w:anchor="__RefHeading___Toc2419460_653776707">
            <w:r>
              <w:rPr>
                <w:webHidden/>
                <w:rStyle w:val="IndexLink"/>
                <w:rtl w:val="true"/>
              </w:rPr>
              <w:t>انگیزۀ کار</w:t>
            </w:r>
            <w:r>
              <w:rPr>
                <w:rStyle w:val="IndexLink"/>
                <w:rtl w:val="true"/>
              </w:rPr>
              <w:tab/>
            </w:r>
            <w:r>
              <w:rPr>
                <w:rStyle w:val="IndexLink"/>
              </w:rPr>
              <w:t>32</w:t>
            </w:r>
          </w:hyperlink>
        </w:p>
        <w:p>
          <w:pPr>
            <w:pStyle w:val="Contents4"/>
            <w:tabs>
              <w:tab w:val="clear" w:pos="8176"/>
              <w:tab w:val="right" w:pos="9026" w:leader="dot"/>
            </w:tabs>
            <w:rPr/>
          </w:pPr>
          <w:hyperlink w:anchor="__RefHeading___Toc241946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32</w:t>
            </w:r>
          </w:hyperlink>
        </w:p>
        <w:p>
          <w:pPr>
            <w:pStyle w:val="Contents4"/>
            <w:tabs>
              <w:tab w:val="clear" w:pos="8176"/>
              <w:tab w:val="right" w:pos="9026" w:leader="dot"/>
            </w:tabs>
            <w:rPr/>
          </w:pPr>
          <w:hyperlink w:anchor="__RefHeading___Toc241946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33</w:t>
            </w:r>
          </w:hyperlink>
        </w:p>
        <w:p>
          <w:pPr>
            <w:pStyle w:val="Contents2"/>
            <w:tabs>
              <w:tab w:val="clear" w:pos="8743"/>
              <w:tab w:val="right" w:pos="9026" w:leader="dot"/>
            </w:tabs>
            <w:rPr/>
          </w:pPr>
          <w:hyperlink w:anchor="__RefHeading___Toc2419466_653776707">
            <w:r>
              <w:rPr>
                <w:webHidden/>
                <w:rStyle w:val="IndexLink"/>
                <w:rtl w:val="true"/>
              </w:rPr>
              <w:t>بخش اول</w:t>
            </w:r>
            <w:r>
              <w:rPr>
                <w:rStyle w:val="IndexLink"/>
                <w:rtl w:val="true"/>
              </w:rPr>
              <w:t xml:space="preserve">: </w:t>
            </w:r>
            <w:r>
              <w:rPr>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2419468_65377670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419470_653776707">
            <w:r>
              <w:rPr>
                <w:webHidden/>
                <w:rStyle w:val="IndexLink"/>
                <w:rtl w:val="true"/>
              </w:rPr>
              <w:t>گزارش و ارزیابی فصل اول</w:t>
            </w:r>
            <w:r>
              <w:rPr>
                <w:rStyle w:val="IndexLink"/>
                <w:rtl w:val="true"/>
              </w:rPr>
              <w:t xml:space="preserve">: </w:t>
            </w:r>
            <w:r>
              <w:rPr>
                <w:rStyle w:val="IndexLink"/>
                <w:rtl w:val="true"/>
              </w:rPr>
              <w:t>زرگر مرو</w:t>
            </w:r>
            <w:r>
              <w:rPr>
                <w:rStyle w:val="IndexLink"/>
                <w:rtl w:val="true"/>
              </w:rPr>
              <w:tab/>
            </w:r>
            <w:r>
              <w:rPr>
                <w:rStyle w:val="IndexLink"/>
              </w:rPr>
              <w:t>37</w:t>
            </w:r>
          </w:hyperlink>
        </w:p>
        <w:p>
          <w:pPr>
            <w:pStyle w:val="Contents4"/>
            <w:tabs>
              <w:tab w:val="clear" w:pos="8176"/>
              <w:tab w:val="right" w:pos="9026" w:leader="dot"/>
            </w:tabs>
            <w:rPr/>
          </w:pPr>
          <w:hyperlink w:anchor="__RefHeading___Toc2419472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41947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37</w:t>
            </w:r>
          </w:hyperlink>
        </w:p>
        <w:p>
          <w:pPr>
            <w:pStyle w:val="Contents4"/>
            <w:tabs>
              <w:tab w:val="clear" w:pos="8176"/>
              <w:tab w:val="right" w:pos="9026" w:leader="dot"/>
            </w:tabs>
            <w:rPr/>
          </w:pPr>
          <w:hyperlink w:anchor="__RefHeading___Toc241947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39</w:t>
            </w:r>
          </w:hyperlink>
        </w:p>
        <w:p>
          <w:pPr>
            <w:pStyle w:val="Contents3"/>
            <w:tabs>
              <w:tab w:val="clear" w:pos="8459"/>
              <w:tab w:val="right" w:pos="9026" w:leader="dot"/>
            </w:tabs>
            <w:rPr/>
          </w:pPr>
          <w:hyperlink w:anchor="__RefHeading___Toc2419478_653776707">
            <w:r>
              <w:rPr>
                <w:webHidden/>
                <w:rStyle w:val="IndexLink"/>
                <w:rtl w:val="true"/>
              </w:rPr>
              <w:t>گزارش و ارزیابی فصل دوم</w:t>
            </w:r>
            <w:r>
              <w:rPr>
                <w:rStyle w:val="IndexLink"/>
                <w:rtl w:val="true"/>
              </w:rPr>
              <w:t xml:space="preserve">: </w:t>
            </w:r>
            <w:r>
              <w:rPr>
                <w:rStyle w:val="IndexLink"/>
                <w:rtl w:val="true"/>
              </w:rPr>
              <w:t>قرآن و تفسیر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2419480_65377670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41948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41</w:t>
            </w:r>
          </w:hyperlink>
        </w:p>
        <w:p>
          <w:pPr>
            <w:pStyle w:val="Contents4"/>
            <w:tabs>
              <w:tab w:val="clear" w:pos="8176"/>
              <w:tab w:val="right" w:pos="9026" w:leader="dot"/>
            </w:tabs>
            <w:rPr/>
          </w:pPr>
          <w:hyperlink w:anchor="__RefHeading___Toc241948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42</w:t>
            </w:r>
          </w:hyperlink>
        </w:p>
        <w:p>
          <w:pPr>
            <w:pStyle w:val="Contents4"/>
            <w:tabs>
              <w:tab w:val="clear" w:pos="8176"/>
              <w:tab w:val="right" w:pos="9026" w:leader="dot"/>
            </w:tabs>
            <w:rPr/>
          </w:pPr>
          <w:hyperlink w:anchor="__RefHeading___Toc241948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43</w:t>
            </w:r>
          </w:hyperlink>
        </w:p>
        <w:p>
          <w:pPr>
            <w:pStyle w:val="Contents4"/>
            <w:tabs>
              <w:tab w:val="clear" w:pos="8176"/>
              <w:tab w:val="right" w:pos="9026" w:leader="dot"/>
            </w:tabs>
            <w:rPr/>
          </w:pPr>
          <w:hyperlink w:anchor="__RefHeading___Toc241948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44</w:t>
            </w:r>
          </w:hyperlink>
        </w:p>
        <w:p>
          <w:pPr>
            <w:pStyle w:val="Contents3"/>
            <w:tabs>
              <w:tab w:val="clear" w:pos="8459"/>
              <w:tab w:val="right" w:pos="9026" w:leader="dot"/>
            </w:tabs>
            <w:rPr/>
          </w:pPr>
          <w:hyperlink w:anchor="__RefHeading___Toc2419490_653776707">
            <w:r>
              <w:rPr>
                <w:webHidden/>
                <w:rStyle w:val="IndexLink"/>
                <w:rtl w:val="true"/>
              </w:rPr>
              <w:t>گزارش و ارزیابی فصل سوم</w:t>
            </w:r>
            <w:r>
              <w:rPr>
                <w:rStyle w:val="IndexLink"/>
                <w:rtl w:val="true"/>
              </w:rPr>
              <w:t xml:space="preserve">: </w:t>
            </w:r>
            <w:r>
              <w:rPr>
                <w:rStyle w:val="IndexLink"/>
                <w:rtl w:val="true"/>
              </w:rPr>
              <w:t>حدیث</w:t>
            </w:r>
            <w:r>
              <w:rPr>
                <w:rStyle w:val="IndexLink"/>
                <w:rtl w:val="true"/>
              </w:rPr>
              <w:tab/>
            </w:r>
            <w:r>
              <w:rPr>
                <w:rStyle w:val="IndexLink"/>
              </w:rPr>
              <w:t>45</w:t>
            </w:r>
          </w:hyperlink>
        </w:p>
        <w:p>
          <w:pPr>
            <w:pStyle w:val="Contents4"/>
            <w:tabs>
              <w:tab w:val="clear" w:pos="8176"/>
              <w:tab w:val="right" w:pos="9026" w:leader="dot"/>
            </w:tabs>
            <w:rPr/>
          </w:pPr>
          <w:hyperlink w:anchor="__RefHeading___Toc2419492_65377670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41949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45</w:t>
            </w:r>
          </w:hyperlink>
        </w:p>
        <w:p>
          <w:pPr>
            <w:pStyle w:val="Contents4"/>
            <w:tabs>
              <w:tab w:val="clear" w:pos="8176"/>
              <w:tab w:val="right" w:pos="9026" w:leader="dot"/>
            </w:tabs>
            <w:rPr/>
          </w:pPr>
          <w:hyperlink w:anchor="__RefHeading___Toc241949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47</w:t>
            </w:r>
          </w:hyperlink>
        </w:p>
        <w:p>
          <w:pPr>
            <w:pStyle w:val="Contents3"/>
            <w:tabs>
              <w:tab w:val="clear" w:pos="8459"/>
              <w:tab w:val="right" w:pos="9026" w:leader="dot"/>
            </w:tabs>
            <w:rPr/>
          </w:pPr>
          <w:hyperlink w:anchor="__RefHeading___Toc2419498_653776707">
            <w:r>
              <w:rPr>
                <w:webHidden/>
                <w:rStyle w:val="IndexLink"/>
                <w:rtl w:val="true"/>
              </w:rPr>
              <w:t>گزارش و ارزیابی فصل چهارم</w:t>
            </w:r>
            <w:r>
              <w:rPr>
                <w:rStyle w:val="IndexLink"/>
                <w:rtl w:val="true"/>
              </w:rPr>
              <w:t xml:space="preserve">: </w:t>
            </w:r>
            <w:r>
              <w:rPr>
                <w:rStyle w:val="IndexLink"/>
                <w:rtl w:val="true"/>
              </w:rPr>
              <w:t xml:space="preserve">کتاب‌های سیره </w:t>
            </w:r>
            <w:r>
              <w:rPr>
                <w:rStyle w:val="IndexLink"/>
                <w:rtl w:val="true"/>
              </w:rPr>
              <w:t>(</w:t>
            </w:r>
            <w:r>
              <w:rPr>
                <w:rStyle w:val="IndexLink"/>
                <w:rtl w:val="true"/>
              </w:rPr>
              <w:t>شرح احوال</w:t>
            </w:r>
            <w:r>
              <w:rPr>
                <w:rStyle w:val="IndexLink"/>
                <w:rtl w:val="true"/>
              </w:rPr>
              <w:t xml:space="preserve">) </w:t>
            </w:r>
            <w:r>
              <w:rPr>
                <w:rStyle w:val="IndexLink"/>
                <w:rtl w:val="true"/>
              </w:rPr>
              <w:t>مسلمانان صدر اسلام</w:t>
            </w:r>
            <w:r>
              <w:rPr>
                <w:rStyle w:val="IndexLink"/>
                <w:rtl w:val="true"/>
              </w:rPr>
              <w:tab/>
            </w:r>
            <w:r>
              <w:rPr>
                <w:rStyle w:val="IndexLink"/>
              </w:rPr>
              <w:t>55</w:t>
            </w:r>
          </w:hyperlink>
        </w:p>
        <w:p>
          <w:pPr>
            <w:pStyle w:val="Contents4"/>
            <w:tabs>
              <w:tab w:val="clear" w:pos="8176"/>
              <w:tab w:val="right" w:pos="9026" w:leader="dot"/>
            </w:tabs>
            <w:rPr/>
          </w:pPr>
          <w:hyperlink w:anchor="__RefHeading___Toc2419500_65377670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419502_653776707">
            <w:r>
              <w:rPr>
                <w:webHidden/>
                <w:rStyle w:val="IndexLink"/>
                <w:rtl w:val="true"/>
              </w:rPr>
              <w:t>مطلب اول</w:t>
            </w:r>
            <w:r>
              <w:rPr>
                <w:rStyle w:val="IndexLink"/>
                <w:rtl w:val="true"/>
              </w:rPr>
              <w:t xml:space="preserve">: </w:t>
            </w:r>
            <w:r>
              <w:rPr>
                <w:rStyle w:val="IndexLink"/>
                <w:rtl w:val="true"/>
              </w:rPr>
              <w:t>نگاهی به تاریخچه امر به معروف و نهی از منکر</w:t>
            </w:r>
            <w:r>
              <w:rPr>
                <w:rStyle w:val="IndexLink"/>
                <w:rtl w:val="true"/>
              </w:rPr>
              <w:tab/>
            </w:r>
            <w:r>
              <w:rPr>
                <w:rStyle w:val="IndexLink"/>
              </w:rPr>
              <w:t>55</w:t>
            </w:r>
          </w:hyperlink>
        </w:p>
        <w:p>
          <w:pPr>
            <w:pStyle w:val="Contents5"/>
            <w:tabs>
              <w:tab w:val="clear" w:pos="7892"/>
              <w:tab w:val="right" w:pos="9026" w:leader="dot"/>
            </w:tabs>
            <w:rPr/>
          </w:pPr>
          <w:hyperlink w:anchor="__RefHeading___Toc241950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55</w:t>
            </w:r>
          </w:hyperlink>
        </w:p>
        <w:p>
          <w:pPr>
            <w:pStyle w:val="Contents5"/>
            <w:tabs>
              <w:tab w:val="clear" w:pos="7892"/>
              <w:tab w:val="right" w:pos="9026" w:leader="dot"/>
            </w:tabs>
            <w:rPr/>
          </w:pPr>
          <w:hyperlink w:anchor="__RefHeading___Toc241950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56</w:t>
            </w:r>
          </w:hyperlink>
        </w:p>
        <w:p>
          <w:pPr>
            <w:pStyle w:val="Contents4"/>
            <w:tabs>
              <w:tab w:val="clear" w:pos="8176"/>
              <w:tab w:val="right" w:pos="9026" w:leader="dot"/>
            </w:tabs>
            <w:rPr/>
          </w:pPr>
          <w:hyperlink w:anchor="__RefHeading___Toc2419508_653776707">
            <w:r>
              <w:rPr>
                <w:webHidden/>
                <w:rStyle w:val="IndexLink"/>
                <w:rtl w:val="true"/>
              </w:rPr>
              <w:t>مطلب دوم</w:t>
            </w:r>
            <w:r>
              <w:rPr>
                <w:rStyle w:val="IndexLink"/>
                <w:rtl w:val="true"/>
              </w:rPr>
              <w:t xml:space="preserve">: </w:t>
            </w:r>
            <w:r>
              <w:rPr>
                <w:rStyle w:val="IndexLink"/>
                <w:rtl w:val="true"/>
              </w:rPr>
              <w:t>رویارویی با حکومت و نگاه افراطی و تفریطی به امر به معروف و نهی از منکر</w:t>
            </w:r>
            <w:r>
              <w:rPr>
                <w:rStyle w:val="IndexLink"/>
                <w:rtl w:val="true"/>
              </w:rPr>
              <w:tab/>
            </w:r>
            <w:r>
              <w:rPr>
                <w:rStyle w:val="IndexLink"/>
              </w:rPr>
              <w:t>58</w:t>
            </w:r>
          </w:hyperlink>
        </w:p>
        <w:p>
          <w:pPr>
            <w:pStyle w:val="Contents5"/>
            <w:tabs>
              <w:tab w:val="clear" w:pos="7892"/>
              <w:tab w:val="right" w:pos="9026" w:leader="dot"/>
            </w:tabs>
            <w:rPr/>
          </w:pPr>
          <w:hyperlink w:anchor="__RefHeading___Toc241951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58</w:t>
            </w:r>
          </w:hyperlink>
        </w:p>
        <w:p>
          <w:pPr>
            <w:pStyle w:val="Contents5"/>
            <w:tabs>
              <w:tab w:val="clear" w:pos="7892"/>
              <w:tab w:val="right" w:pos="9026" w:leader="dot"/>
            </w:tabs>
            <w:rPr/>
          </w:pPr>
          <w:hyperlink w:anchor="__RefHeading___Toc241951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59</w:t>
            </w:r>
          </w:hyperlink>
        </w:p>
        <w:p>
          <w:pPr>
            <w:pStyle w:val="Contents4"/>
            <w:tabs>
              <w:tab w:val="clear" w:pos="8176"/>
              <w:tab w:val="right" w:pos="9026" w:leader="dot"/>
            </w:tabs>
            <w:rPr/>
          </w:pPr>
          <w:hyperlink w:anchor="__RefHeading___Toc2419514_653776707">
            <w:r>
              <w:rPr>
                <w:webHidden/>
                <w:rStyle w:val="IndexLink"/>
                <w:rtl w:val="true"/>
              </w:rPr>
              <w:t>مطلب سوم</w:t>
            </w:r>
            <w:r>
              <w:rPr>
                <w:rStyle w:val="IndexLink"/>
                <w:rtl w:val="true"/>
              </w:rPr>
              <w:t xml:space="preserve">: </w:t>
            </w:r>
            <w:r>
              <w:rPr>
                <w:rStyle w:val="IndexLink"/>
                <w:rtl w:val="true"/>
              </w:rPr>
              <w:t>رویارویی با جامعه</w:t>
            </w:r>
            <w:r>
              <w:rPr>
                <w:rStyle w:val="IndexLink"/>
                <w:rtl w:val="true"/>
              </w:rPr>
              <w:tab/>
            </w:r>
            <w:r>
              <w:rPr>
                <w:rStyle w:val="IndexLink"/>
              </w:rPr>
              <w:t>60</w:t>
            </w:r>
          </w:hyperlink>
        </w:p>
        <w:p>
          <w:pPr>
            <w:pStyle w:val="Contents5"/>
            <w:tabs>
              <w:tab w:val="clear" w:pos="7892"/>
              <w:tab w:val="right" w:pos="9026" w:leader="dot"/>
            </w:tabs>
            <w:rPr/>
          </w:pPr>
          <w:hyperlink w:anchor="__RefHeading___Toc241951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60</w:t>
            </w:r>
          </w:hyperlink>
        </w:p>
        <w:p>
          <w:pPr>
            <w:pStyle w:val="Contents5"/>
            <w:tabs>
              <w:tab w:val="clear" w:pos="7892"/>
              <w:tab w:val="right" w:pos="9026" w:leader="dot"/>
            </w:tabs>
            <w:rPr/>
          </w:pPr>
          <w:hyperlink w:anchor="__RefHeading___Toc241951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61</w:t>
            </w:r>
          </w:hyperlink>
        </w:p>
        <w:p>
          <w:pPr>
            <w:pStyle w:val="Contents5"/>
            <w:tabs>
              <w:tab w:val="clear" w:pos="7892"/>
              <w:tab w:val="right" w:pos="9026" w:leader="dot"/>
            </w:tabs>
            <w:rPr/>
          </w:pPr>
          <w:hyperlink w:anchor="__RefHeading___Toc241952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61</w:t>
            </w:r>
          </w:hyperlink>
        </w:p>
        <w:p>
          <w:pPr>
            <w:pStyle w:val="Contents5"/>
            <w:tabs>
              <w:tab w:val="clear" w:pos="7892"/>
              <w:tab w:val="right" w:pos="9026" w:leader="dot"/>
            </w:tabs>
            <w:rPr/>
          </w:pPr>
          <w:hyperlink w:anchor="__RefHeading___Toc241952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63</w:t>
            </w:r>
          </w:hyperlink>
        </w:p>
        <w:p>
          <w:pPr>
            <w:pStyle w:val="Contents4"/>
            <w:tabs>
              <w:tab w:val="clear" w:pos="8176"/>
              <w:tab w:val="right" w:pos="9026" w:leader="dot"/>
            </w:tabs>
            <w:rPr/>
          </w:pPr>
          <w:hyperlink w:anchor="__RefHeading___Toc2419524_653776707">
            <w:r>
              <w:rPr>
                <w:webHidden/>
                <w:rStyle w:val="IndexLink"/>
                <w:rtl w:val="true"/>
              </w:rPr>
              <w:t>مطلب چهارم</w:t>
            </w:r>
            <w:r>
              <w:rPr>
                <w:rStyle w:val="IndexLink"/>
                <w:rtl w:val="true"/>
              </w:rPr>
              <w:t xml:space="preserve">: </w:t>
            </w:r>
            <w:r>
              <w:rPr>
                <w:rStyle w:val="IndexLink"/>
                <w:rtl w:val="true"/>
              </w:rPr>
              <w:t>دفاع از زندگی خصوصی</w:t>
            </w:r>
            <w:r>
              <w:rPr>
                <w:rStyle w:val="IndexLink"/>
                <w:rtl w:val="true"/>
              </w:rPr>
              <w:tab/>
            </w:r>
            <w:r>
              <w:rPr>
                <w:rStyle w:val="IndexLink"/>
              </w:rPr>
              <w:t>63</w:t>
            </w:r>
          </w:hyperlink>
        </w:p>
        <w:p>
          <w:pPr>
            <w:pStyle w:val="Contents5"/>
            <w:tabs>
              <w:tab w:val="clear" w:pos="7892"/>
              <w:tab w:val="right" w:pos="9026" w:leader="dot"/>
            </w:tabs>
            <w:rPr/>
          </w:pPr>
          <w:hyperlink w:anchor="__RefHeading___Toc241952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63</w:t>
            </w:r>
          </w:hyperlink>
        </w:p>
        <w:p>
          <w:pPr>
            <w:pStyle w:val="Contents5"/>
            <w:tabs>
              <w:tab w:val="clear" w:pos="7892"/>
              <w:tab w:val="right" w:pos="9026" w:leader="dot"/>
            </w:tabs>
            <w:rPr/>
          </w:pPr>
          <w:hyperlink w:anchor="__RefHeading___Toc241952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64</w:t>
            </w:r>
          </w:hyperlink>
        </w:p>
        <w:p>
          <w:pPr>
            <w:pStyle w:val="Contents4"/>
            <w:tabs>
              <w:tab w:val="clear" w:pos="8176"/>
              <w:tab w:val="right" w:pos="9026" w:leader="dot"/>
            </w:tabs>
            <w:rPr/>
          </w:pPr>
          <w:hyperlink w:anchor="__RefHeading___Toc2419530_653776707">
            <w:r>
              <w:rPr>
                <w:webHidden/>
                <w:rStyle w:val="IndexLink"/>
                <w:rtl w:val="true"/>
              </w:rPr>
              <w:t>مطلب پنجم</w:t>
            </w:r>
            <w:r>
              <w:rPr>
                <w:rStyle w:val="IndexLink"/>
                <w:rtl w:val="true"/>
              </w:rPr>
              <w:t xml:space="preserve">: </w:t>
            </w:r>
            <w:r>
              <w:rPr>
                <w:rStyle w:val="IndexLink"/>
                <w:rtl w:val="true"/>
              </w:rPr>
              <w:t>مشارکت زنان در امر به معروف و نهی از منکر</w:t>
            </w:r>
            <w:r>
              <w:rPr>
                <w:rStyle w:val="IndexLink"/>
                <w:rtl w:val="true"/>
              </w:rPr>
              <w:tab/>
            </w:r>
            <w:r>
              <w:rPr>
                <w:rStyle w:val="IndexLink"/>
              </w:rPr>
              <w:t>65</w:t>
            </w:r>
          </w:hyperlink>
        </w:p>
        <w:p>
          <w:pPr>
            <w:pStyle w:val="Contents5"/>
            <w:tabs>
              <w:tab w:val="clear" w:pos="7892"/>
              <w:tab w:val="right" w:pos="9026" w:leader="dot"/>
            </w:tabs>
            <w:rPr/>
          </w:pPr>
          <w:hyperlink w:anchor="__RefHeading___Toc241953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65</w:t>
            </w:r>
          </w:hyperlink>
        </w:p>
        <w:p>
          <w:pPr>
            <w:pStyle w:val="Contents5"/>
            <w:tabs>
              <w:tab w:val="clear" w:pos="7892"/>
              <w:tab w:val="right" w:pos="9026" w:leader="dot"/>
            </w:tabs>
            <w:rPr/>
          </w:pPr>
          <w:hyperlink w:anchor="__RefHeading___Toc241953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66</w:t>
            </w:r>
          </w:hyperlink>
        </w:p>
        <w:p>
          <w:pPr>
            <w:pStyle w:val="Contents2"/>
            <w:tabs>
              <w:tab w:val="clear" w:pos="8743"/>
              <w:tab w:val="right" w:pos="9026" w:leader="dot"/>
            </w:tabs>
            <w:rPr/>
          </w:pPr>
          <w:hyperlink w:anchor="__RefHeading___Toc2419536_653776707">
            <w:r>
              <w:rPr>
                <w:webHidden/>
                <w:rStyle w:val="IndexLink"/>
                <w:rtl w:val="true"/>
              </w:rPr>
              <w:t>بخش دوم</w:t>
            </w:r>
            <w:r>
              <w:rPr>
                <w:rStyle w:val="IndexLink"/>
                <w:rtl w:val="true"/>
              </w:rPr>
              <w:t xml:space="preserve">: </w:t>
            </w:r>
            <w:r>
              <w:rPr>
                <w:rStyle w:val="IndexLink"/>
                <w:rtl w:val="true"/>
              </w:rPr>
              <w:t>حنبلیان</w:t>
            </w:r>
            <w:r>
              <w:rPr>
                <w:rStyle w:val="IndexLink"/>
                <w:rtl w:val="true"/>
              </w:rPr>
              <w:tab/>
            </w:r>
            <w:r>
              <w:rPr>
                <w:rStyle w:val="IndexLink"/>
              </w:rPr>
              <w:t>67</w:t>
            </w:r>
          </w:hyperlink>
        </w:p>
        <w:p>
          <w:pPr>
            <w:pStyle w:val="Contents3"/>
            <w:tabs>
              <w:tab w:val="clear" w:pos="8459"/>
              <w:tab w:val="right" w:pos="9026" w:leader="dot"/>
            </w:tabs>
            <w:rPr/>
          </w:pPr>
          <w:hyperlink w:anchor="__RefHeading___Toc2419538_653776707">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419540_653776707">
            <w:r>
              <w:rPr>
                <w:webHidden/>
                <w:rStyle w:val="IndexLink"/>
                <w:rtl w:val="true"/>
              </w:rPr>
              <w:t>گزارش و ارزیابی فصل پنجم</w:t>
            </w:r>
            <w:r>
              <w:rPr>
                <w:rStyle w:val="IndexLink"/>
                <w:rtl w:val="true"/>
              </w:rPr>
              <w:t xml:space="preserve">: </w:t>
            </w:r>
            <w:r>
              <w:rPr>
                <w:rStyle w:val="IndexLink"/>
                <w:rtl w:val="true"/>
              </w:rPr>
              <w:t>ابن‌حنبل</w:t>
            </w:r>
            <w:r>
              <w:rPr>
                <w:rStyle w:val="IndexLink"/>
                <w:rtl w:val="true"/>
              </w:rPr>
              <w:tab/>
            </w:r>
            <w:r>
              <w:rPr>
                <w:rStyle w:val="IndexLink"/>
              </w:rPr>
              <w:t>69</w:t>
            </w:r>
          </w:hyperlink>
        </w:p>
        <w:p>
          <w:pPr>
            <w:pStyle w:val="Contents4"/>
            <w:tabs>
              <w:tab w:val="clear" w:pos="8176"/>
              <w:tab w:val="right" w:pos="9026" w:leader="dot"/>
            </w:tabs>
            <w:rPr/>
          </w:pPr>
          <w:hyperlink w:anchor="__RefHeading___Toc2419542_653776707">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419544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69</w:t>
            </w:r>
          </w:hyperlink>
        </w:p>
        <w:p>
          <w:pPr>
            <w:pStyle w:val="Contents5"/>
            <w:tabs>
              <w:tab w:val="clear" w:pos="7892"/>
              <w:tab w:val="right" w:pos="9026" w:leader="dot"/>
            </w:tabs>
            <w:rPr/>
          </w:pPr>
          <w:hyperlink w:anchor="__RefHeading___Toc241954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69</w:t>
            </w:r>
          </w:hyperlink>
        </w:p>
        <w:p>
          <w:pPr>
            <w:pStyle w:val="Contents5"/>
            <w:tabs>
              <w:tab w:val="clear" w:pos="7892"/>
              <w:tab w:val="right" w:pos="9026" w:leader="dot"/>
            </w:tabs>
            <w:rPr/>
          </w:pPr>
          <w:hyperlink w:anchor="__RefHeading___Toc241954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69</w:t>
            </w:r>
          </w:hyperlink>
        </w:p>
        <w:p>
          <w:pPr>
            <w:pStyle w:val="Contents4"/>
            <w:tabs>
              <w:tab w:val="clear" w:pos="8176"/>
              <w:tab w:val="right" w:pos="9026" w:leader="dot"/>
            </w:tabs>
            <w:rPr/>
          </w:pPr>
          <w:hyperlink w:anchor="__RefHeading___Toc2419550_653776707">
            <w:r>
              <w:rPr>
                <w:webHidden/>
                <w:rStyle w:val="IndexLink"/>
                <w:rtl w:val="true"/>
              </w:rPr>
              <w:t>نگاهی به تاریخ حنبلیان</w:t>
            </w:r>
            <w:r>
              <w:rPr>
                <w:rStyle w:val="IndexLink"/>
                <w:rtl w:val="true"/>
              </w:rPr>
              <w:tab/>
            </w:r>
            <w:r>
              <w:rPr>
                <w:rStyle w:val="IndexLink"/>
              </w:rPr>
              <w:t>71</w:t>
            </w:r>
          </w:hyperlink>
        </w:p>
        <w:p>
          <w:pPr>
            <w:pStyle w:val="Contents4"/>
            <w:tabs>
              <w:tab w:val="clear" w:pos="8176"/>
              <w:tab w:val="right" w:pos="9026" w:leader="dot"/>
            </w:tabs>
            <w:rPr/>
          </w:pPr>
          <w:hyperlink w:anchor="__RefHeading___Toc241955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71</w:t>
            </w:r>
          </w:hyperlink>
        </w:p>
        <w:p>
          <w:pPr>
            <w:pStyle w:val="Contents5"/>
            <w:tabs>
              <w:tab w:val="clear" w:pos="7892"/>
              <w:tab w:val="right" w:pos="9026" w:leader="dot"/>
            </w:tabs>
            <w:rPr/>
          </w:pPr>
          <w:hyperlink w:anchor="__RefHeading___Toc2419554_65377670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419556_653776707">
            <w:r>
              <w:rPr>
                <w:webHidden/>
                <w:rStyle w:val="IndexLink"/>
              </w:rPr>
              <w:t>1</w:t>
            </w:r>
            <w:r>
              <w:rPr>
                <w:rStyle w:val="IndexLink"/>
                <w:rtl w:val="true"/>
              </w:rPr>
              <w:t xml:space="preserve">. </w:t>
            </w:r>
            <w:r>
              <w:rPr>
                <w:rStyle w:val="IndexLink"/>
                <w:rtl w:val="true"/>
              </w:rPr>
              <w:t>تنوع گناهان</w:t>
            </w:r>
            <w:r>
              <w:rPr>
                <w:rStyle w:val="IndexLink"/>
                <w:rtl w:val="true"/>
              </w:rPr>
              <w:tab/>
            </w:r>
            <w:r>
              <w:rPr>
                <w:rStyle w:val="IndexLink"/>
              </w:rPr>
              <w:t>71</w:t>
            </w:r>
          </w:hyperlink>
        </w:p>
        <w:p>
          <w:pPr>
            <w:pStyle w:val="Contents5"/>
            <w:tabs>
              <w:tab w:val="clear" w:pos="7892"/>
              <w:tab w:val="right" w:pos="9026" w:leader="dot"/>
            </w:tabs>
            <w:rPr/>
          </w:pPr>
          <w:hyperlink w:anchor="__RefHeading___Toc2419558_653776707">
            <w:r>
              <w:rPr>
                <w:webHidden/>
                <w:rStyle w:val="IndexLink"/>
              </w:rPr>
              <w:t>2</w:t>
            </w:r>
            <w:r>
              <w:rPr>
                <w:rStyle w:val="IndexLink"/>
                <w:rtl w:val="true"/>
              </w:rPr>
              <w:t xml:space="preserve">. </w:t>
            </w:r>
            <w:r>
              <w:rPr>
                <w:rStyle w:val="IndexLink"/>
                <w:rtl w:val="true"/>
              </w:rPr>
              <w:t>زمینۀ گناهان</w:t>
            </w:r>
            <w:r>
              <w:rPr>
                <w:rStyle w:val="IndexLink"/>
                <w:rtl w:val="true"/>
              </w:rPr>
              <w:tab/>
            </w:r>
            <w:r>
              <w:rPr>
                <w:rStyle w:val="IndexLink"/>
              </w:rPr>
              <w:t>72</w:t>
            </w:r>
          </w:hyperlink>
        </w:p>
        <w:p>
          <w:pPr>
            <w:pStyle w:val="Contents5"/>
            <w:tabs>
              <w:tab w:val="clear" w:pos="7892"/>
              <w:tab w:val="right" w:pos="9026" w:leader="dot"/>
            </w:tabs>
            <w:rPr/>
          </w:pPr>
          <w:hyperlink w:anchor="__RefHeading___Toc2419560_653776707">
            <w:r>
              <w:rPr>
                <w:webHidden/>
                <w:rStyle w:val="IndexLink"/>
              </w:rPr>
              <w:t>3</w:t>
            </w:r>
            <w:r>
              <w:rPr>
                <w:rStyle w:val="IndexLink"/>
                <w:rtl w:val="true"/>
              </w:rPr>
              <w:t xml:space="preserve">. </w:t>
            </w:r>
            <w:r>
              <w:rPr>
                <w:rStyle w:val="IndexLink"/>
                <w:rtl w:val="true"/>
              </w:rPr>
              <w:t>واکنش نسبت به منکر</w:t>
            </w:r>
            <w:r>
              <w:rPr>
                <w:rStyle w:val="IndexLink"/>
                <w:rtl w:val="true"/>
              </w:rPr>
              <w:tab/>
            </w:r>
            <w:r>
              <w:rPr>
                <w:rStyle w:val="IndexLink"/>
              </w:rPr>
              <w:t>72</w:t>
            </w:r>
          </w:hyperlink>
        </w:p>
        <w:p>
          <w:pPr>
            <w:pStyle w:val="Contents5"/>
            <w:tabs>
              <w:tab w:val="clear" w:pos="7892"/>
              <w:tab w:val="right" w:pos="9026" w:leader="dot"/>
            </w:tabs>
            <w:rPr/>
          </w:pPr>
          <w:hyperlink w:anchor="__RefHeading___Toc2419562_653776707">
            <w:r>
              <w:rPr>
                <w:webHidden/>
                <w:rStyle w:val="IndexLink"/>
              </w:rPr>
              <w:t>4</w:t>
            </w:r>
            <w:r>
              <w:rPr>
                <w:rStyle w:val="IndexLink"/>
                <w:rtl w:val="true"/>
              </w:rPr>
              <w:t xml:space="preserve">. </w:t>
            </w:r>
            <w:r>
              <w:rPr>
                <w:rStyle w:val="IndexLink"/>
                <w:rtl w:val="true"/>
              </w:rPr>
              <w:t>شرایط نهی از منکر</w:t>
            </w:r>
            <w:r>
              <w:rPr>
                <w:rStyle w:val="IndexLink"/>
                <w:rtl w:val="true"/>
              </w:rPr>
              <w:tab/>
            </w:r>
            <w:r>
              <w:rPr>
                <w:rStyle w:val="IndexLink"/>
              </w:rPr>
              <w:t>72</w:t>
            </w:r>
          </w:hyperlink>
        </w:p>
        <w:p>
          <w:pPr>
            <w:pStyle w:val="Contents5"/>
            <w:tabs>
              <w:tab w:val="clear" w:pos="7892"/>
              <w:tab w:val="right" w:pos="9026" w:leader="dot"/>
            </w:tabs>
            <w:rPr/>
          </w:pPr>
          <w:hyperlink w:anchor="__RefHeading___Toc2419564_653776707">
            <w:r>
              <w:rPr>
                <w:webHidden/>
                <w:rStyle w:val="IndexLink"/>
              </w:rPr>
              <w:t>5</w:t>
            </w:r>
            <w:r>
              <w:rPr>
                <w:rStyle w:val="IndexLink"/>
                <w:rtl w:val="true"/>
              </w:rPr>
              <w:t xml:space="preserve">. </w:t>
            </w:r>
            <w:r>
              <w:rPr>
                <w:rStyle w:val="IndexLink"/>
                <w:rtl w:val="true"/>
              </w:rPr>
              <w:t>حکومت</w:t>
            </w:r>
            <w:r>
              <w:rPr>
                <w:rStyle w:val="IndexLink"/>
                <w:rtl w:val="true"/>
              </w:rPr>
              <w:tab/>
            </w:r>
            <w:r>
              <w:rPr>
                <w:rStyle w:val="IndexLink"/>
              </w:rPr>
              <w:t>73</w:t>
            </w:r>
          </w:hyperlink>
        </w:p>
        <w:p>
          <w:pPr>
            <w:pStyle w:val="Contents4"/>
            <w:tabs>
              <w:tab w:val="clear" w:pos="8176"/>
              <w:tab w:val="right" w:pos="9026" w:leader="dot"/>
            </w:tabs>
            <w:rPr/>
          </w:pPr>
          <w:hyperlink w:anchor="__RefHeading___Toc241956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74</w:t>
            </w:r>
          </w:hyperlink>
        </w:p>
        <w:p>
          <w:pPr>
            <w:pStyle w:val="Contents3"/>
            <w:tabs>
              <w:tab w:val="clear" w:pos="8459"/>
              <w:tab w:val="right" w:pos="9026" w:leader="dot"/>
            </w:tabs>
            <w:rPr/>
          </w:pPr>
          <w:hyperlink w:anchor="__RefHeading___Toc2419568_653776707">
            <w:r>
              <w:rPr>
                <w:webHidden/>
                <w:rStyle w:val="IndexLink"/>
                <w:rtl w:val="true"/>
              </w:rPr>
              <w:t>گزارش و ارزیابی فصل ششم</w:t>
            </w:r>
            <w:r>
              <w:rPr>
                <w:rStyle w:val="IndexLink"/>
                <w:rtl w:val="true"/>
              </w:rPr>
              <w:t xml:space="preserve">: </w:t>
            </w:r>
            <w:r>
              <w:rPr>
                <w:rStyle w:val="IndexLink"/>
                <w:rtl w:val="true"/>
              </w:rPr>
              <w:t>حنبلیان بغداد</w:t>
            </w:r>
            <w:r>
              <w:rPr>
                <w:rStyle w:val="IndexLink"/>
                <w:rtl w:val="true"/>
              </w:rPr>
              <w:tab/>
            </w:r>
            <w:r>
              <w:rPr>
                <w:rStyle w:val="IndexLink"/>
              </w:rPr>
              <w:t>79</w:t>
            </w:r>
          </w:hyperlink>
        </w:p>
        <w:p>
          <w:pPr>
            <w:pStyle w:val="Contents4"/>
            <w:tabs>
              <w:tab w:val="clear" w:pos="8176"/>
              <w:tab w:val="right" w:pos="9026" w:leader="dot"/>
            </w:tabs>
            <w:rPr/>
          </w:pPr>
          <w:hyperlink w:anchor="__RefHeading___Toc2419570_65377670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41957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79</w:t>
            </w:r>
          </w:hyperlink>
        </w:p>
        <w:p>
          <w:pPr>
            <w:pStyle w:val="Contents5"/>
            <w:tabs>
              <w:tab w:val="clear" w:pos="7892"/>
              <w:tab w:val="right" w:pos="9026" w:leader="dot"/>
            </w:tabs>
            <w:rPr/>
          </w:pPr>
          <w:hyperlink w:anchor="__RefHeading___Toc2419574_653776707">
            <w:r>
              <w:rPr>
                <w:webHidden/>
                <w:rStyle w:val="IndexLink"/>
              </w:rPr>
              <w:t>1</w:t>
            </w:r>
            <w:r>
              <w:rPr>
                <w:rStyle w:val="IndexLink"/>
                <w:rtl w:val="true"/>
              </w:rPr>
              <w:t xml:space="preserve">. </w:t>
            </w:r>
            <w:r>
              <w:rPr>
                <w:rStyle w:val="IndexLink"/>
                <w:rtl w:val="true"/>
              </w:rPr>
              <w:t>روش عملی حنبلیان</w:t>
            </w:r>
            <w:r>
              <w:rPr>
                <w:rStyle w:val="IndexLink"/>
                <w:rtl w:val="true"/>
              </w:rPr>
              <w:tab/>
            </w:r>
            <w:r>
              <w:rPr>
                <w:rStyle w:val="IndexLink"/>
              </w:rPr>
              <w:t>79</w:t>
            </w:r>
          </w:hyperlink>
        </w:p>
        <w:p>
          <w:pPr>
            <w:pStyle w:val="Contents5"/>
            <w:tabs>
              <w:tab w:val="clear" w:pos="7892"/>
              <w:tab w:val="right" w:pos="9026" w:leader="dot"/>
            </w:tabs>
            <w:rPr/>
          </w:pPr>
          <w:hyperlink w:anchor="__RefHeading___Toc2419576_653776707">
            <w:r>
              <w:rPr>
                <w:webHidden/>
                <w:rStyle w:val="IndexLink"/>
              </w:rPr>
              <w:t>2</w:t>
            </w:r>
            <w:r>
              <w:rPr>
                <w:rStyle w:val="IndexLink"/>
                <w:rtl w:val="true"/>
              </w:rPr>
              <w:t xml:space="preserve">. </w:t>
            </w:r>
            <w:r>
              <w:rPr>
                <w:rStyle w:val="IndexLink"/>
                <w:rtl w:val="true"/>
              </w:rPr>
              <w:t>بینش فکری حنبلیان</w:t>
            </w:r>
            <w:r>
              <w:rPr>
                <w:rStyle w:val="IndexLink"/>
                <w:rtl w:val="true"/>
              </w:rPr>
              <w:tab/>
            </w:r>
            <w:r>
              <w:rPr>
                <w:rStyle w:val="IndexLink"/>
              </w:rPr>
              <w:t>81</w:t>
            </w:r>
          </w:hyperlink>
        </w:p>
        <w:p>
          <w:pPr>
            <w:pStyle w:val="Contents5"/>
            <w:tabs>
              <w:tab w:val="clear" w:pos="7892"/>
              <w:tab w:val="right" w:pos="9026" w:leader="dot"/>
            </w:tabs>
            <w:rPr/>
          </w:pPr>
          <w:hyperlink w:anchor="__RefHeading___Toc2419578_653776707">
            <w:r>
              <w:rPr>
                <w:webHidden/>
                <w:rStyle w:val="IndexLink"/>
              </w:rPr>
              <w:t>3</w:t>
            </w:r>
            <w:r>
              <w:rPr>
                <w:rStyle w:val="IndexLink"/>
                <w:rtl w:val="true"/>
              </w:rPr>
              <w:t xml:space="preserve">. </w:t>
            </w:r>
            <w:r>
              <w:rPr>
                <w:rStyle w:val="IndexLink"/>
                <w:rtl w:val="true"/>
              </w:rPr>
              <w:t>بینش فکری و روش عملی</w:t>
            </w:r>
            <w:r>
              <w:rPr>
                <w:rStyle w:val="IndexLink"/>
                <w:rtl w:val="true"/>
              </w:rPr>
              <w:tab/>
            </w:r>
            <w:r>
              <w:rPr>
                <w:rStyle w:val="IndexLink"/>
              </w:rPr>
              <w:t>82</w:t>
            </w:r>
          </w:hyperlink>
        </w:p>
        <w:p>
          <w:pPr>
            <w:pStyle w:val="Contents4"/>
            <w:tabs>
              <w:tab w:val="clear" w:pos="8176"/>
              <w:tab w:val="right" w:pos="9026" w:leader="dot"/>
            </w:tabs>
            <w:rPr/>
          </w:pPr>
          <w:hyperlink w:anchor="__RefHeading___Toc241958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84</w:t>
            </w:r>
          </w:hyperlink>
        </w:p>
        <w:p>
          <w:pPr>
            <w:pStyle w:val="Contents4"/>
            <w:tabs>
              <w:tab w:val="clear" w:pos="8176"/>
              <w:tab w:val="right" w:pos="9026" w:leader="dot"/>
            </w:tabs>
            <w:rPr/>
          </w:pPr>
          <w:hyperlink w:anchor="__RefHeading___Toc241958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85</w:t>
            </w:r>
          </w:hyperlink>
        </w:p>
        <w:p>
          <w:pPr>
            <w:pStyle w:val="Contents5"/>
            <w:tabs>
              <w:tab w:val="clear" w:pos="7892"/>
              <w:tab w:val="right" w:pos="9026" w:leader="dot"/>
            </w:tabs>
            <w:rPr/>
          </w:pPr>
          <w:hyperlink w:anchor="__RefHeading___Toc2419584_653776707">
            <w:r>
              <w:rPr>
                <w:webHidden/>
                <w:rStyle w:val="IndexLink"/>
                <w:rtl w:val="true"/>
              </w:rPr>
              <w:t>حنبلیان و حبّ علی</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241958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85</w:t>
            </w:r>
          </w:hyperlink>
        </w:p>
        <w:p>
          <w:pPr>
            <w:pStyle w:val="Contents3"/>
            <w:tabs>
              <w:tab w:val="clear" w:pos="8459"/>
              <w:tab w:val="right" w:pos="9026" w:leader="dot"/>
            </w:tabs>
            <w:rPr/>
          </w:pPr>
          <w:hyperlink w:anchor="__RefHeading___Toc2419588_653776707">
            <w:r>
              <w:rPr>
                <w:webHidden/>
                <w:rStyle w:val="IndexLink"/>
                <w:rtl w:val="true"/>
              </w:rPr>
              <w:t>گزارش و ارزیابی فصل هفتم</w:t>
            </w:r>
            <w:r>
              <w:rPr>
                <w:rStyle w:val="IndexLink"/>
                <w:rtl w:val="true"/>
              </w:rPr>
              <w:t xml:space="preserve">: </w:t>
            </w:r>
            <w:r>
              <w:rPr>
                <w:rStyle w:val="IndexLink"/>
                <w:rtl w:val="true"/>
              </w:rPr>
              <w:t>حنبلیان دمشق</w:t>
            </w:r>
            <w:r>
              <w:rPr>
                <w:rStyle w:val="IndexLink"/>
                <w:rtl w:val="true"/>
              </w:rPr>
              <w:tab/>
            </w:r>
            <w:r>
              <w:rPr>
                <w:rStyle w:val="IndexLink"/>
              </w:rPr>
              <w:t>87</w:t>
            </w:r>
          </w:hyperlink>
        </w:p>
        <w:p>
          <w:pPr>
            <w:pStyle w:val="Contents4"/>
            <w:tabs>
              <w:tab w:val="clear" w:pos="8176"/>
              <w:tab w:val="right" w:pos="9026" w:leader="dot"/>
            </w:tabs>
            <w:rPr/>
          </w:pPr>
          <w:hyperlink w:anchor="__RefHeading___Toc2419590_65377670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41959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87</w:t>
            </w:r>
          </w:hyperlink>
        </w:p>
        <w:p>
          <w:pPr>
            <w:pStyle w:val="Contents5"/>
            <w:tabs>
              <w:tab w:val="clear" w:pos="7892"/>
              <w:tab w:val="right" w:pos="9026" w:leader="dot"/>
            </w:tabs>
            <w:rPr/>
          </w:pPr>
          <w:hyperlink w:anchor="__RefHeading___Toc2419594_653776707">
            <w:r>
              <w:rPr>
                <w:webHidden/>
                <w:rStyle w:val="IndexLink"/>
              </w:rPr>
              <w:t>1</w:t>
            </w:r>
            <w:r>
              <w:rPr>
                <w:rStyle w:val="IndexLink"/>
                <w:rtl w:val="true"/>
              </w:rPr>
              <w:t xml:space="preserve">. </w:t>
            </w:r>
            <w:r>
              <w:rPr>
                <w:rStyle w:val="IndexLink"/>
                <w:rtl w:val="true"/>
              </w:rPr>
              <w:t>حنبلیان در دمشق</w:t>
            </w:r>
            <w:r>
              <w:rPr>
                <w:rStyle w:val="IndexLink"/>
                <w:rtl w:val="true"/>
              </w:rPr>
              <w:tab/>
            </w:r>
            <w:r>
              <w:rPr>
                <w:rStyle w:val="IndexLink"/>
              </w:rPr>
              <w:t>87</w:t>
            </w:r>
          </w:hyperlink>
        </w:p>
        <w:p>
          <w:pPr>
            <w:pStyle w:val="Contents5"/>
            <w:tabs>
              <w:tab w:val="clear" w:pos="7892"/>
              <w:tab w:val="right" w:pos="9026" w:leader="dot"/>
            </w:tabs>
            <w:rPr/>
          </w:pPr>
          <w:hyperlink w:anchor="__RefHeading___Toc2419596_653776707">
            <w:r>
              <w:rPr>
                <w:webHidden/>
                <w:rStyle w:val="IndexLink"/>
              </w:rPr>
              <w:t>2</w:t>
            </w:r>
            <w:r>
              <w:rPr>
                <w:rStyle w:val="IndexLink"/>
                <w:rtl w:val="true"/>
              </w:rPr>
              <w:t xml:space="preserve">. </w:t>
            </w:r>
            <w:r>
              <w:rPr>
                <w:rStyle w:val="IndexLink"/>
                <w:rtl w:val="true"/>
              </w:rPr>
              <w:t>ابن‌تیمیه و نهی از منکر</w:t>
            </w:r>
            <w:r>
              <w:rPr>
                <w:rStyle w:val="IndexLink"/>
                <w:rtl w:val="true"/>
              </w:rPr>
              <w:tab/>
            </w:r>
            <w:r>
              <w:rPr>
                <w:rStyle w:val="IndexLink"/>
              </w:rPr>
              <w:t>88</w:t>
            </w:r>
          </w:hyperlink>
        </w:p>
        <w:p>
          <w:pPr>
            <w:pStyle w:val="Contents5"/>
            <w:tabs>
              <w:tab w:val="clear" w:pos="7892"/>
              <w:tab w:val="right" w:pos="9026" w:leader="dot"/>
            </w:tabs>
            <w:rPr/>
          </w:pPr>
          <w:hyperlink w:anchor="__RefHeading___Toc2419598_653776707">
            <w:r>
              <w:rPr>
                <w:webHidden/>
                <w:rStyle w:val="IndexLink"/>
              </w:rPr>
              <w:t>3</w:t>
            </w:r>
            <w:r>
              <w:rPr>
                <w:rStyle w:val="IndexLink"/>
                <w:rtl w:val="true"/>
              </w:rPr>
              <w:t xml:space="preserve">. </w:t>
            </w:r>
            <w:r>
              <w:rPr>
                <w:rStyle w:val="IndexLink"/>
                <w:rtl w:val="true"/>
              </w:rPr>
              <w:t>اندیشه سیاسی ابن‌تیمیه</w:t>
            </w:r>
            <w:r>
              <w:rPr>
                <w:rStyle w:val="IndexLink"/>
                <w:rtl w:val="true"/>
              </w:rPr>
              <w:tab/>
            </w:r>
            <w:r>
              <w:rPr>
                <w:rStyle w:val="IndexLink"/>
              </w:rPr>
              <w:t>89</w:t>
            </w:r>
          </w:hyperlink>
        </w:p>
        <w:p>
          <w:pPr>
            <w:pStyle w:val="Contents4"/>
            <w:tabs>
              <w:tab w:val="clear" w:pos="8176"/>
              <w:tab w:val="right" w:pos="9026" w:leader="dot"/>
            </w:tabs>
            <w:rPr/>
          </w:pPr>
          <w:hyperlink w:anchor="__RefHeading___Toc241960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89</w:t>
            </w:r>
          </w:hyperlink>
        </w:p>
        <w:p>
          <w:pPr>
            <w:pStyle w:val="Contents4"/>
            <w:tabs>
              <w:tab w:val="clear" w:pos="8176"/>
              <w:tab w:val="right" w:pos="9026" w:leader="dot"/>
            </w:tabs>
            <w:rPr/>
          </w:pPr>
          <w:hyperlink w:anchor="__RefHeading___Toc241960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91</w:t>
            </w:r>
          </w:hyperlink>
        </w:p>
        <w:p>
          <w:pPr>
            <w:pStyle w:val="Contents5"/>
            <w:tabs>
              <w:tab w:val="clear" w:pos="7892"/>
              <w:tab w:val="right" w:pos="9026" w:leader="dot"/>
            </w:tabs>
            <w:rPr/>
          </w:pPr>
          <w:hyperlink w:anchor="__RefHeading___Toc2419604_653776707">
            <w:r>
              <w:rPr>
                <w:webHidden/>
                <w:rStyle w:val="IndexLink"/>
              </w:rPr>
              <w:t>4</w:t>
            </w:r>
            <w:r>
              <w:rPr>
                <w:rStyle w:val="IndexLink"/>
                <w:rtl w:val="true"/>
              </w:rPr>
              <w:t xml:space="preserve">. </w:t>
            </w:r>
            <w:r>
              <w:rPr>
                <w:rStyle w:val="IndexLink"/>
                <w:rtl w:val="true"/>
              </w:rPr>
              <w:t>حنبلیان پس از ابن‌تیمیه</w:t>
            </w:r>
            <w:r>
              <w:rPr>
                <w:rStyle w:val="IndexLink"/>
                <w:rtl w:val="true"/>
              </w:rPr>
              <w:tab/>
            </w:r>
            <w:r>
              <w:rPr>
                <w:rStyle w:val="IndexLink"/>
              </w:rPr>
              <w:t>91</w:t>
            </w:r>
          </w:hyperlink>
        </w:p>
        <w:p>
          <w:pPr>
            <w:pStyle w:val="Contents4"/>
            <w:tabs>
              <w:tab w:val="clear" w:pos="8176"/>
              <w:tab w:val="right" w:pos="9026" w:leader="dot"/>
            </w:tabs>
            <w:rPr/>
          </w:pPr>
          <w:hyperlink w:anchor="__RefHeading___Toc241960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92</w:t>
            </w:r>
          </w:hyperlink>
        </w:p>
        <w:p>
          <w:pPr>
            <w:pStyle w:val="Contents3"/>
            <w:tabs>
              <w:tab w:val="clear" w:pos="8459"/>
              <w:tab w:val="right" w:pos="9026" w:leader="dot"/>
            </w:tabs>
            <w:rPr/>
          </w:pPr>
          <w:hyperlink w:anchor="__RefHeading___Toc2419608_653776707">
            <w:r>
              <w:rPr>
                <w:webHidden/>
                <w:rStyle w:val="IndexLink"/>
                <w:rtl w:val="true"/>
              </w:rPr>
              <w:t>گزارش و ارزیابی فصل هشتم</w:t>
            </w:r>
            <w:r>
              <w:rPr>
                <w:rStyle w:val="IndexLink"/>
                <w:rtl w:val="true"/>
              </w:rPr>
              <w:t xml:space="preserve">: </w:t>
            </w:r>
            <w:r>
              <w:rPr>
                <w:rStyle w:val="IndexLink"/>
                <w:rtl w:val="true"/>
              </w:rPr>
              <w:t>حنبلیان نجد</w:t>
            </w:r>
            <w:r>
              <w:rPr>
                <w:rStyle w:val="IndexLink"/>
                <w:rtl w:val="true"/>
              </w:rPr>
              <w:tab/>
            </w:r>
            <w:r>
              <w:rPr>
                <w:rStyle w:val="IndexLink"/>
              </w:rPr>
              <w:t>97</w:t>
            </w:r>
          </w:hyperlink>
        </w:p>
        <w:p>
          <w:pPr>
            <w:pStyle w:val="Contents4"/>
            <w:tabs>
              <w:tab w:val="clear" w:pos="8176"/>
              <w:tab w:val="right" w:pos="9026" w:leader="dot"/>
            </w:tabs>
            <w:rPr/>
          </w:pPr>
          <w:hyperlink w:anchor="__RefHeading___Toc2419610_65377670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419612_653776707">
            <w:r>
              <w:rPr>
                <w:webHidden/>
                <w:rStyle w:val="IndexLink"/>
              </w:rPr>
              <w:t>1</w:t>
            </w:r>
            <w:r>
              <w:rPr>
                <w:rStyle w:val="IndexLink"/>
                <w:rtl w:val="true"/>
              </w:rPr>
              <w:t xml:space="preserve">. </w:t>
            </w:r>
            <w:r>
              <w:rPr>
                <w:rStyle w:val="IndexLink"/>
                <w:rtl w:val="true"/>
              </w:rPr>
              <w:t>حضور حنبلیان در نجد</w:t>
            </w:r>
            <w:r>
              <w:rPr>
                <w:rStyle w:val="IndexLink"/>
                <w:rtl w:val="true"/>
              </w:rPr>
              <w:tab/>
            </w:r>
            <w:r>
              <w:rPr>
                <w:rStyle w:val="IndexLink"/>
              </w:rPr>
              <w:t>97</w:t>
            </w:r>
          </w:hyperlink>
        </w:p>
        <w:p>
          <w:pPr>
            <w:pStyle w:val="Contents5"/>
            <w:tabs>
              <w:tab w:val="clear" w:pos="7892"/>
              <w:tab w:val="right" w:pos="9026" w:leader="dot"/>
            </w:tabs>
            <w:rPr/>
          </w:pPr>
          <w:hyperlink w:anchor="__RefHeading___Toc241961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97</w:t>
            </w:r>
          </w:hyperlink>
        </w:p>
        <w:p>
          <w:pPr>
            <w:pStyle w:val="Contents5"/>
            <w:tabs>
              <w:tab w:val="clear" w:pos="7892"/>
              <w:tab w:val="right" w:pos="9026" w:leader="dot"/>
            </w:tabs>
            <w:rPr/>
          </w:pPr>
          <w:hyperlink w:anchor="__RefHeading___Toc241961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98</w:t>
            </w:r>
          </w:hyperlink>
        </w:p>
        <w:p>
          <w:pPr>
            <w:pStyle w:val="Contents4"/>
            <w:tabs>
              <w:tab w:val="clear" w:pos="8176"/>
              <w:tab w:val="right" w:pos="9026" w:leader="dot"/>
            </w:tabs>
            <w:rPr/>
          </w:pPr>
          <w:hyperlink w:anchor="__RefHeading___Toc2419618_653776707">
            <w:r>
              <w:rPr>
                <w:webHidden/>
                <w:rStyle w:val="IndexLink"/>
              </w:rPr>
              <w:t>2</w:t>
            </w:r>
            <w:r>
              <w:rPr>
                <w:rStyle w:val="IndexLink"/>
                <w:rtl w:val="true"/>
              </w:rPr>
              <w:t xml:space="preserve">. </w:t>
            </w:r>
            <w:r>
              <w:rPr>
                <w:rStyle w:val="IndexLink"/>
                <w:rtl w:val="true"/>
              </w:rPr>
              <w:t>اولین دولت سعودی و امر به معروف و نهی از منکر</w:t>
            </w:r>
            <w:r>
              <w:rPr>
                <w:rStyle w:val="IndexLink"/>
                <w:rtl w:val="true"/>
              </w:rPr>
              <w:tab/>
            </w:r>
            <w:r>
              <w:rPr>
                <w:rStyle w:val="IndexLink"/>
              </w:rPr>
              <w:t>99</w:t>
            </w:r>
          </w:hyperlink>
        </w:p>
        <w:p>
          <w:pPr>
            <w:pStyle w:val="Contents5"/>
            <w:tabs>
              <w:tab w:val="clear" w:pos="7892"/>
              <w:tab w:val="right" w:pos="9026" w:leader="dot"/>
            </w:tabs>
            <w:rPr/>
          </w:pPr>
          <w:hyperlink w:anchor="__RefHeading___Toc241962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99</w:t>
            </w:r>
          </w:hyperlink>
        </w:p>
        <w:p>
          <w:pPr>
            <w:pStyle w:val="Contents5"/>
            <w:tabs>
              <w:tab w:val="clear" w:pos="7892"/>
              <w:tab w:val="right" w:pos="9026" w:leader="dot"/>
            </w:tabs>
            <w:rPr/>
          </w:pPr>
          <w:hyperlink w:anchor="__RefHeading___Toc241962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101</w:t>
            </w:r>
          </w:hyperlink>
        </w:p>
        <w:p>
          <w:pPr>
            <w:pStyle w:val="Contents4"/>
            <w:tabs>
              <w:tab w:val="clear" w:pos="8176"/>
              <w:tab w:val="right" w:pos="9026" w:leader="dot"/>
            </w:tabs>
            <w:rPr/>
          </w:pPr>
          <w:hyperlink w:anchor="__RefHeading___Toc2419624_653776707">
            <w:r>
              <w:rPr>
                <w:webHidden/>
                <w:rStyle w:val="IndexLink"/>
              </w:rPr>
              <w:t>3</w:t>
            </w:r>
            <w:r>
              <w:rPr>
                <w:rStyle w:val="IndexLink"/>
                <w:rtl w:val="true"/>
              </w:rPr>
              <w:t xml:space="preserve">. </w:t>
            </w:r>
            <w:r>
              <w:rPr>
                <w:rStyle w:val="IndexLink"/>
                <w:rtl w:val="true"/>
              </w:rPr>
              <w:t>دومین دولت سعودی و امر به معروف و نهی از منکر</w:t>
            </w:r>
            <w:r>
              <w:rPr>
                <w:rStyle w:val="IndexLink"/>
                <w:rtl w:val="true"/>
              </w:rPr>
              <w:tab/>
            </w:r>
            <w:r>
              <w:rPr>
                <w:rStyle w:val="IndexLink"/>
              </w:rPr>
              <w:t>103</w:t>
            </w:r>
          </w:hyperlink>
        </w:p>
        <w:p>
          <w:pPr>
            <w:pStyle w:val="Contents5"/>
            <w:tabs>
              <w:tab w:val="clear" w:pos="7892"/>
              <w:tab w:val="right" w:pos="9026" w:leader="dot"/>
            </w:tabs>
            <w:rPr/>
          </w:pPr>
          <w:hyperlink w:anchor="__RefHeading___Toc241962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103</w:t>
            </w:r>
          </w:hyperlink>
        </w:p>
        <w:p>
          <w:pPr>
            <w:pStyle w:val="Contents4"/>
            <w:tabs>
              <w:tab w:val="clear" w:pos="8176"/>
              <w:tab w:val="right" w:pos="9026" w:leader="dot"/>
            </w:tabs>
            <w:rPr/>
          </w:pPr>
          <w:hyperlink w:anchor="__RefHeading___Toc2419628_653776707">
            <w:r>
              <w:rPr>
                <w:webHidden/>
                <w:rStyle w:val="IndexLink"/>
              </w:rPr>
              <w:t>4</w:t>
            </w:r>
            <w:r>
              <w:rPr>
                <w:rStyle w:val="IndexLink"/>
                <w:rtl w:val="true"/>
              </w:rPr>
              <w:t xml:space="preserve">. </w:t>
            </w:r>
            <w:r>
              <w:rPr>
                <w:rStyle w:val="IndexLink"/>
                <w:rtl w:val="true"/>
              </w:rPr>
              <w:t>سومین دولت سعودی و امر به معروف و نهی از منکر</w:t>
            </w:r>
            <w:r>
              <w:rPr>
                <w:rStyle w:val="IndexLink"/>
                <w:rtl w:val="true"/>
              </w:rPr>
              <w:tab/>
            </w:r>
            <w:r>
              <w:rPr>
                <w:rStyle w:val="IndexLink"/>
              </w:rPr>
              <w:t>105</w:t>
            </w:r>
          </w:hyperlink>
        </w:p>
        <w:p>
          <w:pPr>
            <w:pStyle w:val="Contents5"/>
            <w:tabs>
              <w:tab w:val="clear" w:pos="7892"/>
              <w:tab w:val="right" w:pos="9026" w:leader="dot"/>
            </w:tabs>
            <w:rPr/>
          </w:pPr>
          <w:hyperlink w:anchor="__RefHeading___Toc241963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105</w:t>
            </w:r>
          </w:hyperlink>
        </w:p>
        <w:p>
          <w:pPr>
            <w:pStyle w:val="Contents4"/>
            <w:tabs>
              <w:tab w:val="clear" w:pos="8176"/>
              <w:tab w:val="right" w:pos="9026" w:leader="dot"/>
            </w:tabs>
            <w:rPr/>
          </w:pPr>
          <w:hyperlink w:anchor="__RefHeading___Toc2419632_653776707">
            <w:r>
              <w:rPr>
                <w:webHidden/>
                <w:rStyle w:val="IndexLink"/>
              </w:rPr>
              <w:t>5</w:t>
            </w:r>
            <w:r>
              <w:rPr>
                <w:rStyle w:val="IndexLink"/>
                <w:rtl w:val="true"/>
              </w:rPr>
              <w:t xml:space="preserve">. </w:t>
            </w:r>
            <w:r>
              <w:rPr>
                <w:rStyle w:val="IndexLink"/>
                <w:rtl w:val="true"/>
              </w:rPr>
              <w:t>خاتمه</w:t>
            </w:r>
            <w:r>
              <w:rPr>
                <w:rStyle w:val="IndexLink"/>
                <w:rtl w:val="true"/>
              </w:rPr>
              <w:tab/>
            </w:r>
            <w:r>
              <w:rPr>
                <w:rStyle w:val="IndexLink"/>
              </w:rPr>
              <w:t>108</w:t>
            </w:r>
          </w:hyperlink>
        </w:p>
        <w:p>
          <w:pPr>
            <w:pStyle w:val="Contents5"/>
            <w:tabs>
              <w:tab w:val="clear" w:pos="7892"/>
              <w:tab w:val="right" w:pos="9026" w:leader="dot"/>
            </w:tabs>
            <w:rPr/>
          </w:pPr>
          <w:hyperlink w:anchor="__RefHeading___Toc2419634_65377670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41963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108</w:t>
            </w:r>
          </w:hyperlink>
        </w:p>
        <w:p>
          <w:pPr>
            <w:pStyle w:val="Contents2"/>
            <w:tabs>
              <w:tab w:val="clear" w:pos="8743"/>
              <w:tab w:val="right" w:pos="9026" w:leader="dot"/>
            </w:tabs>
            <w:rPr/>
          </w:pPr>
          <w:hyperlink w:anchor="__RefHeading___Toc2419638_653776707">
            <w:r>
              <w:rPr>
                <w:webHidden/>
                <w:rStyle w:val="IndexLink"/>
                <w:rtl w:val="true"/>
              </w:rPr>
              <w:t>بخش سوم</w:t>
            </w:r>
            <w:r>
              <w:rPr>
                <w:rStyle w:val="IndexLink"/>
                <w:rtl w:val="true"/>
              </w:rPr>
              <w:t xml:space="preserve">: </w:t>
            </w:r>
            <w:r>
              <w:rPr>
                <w:rStyle w:val="IndexLink"/>
                <w:rtl w:val="true"/>
              </w:rPr>
              <w:t>معتزلیان و شیعیان</w:t>
            </w:r>
            <w:r>
              <w:rPr>
                <w:rStyle w:val="IndexLink"/>
                <w:rtl w:val="true"/>
              </w:rPr>
              <w:tab/>
            </w:r>
            <w:r>
              <w:rPr>
                <w:rStyle w:val="IndexLink"/>
              </w:rPr>
              <w:t>113</w:t>
            </w:r>
          </w:hyperlink>
        </w:p>
        <w:p>
          <w:pPr>
            <w:pStyle w:val="Contents3"/>
            <w:tabs>
              <w:tab w:val="clear" w:pos="8459"/>
              <w:tab w:val="right" w:pos="9026" w:leader="dot"/>
            </w:tabs>
            <w:rPr/>
          </w:pPr>
          <w:hyperlink w:anchor="__RefHeading___Toc2419640_653776707">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419642_653776707">
            <w:r>
              <w:rPr>
                <w:webHidden/>
                <w:rStyle w:val="IndexLink"/>
                <w:rtl w:val="true"/>
              </w:rPr>
              <w:t>گزارش و ارزیابی فصل نهم</w:t>
            </w:r>
            <w:r>
              <w:rPr>
                <w:rStyle w:val="IndexLink"/>
                <w:rtl w:val="true"/>
              </w:rPr>
              <w:t xml:space="preserve">: </w:t>
            </w:r>
            <w:r>
              <w:rPr>
                <w:rStyle w:val="IndexLink"/>
                <w:rtl w:val="true"/>
              </w:rPr>
              <w:t>معتزلیان</w:t>
            </w:r>
            <w:r>
              <w:rPr>
                <w:rStyle w:val="IndexLink"/>
                <w:rtl w:val="true"/>
              </w:rPr>
              <w:tab/>
            </w:r>
            <w:r>
              <w:rPr>
                <w:rStyle w:val="IndexLink"/>
              </w:rPr>
              <w:t>115</w:t>
            </w:r>
          </w:hyperlink>
        </w:p>
        <w:p>
          <w:pPr>
            <w:pStyle w:val="Contents4"/>
            <w:tabs>
              <w:tab w:val="clear" w:pos="8176"/>
              <w:tab w:val="right" w:pos="9026" w:leader="dot"/>
            </w:tabs>
            <w:rPr/>
          </w:pPr>
          <w:hyperlink w:anchor="__RefHeading___Toc2419644_65377670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41964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115</w:t>
            </w:r>
          </w:hyperlink>
        </w:p>
        <w:p>
          <w:pPr>
            <w:pStyle w:val="Contents5"/>
            <w:tabs>
              <w:tab w:val="clear" w:pos="7892"/>
              <w:tab w:val="right" w:pos="9026" w:leader="dot"/>
            </w:tabs>
            <w:rPr/>
          </w:pPr>
          <w:hyperlink w:anchor="__RefHeading___Toc2419648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115</w:t>
            </w:r>
          </w:hyperlink>
        </w:p>
        <w:p>
          <w:pPr>
            <w:pStyle w:val="Contents5"/>
            <w:tabs>
              <w:tab w:val="clear" w:pos="7892"/>
              <w:tab w:val="right" w:pos="9026" w:leader="dot"/>
            </w:tabs>
            <w:rPr/>
          </w:pPr>
          <w:hyperlink w:anchor="__RefHeading___Toc2419650_653776707">
            <w:r>
              <w:rPr>
                <w:webHidden/>
                <w:rStyle w:val="IndexLink"/>
              </w:rPr>
              <w:t>2</w:t>
            </w:r>
            <w:r>
              <w:rPr>
                <w:rStyle w:val="IndexLink"/>
                <w:rtl w:val="true"/>
              </w:rPr>
              <w:t xml:space="preserve">. </w:t>
            </w:r>
            <w:r>
              <w:rPr>
                <w:rStyle w:val="IndexLink"/>
                <w:rtl w:val="true"/>
              </w:rPr>
              <w:t>آرای اعتزالی در امر به معروف و نهی از منکر</w:t>
            </w:r>
            <w:r>
              <w:rPr>
                <w:rStyle w:val="IndexLink"/>
                <w:rtl w:val="true"/>
              </w:rPr>
              <w:tab/>
            </w:r>
            <w:r>
              <w:rPr>
                <w:rStyle w:val="IndexLink"/>
              </w:rPr>
              <w:t>115</w:t>
            </w:r>
          </w:hyperlink>
        </w:p>
        <w:p>
          <w:pPr>
            <w:pStyle w:val="Contents5"/>
            <w:tabs>
              <w:tab w:val="clear" w:pos="7892"/>
              <w:tab w:val="right" w:pos="9026" w:leader="dot"/>
            </w:tabs>
            <w:rPr/>
          </w:pPr>
          <w:hyperlink w:anchor="__RefHeading___Toc2419652_653776707">
            <w:r>
              <w:rPr>
                <w:webHidden/>
                <w:rStyle w:val="IndexLink"/>
              </w:rPr>
              <w:t>3</w:t>
            </w:r>
            <w:r>
              <w:rPr>
                <w:rStyle w:val="IndexLink"/>
                <w:rtl w:val="true"/>
              </w:rPr>
              <w:t xml:space="preserve">. </w:t>
            </w:r>
            <w:r>
              <w:rPr>
                <w:rStyle w:val="IndexLink"/>
                <w:rtl w:val="true"/>
              </w:rPr>
              <w:t>مکتب معتزلی کهن</w:t>
            </w:r>
            <w:r>
              <w:rPr>
                <w:rStyle w:val="IndexLink"/>
                <w:rtl w:val="true"/>
              </w:rPr>
              <w:t xml:space="preserve">: </w:t>
            </w:r>
            <w:r>
              <w:rPr>
                <w:rStyle w:val="IndexLink"/>
                <w:rtl w:val="true"/>
              </w:rPr>
              <w:t>آرای مانکدیم</w:t>
            </w:r>
            <w:r>
              <w:rPr>
                <w:rStyle w:val="IndexLink"/>
                <w:rtl w:val="true"/>
              </w:rPr>
              <w:tab/>
            </w:r>
            <w:r>
              <w:rPr>
                <w:rStyle w:val="IndexLink"/>
              </w:rPr>
              <w:t>117</w:t>
            </w:r>
          </w:hyperlink>
        </w:p>
        <w:p>
          <w:pPr>
            <w:pStyle w:val="Contents5"/>
            <w:tabs>
              <w:tab w:val="clear" w:pos="7892"/>
              <w:tab w:val="right" w:pos="9026" w:leader="dot"/>
            </w:tabs>
            <w:rPr/>
          </w:pPr>
          <w:hyperlink w:anchor="__RefHeading___Toc2419654_653776707">
            <w:r>
              <w:rPr>
                <w:webHidden/>
                <w:rStyle w:val="IndexLink"/>
              </w:rPr>
              <w:t>4</w:t>
            </w:r>
            <w:r>
              <w:rPr>
                <w:rStyle w:val="IndexLink"/>
                <w:rtl w:val="true"/>
              </w:rPr>
              <w:t xml:space="preserve">. </w:t>
            </w:r>
            <w:r>
              <w:rPr>
                <w:rStyle w:val="IndexLink"/>
                <w:rtl w:val="true"/>
              </w:rPr>
              <w:t>پیوستگی مکتب‌های فقهی</w:t>
            </w:r>
            <w:r>
              <w:rPr>
                <w:rStyle w:val="IndexLink"/>
                <w:rtl w:val="true"/>
              </w:rPr>
              <w:tab/>
            </w:r>
            <w:r>
              <w:rPr>
                <w:rStyle w:val="IndexLink"/>
              </w:rPr>
              <w:t>120</w:t>
            </w:r>
          </w:hyperlink>
        </w:p>
        <w:p>
          <w:pPr>
            <w:pStyle w:val="Contents5"/>
            <w:tabs>
              <w:tab w:val="clear" w:pos="7892"/>
              <w:tab w:val="right" w:pos="9026" w:leader="dot"/>
            </w:tabs>
            <w:rPr/>
          </w:pPr>
          <w:hyperlink w:anchor="__RefHeading___Toc2419656_653776707">
            <w:r>
              <w:rPr>
                <w:webHidden/>
                <w:rStyle w:val="IndexLink"/>
              </w:rPr>
              <w:t>5</w:t>
            </w:r>
            <w:r>
              <w:rPr>
                <w:rStyle w:val="IndexLink"/>
                <w:rtl w:val="true"/>
              </w:rPr>
              <w:t xml:space="preserve">. </w:t>
            </w:r>
            <w:r>
              <w:rPr>
                <w:rStyle w:val="IndexLink"/>
                <w:rtl w:val="true"/>
              </w:rPr>
              <w:t xml:space="preserve">نقش حاکم </w:t>
            </w:r>
            <w:r>
              <w:rPr>
                <w:rStyle w:val="IndexLink"/>
                <w:rtl w:val="true"/>
              </w:rPr>
              <w:t>(</w:t>
            </w:r>
            <w:r>
              <w:rPr>
                <w:rStyle w:val="IndexLink"/>
                <w:rtl w:val="true"/>
              </w:rPr>
              <w:t>امام</w:t>
            </w:r>
            <w:r>
              <w:rPr>
                <w:rStyle w:val="IndexLink"/>
                <w:rtl w:val="true"/>
              </w:rPr>
              <w:t>)</w:t>
              <w:tab/>
            </w:r>
            <w:r>
              <w:rPr>
                <w:rStyle w:val="IndexLink"/>
              </w:rPr>
              <w:t>120</w:t>
            </w:r>
          </w:hyperlink>
        </w:p>
        <w:p>
          <w:pPr>
            <w:pStyle w:val="Contents5"/>
            <w:tabs>
              <w:tab w:val="clear" w:pos="7892"/>
              <w:tab w:val="right" w:pos="9026" w:leader="dot"/>
            </w:tabs>
            <w:rPr/>
          </w:pPr>
          <w:hyperlink w:anchor="__RefHeading___Toc2419658_653776707">
            <w:r>
              <w:rPr>
                <w:webHidden/>
                <w:rStyle w:val="IndexLink"/>
              </w:rPr>
              <w:t>6</w:t>
            </w:r>
            <w:r>
              <w:rPr>
                <w:rStyle w:val="IndexLink"/>
                <w:rtl w:val="true"/>
              </w:rPr>
              <w:t xml:space="preserve">. </w:t>
            </w:r>
            <w:r>
              <w:rPr>
                <w:rStyle w:val="IndexLink"/>
                <w:rtl w:val="true"/>
              </w:rPr>
              <w:t xml:space="preserve">معتزلیان کهن </w:t>
            </w:r>
            <w:r>
              <w:rPr>
                <w:rStyle w:val="IndexLink"/>
                <w:rtl w:val="true"/>
              </w:rPr>
              <w:t xml:space="preserve">- </w:t>
            </w:r>
            <w:r>
              <w:rPr>
                <w:rStyle w:val="IndexLink"/>
                <w:rtl w:val="true"/>
              </w:rPr>
              <w:t>آموزه‌های رقیب</w:t>
            </w:r>
            <w:r>
              <w:rPr>
                <w:rStyle w:val="IndexLink"/>
                <w:rtl w:val="true"/>
              </w:rPr>
              <w:tab/>
            </w:r>
            <w:r>
              <w:rPr>
                <w:rStyle w:val="IndexLink"/>
              </w:rPr>
              <w:t>121</w:t>
            </w:r>
          </w:hyperlink>
        </w:p>
        <w:p>
          <w:pPr>
            <w:pStyle w:val="Contents5"/>
            <w:tabs>
              <w:tab w:val="clear" w:pos="7892"/>
              <w:tab w:val="right" w:pos="9026" w:leader="dot"/>
            </w:tabs>
            <w:rPr/>
          </w:pPr>
          <w:hyperlink w:anchor="__RefHeading___Toc2419660_653776707">
            <w:r>
              <w:rPr>
                <w:webHidden/>
                <w:rStyle w:val="IndexLink"/>
              </w:rPr>
              <w:t>7</w:t>
            </w:r>
            <w:r>
              <w:rPr>
                <w:rStyle w:val="IndexLink"/>
                <w:rtl w:val="true"/>
              </w:rPr>
              <w:t xml:space="preserve">. </w:t>
            </w:r>
            <w:r>
              <w:rPr>
                <w:rStyle w:val="IndexLink"/>
                <w:rtl w:val="true"/>
              </w:rPr>
              <w:t>خاتمه</w:t>
            </w:r>
            <w:r>
              <w:rPr>
                <w:rStyle w:val="IndexLink"/>
                <w:rtl w:val="true"/>
              </w:rPr>
              <w:tab/>
            </w:r>
            <w:r>
              <w:rPr>
                <w:rStyle w:val="IndexLink"/>
              </w:rPr>
              <w:t>122</w:t>
            </w:r>
          </w:hyperlink>
        </w:p>
        <w:p>
          <w:pPr>
            <w:pStyle w:val="Contents4"/>
            <w:tabs>
              <w:tab w:val="clear" w:pos="8176"/>
              <w:tab w:val="right" w:pos="9026" w:leader="dot"/>
            </w:tabs>
            <w:rPr/>
          </w:pPr>
          <w:hyperlink w:anchor="__RefHeading___Toc241966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123</w:t>
            </w:r>
          </w:hyperlink>
        </w:p>
        <w:p>
          <w:pPr>
            <w:pStyle w:val="Contents3"/>
            <w:tabs>
              <w:tab w:val="clear" w:pos="8459"/>
              <w:tab w:val="right" w:pos="9026" w:leader="dot"/>
            </w:tabs>
            <w:rPr/>
          </w:pPr>
          <w:hyperlink w:anchor="__RefHeading___Toc2419664_653776707">
            <w:r>
              <w:rPr>
                <w:webHidden/>
                <w:rStyle w:val="IndexLink"/>
                <w:rtl w:val="true"/>
              </w:rPr>
              <w:t>گزارش و ارزیابی فصل دهم</w:t>
            </w:r>
            <w:r>
              <w:rPr>
                <w:rStyle w:val="IndexLink"/>
                <w:rtl w:val="true"/>
              </w:rPr>
              <w:t xml:space="preserve">: </w:t>
            </w:r>
            <w:r>
              <w:rPr>
                <w:rStyle w:val="IndexLink"/>
                <w:rtl w:val="true"/>
              </w:rPr>
              <w:t>زیدیه</w:t>
            </w:r>
            <w:r>
              <w:rPr>
                <w:rStyle w:val="IndexLink"/>
                <w:rtl w:val="true"/>
              </w:rPr>
              <w:tab/>
            </w:r>
            <w:r>
              <w:rPr>
                <w:rStyle w:val="IndexLink"/>
              </w:rPr>
              <w:t>125</w:t>
            </w:r>
          </w:hyperlink>
        </w:p>
        <w:p>
          <w:pPr>
            <w:pStyle w:val="Contents4"/>
            <w:tabs>
              <w:tab w:val="clear" w:pos="8176"/>
              <w:tab w:val="right" w:pos="9026" w:leader="dot"/>
            </w:tabs>
            <w:rPr/>
          </w:pPr>
          <w:hyperlink w:anchor="__RefHeading___Toc2419666_65377670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41966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125</w:t>
            </w:r>
          </w:hyperlink>
        </w:p>
        <w:p>
          <w:pPr>
            <w:pStyle w:val="Contents5"/>
            <w:tabs>
              <w:tab w:val="clear" w:pos="7892"/>
              <w:tab w:val="right" w:pos="9026" w:leader="dot"/>
            </w:tabs>
            <w:rPr/>
          </w:pPr>
          <w:hyperlink w:anchor="__RefHeading___Toc2419670_653776707">
            <w:r>
              <w:rPr>
                <w:webHidden/>
                <w:rStyle w:val="IndexLink"/>
              </w:rPr>
              <w:t>1</w:t>
            </w:r>
            <w:r>
              <w:rPr>
                <w:rStyle w:val="IndexLink"/>
                <w:rtl w:val="true"/>
              </w:rPr>
              <w:t xml:space="preserve">. </w:t>
            </w:r>
            <w:r>
              <w:rPr>
                <w:rStyle w:val="IndexLink"/>
                <w:rtl w:val="true"/>
              </w:rPr>
              <w:t>زیدیه و امر به معروف و نهی از منکر</w:t>
            </w:r>
            <w:r>
              <w:rPr>
                <w:rStyle w:val="IndexLink"/>
                <w:rtl w:val="true"/>
              </w:rPr>
              <w:tab/>
            </w:r>
            <w:r>
              <w:rPr>
                <w:rStyle w:val="IndexLink"/>
              </w:rPr>
              <w:t>125</w:t>
            </w:r>
          </w:hyperlink>
        </w:p>
        <w:p>
          <w:pPr>
            <w:pStyle w:val="Contents5"/>
            <w:tabs>
              <w:tab w:val="clear" w:pos="7892"/>
              <w:tab w:val="right" w:pos="9026" w:leader="dot"/>
            </w:tabs>
            <w:rPr/>
          </w:pPr>
          <w:hyperlink w:anchor="__RefHeading___Toc2419672_653776707">
            <w:r>
              <w:rPr>
                <w:webHidden/>
                <w:rStyle w:val="IndexLink"/>
              </w:rPr>
              <w:t>2</w:t>
            </w:r>
            <w:r>
              <w:rPr>
                <w:rStyle w:val="IndexLink"/>
                <w:rtl w:val="true"/>
              </w:rPr>
              <w:t xml:space="preserve">. </w:t>
            </w:r>
            <w:r>
              <w:rPr>
                <w:rStyle w:val="IndexLink"/>
                <w:rtl w:val="true"/>
              </w:rPr>
              <w:t>باورهای زیدیۀ نخستین</w:t>
            </w:r>
            <w:r>
              <w:rPr>
                <w:rStyle w:val="IndexLink"/>
                <w:rtl w:val="true"/>
              </w:rPr>
              <w:tab/>
            </w:r>
            <w:r>
              <w:rPr>
                <w:rStyle w:val="IndexLink"/>
              </w:rPr>
              <w:t>126</w:t>
            </w:r>
          </w:hyperlink>
        </w:p>
        <w:p>
          <w:pPr>
            <w:pStyle w:val="Contents5"/>
            <w:tabs>
              <w:tab w:val="clear" w:pos="7892"/>
              <w:tab w:val="right" w:pos="9026" w:leader="dot"/>
            </w:tabs>
            <w:rPr/>
          </w:pPr>
          <w:hyperlink w:anchor="__RefHeading___Toc2419674_653776707">
            <w:r>
              <w:rPr>
                <w:webHidden/>
                <w:rStyle w:val="IndexLink"/>
              </w:rPr>
              <w:t>3</w:t>
            </w:r>
            <w:r>
              <w:rPr>
                <w:rStyle w:val="IndexLink"/>
                <w:rtl w:val="true"/>
              </w:rPr>
              <w:t xml:space="preserve">. </w:t>
            </w:r>
            <w:r>
              <w:rPr>
                <w:rStyle w:val="IndexLink"/>
                <w:rtl w:val="true"/>
              </w:rPr>
              <w:t>عمل‌گرایی زیدیه</w:t>
            </w:r>
            <w:r>
              <w:rPr>
                <w:rStyle w:val="IndexLink"/>
                <w:rtl w:val="true"/>
              </w:rPr>
              <w:tab/>
            </w:r>
            <w:r>
              <w:rPr>
                <w:rStyle w:val="IndexLink"/>
              </w:rPr>
              <w:t>128</w:t>
            </w:r>
          </w:hyperlink>
        </w:p>
        <w:p>
          <w:pPr>
            <w:pStyle w:val="Contents4"/>
            <w:tabs>
              <w:tab w:val="clear" w:pos="8176"/>
              <w:tab w:val="right" w:pos="9026" w:leader="dot"/>
            </w:tabs>
            <w:rPr/>
          </w:pPr>
          <w:hyperlink w:anchor="__RefHeading___Toc241967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129</w:t>
            </w:r>
          </w:hyperlink>
        </w:p>
        <w:p>
          <w:pPr>
            <w:pStyle w:val="Contents4"/>
            <w:tabs>
              <w:tab w:val="clear" w:pos="8176"/>
              <w:tab w:val="right" w:pos="9026" w:leader="dot"/>
            </w:tabs>
            <w:rPr/>
          </w:pPr>
          <w:hyperlink w:anchor="__RefHeading___Toc241967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132</w:t>
            </w:r>
          </w:hyperlink>
        </w:p>
        <w:p>
          <w:pPr>
            <w:pStyle w:val="Contents5"/>
            <w:tabs>
              <w:tab w:val="clear" w:pos="7892"/>
              <w:tab w:val="right" w:pos="9026" w:leader="dot"/>
            </w:tabs>
            <w:rPr/>
          </w:pPr>
          <w:hyperlink w:anchor="__RefHeading___Toc2419680_653776707">
            <w:r>
              <w:rPr>
                <w:webHidden/>
                <w:rStyle w:val="IndexLink"/>
              </w:rPr>
              <w:t>4</w:t>
            </w:r>
            <w:r>
              <w:rPr>
                <w:rStyle w:val="IndexLink"/>
                <w:rtl w:val="true"/>
              </w:rPr>
              <w:t xml:space="preserve">. </w:t>
            </w:r>
            <w:r>
              <w:rPr>
                <w:rStyle w:val="IndexLink"/>
                <w:rtl w:val="true"/>
              </w:rPr>
              <w:t>سنت فقهی زیدیه</w:t>
            </w:r>
            <w:r>
              <w:rPr>
                <w:rStyle w:val="IndexLink"/>
                <w:rtl w:val="true"/>
              </w:rPr>
              <w:tab/>
            </w:r>
            <w:r>
              <w:rPr>
                <w:rStyle w:val="IndexLink"/>
              </w:rPr>
              <w:t>132</w:t>
            </w:r>
          </w:hyperlink>
        </w:p>
        <w:p>
          <w:pPr>
            <w:pStyle w:val="Contents5"/>
            <w:tabs>
              <w:tab w:val="clear" w:pos="7892"/>
              <w:tab w:val="right" w:pos="9026" w:leader="dot"/>
            </w:tabs>
            <w:rPr/>
          </w:pPr>
          <w:hyperlink w:anchor="__RefHeading___Toc2419682_653776707">
            <w:r>
              <w:rPr>
                <w:webHidden/>
                <w:rStyle w:val="IndexLink"/>
              </w:rPr>
              <w:t>5</w:t>
            </w:r>
            <w:r>
              <w:rPr>
                <w:rStyle w:val="IndexLink"/>
                <w:rtl w:val="true"/>
              </w:rPr>
              <w:t xml:space="preserve">. </w:t>
            </w:r>
            <w:r>
              <w:rPr>
                <w:rStyle w:val="IndexLink"/>
                <w:rtl w:val="true"/>
              </w:rPr>
              <w:t>مصادیق نهی از منکر در عقیده زیدیه</w:t>
            </w:r>
            <w:r>
              <w:rPr>
                <w:rStyle w:val="IndexLink"/>
                <w:rtl w:val="true"/>
              </w:rPr>
              <w:tab/>
            </w:r>
            <w:r>
              <w:rPr>
                <w:rStyle w:val="IndexLink"/>
              </w:rPr>
              <w:t>133</w:t>
            </w:r>
          </w:hyperlink>
        </w:p>
        <w:p>
          <w:pPr>
            <w:pStyle w:val="Contents5"/>
            <w:tabs>
              <w:tab w:val="clear" w:pos="7892"/>
              <w:tab w:val="right" w:pos="9026" w:leader="dot"/>
            </w:tabs>
            <w:rPr/>
          </w:pPr>
          <w:hyperlink w:anchor="__RefHeading___Toc2419684_653776707">
            <w:r>
              <w:rPr>
                <w:webHidden/>
                <w:rStyle w:val="IndexLink"/>
              </w:rPr>
              <w:t>6</w:t>
            </w:r>
            <w:r>
              <w:rPr>
                <w:rStyle w:val="IndexLink"/>
                <w:rtl w:val="true"/>
              </w:rPr>
              <w:t xml:space="preserve">. </w:t>
            </w:r>
            <w:r>
              <w:rPr>
                <w:rStyle w:val="IndexLink"/>
                <w:rtl w:val="true"/>
              </w:rPr>
              <w:t xml:space="preserve">همزیستی زیدی </w:t>
            </w:r>
            <w:r>
              <w:rPr>
                <w:rStyle w:val="IndexLink"/>
                <w:rtl w:val="true"/>
              </w:rPr>
              <w:t xml:space="preserve">- </w:t>
            </w:r>
            <w:r>
              <w:rPr>
                <w:rStyle w:val="IndexLink"/>
                <w:rtl w:val="true"/>
              </w:rPr>
              <w:t>معتزلی</w:t>
            </w:r>
            <w:r>
              <w:rPr>
                <w:rStyle w:val="IndexLink"/>
                <w:rtl w:val="true"/>
              </w:rPr>
              <w:tab/>
            </w:r>
            <w:r>
              <w:rPr>
                <w:rStyle w:val="IndexLink"/>
              </w:rPr>
              <w:t>134</w:t>
            </w:r>
          </w:hyperlink>
        </w:p>
        <w:p>
          <w:pPr>
            <w:pStyle w:val="Contents5"/>
            <w:tabs>
              <w:tab w:val="clear" w:pos="7892"/>
              <w:tab w:val="right" w:pos="9026" w:leader="dot"/>
            </w:tabs>
            <w:rPr/>
          </w:pPr>
          <w:hyperlink w:anchor="__RefHeading___Toc2419686_653776707">
            <w:r>
              <w:rPr>
                <w:webHidden/>
                <w:rStyle w:val="IndexLink"/>
              </w:rPr>
              <w:t>7</w:t>
            </w:r>
            <w:r>
              <w:rPr>
                <w:rStyle w:val="IndexLink"/>
                <w:rtl w:val="true"/>
              </w:rPr>
              <w:t xml:space="preserve">. </w:t>
            </w:r>
            <w:r>
              <w:rPr>
                <w:rStyle w:val="IndexLink"/>
                <w:rtl w:val="true"/>
              </w:rPr>
              <w:t>سنّی‌گرایی زیدیه</w:t>
            </w:r>
            <w:r>
              <w:rPr>
                <w:rStyle w:val="IndexLink"/>
                <w:rtl w:val="true"/>
              </w:rPr>
              <w:tab/>
            </w:r>
            <w:r>
              <w:rPr>
                <w:rStyle w:val="IndexLink"/>
              </w:rPr>
              <w:t>135</w:t>
            </w:r>
          </w:hyperlink>
        </w:p>
        <w:p>
          <w:pPr>
            <w:pStyle w:val="Contents4"/>
            <w:tabs>
              <w:tab w:val="clear" w:pos="8176"/>
              <w:tab w:val="right" w:pos="9026" w:leader="dot"/>
            </w:tabs>
            <w:rPr/>
          </w:pPr>
          <w:hyperlink w:anchor="__RefHeading___Toc241968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137</w:t>
            </w:r>
          </w:hyperlink>
        </w:p>
        <w:p>
          <w:pPr>
            <w:pStyle w:val="Contents3"/>
            <w:tabs>
              <w:tab w:val="clear" w:pos="8459"/>
              <w:tab w:val="right" w:pos="9026" w:leader="dot"/>
            </w:tabs>
            <w:rPr/>
          </w:pPr>
          <w:hyperlink w:anchor="__RefHeading___Toc2419690_653776707">
            <w:r>
              <w:rPr>
                <w:webHidden/>
                <w:rStyle w:val="IndexLink"/>
                <w:rtl w:val="true"/>
              </w:rPr>
              <w:t>گزارش و ارزیابی فصل یازدهم</w:t>
            </w:r>
            <w:r>
              <w:rPr>
                <w:rStyle w:val="IndexLink"/>
                <w:rtl w:val="true"/>
              </w:rPr>
              <w:t xml:space="preserve">: </w:t>
            </w:r>
            <w:r>
              <w:rPr>
                <w:rStyle w:val="IndexLink"/>
                <w:rtl w:val="true"/>
              </w:rPr>
              <w:t>امامیه</w:t>
            </w:r>
            <w:r>
              <w:rPr>
                <w:rStyle w:val="IndexLink"/>
                <w:rtl w:val="true"/>
              </w:rPr>
              <w:tab/>
            </w:r>
            <w:r>
              <w:rPr>
                <w:rStyle w:val="IndexLink"/>
              </w:rPr>
              <w:t>139</w:t>
            </w:r>
          </w:hyperlink>
        </w:p>
        <w:p>
          <w:pPr>
            <w:pStyle w:val="Contents4"/>
            <w:tabs>
              <w:tab w:val="clear" w:pos="8176"/>
              <w:tab w:val="right" w:pos="9026" w:leader="dot"/>
            </w:tabs>
            <w:rPr/>
          </w:pPr>
          <w:hyperlink w:anchor="__RefHeading___Toc2419692_65377670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419694_653776707">
            <w:r>
              <w:rPr>
                <w:webHidden/>
                <w:rStyle w:val="IndexLink"/>
              </w:rPr>
              <w:t>1</w:t>
            </w:r>
            <w:r>
              <w:rPr>
                <w:rStyle w:val="IndexLink"/>
                <w:rtl w:val="true"/>
              </w:rPr>
              <w:t xml:space="preserve">. </w:t>
            </w:r>
            <w:r>
              <w:rPr>
                <w:rStyle w:val="IndexLink"/>
                <w:rtl w:val="true"/>
              </w:rPr>
              <w:t>تراث امامیه</w:t>
            </w:r>
            <w:r>
              <w:rPr>
                <w:rStyle w:val="IndexLink"/>
                <w:rtl w:val="true"/>
              </w:rPr>
              <w:tab/>
            </w:r>
            <w:r>
              <w:rPr>
                <w:rStyle w:val="IndexLink"/>
              </w:rPr>
              <w:t>139</w:t>
            </w:r>
          </w:hyperlink>
        </w:p>
        <w:p>
          <w:pPr>
            <w:pStyle w:val="Contents5"/>
            <w:tabs>
              <w:tab w:val="clear" w:pos="7892"/>
              <w:tab w:val="right" w:pos="9026" w:leader="dot"/>
            </w:tabs>
            <w:rPr/>
          </w:pPr>
          <w:hyperlink w:anchor="__RefHeading___Toc241969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139</w:t>
            </w:r>
          </w:hyperlink>
        </w:p>
        <w:p>
          <w:pPr>
            <w:pStyle w:val="Contents5"/>
            <w:tabs>
              <w:tab w:val="clear" w:pos="7892"/>
              <w:tab w:val="right" w:pos="9026" w:leader="dot"/>
            </w:tabs>
            <w:rPr/>
          </w:pPr>
          <w:hyperlink w:anchor="__RefHeading___Toc241969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139</w:t>
            </w:r>
          </w:hyperlink>
        </w:p>
        <w:p>
          <w:pPr>
            <w:pStyle w:val="Contents5"/>
            <w:tabs>
              <w:tab w:val="clear" w:pos="7892"/>
              <w:tab w:val="right" w:pos="9026" w:leader="dot"/>
            </w:tabs>
            <w:rPr/>
          </w:pPr>
          <w:hyperlink w:anchor="__RefHeading___Toc241970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140</w:t>
            </w:r>
          </w:hyperlink>
        </w:p>
        <w:p>
          <w:pPr>
            <w:pStyle w:val="Contents6"/>
            <w:tabs>
              <w:tab w:val="clear" w:pos="7609"/>
              <w:tab w:val="right" w:pos="9026" w:leader="dot"/>
            </w:tabs>
            <w:rPr/>
          </w:pPr>
          <w:hyperlink w:anchor="__RefHeading___Toc2419702_653776707">
            <w:r>
              <w:rPr>
                <w:webHidden/>
                <w:rStyle w:val="IndexLink"/>
                <w:rtl w:val="true"/>
              </w:rPr>
              <w:t>کثرت تراث امامیه</w:t>
            </w:r>
            <w:r>
              <w:rPr>
                <w:rStyle w:val="IndexLink"/>
                <w:rtl w:val="true"/>
              </w:rPr>
              <w:tab/>
            </w:r>
            <w:r>
              <w:rPr>
                <w:rStyle w:val="IndexLink"/>
              </w:rPr>
              <w:t>140</w:t>
            </w:r>
          </w:hyperlink>
        </w:p>
        <w:p>
          <w:pPr>
            <w:pStyle w:val="Contents5"/>
            <w:tabs>
              <w:tab w:val="clear" w:pos="7892"/>
              <w:tab w:val="right" w:pos="9026" w:leader="dot"/>
            </w:tabs>
            <w:rPr/>
          </w:pPr>
          <w:hyperlink w:anchor="__RefHeading___Toc241970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141</w:t>
            </w:r>
          </w:hyperlink>
        </w:p>
        <w:p>
          <w:pPr>
            <w:pStyle w:val="Contents4"/>
            <w:tabs>
              <w:tab w:val="clear" w:pos="8176"/>
              <w:tab w:val="right" w:pos="9026" w:leader="dot"/>
            </w:tabs>
            <w:rPr/>
          </w:pPr>
          <w:hyperlink w:anchor="__RefHeading___Toc2419706_653776707">
            <w:r>
              <w:rPr>
                <w:webHidden/>
                <w:rStyle w:val="IndexLink"/>
              </w:rPr>
              <w:t>2</w:t>
            </w:r>
            <w:r>
              <w:rPr>
                <w:rStyle w:val="IndexLink"/>
                <w:rtl w:val="true"/>
              </w:rPr>
              <w:t xml:space="preserve">. </w:t>
            </w:r>
            <w:r>
              <w:rPr>
                <w:rStyle w:val="IndexLink"/>
                <w:rtl w:val="true"/>
              </w:rPr>
              <w:t>دوره‌های مورد بحث امامیه از نظر مایکل کوک</w:t>
            </w:r>
            <w:r>
              <w:rPr>
                <w:rStyle w:val="IndexLink"/>
                <w:rtl w:val="true"/>
              </w:rPr>
              <w:tab/>
            </w:r>
            <w:r>
              <w:rPr>
                <w:rStyle w:val="IndexLink"/>
              </w:rPr>
              <w:t>142</w:t>
            </w:r>
          </w:hyperlink>
        </w:p>
        <w:p>
          <w:pPr>
            <w:pStyle w:val="Contents5"/>
            <w:tabs>
              <w:tab w:val="clear" w:pos="7892"/>
              <w:tab w:val="right" w:pos="9026" w:leader="dot"/>
            </w:tabs>
            <w:rPr/>
          </w:pPr>
          <w:hyperlink w:anchor="__RefHeading___Toc241970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142</w:t>
            </w:r>
          </w:hyperlink>
        </w:p>
        <w:p>
          <w:pPr>
            <w:pStyle w:val="Contents5"/>
            <w:tabs>
              <w:tab w:val="clear" w:pos="7892"/>
              <w:tab w:val="right" w:pos="9026" w:leader="dot"/>
            </w:tabs>
            <w:rPr/>
          </w:pPr>
          <w:hyperlink w:anchor="__RefHeading___Toc241971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142</w:t>
            </w:r>
          </w:hyperlink>
        </w:p>
        <w:p>
          <w:pPr>
            <w:pStyle w:val="Contents5"/>
            <w:tabs>
              <w:tab w:val="clear" w:pos="7892"/>
              <w:tab w:val="right" w:pos="9026" w:leader="dot"/>
            </w:tabs>
            <w:rPr/>
          </w:pPr>
          <w:hyperlink w:anchor="__RefHeading___Toc241971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143</w:t>
            </w:r>
          </w:hyperlink>
        </w:p>
        <w:p>
          <w:pPr>
            <w:pStyle w:val="Contents6"/>
            <w:tabs>
              <w:tab w:val="clear" w:pos="7609"/>
              <w:tab w:val="right" w:pos="9026" w:leader="dot"/>
            </w:tabs>
            <w:rPr/>
          </w:pPr>
          <w:hyperlink w:anchor="__RefHeading___Toc2419714_653776707">
            <w:r>
              <w:rPr>
                <w:webHidden/>
                <w:rStyle w:val="IndexLink"/>
                <w:rtl w:val="true"/>
              </w:rPr>
              <w:t>تحلیل روایات امر به معروف در کافی و تهذیب</w:t>
            </w:r>
            <w:r>
              <w:rPr>
                <w:rStyle w:val="IndexLink"/>
                <w:rtl w:val="true"/>
              </w:rPr>
              <w:tab/>
            </w:r>
            <w:r>
              <w:rPr>
                <w:rStyle w:val="IndexLink"/>
              </w:rPr>
              <w:t>143</w:t>
            </w:r>
          </w:hyperlink>
        </w:p>
        <w:p>
          <w:pPr>
            <w:pStyle w:val="Contents5"/>
            <w:tabs>
              <w:tab w:val="clear" w:pos="7892"/>
              <w:tab w:val="right" w:pos="9026" w:leader="dot"/>
            </w:tabs>
            <w:rPr/>
          </w:pPr>
          <w:hyperlink w:anchor="__RefHeading___Toc241971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144</w:t>
            </w:r>
          </w:hyperlink>
        </w:p>
        <w:p>
          <w:pPr>
            <w:pStyle w:val="Contents5"/>
            <w:tabs>
              <w:tab w:val="clear" w:pos="7892"/>
              <w:tab w:val="right" w:pos="9026" w:leader="dot"/>
            </w:tabs>
            <w:rPr/>
          </w:pPr>
          <w:hyperlink w:anchor="__RefHeading___Toc241971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144</w:t>
            </w:r>
          </w:hyperlink>
        </w:p>
        <w:p>
          <w:pPr>
            <w:pStyle w:val="Contents5"/>
            <w:tabs>
              <w:tab w:val="clear" w:pos="7892"/>
              <w:tab w:val="right" w:pos="9026" w:leader="dot"/>
            </w:tabs>
            <w:rPr/>
          </w:pPr>
          <w:hyperlink w:anchor="__RefHeading___Toc241972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145</w:t>
            </w:r>
          </w:hyperlink>
        </w:p>
        <w:p>
          <w:pPr>
            <w:pStyle w:val="Contents5"/>
            <w:tabs>
              <w:tab w:val="clear" w:pos="7892"/>
              <w:tab w:val="right" w:pos="9026" w:leader="dot"/>
            </w:tabs>
            <w:rPr/>
          </w:pPr>
          <w:hyperlink w:anchor="__RefHeading___Toc241972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145</w:t>
            </w:r>
          </w:hyperlink>
        </w:p>
        <w:p>
          <w:pPr>
            <w:pStyle w:val="Contents6"/>
            <w:tabs>
              <w:tab w:val="clear" w:pos="7609"/>
              <w:tab w:val="right" w:pos="9026" w:leader="dot"/>
            </w:tabs>
            <w:rPr/>
          </w:pPr>
          <w:hyperlink w:anchor="__RefHeading___Toc2419724_653776707">
            <w:r>
              <w:rPr>
                <w:webHidden/>
                <w:rStyle w:val="IndexLink"/>
                <w:rtl w:val="true"/>
              </w:rPr>
              <w:t>سایر احادیث</w:t>
            </w:r>
            <w:r>
              <w:rPr>
                <w:rStyle w:val="IndexLink"/>
                <w:rtl w:val="true"/>
              </w:rPr>
              <w:tab/>
            </w:r>
            <w:r>
              <w:rPr>
                <w:rStyle w:val="IndexLink"/>
              </w:rPr>
              <w:t>145</w:t>
            </w:r>
          </w:hyperlink>
        </w:p>
        <w:p>
          <w:pPr>
            <w:pStyle w:val="Contents5"/>
            <w:tabs>
              <w:tab w:val="clear" w:pos="7892"/>
              <w:tab w:val="right" w:pos="9026" w:leader="dot"/>
            </w:tabs>
            <w:rPr/>
          </w:pPr>
          <w:hyperlink w:anchor="__RefHeading___Toc241972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146</w:t>
            </w:r>
          </w:hyperlink>
        </w:p>
        <w:p>
          <w:pPr>
            <w:pStyle w:val="Contents4"/>
            <w:tabs>
              <w:tab w:val="clear" w:pos="8176"/>
              <w:tab w:val="right" w:pos="9026" w:leader="dot"/>
            </w:tabs>
            <w:rPr/>
          </w:pPr>
          <w:hyperlink w:anchor="__RefHeading___Toc2419728_653776707">
            <w:r>
              <w:rPr>
                <w:webHidden/>
                <w:rStyle w:val="IndexLink"/>
              </w:rPr>
              <w:t>3</w:t>
            </w:r>
            <w:r>
              <w:rPr>
                <w:rStyle w:val="IndexLink"/>
                <w:rtl w:val="true"/>
              </w:rPr>
              <w:t xml:space="preserve">. </w:t>
            </w:r>
            <w:r>
              <w:rPr>
                <w:rStyle w:val="IndexLink"/>
                <w:rtl w:val="true"/>
              </w:rPr>
              <w:t>دانشمندان متقدم امامی</w:t>
            </w:r>
            <w:r>
              <w:rPr>
                <w:rStyle w:val="IndexLink"/>
                <w:rtl w:val="true"/>
              </w:rPr>
              <w:tab/>
            </w:r>
            <w:r>
              <w:rPr>
                <w:rStyle w:val="IndexLink"/>
              </w:rPr>
              <w:t>147</w:t>
            </w:r>
          </w:hyperlink>
        </w:p>
        <w:p>
          <w:pPr>
            <w:pStyle w:val="Contents5"/>
            <w:tabs>
              <w:tab w:val="clear" w:pos="7892"/>
              <w:tab w:val="right" w:pos="9026" w:leader="dot"/>
            </w:tabs>
            <w:rPr/>
          </w:pPr>
          <w:hyperlink w:anchor="__RefHeading___Toc241973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147</w:t>
            </w:r>
          </w:hyperlink>
        </w:p>
        <w:p>
          <w:pPr>
            <w:pStyle w:val="Contents5"/>
            <w:tabs>
              <w:tab w:val="clear" w:pos="7892"/>
              <w:tab w:val="right" w:pos="9026" w:leader="dot"/>
            </w:tabs>
            <w:rPr/>
          </w:pPr>
          <w:hyperlink w:anchor="__RefHeading___Toc241973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148</w:t>
            </w:r>
          </w:hyperlink>
        </w:p>
        <w:p>
          <w:pPr>
            <w:pStyle w:val="Contents4"/>
            <w:tabs>
              <w:tab w:val="clear" w:pos="8176"/>
              <w:tab w:val="right" w:pos="9026" w:leader="dot"/>
            </w:tabs>
            <w:rPr/>
          </w:pPr>
          <w:hyperlink w:anchor="__RefHeading___Toc2419734_653776707">
            <w:r>
              <w:rPr>
                <w:webHidden/>
                <w:rStyle w:val="IndexLink"/>
              </w:rPr>
              <w:t>4</w:t>
            </w:r>
            <w:r>
              <w:rPr>
                <w:rStyle w:val="IndexLink"/>
                <w:rtl w:val="true"/>
              </w:rPr>
              <w:t xml:space="preserve">. </w:t>
            </w:r>
            <w:r>
              <w:rPr>
                <w:rStyle w:val="IndexLink"/>
                <w:rtl w:val="true"/>
              </w:rPr>
              <w:t>اذن امام</w:t>
            </w:r>
            <w:r>
              <w:rPr>
                <w:rStyle w:val="IndexLink"/>
                <w:rtl w:val="true"/>
              </w:rPr>
              <w:tab/>
            </w:r>
            <w:r>
              <w:rPr>
                <w:rStyle w:val="IndexLink"/>
              </w:rPr>
              <w:t>148</w:t>
            </w:r>
          </w:hyperlink>
        </w:p>
        <w:p>
          <w:pPr>
            <w:pStyle w:val="Contents5"/>
            <w:tabs>
              <w:tab w:val="clear" w:pos="7892"/>
              <w:tab w:val="right" w:pos="9026" w:leader="dot"/>
            </w:tabs>
            <w:rPr/>
          </w:pPr>
          <w:hyperlink w:anchor="__RefHeading___Toc241973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148</w:t>
            </w:r>
          </w:hyperlink>
        </w:p>
        <w:p>
          <w:pPr>
            <w:pStyle w:val="Contents5"/>
            <w:tabs>
              <w:tab w:val="clear" w:pos="7892"/>
              <w:tab w:val="right" w:pos="9026" w:leader="dot"/>
            </w:tabs>
            <w:rPr/>
          </w:pPr>
          <w:hyperlink w:anchor="__RefHeading___Toc241973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149</w:t>
            </w:r>
          </w:hyperlink>
        </w:p>
        <w:p>
          <w:pPr>
            <w:pStyle w:val="Contents4"/>
            <w:tabs>
              <w:tab w:val="clear" w:pos="8176"/>
              <w:tab w:val="right" w:pos="9026" w:leader="dot"/>
            </w:tabs>
            <w:rPr/>
          </w:pPr>
          <w:hyperlink w:anchor="__RefHeading___Toc2419740_653776707">
            <w:r>
              <w:rPr>
                <w:webHidden/>
                <w:rStyle w:val="IndexLink"/>
              </w:rPr>
              <w:t>5</w:t>
            </w:r>
            <w:r>
              <w:rPr>
                <w:rStyle w:val="IndexLink"/>
                <w:rtl w:val="true"/>
              </w:rPr>
              <w:t xml:space="preserve">. </w:t>
            </w:r>
            <w:r>
              <w:rPr>
                <w:rStyle w:val="IndexLink"/>
                <w:rtl w:val="true"/>
              </w:rPr>
              <w:t>عقل و وحی</w:t>
            </w:r>
            <w:r>
              <w:rPr>
                <w:rStyle w:val="IndexLink"/>
                <w:rtl w:val="true"/>
              </w:rPr>
              <w:tab/>
            </w:r>
            <w:r>
              <w:rPr>
                <w:rStyle w:val="IndexLink"/>
              </w:rPr>
              <w:t>150</w:t>
            </w:r>
          </w:hyperlink>
        </w:p>
        <w:p>
          <w:pPr>
            <w:pStyle w:val="Contents5"/>
            <w:tabs>
              <w:tab w:val="clear" w:pos="7892"/>
              <w:tab w:val="right" w:pos="9026" w:leader="dot"/>
            </w:tabs>
            <w:rPr/>
          </w:pPr>
          <w:hyperlink w:anchor="__RefHeading___Toc241974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150</w:t>
            </w:r>
          </w:hyperlink>
        </w:p>
        <w:p>
          <w:pPr>
            <w:pStyle w:val="Contents4"/>
            <w:tabs>
              <w:tab w:val="clear" w:pos="8176"/>
              <w:tab w:val="right" w:pos="9026" w:leader="dot"/>
            </w:tabs>
            <w:rPr/>
          </w:pPr>
          <w:hyperlink w:anchor="__RefHeading___Toc2419744_653776707">
            <w:r>
              <w:rPr>
                <w:webHidden/>
                <w:rStyle w:val="IndexLink"/>
              </w:rPr>
              <w:t>6</w:t>
            </w:r>
            <w:r>
              <w:rPr>
                <w:rStyle w:val="IndexLink"/>
                <w:rtl w:val="true"/>
              </w:rPr>
              <w:t xml:space="preserve">. </w:t>
            </w:r>
            <w:r>
              <w:rPr>
                <w:rStyle w:val="IndexLink"/>
                <w:rtl w:val="true"/>
              </w:rPr>
              <w:t>تقسیم‌پذیری</w:t>
            </w:r>
            <w:r>
              <w:rPr>
                <w:rStyle w:val="IndexLink"/>
                <w:rtl w:val="true"/>
              </w:rPr>
              <w:tab/>
            </w:r>
            <w:r>
              <w:rPr>
                <w:rStyle w:val="IndexLink"/>
              </w:rPr>
              <w:t>150</w:t>
            </w:r>
          </w:hyperlink>
        </w:p>
        <w:p>
          <w:pPr>
            <w:pStyle w:val="Contents4"/>
            <w:tabs>
              <w:tab w:val="clear" w:pos="8176"/>
              <w:tab w:val="right" w:pos="9026" w:leader="dot"/>
            </w:tabs>
            <w:rPr/>
          </w:pPr>
          <w:hyperlink w:anchor="__RefHeading___Toc2419746_653776707">
            <w:r>
              <w:rPr>
                <w:webHidden/>
                <w:rStyle w:val="IndexLink"/>
              </w:rPr>
              <w:t>7</w:t>
            </w:r>
            <w:r>
              <w:rPr>
                <w:rStyle w:val="IndexLink"/>
                <w:rtl w:val="true"/>
              </w:rPr>
              <w:t xml:space="preserve">. </w:t>
            </w:r>
            <w:r>
              <w:rPr>
                <w:rStyle w:val="IndexLink"/>
                <w:rtl w:val="true"/>
              </w:rPr>
              <w:t>عینی یا کفایی</w:t>
            </w:r>
            <w:r>
              <w:rPr>
                <w:rStyle w:val="IndexLink"/>
                <w:rtl w:val="true"/>
              </w:rPr>
              <w:tab/>
            </w:r>
            <w:r>
              <w:rPr>
                <w:rStyle w:val="IndexLink"/>
              </w:rPr>
              <w:t>150</w:t>
            </w:r>
          </w:hyperlink>
        </w:p>
        <w:p>
          <w:pPr>
            <w:pStyle w:val="Contents5"/>
            <w:tabs>
              <w:tab w:val="clear" w:pos="7892"/>
              <w:tab w:val="right" w:pos="9026" w:leader="dot"/>
            </w:tabs>
            <w:rPr/>
          </w:pPr>
          <w:hyperlink w:anchor="__RefHeading___Toc2419748_653776707">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41975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151</w:t>
            </w:r>
          </w:hyperlink>
        </w:p>
        <w:p>
          <w:pPr>
            <w:pStyle w:val="Contents5"/>
            <w:tabs>
              <w:tab w:val="clear" w:pos="7892"/>
              <w:tab w:val="right" w:pos="9026" w:leader="dot"/>
            </w:tabs>
            <w:rPr/>
          </w:pPr>
          <w:hyperlink w:anchor="__RefHeading___Toc241975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152</w:t>
            </w:r>
          </w:hyperlink>
        </w:p>
        <w:p>
          <w:pPr>
            <w:pStyle w:val="Contents4"/>
            <w:tabs>
              <w:tab w:val="clear" w:pos="8176"/>
              <w:tab w:val="right" w:pos="9026" w:leader="dot"/>
            </w:tabs>
            <w:rPr/>
          </w:pPr>
          <w:hyperlink w:anchor="__RefHeading___Toc2419754_653776707">
            <w:r>
              <w:rPr>
                <w:webHidden/>
                <w:rStyle w:val="IndexLink"/>
              </w:rPr>
              <w:t>8</w:t>
            </w:r>
            <w:r>
              <w:rPr>
                <w:rStyle w:val="IndexLink"/>
                <w:rtl w:val="true"/>
              </w:rPr>
              <w:t xml:space="preserve">. </w:t>
            </w:r>
            <w:r>
              <w:rPr>
                <w:rStyle w:val="IndexLink"/>
                <w:rtl w:val="true"/>
              </w:rPr>
              <w:t>شرایط تکلیف</w:t>
            </w:r>
            <w:r>
              <w:rPr>
                <w:rStyle w:val="IndexLink"/>
                <w:rtl w:val="true"/>
              </w:rPr>
              <w:tab/>
            </w:r>
            <w:r>
              <w:rPr>
                <w:rStyle w:val="IndexLink"/>
              </w:rPr>
              <w:t>152</w:t>
            </w:r>
          </w:hyperlink>
        </w:p>
        <w:p>
          <w:pPr>
            <w:pStyle w:val="Contents4"/>
            <w:tabs>
              <w:tab w:val="clear" w:pos="8176"/>
              <w:tab w:val="right" w:pos="9026" w:leader="dot"/>
            </w:tabs>
            <w:rPr/>
          </w:pPr>
          <w:hyperlink w:anchor="__RefHeading___Toc2419756_653776707">
            <w:r>
              <w:rPr>
                <w:webHidden/>
                <w:rStyle w:val="IndexLink"/>
              </w:rPr>
              <w:t>9</w:t>
            </w:r>
            <w:r>
              <w:rPr>
                <w:rStyle w:val="IndexLink"/>
                <w:rtl w:val="true"/>
              </w:rPr>
              <w:t xml:space="preserve">. </w:t>
            </w:r>
            <w:r>
              <w:rPr>
                <w:rStyle w:val="IndexLink"/>
                <w:rtl w:val="true"/>
              </w:rPr>
              <w:t>جمع‌بندی دانشمندان متقدم امامی</w:t>
            </w:r>
            <w:r>
              <w:rPr>
                <w:rStyle w:val="IndexLink"/>
                <w:rtl w:val="true"/>
              </w:rPr>
              <w:tab/>
            </w:r>
            <w:r>
              <w:rPr>
                <w:rStyle w:val="IndexLink"/>
              </w:rPr>
              <w:t>154</w:t>
            </w:r>
          </w:hyperlink>
        </w:p>
        <w:p>
          <w:pPr>
            <w:pStyle w:val="Contents5"/>
            <w:tabs>
              <w:tab w:val="clear" w:pos="7892"/>
              <w:tab w:val="right" w:pos="9026" w:leader="dot"/>
            </w:tabs>
            <w:rPr/>
          </w:pPr>
          <w:hyperlink w:anchor="__RefHeading___Toc2419758_653776707">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41976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154</w:t>
            </w:r>
          </w:hyperlink>
        </w:p>
        <w:p>
          <w:pPr>
            <w:pStyle w:val="Contents4"/>
            <w:tabs>
              <w:tab w:val="clear" w:pos="8176"/>
              <w:tab w:val="right" w:pos="9026" w:leader="dot"/>
            </w:tabs>
            <w:rPr/>
          </w:pPr>
          <w:hyperlink w:anchor="__RefHeading___Toc2419762_653776707">
            <w:r>
              <w:rPr>
                <w:webHidden/>
                <w:rStyle w:val="IndexLink"/>
              </w:rPr>
              <w:t>10</w:t>
            </w:r>
            <w:r>
              <w:rPr>
                <w:rStyle w:val="IndexLink"/>
                <w:rtl w:val="true"/>
              </w:rPr>
              <w:t xml:space="preserve">. </w:t>
            </w:r>
            <w:r>
              <w:rPr>
                <w:rStyle w:val="IndexLink"/>
                <w:rtl w:val="true"/>
              </w:rPr>
              <w:t>علمای امامیه در دوره‌های اخیر</w:t>
            </w:r>
            <w:r>
              <w:rPr>
                <w:rStyle w:val="IndexLink"/>
                <w:rtl w:val="true"/>
              </w:rPr>
              <w:tab/>
            </w:r>
            <w:r>
              <w:rPr>
                <w:rStyle w:val="IndexLink"/>
              </w:rPr>
              <w:t>157</w:t>
            </w:r>
          </w:hyperlink>
        </w:p>
        <w:p>
          <w:pPr>
            <w:pStyle w:val="Contents5"/>
            <w:tabs>
              <w:tab w:val="clear" w:pos="7892"/>
              <w:tab w:val="right" w:pos="9026" w:leader="dot"/>
            </w:tabs>
            <w:rPr/>
          </w:pPr>
          <w:hyperlink w:anchor="__RefHeading___Toc241976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157</w:t>
            </w:r>
          </w:hyperlink>
        </w:p>
        <w:p>
          <w:pPr>
            <w:pStyle w:val="Contents5"/>
            <w:tabs>
              <w:tab w:val="clear" w:pos="7892"/>
              <w:tab w:val="right" w:pos="9026" w:leader="dot"/>
            </w:tabs>
            <w:rPr/>
          </w:pPr>
          <w:hyperlink w:anchor="__RefHeading___Toc241976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158</w:t>
            </w:r>
          </w:hyperlink>
        </w:p>
        <w:p>
          <w:pPr>
            <w:pStyle w:val="Contents4"/>
            <w:tabs>
              <w:tab w:val="clear" w:pos="8176"/>
              <w:tab w:val="right" w:pos="9026" w:leader="dot"/>
            </w:tabs>
            <w:rPr/>
          </w:pPr>
          <w:hyperlink w:anchor="__RefHeading___Toc2419768_653776707">
            <w:r>
              <w:rPr>
                <w:webHidden/>
                <w:rStyle w:val="IndexLink"/>
              </w:rPr>
              <w:t>11</w:t>
            </w:r>
            <w:r>
              <w:rPr>
                <w:rStyle w:val="IndexLink"/>
                <w:rtl w:val="true"/>
              </w:rPr>
              <w:t xml:space="preserve">. </w:t>
            </w:r>
            <w:r>
              <w:rPr>
                <w:rStyle w:val="IndexLink"/>
                <w:rtl w:val="true"/>
              </w:rPr>
              <w:t>عناوین شش‌گانه و علمای امامی دوره‌های اخیر</w:t>
            </w:r>
            <w:r>
              <w:rPr>
                <w:rStyle w:val="IndexLink"/>
                <w:rtl w:val="true"/>
              </w:rPr>
              <w:tab/>
            </w:r>
            <w:r>
              <w:rPr>
                <w:rStyle w:val="IndexLink"/>
              </w:rPr>
              <w:t>159</w:t>
            </w:r>
          </w:hyperlink>
        </w:p>
        <w:p>
          <w:pPr>
            <w:pStyle w:val="Contents5"/>
            <w:tabs>
              <w:tab w:val="clear" w:pos="7892"/>
              <w:tab w:val="right" w:pos="9026" w:leader="dot"/>
            </w:tabs>
            <w:rPr/>
          </w:pPr>
          <w:hyperlink w:anchor="__RefHeading___Toc241977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159</w:t>
            </w:r>
          </w:hyperlink>
        </w:p>
        <w:p>
          <w:pPr>
            <w:pStyle w:val="Contents6"/>
            <w:tabs>
              <w:tab w:val="clear" w:pos="7609"/>
              <w:tab w:val="right" w:pos="9026" w:leader="dot"/>
            </w:tabs>
            <w:rPr/>
          </w:pPr>
          <w:hyperlink w:anchor="__RefHeading___Toc2419772_653776707">
            <w:r>
              <w:rPr>
                <w:webHidden/>
                <w:rStyle w:val="IndexLink"/>
              </w:rPr>
              <w:t>1</w:t>
            </w:r>
            <w:r>
              <w:rPr>
                <w:rStyle w:val="IndexLink"/>
                <w:rtl w:val="true"/>
              </w:rPr>
              <w:t xml:space="preserve">. </w:t>
            </w:r>
            <w:r>
              <w:rPr>
                <w:rStyle w:val="IndexLink"/>
                <w:rtl w:val="true"/>
              </w:rPr>
              <w:t>نظریۀ سه مرحله‌ای</w:t>
            </w:r>
            <w:r>
              <w:rPr>
                <w:rStyle w:val="IndexLink"/>
                <w:rtl w:val="true"/>
              </w:rPr>
              <w:tab/>
            </w:r>
            <w:r>
              <w:rPr>
                <w:rStyle w:val="IndexLink"/>
              </w:rPr>
              <w:t>159</w:t>
            </w:r>
          </w:hyperlink>
        </w:p>
        <w:p>
          <w:pPr>
            <w:pStyle w:val="Contents6"/>
            <w:tabs>
              <w:tab w:val="clear" w:pos="7609"/>
              <w:tab w:val="right" w:pos="9026" w:leader="dot"/>
            </w:tabs>
            <w:rPr/>
          </w:pPr>
          <w:hyperlink w:anchor="__RefHeading___Toc2419774_653776707">
            <w:r>
              <w:rPr>
                <w:webHidden/>
                <w:rStyle w:val="IndexLink"/>
              </w:rPr>
              <w:t>2</w:t>
            </w:r>
            <w:r>
              <w:rPr>
                <w:rStyle w:val="IndexLink"/>
                <w:rtl w:val="true"/>
              </w:rPr>
              <w:t xml:space="preserve">. </w:t>
            </w:r>
            <w:r>
              <w:rPr>
                <w:rStyle w:val="IndexLink"/>
                <w:rtl w:val="true"/>
              </w:rPr>
              <w:t>اذن امام</w:t>
            </w:r>
            <w:r>
              <w:rPr>
                <w:rStyle w:val="IndexLink"/>
                <w:rtl w:val="true"/>
              </w:rPr>
              <w:tab/>
            </w:r>
            <w:r>
              <w:rPr>
                <w:rStyle w:val="IndexLink"/>
              </w:rPr>
              <w:t>159</w:t>
            </w:r>
          </w:hyperlink>
        </w:p>
        <w:p>
          <w:pPr>
            <w:pStyle w:val="Contents5"/>
            <w:tabs>
              <w:tab w:val="clear" w:pos="7892"/>
              <w:tab w:val="right" w:pos="9026" w:leader="dot"/>
            </w:tabs>
            <w:rPr/>
          </w:pPr>
          <w:hyperlink w:anchor="__RefHeading___Toc241977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160</w:t>
            </w:r>
          </w:hyperlink>
        </w:p>
        <w:p>
          <w:pPr>
            <w:pStyle w:val="Contents5"/>
            <w:tabs>
              <w:tab w:val="clear" w:pos="7892"/>
              <w:tab w:val="right" w:pos="9026" w:leader="dot"/>
            </w:tabs>
            <w:rPr/>
          </w:pPr>
          <w:hyperlink w:anchor="__RefHeading___Toc241977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161</w:t>
            </w:r>
          </w:hyperlink>
        </w:p>
        <w:p>
          <w:pPr>
            <w:pStyle w:val="Contents6"/>
            <w:tabs>
              <w:tab w:val="clear" w:pos="7609"/>
              <w:tab w:val="right" w:pos="9026" w:leader="dot"/>
            </w:tabs>
            <w:rPr/>
          </w:pPr>
          <w:hyperlink w:anchor="__RefHeading___Toc2419780_653776707">
            <w:r>
              <w:rPr>
                <w:webHidden/>
                <w:rStyle w:val="IndexLink"/>
              </w:rPr>
              <w:t>3</w:t>
            </w:r>
            <w:r>
              <w:rPr>
                <w:rStyle w:val="IndexLink"/>
                <w:rtl w:val="true"/>
              </w:rPr>
              <w:t xml:space="preserve">. </w:t>
            </w:r>
            <w:r>
              <w:rPr>
                <w:rStyle w:val="IndexLink"/>
                <w:rtl w:val="true"/>
              </w:rPr>
              <w:t>عقل و وحی</w:t>
            </w:r>
            <w:r>
              <w:rPr>
                <w:rStyle w:val="IndexLink"/>
                <w:rtl w:val="true"/>
              </w:rPr>
              <w:tab/>
            </w:r>
            <w:r>
              <w:rPr>
                <w:rStyle w:val="IndexLink"/>
              </w:rPr>
              <w:t>161</w:t>
            </w:r>
          </w:hyperlink>
        </w:p>
        <w:p>
          <w:pPr>
            <w:pStyle w:val="Contents6"/>
            <w:tabs>
              <w:tab w:val="clear" w:pos="7609"/>
              <w:tab w:val="right" w:pos="9026" w:leader="dot"/>
            </w:tabs>
            <w:rPr/>
          </w:pPr>
          <w:hyperlink w:anchor="__RefHeading___Toc2419782_653776707">
            <w:r>
              <w:rPr>
                <w:webHidden/>
                <w:rStyle w:val="IndexLink"/>
              </w:rPr>
              <w:t>4</w:t>
            </w:r>
            <w:r>
              <w:rPr>
                <w:rStyle w:val="IndexLink"/>
                <w:rtl w:val="true"/>
              </w:rPr>
              <w:t xml:space="preserve">. </w:t>
            </w:r>
            <w:r>
              <w:rPr>
                <w:rStyle w:val="IndexLink"/>
                <w:rtl w:val="true"/>
              </w:rPr>
              <w:t>تقسیم‌پذیری</w:t>
            </w:r>
            <w:r>
              <w:rPr>
                <w:rStyle w:val="IndexLink"/>
                <w:rtl w:val="true"/>
              </w:rPr>
              <w:tab/>
            </w:r>
            <w:r>
              <w:rPr>
                <w:rStyle w:val="IndexLink"/>
              </w:rPr>
              <w:t>161</w:t>
            </w:r>
          </w:hyperlink>
        </w:p>
        <w:p>
          <w:pPr>
            <w:pStyle w:val="Contents6"/>
            <w:tabs>
              <w:tab w:val="clear" w:pos="7609"/>
              <w:tab w:val="right" w:pos="9026" w:leader="dot"/>
            </w:tabs>
            <w:rPr/>
          </w:pPr>
          <w:hyperlink w:anchor="__RefHeading___Toc2419784_653776707">
            <w:r>
              <w:rPr>
                <w:webHidden/>
                <w:rStyle w:val="IndexLink"/>
              </w:rPr>
              <w:t>5</w:t>
            </w:r>
            <w:r>
              <w:rPr>
                <w:rStyle w:val="IndexLink"/>
                <w:rtl w:val="true"/>
              </w:rPr>
              <w:t xml:space="preserve">. </w:t>
            </w:r>
            <w:r>
              <w:rPr>
                <w:rStyle w:val="IndexLink"/>
                <w:rtl w:val="true"/>
              </w:rPr>
              <w:t>وجوب عینی یا کفایی؟</w:t>
            </w:r>
            <w:r>
              <w:rPr>
                <w:rStyle w:val="IndexLink"/>
                <w:rtl w:val="true"/>
              </w:rPr>
              <w:tab/>
            </w:r>
            <w:r>
              <w:rPr>
                <w:rStyle w:val="IndexLink"/>
              </w:rPr>
              <w:t>161</w:t>
            </w:r>
          </w:hyperlink>
        </w:p>
        <w:p>
          <w:pPr>
            <w:pStyle w:val="Contents6"/>
            <w:tabs>
              <w:tab w:val="clear" w:pos="7609"/>
              <w:tab w:val="right" w:pos="9026" w:leader="dot"/>
            </w:tabs>
            <w:rPr/>
          </w:pPr>
          <w:hyperlink w:anchor="__RefHeading___Toc2419786_653776707">
            <w:r>
              <w:rPr>
                <w:webHidden/>
                <w:rStyle w:val="IndexLink"/>
              </w:rPr>
              <w:t>6</w:t>
            </w:r>
            <w:r>
              <w:rPr>
                <w:rStyle w:val="IndexLink"/>
                <w:rtl w:val="true"/>
              </w:rPr>
              <w:t xml:space="preserve">. </w:t>
            </w:r>
            <w:r>
              <w:rPr>
                <w:rStyle w:val="IndexLink"/>
                <w:rtl w:val="true"/>
              </w:rPr>
              <w:t>شرایط وجوب</w:t>
            </w:r>
            <w:r>
              <w:rPr>
                <w:rStyle w:val="IndexLink"/>
                <w:rtl w:val="true"/>
              </w:rPr>
              <w:tab/>
            </w:r>
            <w:r>
              <w:rPr>
                <w:rStyle w:val="IndexLink"/>
              </w:rPr>
              <w:t>162</w:t>
            </w:r>
          </w:hyperlink>
        </w:p>
        <w:p>
          <w:pPr>
            <w:pStyle w:val="Contents5"/>
            <w:tabs>
              <w:tab w:val="clear" w:pos="7892"/>
              <w:tab w:val="right" w:pos="9026" w:leader="dot"/>
            </w:tabs>
            <w:rPr/>
          </w:pPr>
          <w:hyperlink w:anchor="__RefHeading___Toc241978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164</w:t>
            </w:r>
          </w:hyperlink>
        </w:p>
        <w:p>
          <w:pPr>
            <w:pStyle w:val="Contents5"/>
            <w:tabs>
              <w:tab w:val="clear" w:pos="7892"/>
              <w:tab w:val="right" w:pos="9026" w:leader="dot"/>
            </w:tabs>
            <w:rPr/>
          </w:pPr>
          <w:hyperlink w:anchor="__RefHeading___Toc241979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166</w:t>
            </w:r>
          </w:hyperlink>
        </w:p>
        <w:p>
          <w:pPr>
            <w:pStyle w:val="Contents5"/>
            <w:tabs>
              <w:tab w:val="clear" w:pos="7892"/>
              <w:tab w:val="right" w:pos="9026" w:leader="dot"/>
            </w:tabs>
            <w:rPr/>
          </w:pPr>
          <w:hyperlink w:anchor="__RefHeading___Toc241979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167</w:t>
            </w:r>
          </w:hyperlink>
        </w:p>
        <w:p>
          <w:pPr>
            <w:pStyle w:val="Contents3"/>
            <w:tabs>
              <w:tab w:val="clear" w:pos="8459"/>
              <w:tab w:val="right" w:pos="9026" w:leader="dot"/>
            </w:tabs>
            <w:rPr/>
          </w:pPr>
          <w:hyperlink w:anchor="__RefHeading___Toc2419794_653776707">
            <w:r>
              <w:rPr>
                <w:webHidden/>
                <w:rStyle w:val="IndexLink"/>
                <w:rtl w:val="true"/>
              </w:rPr>
              <w:t>گزارش و ارزیابی پیوست فصل یازدهم</w:t>
            </w:r>
            <w:r>
              <w:rPr>
                <w:rStyle w:val="IndexLink"/>
                <w:rtl w:val="true"/>
              </w:rPr>
              <w:t xml:space="preserve">: </w:t>
            </w:r>
            <w:r>
              <w:rPr>
                <w:rStyle w:val="IndexLink"/>
                <w:rtl w:val="true"/>
              </w:rPr>
              <w:t>اسماعیلیه</w:t>
            </w:r>
            <w:r>
              <w:rPr>
                <w:rStyle w:val="IndexLink"/>
                <w:rtl w:val="true"/>
              </w:rPr>
              <w:tab/>
            </w:r>
            <w:r>
              <w:rPr>
                <w:rStyle w:val="IndexLink"/>
              </w:rPr>
              <w:t>171</w:t>
            </w:r>
          </w:hyperlink>
        </w:p>
        <w:p>
          <w:pPr>
            <w:pStyle w:val="Contents4"/>
            <w:tabs>
              <w:tab w:val="clear" w:pos="8176"/>
              <w:tab w:val="right" w:pos="9026" w:leader="dot"/>
            </w:tabs>
            <w:rPr/>
          </w:pPr>
          <w:hyperlink w:anchor="__RefHeading___Toc2419796_653776707">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419798_653776707">
            <w:r>
              <w:rPr>
                <w:webHidden/>
                <w:rStyle w:val="IndexLink"/>
                <w:rtl w:val="true"/>
              </w:rPr>
              <w:t>مبحث پیوست اسماعلیه</w:t>
            </w:r>
            <w:r>
              <w:rPr>
                <w:rStyle w:val="IndexLink"/>
                <w:rtl w:val="true"/>
              </w:rPr>
              <w:tab/>
            </w:r>
            <w:r>
              <w:rPr>
                <w:rStyle w:val="IndexLink"/>
              </w:rPr>
              <w:t>171</w:t>
            </w:r>
          </w:hyperlink>
        </w:p>
        <w:p>
          <w:pPr>
            <w:pStyle w:val="Contents5"/>
            <w:tabs>
              <w:tab w:val="clear" w:pos="7892"/>
              <w:tab w:val="right" w:pos="9026" w:leader="dot"/>
            </w:tabs>
            <w:rPr/>
          </w:pPr>
          <w:hyperlink w:anchor="__RefHeading___Toc241980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171</w:t>
            </w:r>
          </w:hyperlink>
        </w:p>
        <w:p>
          <w:pPr>
            <w:pStyle w:val="Contents5"/>
            <w:tabs>
              <w:tab w:val="clear" w:pos="7892"/>
              <w:tab w:val="right" w:pos="9026" w:leader="dot"/>
            </w:tabs>
            <w:rPr/>
          </w:pPr>
          <w:hyperlink w:anchor="__RefHeading___Toc241980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171</w:t>
            </w:r>
          </w:hyperlink>
        </w:p>
        <w:p>
          <w:pPr>
            <w:pStyle w:val="Contents5"/>
            <w:tabs>
              <w:tab w:val="clear" w:pos="7892"/>
              <w:tab w:val="right" w:pos="9026" w:leader="dot"/>
            </w:tabs>
            <w:rPr/>
          </w:pPr>
          <w:hyperlink w:anchor="__RefHeading___Toc241980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172</w:t>
            </w:r>
          </w:hyperlink>
        </w:p>
        <w:p>
          <w:pPr>
            <w:pStyle w:val="Contents5"/>
            <w:tabs>
              <w:tab w:val="clear" w:pos="7892"/>
              <w:tab w:val="right" w:pos="9026" w:leader="dot"/>
            </w:tabs>
            <w:rPr/>
          </w:pPr>
          <w:hyperlink w:anchor="__RefHeading___Toc241980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173</w:t>
            </w:r>
          </w:hyperlink>
        </w:p>
        <w:p>
          <w:pPr>
            <w:pStyle w:val="Contents2"/>
            <w:tabs>
              <w:tab w:val="clear" w:pos="8743"/>
              <w:tab w:val="right" w:pos="9026" w:leader="dot"/>
            </w:tabs>
            <w:rPr/>
          </w:pPr>
          <w:hyperlink w:anchor="__RefHeading___Toc2419808_653776707">
            <w:r>
              <w:rPr>
                <w:webHidden/>
                <w:rStyle w:val="IndexLink"/>
                <w:rtl w:val="true"/>
              </w:rPr>
              <w:t>بخش چهارم</w:t>
            </w:r>
            <w:r>
              <w:rPr>
                <w:rStyle w:val="IndexLink"/>
                <w:rtl w:val="true"/>
              </w:rPr>
              <w:t xml:space="preserve">: </w:t>
            </w:r>
            <w:r>
              <w:rPr>
                <w:rStyle w:val="IndexLink"/>
                <w:rtl w:val="true"/>
              </w:rPr>
              <w:t>دیگر فرقه‌های اسلامی</w:t>
            </w:r>
            <w:r>
              <w:rPr>
                <w:rStyle w:val="IndexLink"/>
                <w:rtl w:val="true"/>
              </w:rPr>
              <w:tab/>
            </w:r>
            <w:r>
              <w:rPr>
                <w:rStyle w:val="IndexLink"/>
              </w:rPr>
              <w:t>175</w:t>
            </w:r>
          </w:hyperlink>
        </w:p>
        <w:p>
          <w:pPr>
            <w:pStyle w:val="Contents3"/>
            <w:tabs>
              <w:tab w:val="clear" w:pos="8459"/>
              <w:tab w:val="right" w:pos="9026" w:leader="dot"/>
            </w:tabs>
            <w:rPr/>
          </w:pPr>
          <w:hyperlink w:anchor="__RefHeading___Toc2419810_653776707">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419812_653776707">
            <w:r>
              <w:rPr>
                <w:webHidden/>
                <w:rStyle w:val="IndexLink"/>
                <w:rtl w:val="true"/>
              </w:rPr>
              <w:t>گزارش و ارزیابی فصل دوازدهم</w:t>
            </w:r>
            <w:r>
              <w:rPr>
                <w:rStyle w:val="IndexLink"/>
                <w:rtl w:val="true"/>
              </w:rPr>
              <w:t xml:space="preserve">: </w:t>
            </w:r>
            <w:r>
              <w:rPr>
                <w:rStyle w:val="IndexLink"/>
                <w:rtl w:val="true"/>
              </w:rPr>
              <w:t>حنفیان</w:t>
            </w:r>
            <w:r>
              <w:rPr>
                <w:rStyle w:val="IndexLink"/>
                <w:rtl w:val="true"/>
              </w:rPr>
              <w:tab/>
            </w:r>
            <w:r>
              <w:rPr>
                <w:rStyle w:val="IndexLink"/>
              </w:rPr>
              <w:t>177</w:t>
            </w:r>
          </w:hyperlink>
        </w:p>
        <w:p>
          <w:pPr>
            <w:pStyle w:val="Contents4"/>
            <w:tabs>
              <w:tab w:val="clear" w:pos="8176"/>
              <w:tab w:val="right" w:pos="9026" w:leader="dot"/>
            </w:tabs>
            <w:rPr/>
          </w:pPr>
          <w:hyperlink w:anchor="__RefHeading___Toc2419814_653776707">
            <w:r>
              <w:rPr>
                <w:webHidden/>
                <w:rStyle w:val="IndexLink"/>
              </w:rPr>
              <w:t>1</w:t>
            </w:r>
            <w:r>
              <w:rPr>
                <w:rStyle w:val="IndexLink"/>
                <w:rtl w:val="true"/>
              </w:rPr>
              <w:t xml:space="preserve">. </w:t>
            </w:r>
            <w:r>
              <w:rPr>
                <w:rStyle w:val="IndexLink"/>
                <w:rtl w:val="true"/>
              </w:rPr>
              <w:t>عقاید حنفی‌ها و نهی از منکر</w:t>
            </w:r>
            <w:r>
              <w:rPr>
                <w:rStyle w:val="IndexLink"/>
                <w:rtl w:val="true"/>
              </w:rPr>
              <w:tab/>
            </w:r>
            <w:r>
              <w:rPr>
                <w:rStyle w:val="IndexLink"/>
              </w:rPr>
              <w:t>177</w:t>
            </w:r>
          </w:hyperlink>
        </w:p>
        <w:p>
          <w:pPr>
            <w:pStyle w:val="Contents5"/>
            <w:tabs>
              <w:tab w:val="clear" w:pos="7892"/>
              <w:tab w:val="right" w:pos="9026" w:leader="dot"/>
            </w:tabs>
            <w:rPr/>
          </w:pPr>
          <w:hyperlink w:anchor="__RefHeading___Toc241981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177</w:t>
            </w:r>
          </w:hyperlink>
        </w:p>
        <w:p>
          <w:pPr>
            <w:pStyle w:val="Contents5"/>
            <w:tabs>
              <w:tab w:val="clear" w:pos="7892"/>
              <w:tab w:val="right" w:pos="9026" w:leader="dot"/>
            </w:tabs>
            <w:rPr/>
          </w:pPr>
          <w:hyperlink w:anchor="__RefHeading___Toc241981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178</w:t>
            </w:r>
          </w:hyperlink>
        </w:p>
        <w:p>
          <w:pPr>
            <w:pStyle w:val="Contents4"/>
            <w:tabs>
              <w:tab w:val="clear" w:pos="8176"/>
              <w:tab w:val="right" w:pos="9026" w:leader="dot"/>
            </w:tabs>
            <w:rPr/>
          </w:pPr>
          <w:hyperlink w:anchor="__RefHeading___Toc2419820_653776707">
            <w:r>
              <w:rPr>
                <w:webHidden/>
                <w:rStyle w:val="IndexLink"/>
              </w:rPr>
              <w:t>2</w:t>
            </w:r>
            <w:r>
              <w:rPr>
                <w:rStyle w:val="IndexLink"/>
                <w:rtl w:val="true"/>
              </w:rPr>
              <w:t xml:space="preserve">. </w:t>
            </w:r>
            <w:r>
              <w:rPr>
                <w:rStyle w:val="IndexLink"/>
                <w:rtl w:val="true"/>
              </w:rPr>
              <w:t>حنفیه پیش از دولت عثمانی</w:t>
            </w:r>
            <w:r>
              <w:rPr>
                <w:rStyle w:val="IndexLink"/>
                <w:rtl w:val="true"/>
              </w:rPr>
              <w:tab/>
            </w:r>
            <w:r>
              <w:rPr>
                <w:rStyle w:val="IndexLink"/>
              </w:rPr>
              <w:t>179</w:t>
            </w:r>
          </w:hyperlink>
        </w:p>
        <w:p>
          <w:pPr>
            <w:pStyle w:val="Contents5"/>
            <w:tabs>
              <w:tab w:val="clear" w:pos="7892"/>
              <w:tab w:val="right" w:pos="9026" w:leader="dot"/>
            </w:tabs>
            <w:rPr/>
          </w:pPr>
          <w:hyperlink w:anchor="__RefHeading___Toc241982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179</w:t>
            </w:r>
          </w:hyperlink>
        </w:p>
        <w:p>
          <w:pPr>
            <w:pStyle w:val="Contents5"/>
            <w:tabs>
              <w:tab w:val="clear" w:pos="7892"/>
              <w:tab w:val="right" w:pos="9026" w:leader="dot"/>
            </w:tabs>
            <w:rPr/>
          </w:pPr>
          <w:hyperlink w:anchor="__RefHeading___Toc241982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180</w:t>
            </w:r>
          </w:hyperlink>
        </w:p>
        <w:p>
          <w:pPr>
            <w:pStyle w:val="Contents4"/>
            <w:tabs>
              <w:tab w:val="clear" w:pos="8176"/>
              <w:tab w:val="right" w:pos="9026" w:leader="dot"/>
            </w:tabs>
            <w:rPr/>
          </w:pPr>
          <w:hyperlink w:anchor="__RefHeading___Toc2419826_653776707">
            <w:r>
              <w:rPr>
                <w:webHidden/>
                <w:rStyle w:val="IndexLink"/>
              </w:rPr>
              <w:t>3</w:t>
            </w:r>
            <w:r>
              <w:rPr>
                <w:rStyle w:val="IndexLink"/>
                <w:rtl w:val="true"/>
              </w:rPr>
              <w:t xml:space="preserve">. </w:t>
            </w:r>
            <w:r>
              <w:rPr>
                <w:rStyle w:val="IndexLink"/>
                <w:rtl w:val="true"/>
              </w:rPr>
              <w:t>حنفیه و ماتریدیه</w:t>
            </w:r>
            <w:r>
              <w:rPr>
                <w:rStyle w:val="IndexLink"/>
                <w:rtl w:val="true"/>
              </w:rPr>
              <w:tab/>
            </w:r>
            <w:r>
              <w:rPr>
                <w:rStyle w:val="IndexLink"/>
              </w:rPr>
              <w:t>182</w:t>
            </w:r>
          </w:hyperlink>
        </w:p>
        <w:p>
          <w:pPr>
            <w:pStyle w:val="Contents5"/>
            <w:tabs>
              <w:tab w:val="clear" w:pos="7892"/>
              <w:tab w:val="right" w:pos="9026" w:leader="dot"/>
            </w:tabs>
            <w:rPr/>
          </w:pPr>
          <w:hyperlink w:anchor="__RefHeading___Toc241982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182</w:t>
            </w:r>
          </w:hyperlink>
        </w:p>
        <w:p>
          <w:pPr>
            <w:pStyle w:val="Contents4"/>
            <w:tabs>
              <w:tab w:val="clear" w:pos="8176"/>
              <w:tab w:val="right" w:pos="9026" w:leader="dot"/>
            </w:tabs>
            <w:rPr/>
          </w:pPr>
          <w:hyperlink w:anchor="__RefHeading___Toc2419830_653776707">
            <w:r>
              <w:rPr>
                <w:webHidden/>
                <w:rStyle w:val="IndexLink"/>
              </w:rPr>
              <w:t>3</w:t>
            </w:r>
            <w:r>
              <w:rPr>
                <w:rStyle w:val="IndexLink"/>
                <w:rtl w:val="true"/>
              </w:rPr>
              <w:t xml:space="preserve">. </w:t>
            </w:r>
            <w:r>
              <w:rPr>
                <w:rStyle w:val="IndexLink"/>
                <w:rtl w:val="true"/>
              </w:rPr>
              <w:t>شارحان دوره عثمانی</w:t>
            </w:r>
            <w:r>
              <w:rPr>
                <w:rStyle w:val="IndexLink"/>
                <w:rtl w:val="true"/>
              </w:rPr>
              <w:tab/>
            </w:r>
            <w:r>
              <w:rPr>
                <w:rStyle w:val="IndexLink"/>
              </w:rPr>
              <w:t>185</w:t>
            </w:r>
          </w:hyperlink>
        </w:p>
        <w:p>
          <w:pPr>
            <w:pStyle w:val="Contents4"/>
            <w:tabs>
              <w:tab w:val="clear" w:pos="8176"/>
              <w:tab w:val="right" w:pos="9026" w:leader="dot"/>
            </w:tabs>
            <w:rPr/>
          </w:pPr>
          <w:hyperlink w:anchor="__RefHeading___Toc2419832_653776707">
            <w:r>
              <w:rPr>
                <w:webHidden/>
                <w:rStyle w:val="IndexLink"/>
              </w:rPr>
              <w:t>4</w:t>
            </w:r>
            <w:r>
              <w:rPr>
                <w:rStyle w:val="IndexLink"/>
                <w:rtl w:val="true"/>
              </w:rPr>
              <w:t xml:space="preserve">. </w:t>
            </w:r>
            <w:r>
              <w:rPr>
                <w:rStyle w:val="IndexLink"/>
                <w:rtl w:val="true"/>
              </w:rPr>
              <w:t>برگلی و وارثان او</w:t>
            </w:r>
            <w:r>
              <w:rPr>
                <w:rStyle w:val="IndexLink"/>
                <w:rtl w:val="true"/>
              </w:rPr>
              <w:tab/>
            </w:r>
            <w:r>
              <w:rPr>
                <w:rStyle w:val="IndexLink"/>
              </w:rPr>
              <w:t>187</w:t>
            </w:r>
          </w:hyperlink>
        </w:p>
        <w:p>
          <w:pPr>
            <w:pStyle w:val="Contents4"/>
            <w:tabs>
              <w:tab w:val="clear" w:pos="8176"/>
              <w:tab w:val="right" w:pos="9026" w:leader="dot"/>
            </w:tabs>
            <w:rPr/>
          </w:pPr>
          <w:hyperlink w:anchor="__RefHeading___Toc2419834_653776707">
            <w:r>
              <w:rPr>
                <w:webHidden/>
                <w:rStyle w:val="IndexLink"/>
              </w:rPr>
              <w:t>5</w:t>
            </w:r>
            <w:r>
              <w:rPr>
                <w:rStyle w:val="IndexLink"/>
                <w:rtl w:val="true"/>
              </w:rPr>
              <w:t xml:space="preserve">. </w:t>
            </w:r>
            <w:r>
              <w:rPr>
                <w:rStyle w:val="IndexLink"/>
                <w:rtl w:val="true"/>
              </w:rPr>
              <w:t>حنفیان و اواخر دوره‌های عثمانی</w:t>
            </w:r>
            <w:r>
              <w:rPr>
                <w:rStyle w:val="IndexLink"/>
                <w:rtl w:val="true"/>
              </w:rPr>
              <w:tab/>
            </w:r>
            <w:r>
              <w:rPr>
                <w:rStyle w:val="IndexLink"/>
              </w:rPr>
              <w:t>191</w:t>
            </w:r>
          </w:hyperlink>
        </w:p>
        <w:p>
          <w:pPr>
            <w:pStyle w:val="Contents4"/>
            <w:tabs>
              <w:tab w:val="clear" w:pos="8176"/>
              <w:tab w:val="right" w:pos="9026" w:leader="dot"/>
            </w:tabs>
            <w:rPr/>
          </w:pPr>
          <w:hyperlink w:anchor="__RefHeading___Toc2419836_653776707">
            <w:r>
              <w:rPr>
                <w:webHidden/>
                <w:rStyle w:val="IndexLink"/>
              </w:rPr>
              <w:t>6</w:t>
            </w:r>
            <w:r>
              <w:rPr>
                <w:rStyle w:val="IndexLink"/>
                <w:rtl w:val="true"/>
              </w:rPr>
              <w:t xml:space="preserve">. </w:t>
            </w:r>
            <w:r>
              <w:rPr>
                <w:rStyle w:val="IndexLink"/>
                <w:rtl w:val="true"/>
              </w:rPr>
              <w:t>خاتمه</w:t>
            </w:r>
            <w:r>
              <w:rPr>
                <w:rStyle w:val="IndexLink"/>
                <w:rtl w:val="true"/>
              </w:rPr>
              <w:tab/>
            </w:r>
            <w:r>
              <w:rPr>
                <w:rStyle w:val="IndexLink"/>
              </w:rPr>
              <w:t>192</w:t>
            </w:r>
          </w:hyperlink>
        </w:p>
        <w:p>
          <w:pPr>
            <w:pStyle w:val="Contents4"/>
            <w:tabs>
              <w:tab w:val="clear" w:pos="8176"/>
              <w:tab w:val="right" w:pos="9026" w:leader="dot"/>
            </w:tabs>
            <w:rPr/>
          </w:pPr>
          <w:hyperlink w:anchor="__RefHeading___Toc2419838_653776707">
            <w:r>
              <w:rPr>
                <w:webHidden/>
                <w:rStyle w:val="IndexLink"/>
              </w:rPr>
              <w:t>7</w:t>
            </w:r>
            <w:r>
              <w:rPr>
                <w:rStyle w:val="IndexLink"/>
                <w:rtl w:val="true"/>
              </w:rPr>
              <w:t xml:space="preserve">. </w:t>
            </w:r>
            <w:r>
              <w:rPr>
                <w:rStyle w:val="IndexLink"/>
                <w:rtl w:val="true"/>
              </w:rPr>
              <w:t>جصّاص</w:t>
            </w:r>
            <w:r>
              <w:rPr>
                <w:rStyle w:val="IndexLink"/>
                <w:rtl w:val="true"/>
              </w:rPr>
              <w:tab/>
            </w:r>
            <w:r>
              <w:rPr>
                <w:rStyle w:val="IndexLink"/>
              </w:rPr>
              <w:t>192</w:t>
            </w:r>
          </w:hyperlink>
        </w:p>
        <w:p>
          <w:pPr>
            <w:pStyle w:val="Contents5"/>
            <w:tabs>
              <w:tab w:val="clear" w:pos="7892"/>
              <w:tab w:val="right" w:pos="9026" w:leader="dot"/>
            </w:tabs>
            <w:rPr/>
          </w:pPr>
          <w:hyperlink w:anchor="__RefHeading___Toc2419840_65377670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41984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193</w:t>
            </w:r>
          </w:hyperlink>
        </w:p>
        <w:p>
          <w:pPr>
            <w:pStyle w:val="Contents3"/>
            <w:tabs>
              <w:tab w:val="clear" w:pos="8459"/>
              <w:tab w:val="right" w:pos="9026" w:leader="dot"/>
            </w:tabs>
            <w:rPr/>
          </w:pPr>
          <w:hyperlink w:anchor="__RefHeading___Toc2419844_653776707">
            <w:r>
              <w:rPr>
                <w:webHidden/>
                <w:rStyle w:val="IndexLink"/>
                <w:rtl w:val="true"/>
              </w:rPr>
              <w:t>گزارش و ارزیابی فصل سیزدهم</w:t>
            </w:r>
            <w:r>
              <w:rPr>
                <w:rStyle w:val="IndexLink"/>
                <w:rtl w:val="true"/>
              </w:rPr>
              <w:t xml:space="preserve">: </w:t>
            </w:r>
            <w:r>
              <w:rPr>
                <w:rStyle w:val="IndexLink"/>
                <w:rtl w:val="true"/>
              </w:rPr>
              <w:t>شافعیه</w:t>
            </w:r>
            <w:r>
              <w:rPr>
                <w:rStyle w:val="IndexLink"/>
                <w:rtl w:val="true"/>
              </w:rPr>
              <w:tab/>
            </w:r>
            <w:r>
              <w:rPr>
                <w:rStyle w:val="IndexLink"/>
              </w:rPr>
              <w:t>197</w:t>
            </w:r>
          </w:hyperlink>
        </w:p>
        <w:p>
          <w:pPr>
            <w:pStyle w:val="Contents4"/>
            <w:tabs>
              <w:tab w:val="clear" w:pos="8176"/>
              <w:tab w:val="right" w:pos="9026" w:leader="dot"/>
            </w:tabs>
            <w:rPr/>
          </w:pPr>
          <w:hyperlink w:anchor="__RefHeading___Toc2419846_65377670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41984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197</w:t>
            </w:r>
          </w:hyperlink>
        </w:p>
        <w:p>
          <w:pPr>
            <w:pStyle w:val="Contents5"/>
            <w:tabs>
              <w:tab w:val="clear" w:pos="7892"/>
              <w:tab w:val="right" w:pos="9026" w:leader="dot"/>
            </w:tabs>
            <w:rPr/>
          </w:pPr>
          <w:hyperlink w:anchor="__RefHeading___Toc2419850_653776707">
            <w:r>
              <w:rPr>
                <w:webHidden/>
                <w:rStyle w:val="IndexLink"/>
              </w:rPr>
              <w:t>1</w:t>
            </w:r>
            <w:r>
              <w:rPr>
                <w:rStyle w:val="IndexLink"/>
                <w:rtl w:val="true"/>
              </w:rPr>
              <w:t xml:space="preserve">. </w:t>
            </w:r>
            <w:r>
              <w:rPr>
                <w:rStyle w:val="IndexLink"/>
                <w:rtl w:val="true"/>
              </w:rPr>
              <w:t>نهی از منکر از دیدگاه شافعیه</w:t>
            </w:r>
            <w:r>
              <w:rPr>
                <w:rStyle w:val="IndexLink"/>
                <w:rtl w:val="true"/>
              </w:rPr>
              <w:tab/>
            </w:r>
            <w:r>
              <w:rPr>
                <w:rStyle w:val="IndexLink"/>
              </w:rPr>
              <w:t>197</w:t>
            </w:r>
          </w:hyperlink>
        </w:p>
        <w:p>
          <w:pPr>
            <w:pStyle w:val="Contents5"/>
            <w:tabs>
              <w:tab w:val="clear" w:pos="7892"/>
              <w:tab w:val="right" w:pos="9026" w:leader="dot"/>
            </w:tabs>
            <w:rPr/>
          </w:pPr>
          <w:hyperlink w:anchor="__RefHeading___Toc2419852_653776707">
            <w:r>
              <w:rPr>
                <w:webHidden/>
                <w:rStyle w:val="IndexLink"/>
              </w:rPr>
              <w:t>2</w:t>
            </w:r>
            <w:r>
              <w:rPr>
                <w:rStyle w:val="IndexLink"/>
                <w:rtl w:val="true"/>
              </w:rPr>
              <w:t xml:space="preserve">. </w:t>
            </w:r>
            <w:r>
              <w:rPr>
                <w:rStyle w:val="IndexLink"/>
                <w:rtl w:val="true"/>
              </w:rPr>
              <w:t>شافعیان پیش از غزالی</w:t>
            </w:r>
            <w:r>
              <w:rPr>
                <w:rStyle w:val="IndexLink"/>
                <w:rtl w:val="true"/>
              </w:rPr>
              <w:tab/>
            </w:r>
            <w:r>
              <w:rPr>
                <w:rStyle w:val="IndexLink"/>
              </w:rPr>
              <w:t>198</w:t>
            </w:r>
          </w:hyperlink>
        </w:p>
        <w:p>
          <w:pPr>
            <w:pStyle w:val="Contents5"/>
            <w:tabs>
              <w:tab w:val="clear" w:pos="7892"/>
              <w:tab w:val="right" w:pos="9026" w:leader="dot"/>
            </w:tabs>
            <w:rPr/>
          </w:pPr>
          <w:hyperlink w:anchor="__RefHeading___Toc2419854_653776707">
            <w:r>
              <w:rPr>
                <w:webHidden/>
                <w:rStyle w:val="IndexLink"/>
              </w:rPr>
              <w:t>3</w:t>
            </w:r>
            <w:r>
              <w:rPr>
                <w:rStyle w:val="IndexLink"/>
                <w:rtl w:val="true"/>
              </w:rPr>
              <w:t xml:space="preserve">. </w:t>
            </w:r>
            <w:r>
              <w:rPr>
                <w:rStyle w:val="IndexLink"/>
                <w:rtl w:val="true"/>
              </w:rPr>
              <w:t>شافعیان بعد از غزالی</w:t>
            </w:r>
            <w:r>
              <w:rPr>
                <w:rStyle w:val="IndexLink"/>
                <w:rtl w:val="true"/>
              </w:rPr>
              <w:tab/>
            </w:r>
            <w:r>
              <w:rPr>
                <w:rStyle w:val="IndexLink"/>
              </w:rPr>
              <w:t>201</w:t>
            </w:r>
          </w:hyperlink>
        </w:p>
        <w:p>
          <w:pPr>
            <w:pStyle w:val="Contents4"/>
            <w:tabs>
              <w:tab w:val="clear" w:pos="8176"/>
              <w:tab w:val="right" w:pos="9026" w:leader="dot"/>
            </w:tabs>
            <w:rPr/>
          </w:pPr>
          <w:hyperlink w:anchor="__RefHeading___Toc241985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203</w:t>
            </w:r>
          </w:hyperlink>
        </w:p>
        <w:p>
          <w:pPr>
            <w:pStyle w:val="Contents3"/>
            <w:tabs>
              <w:tab w:val="clear" w:pos="8459"/>
              <w:tab w:val="right" w:pos="9026" w:leader="dot"/>
            </w:tabs>
            <w:rPr/>
          </w:pPr>
          <w:hyperlink w:anchor="__RefHeading___Toc2419858_653776707">
            <w:r>
              <w:rPr>
                <w:webHidden/>
                <w:rStyle w:val="IndexLink"/>
                <w:rtl w:val="true"/>
              </w:rPr>
              <w:t>گزارش و ارزیابی فصل چهاردهم</w:t>
            </w:r>
            <w:r>
              <w:rPr>
                <w:rStyle w:val="IndexLink"/>
                <w:rtl w:val="true"/>
              </w:rPr>
              <w:t xml:space="preserve">: </w:t>
            </w:r>
            <w:r>
              <w:rPr>
                <w:rStyle w:val="IndexLink"/>
                <w:rtl w:val="true"/>
              </w:rPr>
              <w:t>مالکیان</w:t>
            </w:r>
            <w:r>
              <w:rPr>
                <w:rStyle w:val="IndexLink"/>
                <w:rtl w:val="true"/>
              </w:rPr>
              <w:tab/>
            </w:r>
            <w:r>
              <w:rPr>
                <w:rStyle w:val="IndexLink"/>
              </w:rPr>
              <w:t>207</w:t>
            </w:r>
          </w:hyperlink>
        </w:p>
        <w:p>
          <w:pPr>
            <w:pStyle w:val="Contents4"/>
            <w:tabs>
              <w:tab w:val="clear" w:pos="8176"/>
              <w:tab w:val="right" w:pos="9026" w:leader="dot"/>
            </w:tabs>
            <w:rPr/>
          </w:pPr>
          <w:hyperlink w:anchor="__RefHeading___Toc2419860_653776707">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41986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207</w:t>
            </w:r>
          </w:hyperlink>
        </w:p>
        <w:p>
          <w:pPr>
            <w:pStyle w:val="Contents5"/>
            <w:tabs>
              <w:tab w:val="clear" w:pos="7892"/>
              <w:tab w:val="right" w:pos="9026" w:leader="dot"/>
            </w:tabs>
            <w:rPr/>
          </w:pPr>
          <w:hyperlink w:anchor="__RefHeading___Toc2419864_653776707">
            <w:r>
              <w:rPr>
                <w:webHidden/>
                <w:rStyle w:val="IndexLink"/>
              </w:rPr>
              <w:t>1</w:t>
            </w:r>
            <w:r>
              <w:rPr>
                <w:rStyle w:val="IndexLink"/>
                <w:rtl w:val="true"/>
              </w:rPr>
              <w:t xml:space="preserve">. </w:t>
            </w:r>
            <w:r>
              <w:rPr>
                <w:rStyle w:val="IndexLink"/>
                <w:rtl w:val="true"/>
              </w:rPr>
              <w:t>امر به معروف و نهی از منکر در تراث مالکیان</w:t>
            </w:r>
            <w:r>
              <w:rPr>
                <w:rStyle w:val="IndexLink"/>
                <w:rtl w:val="true"/>
              </w:rPr>
              <w:tab/>
            </w:r>
            <w:r>
              <w:rPr>
                <w:rStyle w:val="IndexLink"/>
              </w:rPr>
              <w:t>207</w:t>
            </w:r>
          </w:hyperlink>
        </w:p>
        <w:p>
          <w:pPr>
            <w:pStyle w:val="Contents5"/>
            <w:tabs>
              <w:tab w:val="clear" w:pos="7892"/>
              <w:tab w:val="right" w:pos="9026" w:leader="dot"/>
            </w:tabs>
            <w:rPr/>
          </w:pPr>
          <w:hyperlink w:anchor="__RefHeading___Toc2419866_653776707">
            <w:r>
              <w:rPr>
                <w:webHidden/>
                <w:rStyle w:val="IndexLink"/>
              </w:rPr>
              <w:t>2</w:t>
            </w:r>
            <w:r>
              <w:rPr>
                <w:rStyle w:val="IndexLink"/>
                <w:rtl w:val="true"/>
              </w:rPr>
              <w:t xml:space="preserve">. </w:t>
            </w:r>
            <w:r>
              <w:rPr>
                <w:rStyle w:val="IndexLink"/>
                <w:rtl w:val="true"/>
              </w:rPr>
              <w:t>عقیدۀ مالکیان نخستین</w:t>
            </w:r>
            <w:r>
              <w:rPr>
                <w:rStyle w:val="IndexLink"/>
                <w:rtl w:val="true"/>
              </w:rPr>
              <w:tab/>
            </w:r>
            <w:r>
              <w:rPr>
                <w:rStyle w:val="IndexLink"/>
              </w:rPr>
              <w:t>208</w:t>
            </w:r>
          </w:hyperlink>
        </w:p>
        <w:p>
          <w:pPr>
            <w:pStyle w:val="Contents5"/>
            <w:tabs>
              <w:tab w:val="clear" w:pos="7892"/>
              <w:tab w:val="right" w:pos="9026" w:leader="dot"/>
            </w:tabs>
            <w:rPr/>
          </w:pPr>
          <w:hyperlink w:anchor="__RefHeading___Toc2419868_653776707">
            <w:r>
              <w:rPr>
                <w:webHidden/>
                <w:rStyle w:val="IndexLink"/>
              </w:rPr>
              <w:t>3</w:t>
            </w:r>
            <w:r>
              <w:rPr>
                <w:rStyle w:val="IndexLink"/>
                <w:rtl w:val="true"/>
              </w:rPr>
              <w:t xml:space="preserve">. </w:t>
            </w:r>
            <w:r>
              <w:rPr>
                <w:rStyle w:val="IndexLink"/>
                <w:rtl w:val="true"/>
              </w:rPr>
              <w:t>عقیدۀ مالکیان متأخر</w:t>
            </w:r>
            <w:r>
              <w:rPr>
                <w:rStyle w:val="IndexLink"/>
                <w:rtl w:val="true"/>
              </w:rPr>
              <w:tab/>
            </w:r>
            <w:r>
              <w:rPr>
                <w:rStyle w:val="IndexLink"/>
              </w:rPr>
              <w:t>209</w:t>
            </w:r>
          </w:hyperlink>
        </w:p>
        <w:p>
          <w:pPr>
            <w:pStyle w:val="Contents5"/>
            <w:tabs>
              <w:tab w:val="clear" w:pos="7892"/>
              <w:tab w:val="right" w:pos="9026" w:leader="dot"/>
            </w:tabs>
            <w:rPr/>
          </w:pPr>
          <w:hyperlink w:anchor="__RefHeading___Toc2419870_653776707">
            <w:r>
              <w:rPr>
                <w:webHidden/>
                <w:rStyle w:val="IndexLink"/>
              </w:rPr>
              <w:t>4</w:t>
            </w:r>
            <w:r>
              <w:rPr>
                <w:rStyle w:val="IndexLink"/>
                <w:rtl w:val="true"/>
              </w:rPr>
              <w:t xml:space="preserve">. </w:t>
            </w:r>
            <w:r>
              <w:rPr>
                <w:rStyle w:val="IndexLink"/>
                <w:rtl w:val="true"/>
              </w:rPr>
              <w:t>روش مالکی در نهی از منکر</w:t>
            </w:r>
            <w:r>
              <w:rPr>
                <w:rStyle w:val="IndexLink"/>
                <w:rtl w:val="true"/>
              </w:rPr>
              <w:tab/>
            </w:r>
            <w:r>
              <w:rPr>
                <w:rStyle w:val="IndexLink"/>
              </w:rPr>
              <w:t>214</w:t>
            </w:r>
          </w:hyperlink>
        </w:p>
        <w:p>
          <w:pPr>
            <w:pStyle w:val="Contents5"/>
            <w:tabs>
              <w:tab w:val="clear" w:pos="7892"/>
              <w:tab w:val="right" w:pos="9026" w:leader="dot"/>
            </w:tabs>
            <w:rPr/>
          </w:pPr>
          <w:hyperlink w:anchor="__RefHeading___Toc2419872_653776707">
            <w:r>
              <w:rPr>
                <w:webHidden/>
                <w:rStyle w:val="IndexLink"/>
              </w:rPr>
              <w:t>5</w:t>
            </w:r>
            <w:r>
              <w:rPr>
                <w:rStyle w:val="IndexLink"/>
                <w:rtl w:val="true"/>
              </w:rPr>
              <w:t xml:space="preserve">. </w:t>
            </w:r>
            <w:r>
              <w:rPr>
                <w:rStyle w:val="IndexLink"/>
                <w:rtl w:val="true"/>
              </w:rPr>
              <w:t>خاتمه</w:t>
            </w:r>
            <w:r>
              <w:rPr>
                <w:rStyle w:val="IndexLink"/>
                <w:rtl w:val="true"/>
              </w:rPr>
              <w:tab/>
            </w:r>
            <w:r>
              <w:rPr>
                <w:rStyle w:val="IndexLink"/>
              </w:rPr>
              <w:t>218</w:t>
            </w:r>
          </w:hyperlink>
        </w:p>
        <w:p>
          <w:pPr>
            <w:pStyle w:val="Contents4"/>
            <w:tabs>
              <w:tab w:val="clear" w:pos="8176"/>
              <w:tab w:val="right" w:pos="9026" w:leader="dot"/>
            </w:tabs>
            <w:rPr/>
          </w:pPr>
          <w:hyperlink w:anchor="__RefHeading___Toc241987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219</w:t>
            </w:r>
          </w:hyperlink>
        </w:p>
        <w:p>
          <w:pPr>
            <w:pStyle w:val="Contents3"/>
            <w:tabs>
              <w:tab w:val="clear" w:pos="8459"/>
              <w:tab w:val="right" w:pos="9026" w:leader="dot"/>
            </w:tabs>
            <w:rPr/>
          </w:pPr>
          <w:hyperlink w:anchor="__RefHeading___Toc2419876_653776707">
            <w:r>
              <w:rPr>
                <w:webHidden/>
                <w:rStyle w:val="IndexLink"/>
                <w:rtl w:val="true"/>
              </w:rPr>
              <w:t>گزارش و ارزیابی فصل پانزدهم</w:t>
            </w:r>
            <w:r>
              <w:rPr>
                <w:rStyle w:val="IndexLink"/>
                <w:rtl w:val="true"/>
              </w:rPr>
              <w:t xml:space="preserve">: </w:t>
            </w:r>
            <w:r>
              <w:rPr>
                <w:rStyle w:val="IndexLink"/>
                <w:rtl w:val="true"/>
              </w:rPr>
              <w:t>اباضیه</w:t>
            </w:r>
            <w:r>
              <w:rPr>
                <w:rStyle w:val="IndexLink"/>
                <w:rtl w:val="true"/>
              </w:rPr>
              <w:tab/>
            </w:r>
            <w:r>
              <w:rPr>
                <w:rStyle w:val="IndexLink"/>
              </w:rPr>
              <w:t>223</w:t>
            </w:r>
          </w:hyperlink>
        </w:p>
        <w:p>
          <w:pPr>
            <w:pStyle w:val="Contents4"/>
            <w:tabs>
              <w:tab w:val="clear" w:pos="8176"/>
              <w:tab w:val="right" w:pos="9026" w:leader="dot"/>
            </w:tabs>
            <w:rPr/>
          </w:pPr>
          <w:hyperlink w:anchor="__RefHeading___Toc2419878_65377670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41988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223</w:t>
            </w:r>
          </w:hyperlink>
        </w:p>
        <w:p>
          <w:pPr>
            <w:pStyle w:val="Contents5"/>
            <w:tabs>
              <w:tab w:val="clear" w:pos="7892"/>
              <w:tab w:val="right" w:pos="9026" w:leader="dot"/>
            </w:tabs>
            <w:rPr/>
          </w:pPr>
          <w:hyperlink w:anchor="__RefHeading___Toc2419882_653776707">
            <w:r>
              <w:rPr>
                <w:webHidden/>
                <w:rStyle w:val="IndexLink"/>
              </w:rPr>
              <w:t>1</w:t>
            </w:r>
            <w:r>
              <w:rPr>
                <w:rStyle w:val="IndexLink"/>
                <w:rtl w:val="true"/>
              </w:rPr>
              <w:t xml:space="preserve">. </w:t>
            </w:r>
            <w:r>
              <w:rPr>
                <w:rStyle w:val="IndexLink"/>
                <w:rtl w:val="true"/>
              </w:rPr>
              <w:t>نهی از منکر نزد اباضیه</w:t>
            </w:r>
            <w:r>
              <w:rPr>
                <w:rStyle w:val="IndexLink"/>
                <w:rtl w:val="true"/>
              </w:rPr>
              <w:tab/>
            </w:r>
            <w:r>
              <w:rPr>
                <w:rStyle w:val="IndexLink"/>
              </w:rPr>
              <w:t>223</w:t>
            </w:r>
          </w:hyperlink>
        </w:p>
        <w:p>
          <w:pPr>
            <w:pStyle w:val="Contents5"/>
            <w:tabs>
              <w:tab w:val="clear" w:pos="7892"/>
              <w:tab w:val="right" w:pos="9026" w:leader="dot"/>
            </w:tabs>
            <w:rPr/>
          </w:pPr>
          <w:hyperlink w:anchor="__RefHeading___Toc2419884_653776707">
            <w:r>
              <w:rPr>
                <w:webHidden/>
                <w:rStyle w:val="IndexLink"/>
              </w:rPr>
              <w:t>2</w:t>
            </w:r>
            <w:r>
              <w:rPr>
                <w:rStyle w:val="IndexLink"/>
                <w:rtl w:val="true"/>
              </w:rPr>
              <w:t xml:space="preserve">. </w:t>
            </w:r>
            <w:r>
              <w:rPr>
                <w:rStyle w:val="IndexLink"/>
                <w:rtl w:val="true"/>
              </w:rPr>
              <w:t>اباضیه غربی</w:t>
            </w:r>
            <w:r>
              <w:rPr>
                <w:rStyle w:val="IndexLink"/>
                <w:rtl w:val="true"/>
              </w:rPr>
              <w:tab/>
            </w:r>
            <w:r>
              <w:rPr>
                <w:rStyle w:val="IndexLink"/>
              </w:rPr>
              <w:t>225</w:t>
            </w:r>
          </w:hyperlink>
        </w:p>
        <w:p>
          <w:pPr>
            <w:pStyle w:val="Contents5"/>
            <w:tabs>
              <w:tab w:val="clear" w:pos="7892"/>
              <w:tab w:val="right" w:pos="9026" w:leader="dot"/>
            </w:tabs>
            <w:rPr/>
          </w:pPr>
          <w:hyperlink w:anchor="__RefHeading___Toc2419886_653776707">
            <w:r>
              <w:rPr>
                <w:webHidden/>
                <w:rStyle w:val="IndexLink"/>
              </w:rPr>
              <w:t>3</w:t>
            </w:r>
            <w:r>
              <w:rPr>
                <w:rStyle w:val="IndexLink"/>
                <w:rtl w:val="true"/>
              </w:rPr>
              <w:t xml:space="preserve">. </w:t>
            </w:r>
            <w:r>
              <w:rPr>
                <w:rStyle w:val="IndexLink"/>
                <w:rtl w:val="true"/>
              </w:rPr>
              <w:t>اباضیه شرقی</w:t>
            </w:r>
            <w:r>
              <w:rPr>
                <w:rStyle w:val="IndexLink"/>
                <w:rtl w:val="true"/>
              </w:rPr>
              <w:tab/>
            </w:r>
            <w:r>
              <w:rPr>
                <w:rStyle w:val="IndexLink"/>
              </w:rPr>
              <w:t>227</w:t>
            </w:r>
          </w:hyperlink>
        </w:p>
        <w:p>
          <w:pPr>
            <w:pStyle w:val="Contents5"/>
            <w:tabs>
              <w:tab w:val="clear" w:pos="7892"/>
              <w:tab w:val="right" w:pos="9026" w:leader="dot"/>
            </w:tabs>
            <w:rPr/>
          </w:pPr>
          <w:hyperlink w:anchor="__RefHeading___Toc2419888_653776707">
            <w:r>
              <w:rPr>
                <w:webHidden/>
                <w:rStyle w:val="IndexLink"/>
              </w:rPr>
              <w:t>4</w:t>
            </w:r>
            <w:r>
              <w:rPr>
                <w:rStyle w:val="IndexLink"/>
                <w:rtl w:val="true"/>
              </w:rPr>
              <w:t xml:space="preserve">. </w:t>
            </w:r>
            <w:r>
              <w:rPr>
                <w:rStyle w:val="IndexLink"/>
                <w:rtl w:val="true"/>
              </w:rPr>
              <w:t>خاتمه</w:t>
            </w:r>
            <w:r>
              <w:rPr>
                <w:rStyle w:val="IndexLink"/>
                <w:rtl w:val="true"/>
              </w:rPr>
              <w:tab/>
            </w:r>
            <w:r>
              <w:rPr>
                <w:rStyle w:val="IndexLink"/>
              </w:rPr>
              <w:t>233</w:t>
            </w:r>
          </w:hyperlink>
        </w:p>
        <w:p>
          <w:pPr>
            <w:pStyle w:val="Contents4"/>
            <w:tabs>
              <w:tab w:val="clear" w:pos="8176"/>
              <w:tab w:val="right" w:pos="9026" w:leader="dot"/>
            </w:tabs>
            <w:rPr/>
          </w:pPr>
          <w:hyperlink w:anchor="__RefHeading___Toc241989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234</w:t>
            </w:r>
          </w:hyperlink>
        </w:p>
        <w:p>
          <w:pPr>
            <w:pStyle w:val="Contents3"/>
            <w:tabs>
              <w:tab w:val="clear" w:pos="8459"/>
              <w:tab w:val="right" w:pos="9026" w:leader="dot"/>
            </w:tabs>
            <w:rPr/>
          </w:pPr>
          <w:hyperlink w:anchor="__RefHeading___Toc2419892_653776707">
            <w:r>
              <w:rPr>
                <w:webHidden/>
                <w:rStyle w:val="IndexLink"/>
                <w:rtl w:val="true"/>
              </w:rPr>
              <w:t>گزارش و ارزیابی فصل شانزدهم</w:t>
            </w:r>
            <w:r>
              <w:rPr>
                <w:rStyle w:val="IndexLink"/>
                <w:rtl w:val="true"/>
              </w:rPr>
              <w:t xml:space="preserve">: </w:t>
            </w:r>
            <w:r>
              <w:rPr>
                <w:rStyle w:val="IndexLink"/>
                <w:rtl w:val="true"/>
              </w:rPr>
              <w:t>غزالی</w:t>
            </w:r>
            <w:r>
              <w:rPr>
                <w:rStyle w:val="IndexLink"/>
                <w:rtl w:val="true"/>
              </w:rPr>
              <w:tab/>
            </w:r>
            <w:r>
              <w:rPr>
                <w:rStyle w:val="IndexLink"/>
              </w:rPr>
              <w:t>237</w:t>
            </w:r>
          </w:hyperlink>
        </w:p>
        <w:p>
          <w:pPr>
            <w:pStyle w:val="Contents4"/>
            <w:tabs>
              <w:tab w:val="clear" w:pos="8176"/>
              <w:tab w:val="right" w:pos="9026" w:leader="dot"/>
            </w:tabs>
            <w:rPr/>
          </w:pPr>
          <w:hyperlink w:anchor="__RefHeading___Toc2419894_65377670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41989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237</w:t>
            </w:r>
          </w:hyperlink>
        </w:p>
        <w:p>
          <w:pPr>
            <w:pStyle w:val="Contents5"/>
            <w:tabs>
              <w:tab w:val="clear" w:pos="7892"/>
              <w:tab w:val="right" w:pos="9026" w:leader="dot"/>
            </w:tabs>
            <w:rPr/>
          </w:pPr>
          <w:hyperlink w:anchor="__RefHeading___Toc2419898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237</w:t>
            </w:r>
          </w:hyperlink>
        </w:p>
        <w:p>
          <w:pPr>
            <w:pStyle w:val="Contents5"/>
            <w:tabs>
              <w:tab w:val="clear" w:pos="7892"/>
              <w:tab w:val="right" w:pos="9026" w:leader="dot"/>
            </w:tabs>
            <w:rPr/>
          </w:pPr>
          <w:hyperlink w:anchor="__RefHeading___Toc2419900_653776707">
            <w:r>
              <w:rPr>
                <w:webHidden/>
                <w:rStyle w:val="IndexLink"/>
              </w:rPr>
              <w:t>2</w:t>
            </w:r>
            <w:r>
              <w:rPr>
                <w:rStyle w:val="IndexLink"/>
                <w:rtl w:val="true"/>
              </w:rPr>
              <w:t xml:space="preserve">. </w:t>
            </w:r>
            <w:r>
              <w:rPr>
                <w:rStyle w:val="IndexLink"/>
                <w:rtl w:val="true"/>
              </w:rPr>
              <w:t>ارکان نهی از منکر</w:t>
            </w:r>
            <w:r>
              <w:rPr>
                <w:rStyle w:val="IndexLink"/>
                <w:rtl w:val="true"/>
              </w:rPr>
              <w:tab/>
            </w:r>
            <w:r>
              <w:rPr>
                <w:rStyle w:val="IndexLink"/>
              </w:rPr>
              <w:t>238</w:t>
            </w:r>
          </w:hyperlink>
        </w:p>
        <w:p>
          <w:pPr>
            <w:pStyle w:val="Contents6"/>
            <w:tabs>
              <w:tab w:val="clear" w:pos="7609"/>
              <w:tab w:val="right" w:pos="9026" w:leader="dot"/>
            </w:tabs>
            <w:rPr/>
          </w:pPr>
          <w:hyperlink w:anchor="__RefHeading___Toc2419902_653776707">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2419904_653776707">
            <w:r>
              <w:rPr>
                <w:webHidden/>
                <w:rStyle w:val="IndexLink"/>
              </w:rPr>
              <w:t>2-1</w:t>
            </w:r>
            <w:r>
              <w:rPr>
                <w:rStyle w:val="IndexLink"/>
                <w:rtl w:val="true"/>
              </w:rPr>
              <w:t xml:space="preserve">. </w:t>
            </w:r>
            <w:r>
              <w:rPr>
                <w:rStyle w:val="IndexLink"/>
                <w:rtl w:val="true"/>
              </w:rPr>
              <w:t>رکن اول</w:t>
            </w:r>
            <w:r>
              <w:rPr>
                <w:rStyle w:val="IndexLink"/>
                <w:rtl w:val="true"/>
              </w:rPr>
              <w:t xml:space="preserve">: </w:t>
            </w:r>
            <w:r>
              <w:rPr>
                <w:rStyle w:val="IndexLink"/>
                <w:rtl w:val="true"/>
              </w:rPr>
              <w:t>محتسب</w:t>
            </w:r>
            <w:r>
              <w:rPr>
                <w:rStyle w:val="IndexLink"/>
                <w:rtl w:val="true"/>
              </w:rPr>
              <w:tab/>
            </w:r>
            <w:r>
              <w:rPr>
                <w:rStyle w:val="IndexLink"/>
              </w:rPr>
              <w:t>238</w:t>
            </w:r>
          </w:hyperlink>
        </w:p>
        <w:p>
          <w:pPr>
            <w:pStyle w:val="Contents6"/>
            <w:tabs>
              <w:tab w:val="clear" w:pos="7609"/>
              <w:tab w:val="right" w:pos="9026" w:leader="dot"/>
            </w:tabs>
            <w:rPr/>
          </w:pPr>
          <w:hyperlink w:anchor="__RefHeading___Toc2419906_653776707">
            <w:r>
              <w:rPr>
                <w:webHidden/>
                <w:rStyle w:val="IndexLink"/>
              </w:rPr>
              <w:t>2-2</w:t>
            </w:r>
            <w:r>
              <w:rPr>
                <w:rStyle w:val="IndexLink"/>
                <w:rtl w:val="true"/>
              </w:rPr>
              <w:t xml:space="preserve">. </w:t>
            </w:r>
            <w:r>
              <w:rPr>
                <w:rStyle w:val="IndexLink"/>
                <w:rtl w:val="true"/>
              </w:rPr>
              <w:t>رکن دوم</w:t>
            </w:r>
            <w:r>
              <w:rPr>
                <w:rStyle w:val="IndexLink"/>
                <w:rtl w:val="true"/>
              </w:rPr>
              <w:t xml:space="preserve">: </w:t>
            </w:r>
            <w:r>
              <w:rPr>
                <w:rStyle w:val="IndexLink"/>
                <w:rtl w:val="true"/>
              </w:rPr>
              <w:t xml:space="preserve">منکر </w:t>
            </w:r>
            <w:r>
              <w:rPr>
                <w:rStyle w:val="IndexLink"/>
                <w:rtl w:val="true"/>
              </w:rPr>
              <w:t>(</w:t>
            </w:r>
            <w:r>
              <w:rPr>
                <w:rStyle w:val="IndexLink"/>
                <w:rtl w:val="true"/>
              </w:rPr>
              <w:t>مافیه الحسبه</w:t>
            </w:r>
            <w:r>
              <w:rPr>
                <w:rStyle w:val="IndexLink"/>
                <w:rtl w:val="true"/>
              </w:rPr>
              <w:t>)</w:t>
              <w:tab/>
            </w:r>
            <w:r>
              <w:rPr>
                <w:rStyle w:val="IndexLink"/>
              </w:rPr>
              <w:t>241</w:t>
            </w:r>
          </w:hyperlink>
        </w:p>
        <w:p>
          <w:pPr>
            <w:pStyle w:val="Contents6"/>
            <w:tabs>
              <w:tab w:val="clear" w:pos="7609"/>
              <w:tab w:val="right" w:pos="9026" w:leader="dot"/>
            </w:tabs>
            <w:rPr/>
          </w:pPr>
          <w:hyperlink w:anchor="__RefHeading___Toc2419908_653776707">
            <w:r>
              <w:rPr>
                <w:webHidden/>
                <w:rStyle w:val="IndexLink"/>
              </w:rPr>
              <w:t>2-3</w:t>
            </w:r>
            <w:r>
              <w:rPr>
                <w:rStyle w:val="IndexLink"/>
                <w:rtl w:val="true"/>
              </w:rPr>
              <w:t xml:space="preserve">. </w:t>
            </w:r>
            <w:r>
              <w:rPr>
                <w:rStyle w:val="IndexLink"/>
                <w:rtl w:val="true"/>
              </w:rPr>
              <w:t>رکن سوم</w:t>
            </w:r>
            <w:r>
              <w:rPr>
                <w:rStyle w:val="IndexLink"/>
                <w:rtl w:val="true"/>
              </w:rPr>
              <w:t xml:space="preserve">: </w:t>
            </w:r>
            <w:r>
              <w:rPr>
                <w:rStyle w:val="IndexLink"/>
                <w:rtl w:val="true"/>
              </w:rPr>
              <w:t xml:space="preserve">گنهکار </w:t>
            </w:r>
            <w:r>
              <w:rPr>
                <w:rStyle w:val="IndexLink"/>
                <w:rtl w:val="true"/>
              </w:rPr>
              <w:t>(</w:t>
            </w:r>
            <w:r>
              <w:rPr>
                <w:rStyle w:val="IndexLink"/>
                <w:rtl w:val="true"/>
              </w:rPr>
              <w:t>المحتسب علیه</w:t>
            </w:r>
            <w:r>
              <w:rPr>
                <w:rStyle w:val="IndexLink"/>
                <w:rtl w:val="true"/>
              </w:rPr>
              <w:t>)</w:t>
              <w:tab/>
            </w:r>
            <w:r>
              <w:rPr>
                <w:rStyle w:val="IndexLink"/>
              </w:rPr>
              <w:t>242</w:t>
            </w:r>
          </w:hyperlink>
        </w:p>
        <w:p>
          <w:pPr>
            <w:pStyle w:val="Contents6"/>
            <w:tabs>
              <w:tab w:val="clear" w:pos="7609"/>
              <w:tab w:val="right" w:pos="9026" w:leader="dot"/>
            </w:tabs>
            <w:rPr/>
          </w:pPr>
          <w:hyperlink w:anchor="__RefHeading___Toc2419910_653776707">
            <w:r>
              <w:rPr>
                <w:webHidden/>
                <w:rStyle w:val="IndexLink"/>
              </w:rPr>
              <w:t>2-4</w:t>
            </w:r>
            <w:r>
              <w:rPr>
                <w:rStyle w:val="IndexLink"/>
                <w:rtl w:val="true"/>
              </w:rPr>
              <w:t xml:space="preserve">. </w:t>
            </w:r>
            <w:r>
              <w:rPr>
                <w:rStyle w:val="IndexLink"/>
                <w:rtl w:val="true"/>
              </w:rPr>
              <w:t>رکن چهارم</w:t>
            </w:r>
            <w:r>
              <w:rPr>
                <w:rStyle w:val="IndexLink"/>
                <w:rtl w:val="true"/>
              </w:rPr>
              <w:t xml:space="preserve">: </w:t>
            </w:r>
            <w:r>
              <w:rPr>
                <w:rStyle w:val="IndexLink"/>
                <w:rtl w:val="true"/>
              </w:rPr>
              <w:t>چگونگی احتساب</w:t>
            </w:r>
            <w:r>
              <w:rPr>
                <w:rStyle w:val="IndexLink"/>
                <w:rtl w:val="true"/>
              </w:rPr>
              <w:tab/>
            </w:r>
            <w:r>
              <w:rPr>
                <w:rStyle w:val="IndexLink"/>
              </w:rPr>
              <w:t>242</w:t>
            </w:r>
          </w:hyperlink>
        </w:p>
        <w:p>
          <w:pPr>
            <w:pStyle w:val="Contents6"/>
            <w:tabs>
              <w:tab w:val="clear" w:pos="7609"/>
              <w:tab w:val="right" w:pos="9026" w:leader="dot"/>
            </w:tabs>
            <w:rPr/>
          </w:pPr>
          <w:hyperlink w:anchor="__RefHeading___Toc2419912_653776707">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2419914_653776707">
            <w:r>
              <w:rPr>
                <w:webHidden/>
                <w:rStyle w:val="IndexLink"/>
                <w:rtl w:val="true"/>
              </w:rPr>
              <w:t>الف</w:t>
            </w:r>
            <w:r>
              <w:rPr>
                <w:rStyle w:val="IndexLink"/>
                <w:rtl w:val="true"/>
              </w:rPr>
              <w:t xml:space="preserve">) </w:t>
            </w:r>
            <w:r>
              <w:rPr>
                <w:rStyle w:val="IndexLink"/>
                <w:rtl w:val="true"/>
              </w:rPr>
              <w:t>درجات احتساب</w:t>
            </w:r>
            <w:r>
              <w:rPr>
                <w:rStyle w:val="IndexLink"/>
                <w:rtl w:val="true"/>
              </w:rPr>
              <w:tab/>
            </w:r>
            <w:r>
              <w:rPr>
                <w:rStyle w:val="IndexLink"/>
              </w:rPr>
              <w:t>242</w:t>
            </w:r>
          </w:hyperlink>
        </w:p>
        <w:p>
          <w:pPr>
            <w:pStyle w:val="Contents6"/>
            <w:tabs>
              <w:tab w:val="clear" w:pos="7609"/>
              <w:tab w:val="right" w:pos="9026" w:leader="dot"/>
            </w:tabs>
            <w:rPr/>
          </w:pPr>
          <w:hyperlink w:anchor="__RefHeading___Toc2419916_653776707">
            <w:r>
              <w:rPr>
                <w:webHidden/>
                <w:rStyle w:val="IndexLink"/>
                <w:rtl w:val="true"/>
              </w:rPr>
              <w:t>ب</w:t>
            </w:r>
            <w:r>
              <w:rPr>
                <w:rStyle w:val="IndexLink"/>
                <w:rtl w:val="true"/>
              </w:rPr>
              <w:t xml:space="preserve">) </w:t>
            </w:r>
            <w:r>
              <w:rPr>
                <w:rStyle w:val="IndexLink"/>
                <w:rtl w:val="true"/>
              </w:rPr>
              <w:t>آداب نهی از منکر</w:t>
            </w:r>
            <w:r>
              <w:rPr>
                <w:rStyle w:val="IndexLink"/>
                <w:rtl w:val="true"/>
              </w:rPr>
              <w:tab/>
            </w:r>
            <w:r>
              <w:rPr>
                <w:rStyle w:val="IndexLink"/>
              </w:rPr>
              <w:t>243</w:t>
            </w:r>
          </w:hyperlink>
        </w:p>
        <w:p>
          <w:pPr>
            <w:pStyle w:val="Contents5"/>
            <w:tabs>
              <w:tab w:val="clear" w:pos="7892"/>
              <w:tab w:val="right" w:pos="9026" w:leader="dot"/>
            </w:tabs>
            <w:rPr/>
          </w:pPr>
          <w:hyperlink w:anchor="__RefHeading___Toc2419918_653776707">
            <w:r>
              <w:rPr>
                <w:webHidden/>
                <w:rStyle w:val="IndexLink"/>
              </w:rPr>
              <w:t>3</w:t>
            </w:r>
            <w:r>
              <w:rPr>
                <w:rStyle w:val="IndexLink"/>
                <w:rtl w:val="true"/>
              </w:rPr>
              <w:t xml:space="preserve">. </w:t>
            </w:r>
            <w:r>
              <w:rPr>
                <w:rStyle w:val="IndexLink"/>
                <w:rtl w:val="true"/>
              </w:rPr>
              <w:t>انواع منکرات از نظر غزالی</w:t>
            </w:r>
            <w:r>
              <w:rPr>
                <w:rStyle w:val="IndexLink"/>
                <w:rtl w:val="true"/>
              </w:rPr>
              <w:tab/>
            </w:r>
            <w:r>
              <w:rPr>
                <w:rStyle w:val="IndexLink"/>
              </w:rPr>
              <w:t>244</w:t>
            </w:r>
          </w:hyperlink>
        </w:p>
        <w:p>
          <w:pPr>
            <w:pStyle w:val="Contents5"/>
            <w:tabs>
              <w:tab w:val="clear" w:pos="7892"/>
              <w:tab w:val="right" w:pos="9026" w:leader="dot"/>
            </w:tabs>
            <w:rPr/>
          </w:pPr>
          <w:hyperlink w:anchor="__RefHeading___Toc2419920_653776707">
            <w:r>
              <w:rPr>
                <w:webHidden/>
                <w:rStyle w:val="IndexLink"/>
              </w:rPr>
              <w:t>4</w:t>
            </w:r>
            <w:r>
              <w:rPr>
                <w:rStyle w:val="IndexLink"/>
                <w:rtl w:val="true"/>
              </w:rPr>
              <w:t xml:space="preserve">. </w:t>
            </w:r>
            <w:r>
              <w:rPr>
                <w:rStyle w:val="IndexLink"/>
                <w:rtl w:val="true"/>
              </w:rPr>
              <w:t>امر و نهی کردن حاکمان از نظر غزالی</w:t>
            </w:r>
            <w:r>
              <w:rPr>
                <w:rStyle w:val="IndexLink"/>
                <w:rtl w:val="true"/>
              </w:rPr>
              <w:tab/>
            </w:r>
            <w:r>
              <w:rPr>
                <w:rStyle w:val="IndexLink"/>
              </w:rPr>
              <w:t>246</w:t>
            </w:r>
          </w:hyperlink>
        </w:p>
        <w:p>
          <w:pPr>
            <w:pStyle w:val="Contents5"/>
            <w:tabs>
              <w:tab w:val="clear" w:pos="7892"/>
              <w:tab w:val="right" w:pos="9026" w:leader="dot"/>
            </w:tabs>
            <w:rPr/>
          </w:pPr>
          <w:hyperlink w:anchor="__RefHeading___Toc2419922_653776707">
            <w:r>
              <w:rPr>
                <w:webHidden/>
                <w:rStyle w:val="IndexLink"/>
              </w:rPr>
              <w:t>5</w:t>
            </w:r>
            <w:r>
              <w:rPr>
                <w:rStyle w:val="IndexLink"/>
                <w:rtl w:val="true"/>
              </w:rPr>
              <w:t xml:space="preserve">. </w:t>
            </w:r>
            <w:r>
              <w:rPr>
                <w:rStyle w:val="IndexLink"/>
                <w:rtl w:val="true"/>
              </w:rPr>
              <w:t>ارزیابی مایکل کوک از کار غزالی</w:t>
            </w:r>
            <w:r>
              <w:rPr>
                <w:rStyle w:val="IndexLink"/>
                <w:rtl w:val="true"/>
              </w:rPr>
              <w:tab/>
            </w:r>
            <w:r>
              <w:rPr>
                <w:rStyle w:val="IndexLink"/>
              </w:rPr>
              <w:t>246</w:t>
            </w:r>
          </w:hyperlink>
        </w:p>
        <w:p>
          <w:pPr>
            <w:pStyle w:val="Contents5"/>
            <w:tabs>
              <w:tab w:val="clear" w:pos="7892"/>
              <w:tab w:val="right" w:pos="9026" w:leader="dot"/>
            </w:tabs>
            <w:rPr/>
          </w:pPr>
          <w:hyperlink w:anchor="__RefHeading___Toc2419924_653776707">
            <w:r>
              <w:rPr>
                <w:webHidden/>
                <w:rStyle w:val="IndexLink"/>
              </w:rPr>
              <w:t>6</w:t>
            </w:r>
            <w:r>
              <w:rPr>
                <w:rStyle w:val="IndexLink"/>
                <w:rtl w:val="true"/>
              </w:rPr>
              <w:t xml:space="preserve">. </w:t>
            </w:r>
            <w:r>
              <w:rPr>
                <w:rStyle w:val="IndexLink"/>
                <w:rtl w:val="true"/>
              </w:rPr>
              <w:t>نواقص کار غزالی</w:t>
            </w:r>
            <w:r>
              <w:rPr>
                <w:rStyle w:val="IndexLink"/>
                <w:rtl w:val="true"/>
              </w:rPr>
              <w:tab/>
            </w:r>
            <w:r>
              <w:rPr>
                <w:rStyle w:val="IndexLink"/>
              </w:rPr>
              <w:t>247</w:t>
            </w:r>
          </w:hyperlink>
        </w:p>
        <w:p>
          <w:pPr>
            <w:pStyle w:val="Contents5"/>
            <w:tabs>
              <w:tab w:val="clear" w:pos="7892"/>
              <w:tab w:val="right" w:pos="9026" w:leader="dot"/>
            </w:tabs>
            <w:rPr/>
          </w:pPr>
          <w:hyperlink w:anchor="__RefHeading___Toc2419926_653776707">
            <w:r>
              <w:rPr>
                <w:webHidden/>
                <w:rStyle w:val="IndexLink"/>
              </w:rPr>
              <w:t>7</w:t>
            </w:r>
            <w:r>
              <w:rPr>
                <w:rStyle w:val="IndexLink"/>
                <w:rtl w:val="true"/>
              </w:rPr>
              <w:t xml:space="preserve">. </w:t>
            </w:r>
            <w:r>
              <w:rPr>
                <w:rStyle w:val="IndexLink"/>
                <w:rtl w:val="true"/>
              </w:rPr>
              <w:t>میراث غزالی</w:t>
            </w:r>
            <w:r>
              <w:rPr>
                <w:rStyle w:val="IndexLink"/>
                <w:rtl w:val="true"/>
              </w:rPr>
              <w:tab/>
            </w:r>
            <w:r>
              <w:rPr>
                <w:rStyle w:val="IndexLink"/>
              </w:rPr>
              <w:t>247</w:t>
            </w:r>
          </w:hyperlink>
        </w:p>
        <w:p>
          <w:pPr>
            <w:pStyle w:val="Contents4"/>
            <w:tabs>
              <w:tab w:val="clear" w:pos="8176"/>
              <w:tab w:val="right" w:pos="9026" w:leader="dot"/>
            </w:tabs>
            <w:rPr/>
          </w:pPr>
          <w:hyperlink w:anchor="__RefHeading___Toc241992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249</w:t>
            </w:r>
          </w:hyperlink>
        </w:p>
        <w:p>
          <w:pPr>
            <w:pStyle w:val="Contents3"/>
            <w:tabs>
              <w:tab w:val="clear" w:pos="8459"/>
              <w:tab w:val="right" w:pos="9026" w:leader="dot"/>
            </w:tabs>
            <w:rPr/>
          </w:pPr>
          <w:hyperlink w:anchor="__RefHeading___Toc2419930_653776707">
            <w:r>
              <w:rPr>
                <w:webHidden/>
                <w:rStyle w:val="IndexLink"/>
                <w:rtl w:val="true"/>
              </w:rPr>
              <w:t>گزارش و ارزیابی پیوست فصل شانزدهم</w:t>
            </w:r>
            <w:r>
              <w:rPr>
                <w:rStyle w:val="IndexLink"/>
                <w:rtl w:val="true"/>
              </w:rPr>
              <w:t xml:space="preserve">: </w:t>
            </w:r>
            <w:r>
              <w:rPr>
                <w:rStyle w:val="IndexLink"/>
                <w:rtl w:val="true"/>
              </w:rPr>
              <w:t>صوفیان</w:t>
            </w:r>
            <w:r>
              <w:rPr>
                <w:rStyle w:val="IndexLink"/>
                <w:rtl w:val="true"/>
              </w:rPr>
              <w:tab/>
            </w:r>
            <w:r>
              <w:rPr>
                <w:rStyle w:val="IndexLink"/>
              </w:rPr>
              <w:t>257</w:t>
            </w:r>
          </w:hyperlink>
        </w:p>
        <w:p>
          <w:pPr>
            <w:pStyle w:val="Contents4"/>
            <w:tabs>
              <w:tab w:val="clear" w:pos="8176"/>
              <w:tab w:val="right" w:pos="9026" w:leader="dot"/>
            </w:tabs>
            <w:rPr/>
          </w:pPr>
          <w:hyperlink w:anchor="__RefHeading___Toc241993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257</w:t>
            </w:r>
          </w:hyperlink>
        </w:p>
        <w:p>
          <w:pPr>
            <w:pStyle w:val="Contents4"/>
            <w:tabs>
              <w:tab w:val="clear" w:pos="8176"/>
              <w:tab w:val="right" w:pos="9026" w:leader="dot"/>
            </w:tabs>
            <w:rPr/>
          </w:pPr>
          <w:hyperlink w:anchor="__RefHeading___Toc241993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259</w:t>
            </w:r>
          </w:hyperlink>
        </w:p>
        <w:p>
          <w:pPr>
            <w:pStyle w:val="Contents3"/>
            <w:tabs>
              <w:tab w:val="clear" w:pos="8459"/>
              <w:tab w:val="right" w:pos="9026" w:leader="dot"/>
            </w:tabs>
            <w:rPr/>
          </w:pPr>
          <w:hyperlink w:anchor="__RefHeading___Toc2419936_653776707">
            <w:r>
              <w:rPr>
                <w:webHidden/>
                <w:rStyle w:val="IndexLink"/>
                <w:rtl w:val="true"/>
              </w:rPr>
              <w:t>گزارش و ارزیابی فصل هفدهم</w:t>
            </w:r>
            <w:r>
              <w:rPr>
                <w:rStyle w:val="IndexLink"/>
                <w:rtl w:val="true"/>
              </w:rPr>
              <w:t xml:space="preserve">: </w:t>
            </w:r>
            <w:r>
              <w:rPr>
                <w:rStyle w:val="IndexLink"/>
                <w:rtl w:val="true"/>
              </w:rPr>
              <w:t>بازنگری اسلام نخستین</w:t>
            </w:r>
            <w:r>
              <w:rPr>
                <w:rStyle w:val="IndexLink"/>
                <w:rtl w:val="true"/>
              </w:rPr>
              <w:tab/>
            </w:r>
            <w:r>
              <w:rPr>
                <w:rStyle w:val="IndexLink"/>
              </w:rPr>
              <w:t>261</w:t>
            </w:r>
          </w:hyperlink>
        </w:p>
        <w:p>
          <w:pPr>
            <w:pStyle w:val="Contents4"/>
            <w:tabs>
              <w:tab w:val="clear" w:pos="8176"/>
              <w:tab w:val="right" w:pos="9026" w:leader="dot"/>
            </w:tabs>
            <w:rPr/>
          </w:pPr>
          <w:hyperlink w:anchor="__RefHeading___Toc2419938_653776707">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41994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261</w:t>
            </w:r>
          </w:hyperlink>
        </w:p>
        <w:p>
          <w:pPr>
            <w:pStyle w:val="Contents5"/>
            <w:tabs>
              <w:tab w:val="clear" w:pos="7892"/>
              <w:tab w:val="right" w:pos="9026" w:leader="dot"/>
            </w:tabs>
            <w:rPr/>
          </w:pPr>
          <w:hyperlink w:anchor="__RefHeading___Toc2419942_653776707">
            <w:r>
              <w:rPr>
                <w:webHidden/>
                <w:rStyle w:val="IndexLink"/>
              </w:rPr>
              <w:t>1</w:t>
            </w:r>
            <w:r>
              <w:rPr>
                <w:rStyle w:val="IndexLink"/>
                <w:rtl w:val="true"/>
              </w:rPr>
              <w:t xml:space="preserve">. </w:t>
            </w:r>
            <w:r>
              <w:rPr>
                <w:rStyle w:val="IndexLink"/>
                <w:rtl w:val="true"/>
              </w:rPr>
              <w:t>مقدمه</w:t>
            </w:r>
            <w:r>
              <w:rPr>
                <w:rStyle w:val="IndexLink"/>
                <w:rtl w:val="true"/>
              </w:rPr>
              <w:t xml:space="preserve">: </w:t>
            </w:r>
            <w:r>
              <w:rPr>
                <w:rStyle w:val="IndexLink"/>
                <w:rtl w:val="true"/>
              </w:rPr>
              <w:t>چیستی دوره‌های اولیه اسلام؛ از شکل‌گیری دین تا شروع تغییرات مصیبت‌بار تحت تأثیر غرب</w:t>
            </w:r>
            <w:r>
              <w:rPr>
                <w:rStyle w:val="IndexLink"/>
                <w:rtl w:val="true"/>
              </w:rPr>
              <w:tab/>
            </w:r>
            <w:r>
              <w:rPr>
                <w:rStyle w:val="IndexLink"/>
              </w:rPr>
              <w:t>261</w:t>
            </w:r>
          </w:hyperlink>
        </w:p>
        <w:p>
          <w:pPr>
            <w:pStyle w:val="Contents5"/>
            <w:tabs>
              <w:tab w:val="clear" w:pos="7892"/>
              <w:tab w:val="right" w:pos="9026" w:leader="dot"/>
            </w:tabs>
            <w:rPr/>
          </w:pPr>
          <w:hyperlink w:anchor="__RefHeading___Toc2419944_653776707">
            <w:r>
              <w:rPr>
                <w:webHidden/>
                <w:rStyle w:val="IndexLink"/>
              </w:rPr>
              <w:t>2</w:t>
            </w:r>
            <w:r>
              <w:rPr>
                <w:rStyle w:val="IndexLink"/>
                <w:rtl w:val="true"/>
              </w:rPr>
              <w:t xml:space="preserve">. </w:t>
            </w:r>
            <w:r>
              <w:rPr>
                <w:rStyle w:val="IndexLink"/>
                <w:rtl w:val="true"/>
              </w:rPr>
              <w:t>سیاست نهی از منکر</w:t>
            </w:r>
            <w:r>
              <w:rPr>
                <w:rStyle w:val="IndexLink"/>
                <w:rtl w:val="true"/>
              </w:rPr>
              <w:tab/>
            </w:r>
            <w:r>
              <w:rPr>
                <w:rStyle w:val="IndexLink"/>
              </w:rPr>
              <w:t>262</w:t>
            </w:r>
          </w:hyperlink>
        </w:p>
        <w:p>
          <w:pPr>
            <w:pStyle w:val="Contents5"/>
            <w:tabs>
              <w:tab w:val="clear" w:pos="7892"/>
              <w:tab w:val="right" w:pos="9026" w:leader="dot"/>
            </w:tabs>
            <w:rPr/>
          </w:pPr>
          <w:hyperlink w:anchor="__RefHeading___Toc2419946_653776707">
            <w:r>
              <w:rPr>
                <w:webHidden/>
                <w:rStyle w:val="IndexLink"/>
              </w:rPr>
              <w:t>3</w:t>
            </w:r>
            <w:r>
              <w:rPr>
                <w:rStyle w:val="IndexLink"/>
                <w:rtl w:val="true"/>
              </w:rPr>
              <w:t xml:space="preserve">. </w:t>
            </w:r>
            <w:r>
              <w:rPr>
                <w:rStyle w:val="IndexLink"/>
                <w:rtl w:val="true"/>
              </w:rPr>
              <w:t>زندگی خصوصی و نهی از منکر</w:t>
            </w:r>
            <w:r>
              <w:rPr>
                <w:rStyle w:val="IndexLink"/>
                <w:rtl w:val="true"/>
              </w:rPr>
              <w:tab/>
            </w:r>
            <w:r>
              <w:rPr>
                <w:rStyle w:val="IndexLink"/>
              </w:rPr>
              <w:t>266</w:t>
            </w:r>
          </w:hyperlink>
        </w:p>
        <w:p>
          <w:pPr>
            <w:pStyle w:val="Contents5"/>
            <w:tabs>
              <w:tab w:val="clear" w:pos="7892"/>
              <w:tab w:val="right" w:pos="9026" w:leader="dot"/>
            </w:tabs>
            <w:rPr/>
          </w:pPr>
          <w:hyperlink w:anchor="__RefHeading___Toc2419948_653776707">
            <w:r>
              <w:rPr>
                <w:webHidden/>
                <w:rStyle w:val="IndexLink"/>
              </w:rPr>
              <w:t>4</w:t>
            </w:r>
            <w:r>
              <w:rPr>
                <w:rStyle w:val="IndexLink"/>
                <w:rtl w:val="true"/>
              </w:rPr>
              <w:t xml:space="preserve">. </w:t>
            </w:r>
            <w:r>
              <w:rPr>
                <w:rStyle w:val="IndexLink"/>
                <w:rtl w:val="true"/>
              </w:rPr>
              <w:t>موقعیت اجتماعی نهی از منکر</w:t>
            </w:r>
            <w:r>
              <w:rPr>
                <w:rStyle w:val="IndexLink"/>
                <w:rtl w:val="true"/>
              </w:rPr>
              <w:tab/>
            </w:r>
            <w:r>
              <w:rPr>
                <w:rStyle w:val="IndexLink"/>
              </w:rPr>
              <w:t>268</w:t>
            </w:r>
          </w:hyperlink>
        </w:p>
        <w:p>
          <w:pPr>
            <w:pStyle w:val="Contents6"/>
            <w:tabs>
              <w:tab w:val="clear" w:pos="7609"/>
              <w:tab w:val="right" w:pos="9026" w:leader="dot"/>
            </w:tabs>
            <w:rPr/>
          </w:pPr>
          <w:hyperlink w:anchor="__RefHeading___Toc2419950_653776707">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2419952_653776707">
            <w:r>
              <w:rPr>
                <w:webHidden/>
                <w:rStyle w:val="IndexLink"/>
                <w:rtl w:val="true"/>
              </w:rPr>
              <w:t>نهی از منکر و خصلت‌های فردی</w:t>
            </w:r>
            <w:r>
              <w:rPr>
                <w:rStyle w:val="IndexLink"/>
                <w:rtl w:val="true"/>
              </w:rPr>
              <w:tab/>
            </w:r>
            <w:r>
              <w:rPr>
                <w:rStyle w:val="IndexLink"/>
              </w:rPr>
              <w:t>270</w:t>
            </w:r>
          </w:hyperlink>
        </w:p>
        <w:p>
          <w:pPr>
            <w:pStyle w:val="Contents6"/>
            <w:tabs>
              <w:tab w:val="clear" w:pos="7609"/>
              <w:tab w:val="right" w:pos="9026" w:leader="dot"/>
            </w:tabs>
            <w:rPr/>
          </w:pPr>
          <w:hyperlink w:anchor="__RefHeading___Toc2419954_653776707">
            <w:r>
              <w:rPr>
                <w:webHidden/>
                <w:rStyle w:val="IndexLink"/>
                <w:rtl w:val="true"/>
              </w:rPr>
              <w:t>نهی از منکر گروهی</w:t>
            </w:r>
            <w:r>
              <w:rPr>
                <w:rStyle w:val="IndexLink"/>
                <w:rtl w:val="true"/>
              </w:rPr>
              <w:tab/>
            </w:r>
            <w:r>
              <w:rPr>
                <w:rStyle w:val="IndexLink"/>
              </w:rPr>
              <w:t>270</w:t>
            </w:r>
          </w:hyperlink>
        </w:p>
        <w:p>
          <w:pPr>
            <w:pStyle w:val="Contents5"/>
            <w:tabs>
              <w:tab w:val="clear" w:pos="7892"/>
              <w:tab w:val="right" w:pos="9026" w:leader="dot"/>
            </w:tabs>
            <w:rPr/>
          </w:pPr>
          <w:hyperlink w:anchor="__RefHeading___Toc2419956_653776707">
            <w:r>
              <w:rPr>
                <w:webHidden/>
                <w:rStyle w:val="IndexLink"/>
              </w:rPr>
              <w:t>5</w:t>
            </w:r>
            <w:r>
              <w:rPr>
                <w:rStyle w:val="IndexLink"/>
                <w:rtl w:val="true"/>
              </w:rPr>
              <w:t xml:space="preserve">. </w:t>
            </w:r>
            <w:r>
              <w:rPr>
                <w:rStyle w:val="IndexLink"/>
                <w:rtl w:val="true"/>
              </w:rPr>
              <w:t>علما و جامعۀ گسترده‌تر</w:t>
            </w:r>
            <w:r>
              <w:rPr>
                <w:rStyle w:val="IndexLink"/>
                <w:rtl w:val="true"/>
              </w:rPr>
              <w:tab/>
            </w:r>
            <w:r>
              <w:rPr>
                <w:rStyle w:val="IndexLink"/>
              </w:rPr>
              <w:t>270</w:t>
            </w:r>
          </w:hyperlink>
        </w:p>
        <w:p>
          <w:pPr>
            <w:pStyle w:val="Contents4"/>
            <w:tabs>
              <w:tab w:val="clear" w:pos="8176"/>
              <w:tab w:val="right" w:pos="9026" w:leader="dot"/>
            </w:tabs>
            <w:rPr/>
          </w:pPr>
          <w:hyperlink w:anchor="__RefHeading___Toc241995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275</w:t>
            </w:r>
          </w:hyperlink>
        </w:p>
        <w:p>
          <w:pPr>
            <w:pStyle w:val="Contents2"/>
            <w:tabs>
              <w:tab w:val="clear" w:pos="8743"/>
              <w:tab w:val="right" w:pos="9026" w:leader="dot"/>
            </w:tabs>
            <w:rPr/>
          </w:pPr>
          <w:hyperlink w:anchor="__RefHeading___Toc2419960_653776707">
            <w:r>
              <w:rPr>
                <w:webHidden/>
                <w:rStyle w:val="IndexLink"/>
                <w:rtl w:val="true"/>
              </w:rPr>
              <w:t>بخش پنجم</w:t>
            </w:r>
            <w:r>
              <w:rPr>
                <w:rStyle w:val="IndexLink"/>
                <w:rtl w:val="true"/>
              </w:rPr>
              <w:t xml:space="preserve">: </w:t>
            </w:r>
            <w:r>
              <w:rPr>
                <w:rStyle w:val="IndexLink"/>
                <w:rtl w:val="true"/>
              </w:rPr>
              <w:t>فراسوی اسلام سنتی</w:t>
            </w:r>
            <w:r>
              <w:rPr>
                <w:rStyle w:val="IndexLink"/>
                <w:rtl w:val="true"/>
              </w:rPr>
              <w:tab/>
            </w:r>
            <w:r>
              <w:rPr>
                <w:rStyle w:val="IndexLink"/>
              </w:rPr>
              <w:t>291</w:t>
            </w:r>
          </w:hyperlink>
        </w:p>
        <w:p>
          <w:pPr>
            <w:pStyle w:val="Contents3"/>
            <w:tabs>
              <w:tab w:val="clear" w:pos="8459"/>
              <w:tab w:val="right" w:pos="9026" w:leader="dot"/>
            </w:tabs>
            <w:rPr/>
          </w:pPr>
          <w:hyperlink w:anchor="__RefHeading___Toc2419962_653776707">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2419964_653776707">
            <w:r>
              <w:rPr>
                <w:webHidden/>
                <w:rStyle w:val="IndexLink"/>
                <w:rtl w:val="true"/>
              </w:rPr>
              <w:t>گزارش و ارزیابی فصل هجدهم</w:t>
            </w:r>
            <w:r>
              <w:rPr>
                <w:rStyle w:val="IndexLink"/>
                <w:rtl w:val="true"/>
              </w:rPr>
              <w:t xml:space="preserve">: </w:t>
            </w:r>
            <w:r>
              <w:rPr>
                <w:rStyle w:val="IndexLink"/>
                <w:rtl w:val="true"/>
              </w:rPr>
              <w:t>تحولات جدید اسلامی</w:t>
            </w:r>
            <w:r>
              <w:rPr>
                <w:rStyle w:val="IndexLink"/>
                <w:rtl w:val="true"/>
              </w:rPr>
              <w:tab/>
            </w:r>
            <w:r>
              <w:rPr>
                <w:rStyle w:val="IndexLink"/>
              </w:rPr>
              <w:t>293</w:t>
            </w:r>
          </w:hyperlink>
        </w:p>
        <w:p>
          <w:pPr>
            <w:pStyle w:val="Contents4"/>
            <w:tabs>
              <w:tab w:val="clear" w:pos="8176"/>
              <w:tab w:val="right" w:pos="9026" w:leader="dot"/>
            </w:tabs>
            <w:rPr/>
          </w:pPr>
          <w:hyperlink w:anchor="__RefHeading___Toc2419966_65377670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2419968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293</w:t>
            </w:r>
          </w:hyperlink>
        </w:p>
        <w:p>
          <w:pPr>
            <w:pStyle w:val="Contents5"/>
            <w:tabs>
              <w:tab w:val="clear" w:pos="7892"/>
              <w:tab w:val="right" w:pos="9026" w:leader="dot"/>
            </w:tabs>
            <w:rPr/>
          </w:pPr>
          <w:hyperlink w:anchor="__RefHeading___Toc241997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293</w:t>
            </w:r>
          </w:hyperlink>
        </w:p>
        <w:p>
          <w:pPr>
            <w:pStyle w:val="Contents5"/>
            <w:tabs>
              <w:tab w:val="clear" w:pos="7892"/>
              <w:tab w:val="right" w:pos="9026" w:leader="dot"/>
            </w:tabs>
            <w:rPr/>
          </w:pPr>
          <w:hyperlink w:anchor="__RefHeading___Toc241997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294</w:t>
            </w:r>
          </w:hyperlink>
        </w:p>
        <w:p>
          <w:pPr>
            <w:pStyle w:val="Contents4"/>
            <w:tabs>
              <w:tab w:val="clear" w:pos="8176"/>
              <w:tab w:val="right" w:pos="9026" w:leader="dot"/>
            </w:tabs>
            <w:rPr/>
          </w:pPr>
          <w:hyperlink w:anchor="__RefHeading___Toc2419974_653776707">
            <w:r>
              <w:rPr>
                <w:webHidden/>
                <w:rStyle w:val="IndexLink"/>
              </w:rPr>
              <w:t>2</w:t>
            </w:r>
            <w:r>
              <w:rPr>
                <w:rStyle w:val="IndexLink"/>
                <w:rtl w:val="true"/>
              </w:rPr>
              <w:t xml:space="preserve">. </w:t>
            </w:r>
            <w:r>
              <w:rPr>
                <w:rStyle w:val="IndexLink"/>
                <w:rtl w:val="true"/>
              </w:rPr>
              <w:t>تحولات اسلام اهل سنت</w:t>
            </w:r>
            <w:r>
              <w:rPr>
                <w:rStyle w:val="IndexLink"/>
                <w:rtl w:val="true"/>
              </w:rPr>
              <w:tab/>
            </w:r>
            <w:r>
              <w:rPr>
                <w:rStyle w:val="IndexLink"/>
              </w:rPr>
              <w:t>297</w:t>
            </w:r>
          </w:hyperlink>
        </w:p>
        <w:p>
          <w:pPr>
            <w:pStyle w:val="Contents5"/>
            <w:tabs>
              <w:tab w:val="clear" w:pos="7892"/>
              <w:tab w:val="right" w:pos="9026" w:leader="dot"/>
            </w:tabs>
            <w:rPr/>
          </w:pPr>
          <w:hyperlink w:anchor="__RefHeading___Toc241997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297</w:t>
            </w:r>
          </w:hyperlink>
        </w:p>
        <w:p>
          <w:pPr>
            <w:pStyle w:val="Contents5"/>
            <w:tabs>
              <w:tab w:val="clear" w:pos="7892"/>
              <w:tab w:val="right" w:pos="9026" w:leader="dot"/>
            </w:tabs>
            <w:rPr/>
          </w:pPr>
          <w:hyperlink w:anchor="__RefHeading___Toc2419978_653776707">
            <w:r>
              <w:rPr>
                <w:webHidden/>
                <w:rStyle w:val="IndexLink"/>
                <w:rtl w:val="true"/>
              </w:rPr>
              <w:t>ب</w:t>
            </w:r>
            <w:r>
              <w:rPr>
                <w:rStyle w:val="IndexLink"/>
                <w:rtl w:val="true"/>
              </w:rPr>
              <w:t xml:space="preserve">) </w:t>
            </w:r>
            <w:r>
              <w:rPr>
                <w:rStyle w:val="IndexLink"/>
                <w:rtl w:val="true"/>
              </w:rPr>
              <w:t>ارزیابی</w:t>
            </w:r>
            <w:r>
              <w:rPr>
                <w:rStyle w:val="IndexLink"/>
                <w:rtl w:val="true"/>
              </w:rPr>
              <w:t xml:space="preserve">: </w:t>
            </w:r>
            <w:r>
              <w:rPr>
                <w:rStyle w:val="IndexLink"/>
                <w:rtl w:val="true"/>
              </w:rPr>
              <w:t>گونه‌های مواجهه با غرب در جهان اسلام</w:t>
            </w:r>
            <w:r>
              <w:rPr>
                <w:rStyle w:val="IndexLink"/>
                <w:rtl w:val="true"/>
              </w:rPr>
              <w:tab/>
            </w:r>
            <w:r>
              <w:rPr>
                <w:rStyle w:val="IndexLink"/>
              </w:rPr>
              <w:t>299</w:t>
            </w:r>
          </w:hyperlink>
        </w:p>
        <w:p>
          <w:pPr>
            <w:pStyle w:val="Contents4"/>
            <w:tabs>
              <w:tab w:val="clear" w:pos="8176"/>
              <w:tab w:val="right" w:pos="9026" w:leader="dot"/>
            </w:tabs>
            <w:rPr/>
          </w:pPr>
          <w:hyperlink w:anchor="__RefHeading___Toc2419980_653776707">
            <w:r>
              <w:rPr>
                <w:webHidden/>
                <w:rStyle w:val="IndexLink"/>
              </w:rPr>
              <w:t>3</w:t>
            </w:r>
            <w:r>
              <w:rPr>
                <w:rStyle w:val="IndexLink"/>
                <w:rtl w:val="true"/>
              </w:rPr>
              <w:t xml:space="preserve">. </w:t>
            </w:r>
            <w:r>
              <w:rPr>
                <w:rStyle w:val="IndexLink"/>
                <w:rtl w:val="true"/>
              </w:rPr>
              <w:t>تأثیر اندیشۀ غرب بر مفهوم نهی از منکر</w:t>
            </w:r>
            <w:r>
              <w:rPr>
                <w:rStyle w:val="IndexLink"/>
                <w:rtl w:val="true"/>
              </w:rPr>
              <w:tab/>
            </w:r>
            <w:r>
              <w:rPr>
                <w:rStyle w:val="IndexLink"/>
              </w:rPr>
              <w:t>300</w:t>
            </w:r>
          </w:hyperlink>
        </w:p>
        <w:p>
          <w:pPr>
            <w:pStyle w:val="Contents5"/>
            <w:tabs>
              <w:tab w:val="clear" w:pos="7892"/>
              <w:tab w:val="right" w:pos="9026" w:leader="dot"/>
            </w:tabs>
            <w:rPr/>
          </w:pPr>
          <w:hyperlink w:anchor="__RefHeading___Toc241998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300</w:t>
            </w:r>
          </w:hyperlink>
        </w:p>
        <w:p>
          <w:pPr>
            <w:pStyle w:val="Contents5"/>
            <w:tabs>
              <w:tab w:val="clear" w:pos="7892"/>
              <w:tab w:val="right" w:pos="9026" w:leader="dot"/>
            </w:tabs>
            <w:rPr/>
          </w:pPr>
          <w:hyperlink w:anchor="__RefHeading___Toc2419984_653776707">
            <w:r>
              <w:rPr>
                <w:webHidden/>
                <w:rStyle w:val="IndexLink"/>
                <w:rtl w:val="true"/>
              </w:rPr>
              <w:t>ب</w:t>
            </w:r>
            <w:r>
              <w:rPr>
                <w:rStyle w:val="IndexLink"/>
                <w:rtl w:val="true"/>
              </w:rPr>
              <w:t xml:space="preserve">) </w:t>
            </w:r>
            <w:r>
              <w:rPr>
                <w:rStyle w:val="IndexLink"/>
                <w:rtl w:val="true"/>
              </w:rPr>
              <w:t>ارزیابی</w:t>
            </w:r>
            <w:r>
              <w:rPr>
                <w:rStyle w:val="IndexLink"/>
                <w:rtl w:val="true"/>
              </w:rPr>
              <w:t xml:space="preserve">: </w:t>
            </w:r>
            <w:r>
              <w:rPr>
                <w:rStyle w:val="IndexLink"/>
                <w:rtl w:val="true"/>
              </w:rPr>
              <w:t>تفاوت آزادی غربی و نهی از منکر اسلامی</w:t>
            </w:r>
            <w:r>
              <w:rPr>
                <w:rStyle w:val="IndexLink"/>
                <w:rtl w:val="true"/>
              </w:rPr>
              <w:tab/>
            </w:r>
            <w:r>
              <w:rPr>
                <w:rStyle w:val="IndexLink"/>
              </w:rPr>
              <w:t>304</w:t>
            </w:r>
          </w:hyperlink>
        </w:p>
        <w:p>
          <w:pPr>
            <w:pStyle w:val="Contents4"/>
            <w:tabs>
              <w:tab w:val="clear" w:pos="8176"/>
              <w:tab w:val="right" w:pos="9026" w:leader="dot"/>
            </w:tabs>
            <w:rPr/>
          </w:pPr>
          <w:hyperlink w:anchor="__RefHeading___Toc2419986_653776707">
            <w:r>
              <w:rPr>
                <w:webHidden/>
                <w:rStyle w:val="IndexLink"/>
              </w:rPr>
              <w:t>4</w:t>
            </w:r>
            <w:r>
              <w:rPr>
                <w:rStyle w:val="IndexLink"/>
                <w:rtl w:val="true"/>
              </w:rPr>
              <w:t xml:space="preserve">. </w:t>
            </w:r>
            <w:r>
              <w:rPr>
                <w:rStyle w:val="IndexLink"/>
                <w:rtl w:val="true"/>
              </w:rPr>
              <w:t>زنان و نهی از منکر</w:t>
            </w:r>
            <w:r>
              <w:rPr>
                <w:rStyle w:val="IndexLink"/>
                <w:rtl w:val="true"/>
              </w:rPr>
              <w:tab/>
            </w:r>
            <w:r>
              <w:rPr>
                <w:rStyle w:val="IndexLink"/>
              </w:rPr>
              <w:t>307</w:t>
            </w:r>
          </w:hyperlink>
        </w:p>
        <w:p>
          <w:pPr>
            <w:pStyle w:val="Contents5"/>
            <w:tabs>
              <w:tab w:val="clear" w:pos="7892"/>
              <w:tab w:val="right" w:pos="9026" w:leader="dot"/>
            </w:tabs>
            <w:rPr/>
          </w:pPr>
          <w:hyperlink w:anchor="__RefHeading___Toc241998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307</w:t>
            </w:r>
          </w:hyperlink>
        </w:p>
        <w:p>
          <w:pPr>
            <w:pStyle w:val="Contents5"/>
            <w:tabs>
              <w:tab w:val="clear" w:pos="7892"/>
              <w:tab w:val="right" w:pos="9026" w:leader="dot"/>
            </w:tabs>
            <w:rPr/>
          </w:pPr>
          <w:hyperlink w:anchor="__RefHeading___Toc2419990_653776707">
            <w:r>
              <w:rPr>
                <w:webHidden/>
                <w:rStyle w:val="IndexLink"/>
                <w:rtl w:val="true"/>
              </w:rPr>
              <w:t>ب</w:t>
            </w:r>
            <w:r>
              <w:rPr>
                <w:rStyle w:val="IndexLink"/>
                <w:rtl w:val="true"/>
              </w:rPr>
              <w:t xml:space="preserve">) </w:t>
            </w:r>
            <w:r>
              <w:rPr>
                <w:rStyle w:val="IndexLink"/>
                <w:rtl w:val="true"/>
              </w:rPr>
              <w:t>ارزیابی</w:t>
            </w:r>
            <w:r>
              <w:rPr>
                <w:rStyle w:val="IndexLink"/>
                <w:rtl w:val="true"/>
              </w:rPr>
              <w:t xml:space="preserve">: </w:t>
            </w:r>
            <w:r>
              <w:rPr>
                <w:rStyle w:val="IndexLink"/>
                <w:rtl w:val="true"/>
              </w:rPr>
              <w:t>تنش بین نظریات جدید و انزوای سنتی زنان</w:t>
            </w:r>
            <w:r>
              <w:rPr>
                <w:rStyle w:val="IndexLink"/>
                <w:rtl w:val="true"/>
              </w:rPr>
              <w:tab/>
            </w:r>
            <w:r>
              <w:rPr>
                <w:rStyle w:val="IndexLink"/>
              </w:rPr>
              <w:t>308</w:t>
            </w:r>
          </w:hyperlink>
        </w:p>
        <w:p>
          <w:pPr>
            <w:pStyle w:val="Contents4"/>
            <w:tabs>
              <w:tab w:val="clear" w:pos="8176"/>
              <w:tab w:val="right" w:pos="9026" w:leader="dot"/>
            </w:tabs>
            <w:rPr/>
          </w:pPr>
          <w:hyperlink w:anchor="__RefHeading___Toc2419992_653776707">
            <w:r>
              <w:rPr>
                <w:webHidden/>
                <w:rStyle w:val="IndexLink"/>
              </w:rPr>
              <w:t>5</w:t>
            </w:r>
            <w:r>
              <w:rPr>
                <w:rStyle w:val="IndexLink"/>
                <w:rtl w:val="true"/>
              </w:rPr>
              <w:t xml:space="preserve">. </w:t>
            </w:r>
            <w:r>
              <w:rPr>
                <w:rStyle w:val="IndexLink"/>
                <w:rtl w:val="true"/>
              </w:rPr>
              <w:t>نقش دولت در نهی از منکر در دوران جدید</w:t>
            </w:r>
            <w:r>
              <w:rPr>
                <w:rStyle w:val="IndexLink"/>
                <w:rtl w:val="true"/>
              </w:rPr>
              <w:tab/>
            </w:r>
            <w:r>
              <w:rPr>
                <w:rStyle w:val="IndexLink"/>
              </w:rPr>
              <w:t>311</w:t>
            </w:r>
          </w:hyperlink>
        </w:p>
        <w:p>
          <w:pPr>
            <w:pStyle w:val="Contents5"/>
            <w:tabs>
              <w:tab w:val="clear" w:pos="7892"/>
              <w:tab w:val="right" w:pos="9026" w:leader="dot"/>
            </w:tabs>
            <w:rPr/>
          </w:pPr>
          <w:hyperlink w:anchor="__RefHeading___Toc241999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311</w:t>
            </w:r>
          </w:hyperlink>
        </w:p>
        <w:p>
          <w:pPr>
            <w:pStyle w:val="Contents5"/>
            <w:tabs>
              <w:tab w:val="clear" w:pos="7892"/>
              <w:tab w:val="right" w:pos="9026" w:leader="dot"/>
            </w:tabs>
            <w:rPr/>
          </w:pPr>
          <w:hyperlink w:anchor="__RefHeading___Toc241999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314</w:t>
            </w:r>
          </w:hyperlink>
        </w:p>
        <w:p>
          <w:pPr>
            <w:pStyle w:val="Contents4"/>
            <w:tabs>
              <w:tab w:val="clear" w:pos="8176"/>
              <w:tab w:val="right" w:pos="9026" w:leader="dot"/>
            </w:tabs>
            <w:rPr/>
          </w:pPr>
          <w:hyperlink w:anchor="__RefHeading___Toc2419998_653776707">
            <w:r>
              <w:rPr>
                <w:webHidden/>
                <w:rStyle w:val="IndexLink"/>
              </w:rPr>
              <w:t>6</w:t>
            </w:r>
            <w:r>
              <w:rPr>
                <w:rStyle w:val="IndexLink"/>
                <w:rtl w:val="true"/>
              </w:rPr>
              <w:t xml:space="preserve">. </w:t>
            </w:r>
            <w:r>
              <w:rPr>
                <w:rStyle w:val="IndexLink"/>
                <w:rtl w:val="true"/>
              </w:rPr>
              <w:t>تحولات در عقاید شیعه امامیه</w:t>
            </w:r>
            <w:r>
              <w:rPr>
                <w:rStyle w:val="IndexLink"/>
                <w:rtl w:val="true"/>
              </w:rPr>
              <w:tab/>
            </w:r>
            <w:r>
              <w:rPr>
                <w:rStyle w:val="IndexLink"/>
              </w:rPr>
              <w:t>315</w:t>
            </w:r>
          </w:hyperlink>
        </w:p>
        <w:p>
          <w:pPr>
            <w:pStyle w:val="Contents5"/>
            <w:tabs>
              <w:tab w:val="clear" w:pos="7892"/>
              <w:tab w:val="right" w:pos="9026" w:leader="dot"/>
            </w:tabs>
            <w:rPr/>
          </w:pPr>
          <w:hyperlink w:anchor="__RefHeading___Toc242000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315</w:t>
            </w:r>
          </w:hyperlink>
        </w:p>
        <w:p>
          <w:pPr>
            <w:pStyle w:val="Contents5"/>
            <w:tabs>
              <w:tab w:val="clear" w:pos="7892"/>
              <w:tab w:val="right" w:pos="9026" w:leader="dot"/>
            </w:tabs>
            <w:rPr/>
          </w:pPr>
          <w:hyperlink w:anchor="__RefHeading___Toc242000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316</w:t>
            </w:r>
          </w:hyperlink>
        </w:p>
        <w:p>
          <w:pPr>
            <w:pStyle w:val="Contents4"/>
            <w:tabs>
              <w:tab w:val="clear" w:pos="8176"/>
              <w:tab w:val="right" w:pos="9026" w:leader="dot"/>
            </w:tabs>
            <w:rPr/>
          </w:pPr>
          <w:hyperlink w:anchor="__RefHeading___Toc2420004_653776707">
            <w:r>
              <w:rPr>
                <w:webHidden/>
                <w:rStyle w:val="IndexLink"/>
              </w:rPr>
              <w:t>7</w:t>
            </w:r>
            <w:r>
              <w:rPr>
                <w:rStyle w:val="IndexLink"/>
                <w:rtl w:val="true"/>
              </w:rPr>
              <w:t xml:space="preserve">. </w:t>
            </w:r>
            <w:r>
              <w:rPr>
                <w:rStyle w:val="IndexLink"/>
                <w:rtl w:val="true"/>
              </w:rPr>
              <w:t>تأثیر غرب بر ایران</w:t>
            </w:r>
            <w:r>
              <w:rPr>
                <w:rStyle w:val="IndexLink"/>
                <w:rtl w:val="true"/>
              </w:rPr>
              <w:tab/>
            </w:r>
            <w:r>
              <w:rPr>
                <w:rStyle w:val="IndexLink"/>
              </w:rPr>
              <w:t>316</w:t>
            </w:r>
          </w:hyperlink>
        </w:p>
        <w:p>
          <w:pPr>
            <w:pStyle w:val="Contents5"/>
            <w:tabs>
              <w:tab w:val="clear" w:pos="7892"/>
              <w:tab w:val="right" w:pos="9026" w:leader="dot"/>
            </w:tabs>
            <w:rPr/>
          </w:pPr>
          <w:hyperlink w:anchor="__RefHeading___Toc242000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316</w:t>
            </w:r>
          </w:hyperlink>
        </w:p>
        <w:p>
          <w:pPr>
            <w:pStyle w:val="Contents5"/>
            <w:tabs>
              <w:tab w:val="clear" w:pos="7892"/>
              <w:tab w:val="right" w:pos="9026" w:leader="dot"/>
            </w:tabs>
            <w:rPr/>
          </w:pPr>
          <w:hyperlink w:anchor="__RefHeading___Toc242000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317</w:t>
            </w:r>
          </w:hyperlink>
        </w:p>
        <w:p>
          <w:pPr>
            <w:pStyle w:val="Contents4"/>
            <w:tabs>
              <w:tab w:val="clear" w:pos="8176"/>
              <w:tab w:val="right" w:pos="9026" w:leader="dot"/>
            </w:tabs>
            <w:rPr/>
          </w:pPr>
          <w:hyperlink w:anchor="__RefHeading___Toc2420010_653776707">
            <w:r>
              <w:rPr>
                <w:webHidden/>
                <w:rStyle w:val="IndexLink"/>
              </w:rPr>
              <w:t>8</w:t>
            </w:r>
            <w:r>
              <w:rPr>
                <w:rStyle w:val="IndexLink"/>
                <w:rtl w:val="true"/>
              </w:rPr>
              <w:t xml:space="preserve">. </w:t>
            </w:r>
            <w:r>
              <w:rPr>
                <w:rStyle w:val="IndexLink"/>
                <w:rtl w:val="true"/>
              </w:rPr>
              <w:t>تشکیل حزب سیاسی و نهی از منکر</w:t>
            </w:r>
            <w:r>
              <w:rPr>
                <w:rStyle w:val="IndexLink"/>
                <w:rtl w:val="true"/>
              </w:rPr>
              <w:tab/>
            </w:r>
            <w:r>
              <w:rPr>
                <w:rStyle w:val="IndexLink"/>
              </w:rPr>
              <w:t>318</w:t>
            </w:r>
          </w:hyperlink>
        </w:p>
        <w:p>
          <w:pPr>
            <w:pStyle w:val="Contents5"/>
            <w:tabs>
              <w:tab w:val="clear" w:pos="7892"/>
              <w:tab w:val="right" w:pos="9026" w:leader="dot"/>
            </w:tabs>
            <w:rPr/>
          </w:pPr>
          <w:hyperlink w:anchor="__RefHeading___Toc242001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318</w:t>
            </w:r>
          </w:hyperlink>
        </w:p>
        <w:p>
          <w:pPr>
            <w:pStyle w:val="Contents5"/>
            <w:tabs>
              <w:tab w:val="clear" w:pos="7892"/>
              <w:tab w:val="right" w:pos="9026" w:leader="dot"/>
            </w:tabs>
            <w:rPr/>
          </w:pPr>
          <w:hyperlink w:anchor="__RefHeading___Toc242001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319</w:t>
            </w:r>
          </w:hyperlink>
        </w:p>
        <w:p>
          <w:pPr>
            <w:pStyle w:val="Contents4"/>
            <w:tabs>
              <w:tab w:val="clear" w:pos="8176"/>
              <w:tab w:val="right" w:pos="9026" w:leader="dot"/>
            </w:tabs>
            <w:rPr/>
          </w:pPr>
          <w:hyperlink w:anchor="__RefHeading___Toc2420016_653776707">
            <w:r>
              <w:rPr>
                <w:webHidden/>
                <w:rStyle w:val="IndexLink"/>
              </w:rPr>
              <w:t>9</w:t>
            </w:r>
            <w:r>
              <w:rPr>
                <w:rStyle w:val="IndexLink"/>
                <w:rtl w:val="true"/>
              </w:rPr>
              <w:t xml:space="preserve">. </w:t>
            </w:r>
            <w:r>
              <w:rPr>
                <w:rStyle w:val="IndexLink"/>
                <w:rtl w:val="true"/>
              </w:rPr>
              <w:t>از فقیهان نامدار تا اعضای لژ فراماسونری</w:t>
            </w:r>
            <w:r>
              <w:rPr>
                <w:rStyle w:val="IndexLink"/>
                <w:rtl w:val="true"/>
              </w:rPr>
              <w:tab/>
            </w:r>
            <w:r>
              <w:rPr>
                <w:rStyle w:val="IndexLink"/>
              </w:rPr>
              <w:t>323</w:t>
            </w:r>
          </w:hyperlink>
        </w:p>
        <w:p>
          <w:pPr>
            <w:pStyle w:val="Contents5"/>
            <w:tabs>
              <w:tab w:val="clear" w:pos="7892"/>
              <w:tab w:val="right" w:pos="9026" w:leader="dot"/>
            </w:tabs>
            <w:rPr/>
          </w:pPr>
          <w:hyperlink w:anchor="__RefHeading___Toc242001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323</w:t>
            </w:r>
          </w:hyperlink>
        </w:p>
        <w:p>
          <w:pPr>
            <w:pStyle w:val="Contents5"/>
            <w:tabs>
              <w:tab w:val="clear" w:pos="7892"/>
              <w:tab w:val="right" w:pos="9026" w:leader="dot"/>
            </w:tabs>
            <w:rPr/>
          </w:pPr>
          <w:hyperlink w:anchor="__RefHeading___Toc242002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324</w:t>
            </w:r>
          </w:hyperlink>
        </w:p>
        <w:p>
          <w:pPr>
            <w:pStyle w:val="Contents4"/>
            <w:tabs>
              <w:tab w:val="clear" w:pos="8176"/>
              <w:tab w:val="right" w:pos="9026" w:leader="dot"/>
            </w:tabs>
            <w:rPr/>
          </w:pPr>
          <w:hyperlink w:anchor="__RefHeading___Toc2420022_653776707">
            <w:r>
              <w:rPr>
                <w:webHidden/>
                <w:rStyle w:val="IndexLink"/>
              </w:rPr>
              <w:t>10</w:t>
            </w:r>
            <w:r>
              <w:rPr>
                <w:rStyle w:val="IndexLink"/>
                <w:rtl w:val="true"/>
              </w:rPr>
              <w:t xml:space="preserve">. </w:t>
            </w:r>
            <w:r>
              <w:rPr>
                <w:rStyle w:val="IndexLink"/>
                <w:rtl w:val="true"/>
              </w:rPr>
              <w:t>تحلیلی جدید از شرایط امر به معروف و نهی از منکر</w:t>
            </w:r>
            <w:r>
              <w:rPr>
                <w:rStyle w:val="IndexLink"/>
                <w:rtl w:val="true"/>
              </w:rPr>
              <w:tab/>
            </w:r>
            <w:r>
              <w:rPr>
                <w:rStyle w:val="IndexLink"/>
              </w:rPr>
              <w:t>327</w:t>
            </w:r>
          </w:hyperlink>
        </w:p>
        <w:p>
          <w:pPr>
            <w:pStyle w:val="Contents5"/>
            <w:tabs>
              <w:tab w:val="clear" w:pos="7892"/>
              <w:tab w:val="right" w:pos="9026" w:leader="dot"/>
            </w:tabs>
            <w:rPr/>
          </w:pPr>
          <w:hyperlink w:anchor="__RefHeading___Toc242002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327</w:t>
            </w:r>
          </w:hyperlink>
        </w:p>
        <w:p>
          <w:pPr>
            <w:pStyle w:val="Contents5"/>
            <w:tabs>
              <w:tab w:val="clear" w:pos="7892"/>
              <w:tab w:val="right" w:pos="9026" w:leader="dot"/>
            </w:tabs>
            <w:rPr/>
          </w:pPr>
          <w:hyperlink w:anchor="__RefHeading___Toc242002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330</w:t>
            </w:r>
          </w:hyperlink>
        </w:p>
        <w:p>
          <w:pPr>
            <w:pStyle w:val="Contents4"/>
            <w:tabs>
              <w:tab w:val="clear" w:pos="8176"/>
              <w:tab w:val="right" w:pos="9026" w:leader="dot"/>
            </w:tabs>
            <w:rPr/>
          </w:pPr>
          <w:hyperlink w:anchor="__RefHeading___Toc2420028_653776707">
            <w:r>
              <w:rPr>
                <w:webHidden/>
                <w:rStyle w:val="IndexLink"/>
              </w:rPr>
              <w:t>11</w:t>
            </w:r>
            <w:r>
              <w:rPr>
                <w:rStyle w:val="IndexLink"/>
                <w:rtl w:val="true"/>
              </w:rPr>
              <w:t xml:space="preserve">. </w:t>
            </w:r>
            <w:r>
              <w:rPr>
                <w:rStyle w:val="IndexLink"/>
                <w:rtl w:val="true"/>
              </w:rPr>
              <w:t>امر به معروف و نهی از منکر در قانون اساسی جمهوری اساسی ایران</w:t>
            </w:r>
            <w:r>
              <w:rPr>
                <w:rStyle w:val="IndexLink"/>
                <w:rtl w:val="true"/>
              </w:rPr>
              <w:tab/>
            </w:r>
            <w:r>
              <w:rPr>
                <w:rStyle w:val="IndexLink"/>
              </w:rPr>
              <w:t>333</w:t>
            </w:r>
          </w:hyperlink>
        </w:p>
        <w:p>
          <w:pPr>
            <w:pStyle w:val="Contents5"/>
            <w:tabs>
              <w:tab w:val="clear" w:pos="7892"/>
              <w:tab w:val="right" w:pos="9026" w:leader="dot"/>
            </w:tabs>
            <w:rPr/>
          </w:pPr>
          <w:hyperlink w:anchor="__RefHeading___Toc242003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333</w:t>
            </w:r>
          </w:hyperlink>
        </w:p>
        <w:p>
          <w:pPr>
            <w:pStyle w:val="Contents5"/>
            <w:tabs>
              <w:tab w:val="clear" w:pos="7892"/>
              <w:tab w:val="right" w:pos="9026" w:leader="dot"/>
            </w:tabs>
            <w:rPr/>
          </w:pPr>
          <w:hyperlink w:anchor="__RefHeading___Toc242003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335</w:t>
            </w:r>
          </w:hyperlink>
        </w:p>
        <w:p>
          <w:pPr>
            <w:pStyle w:val="Contents4"/>
            <w:tabs>
              <w:tab w:val="clear" w:pos="8176"/>
              <w:tab w:val="right" w:pos="9026" w:leader="dot"/>
            </w:tabs>
            <w:rPr/>
          </w:pPr>
          <w:hyperlink w:anchor="__RefHeading___Toc2420034_653776707">
            <w:r>
              <w:rPr>
                <w:webHidden/>
                <w:rStyle w:val="IndexLink"/>
              </w:rPr>
              <w:t>12</w:t>
            </w:r>
            <w:r>
              <w:rPr>
                <w:rStyle w:val="IndexLink"/>
                <w:rtl w:val="true"/>
              </w:rPr>
              <w:t xml:space="preserve">. </w:t>
            </w:r>
            <w:r>
              <w:rPr>
                <w:rStyle w:val="IndexLink"/>
                <w:rtl w:val="true"/>
              </w:rPr>
              <w:t>مقایسۀ سنّیان و شیعیان امامی در تحولات جدید اسلامی</w:t>
            </w:r>
            <w:r>
              <w:rPr>
                <w:rStyle w:val="IndexLink"/>
                <w:rtl w:val="true"/>
              </w:rPr>
              <w:tab/>
            </w:r>
            <w:r>
              <w:rPr>
                <w:rStyle w:val="IndexLink"/>
              </w:rPr>
              <w:t>339</w:t>
            </w:r>
          </w:hyperlink>
        </w:p>
        <w:p>
          <w:pPr>
            <w:pStyle w:val="Contents5"/>
            <w:tabs>
              <w:tab w:val="clear" w:pos="7892"/>
              <w:tab w:val="right" w:pos="9026" w:leader="dot"/>
            </w:tabs>
            <w:rPr/>
          </w:pPr>
          <w:hyperlink w:anchor="__RefHeading___Toc242003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339</w:t>
            </w:r>
          </w:hyperlink>
        </w:p>
        <w:p>
          <w:pPr>
            <w:pStyle w:val="Contents6"/>
            <w:tabs>
              <w:tab w:val="clear" w:pos="7609"/>
              <w:tab w:val="right" w:pos="9026" w:leader="dot"/>
            </w:tabs>
            <w:rPr/>
          </w:pPr>
          <w:hyperlink w:anchor="__RefHeading___Toc2420038_653776707">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2420040_653776707">
            <w:r>
              <w:rPr>
                <w:webHidden/>
                <w:rStyle w:val="IndexLink"/>
                <w:rtl w:val="true"/>
              </w:rPr>
              <w:t>سازماندهی نهی از منکر در دو نگرش شیعه و سنی</w:t>
            </w:r>
            <w:r>
              <w:rPr>
                <w:rStyle w:val="IndexLink"/>
                <w:rtl w:val="true"/>
              </w:rPr>
              <w:tab/>
            </w:r>
            <w:r>
              <w:rPr>
                <w:rStyle w:val="IndexLink"/>
              </w:rPr>
              <w:t>341</w:t>
            </w:r>
          </w:hyperlink>
        </w:p>
        <w:p>
          <w:pPr>
            <w:pStyle w:val="Contents5"/>
            <w:tabs>
              <w:tab w:val="clear" w:pos="7892"/>
              <w:tab w:val="right" w:pos="9026" w:leader="dot"/>
            </w:tabs>
            <w:rPr/>
          </w:pPr>
          <w:hyperlink w:anchor="__RefHeading___Toc242004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343</w:t>
            </w:r>
          </w:hyperlink>
        </w:p>
        <w:p>
          <w:pPr>
            <w:pStyle w:val="Contents4"/>
            <w:tabs>
              <w:tab w:val="clear" w:pos="8176"/>
              <w:tab w:val="right" w:pos="9026" w:leader="dot"/>
            </w:tabs>
            <w:rPr/>
          </w:pPr>
          <w:hyperlink w:anchor="__RefHeading___Toc2420044_653776707">
            <w:r>
              <w:rPr>
                <w:webHidden/>
                <w:rStyle w:val="IndexLink"/>
              </w:rPr>
              <w:t>13</w:t>
            </w:r>
            <w:r>
              <w:rPr>
                <w:rStyle w:val="IndexLink"/>
                <w:rtl w:val="true"/>
              </w:rPr>
              <w:t xml:space="preserve">. </w:t>
            </w:r>
            <w:r>
              <w:rPr>
                <w:rStyle w:val="IndexLink"/>
                <w:rtl w:val="true"/>
              </w:rPr>
              <w:t>حقوق خصوصی، جامعۀ مدنی و جامعۀ اسلامی</w:t>
            </w:r>
            <w:r>
              <w:rPr>
                <w:rStyle w:val="IndexLink"/>
                <w:rtl w:val="true"/>
              </w:rPr>
              <w:tab/>
            </w:r>
            <w:r>
              <w:rPr>
                <w:rStyle w:val="IndexLink"/>
              </w:rPr>
              <w:t>349</w:t>
            </w:r>
          </w:hyperlink>
        </w:p>
        <w:p>
          <w:pPr>
            <w:pStyle w:val="Contents5"/>
            <w:tabs>
              <w:tab w:val="clear" w:pos="7892"/>
              <w:tab w:val="right" w:pos="9026" w:leader="dot"/>
            </w:tabs>
            <w:rPr/>
          </w:pPr>
          <w:hyperlink w:anchor="__RefHeading___Toc242004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349</w:t>
            </w:r>
          </w:hyperlink>
        </w:p>
        <w:p>
          <w:pPr>
            <w:pStyle w:val="Contents5"/>
            <w:tabs>
              <w:tab w:val="clear" w:pos="7892"/>
              <w:tab w:val="right" w:pos="9026" w:leader="dot"/>
            </w:tabs>
            <w:rPr/>
          </w:pPr>
          <w:hyperlink w:anchor="__RefHeading___Toc242004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351</w:t>
            </w:r>
          </w:hyperlink>
        </w:p>
        <w:p>
          <w:pPr>
            <w:pStyle w:val="Contents6"/>
            <w:tabs>
              <w:tab w:val="clear" w:pos="7609"/>
              <w:tab w:val="right" w:pos="9026" w:leader="dot"/>
            </w:tabs>
            <w:rPr/>
          </w:pPr>
          <w:hyperlink w:anchor="__RefHeading___Toc2420050_653776707">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2420052_653776707">
            <w:r>
              <w:rPr>
                <w:webHidden/>
                <w:rStyle w:val="IndexLink"/>
                <w:rtl w:val="true"/>
              </w:rPr>
              <w:t>مایکل و معمّای لاینحل</w:t>
            </w:r>
            <w:r>
              <w:rPr>
                <w:rStyle w:val="IndexLink"/>
                <w:rtl w:val="true"/>
              </w:rPr>
              <w:tab/>
            </w:r>
            <w:r>
              <w:rPr>
                <w:rStyle w:val="IndexLink"/>
              </w:rPr>
              <w:t>360</w:t>
            </w:r>
          </w:hyperlink>
        </w:p>
        <w:p>
          <w:pPr>
            <w:pStyle w:val="Contents6"/>
            <w:tabs>
              <w:tab w:val="clear" w:pos="7609"/>
              <w:tab w:val="right" w:pos="9026" w:leader="dot"/>
            </w:tabs>
            <w:rPr/>
          </w:pPr>
          <w:hyperlink w:anchor="__RefHeading___Toc2420054_653776707">
            <w:r>
              <w:rPr>
                <w:webHidden/>
                <w:rStyle w:val="IndexLink"/>
                <w:rtl w:val="true"/>
              </w:rPr>
              <w:t>آخرین سخن</w:t>
            </w:r>
            <w:r>
              <w:rPr>
                <w:rStyle w:val="IndexLink"/>
                <w:rtl w:val="true"/>
              </w:rPr>
              <w:tab/>
            </w:r>
            <w:r>
              <w:rPr>
                <w:rStyle w:val="IndexLink"/>
              </w:rPr>
              <w:t>361</w:t>
            </w:r>
          </w:hyperlink>
        </w:p>
        <w:p>
          <w:pPr>
            <w:pStyle w:val="Contents5"/>
            <w:tabs>
              <w:tab w:val="clear" w:pos="7892"/>
              <w:tab w:val="right" w:pos="9026" w:leader="dot"/>
            </w:tabs>
            <w:rPr/>
          </w:pPr>
          <w:hyperlink w:anchor="__RefHeading___Toc2420056_653776707">
            <w:r>
              <w:rPr>
                <w:webHidden/>
                <w:rStyle w:val="IndexLink"/>
                <w:rtl w:val="true"/>
              </w:rPr>
              <w:t>قصۀ نیمه‌تمام مایکل</w:t>
            </w:r>
            <w:r>
              <w:rPr>
                <w:rStyle w:val="IndexLink"/>
                <w:rtl w:val="true"/>
              </w:rPr>
              <w:tab/>
            </w:r>
            <w:r>
              <w:rPr>
                <w:rStyle w:val="IndexLink"/>
              </w:rPr>
              <w:t>362</w:t>
            </w:r>
          </w:hyperlink>
        </w:p>
        <w:p>
          <w:pPr>
            <w:pStyle w:val="Contents3"/>
            <w:tabs>
              <w:tab w:val="clear" w:pos="8459"/>
              <w:tab w:val="right" w:pos="9026" w:leader="dot"/>
            </w:tabs>
            <w:rPr/>
          </w:pPr>
          <w:hyperlink w:anchor="__RefHeading___Toc2420058_653776707">
            <w:r>
              <w:rPr>
                <w:webHidden/>
                <w:rStyle w:val="IndexLink"/>
                <w:rtl w:val="true"/>
              </w:rPr>
              <w:t>گزارش و ارزیابی فصل نوزدهم</w:t>
            </w:r>
            <w:r>
              <w:rPr>
                <w:rStyle w:val="IndexLink"/>
                <w:rtl w:val="true"/>
              </w:rPr>
              <w:t xml:space="preserve">: </w:t>
            </w:r>
            <w:r>
              <w:rPr>
                <w:rStyle w:val="IndexLink"/>
                <w:rtl w:val="true"/>
              </w:rPr>
              <w:t>سرچشمه‌ها و سنجش‌ها</w:t>
            </w:r>
            <w:r>
              <w:rPr>
                <w:rStyle w:val="IndexLink"/>
                <w:rtl w:val="true"/>
              </w:rPr>
              <w:tab/>
            </w:r>
            <w:r>
              <w:rPr>
                <w:rStyle w:val="IndexLink"/>
              </w:rPr>
              <w:t>365</w:t>
            </w:r>
          </w:hyperlink>
        </w:p>
        <w:p>
          <w:pPr>
            <w:pStyle w:val="Contents4"/>
            <w:tabs>
              <w:tab w:val="clear" w:pos="8176"/>
              <w:tab w:val="right" w:pos="9026" w:leader="dot"/>
            </w:tabs>
            <w:rPr/>
          </w:pPr>
          <w:hyperlink w:anchor="__RefHeading___Toc2420060_653776707">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2420062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365</w:t>
            </w:r>
          </w:hyperlink>
        </w:p>
        <w:p>
          <w:pPr>
            <w:pStyle w:val="Contents5"/>
            <w:tabs>
              <w:tab w:val="clear" w:pos="7892"/>
              <w:tab w:val="right" w:pos="9026" w:leader="dot"/>
            </w:tabs>
            <w:rPr/>
          </w:pPr>
          <w:hyperlink w:anchor="__RefHeading___Toc2420064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365</w:t>
            </w:r>
          </w:hyperlink>
        </w:p>
        <w:p>
          <w:pPr>
            <w:pStyle w:val="Contents5"/>
            <w:tabs>
              <w:tab w:val="clear" w:pos="7892"/>
              <w:tab w:val="right" w:pos="9026" w:leader="dot"/>
            </w:tabs>
            <w:rPr/>
          </w:pPr>
          <w:hyperlink w:anchor="__RefHeading___Toc242006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367</w:t>
            </w:r>
          </w:hyperlink>
        </w:p>
        <w:p>
          <w:pPr>
            <w:pStyle w:val="Contents4"/>
            <w:tabs>
              <w:tab w:val="clear" w:pos="8176"/>
              <w:tab w:val="right" w:pos="9026" w:leader="dot"/>
            </w:tabs>
            <w:rPr/>
          </w:pPr>
          <w:hyperlink w:anchor="__RefHeading___Toc2420068_653776707">
            <w:r>
              <w:rPr>
                <w:webHidden/>
                <w:rStyle w:val="IndexLink"/>
              </w:rPr>
              <w:t>2</w:t>
            </w:r>
            <w:r>
              <w:rPr>
                <w:rStyle w:val="IndexLink"/>
                <w:rtl w:val="true"/>
              </w:rPr>
              <w:t xml:space="preserve">. </w:t>
            </w:r>
            <w:r>
              <w:rPr>
                <w:rStyle w:val="IndexLink"/>
                <w:rtl w:val="true"/>
              </w:rPr>
              <w:t>سرچشمه‌های امر به معروف و نهی از منکر در جاهلیت</w:t>
            </w:r>
            <w:r>
              <w:rPr>
                <w:rStyle w:val="IndexLink"/>
                <w:rtl w:val="true"/>
              </w:rPr>
              <w:tab/>
            </w:r>
            <w:r>
              <w:rPr>
                <w:rStyle w:val="IndexLink"/>
              </w:rPr>
              <w:t>369</w:t>
            </w:r>
          </w:hyperlink>
        </w:p>
        <w:p>
          <w:pPr>
            <w:pStyle w:val="Contents5"/>
            <w:tabs>
              <w:tab w:val="clear" w:pos="7892"/>
              <w:tab w:val="right" w:pos="9026" w:leader="dot"/>
            </w:tabs>
            <w:rPr/>
          </w:pPr>
          <w:hyperlink w:anchor="__RefHeading___Toc242007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369</w:t>
            </w:r>
          </w:hyperlink>
        </w:p>
        <w:p>
          <w:pPr>
            <w:pStyle w:val="Contents5"/>
            <w:tabs>
              <w:tab w:val="clear" w:pos="7892"/>
              <w:tab w:val="right" w:pos="9026" w:leader="dot"/>
            </w:tabs>
            <w:rPr/>
          </w:pPr>
          <w:hyperlink w:anchor="__RefHeading___Toc242007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371</w:t>
            </w:r>
          </w:hyperlink>
        </w:p>
        <w:p>
          <w:pPr>
            <w:pStyle w:val="Contents4"/>
            <w:tabs>
              <w:tab w:val="clear" w:pos="8176"/>
              <w:tab w:val="right" w:pos="9026" w:leader="dot"/>
            </w:tabs>
            <w:rPr/>
          </w:pPr>
          <w:hyperlink w:anchor="__RefHeading___Toc2420074_653776707">
            <w:r>
              <w:rPr>
                <w:webHidden/>
                <w:rStyle w:val="IndexLink"/>
              </w:rPr>
              <w:t>3</w:t>
            </w:r>
            <w:r>
              <w:rPr>
                <w:rStyle w:val="IndexLink"/>
                <w:rtl w:val="true"/>
              </w:rPr>
              <w:t xml:space="preserve">. </w:t>
            </w:r>
            <w:r>
              <w:rPr>
                <w:rStyle w:val="IndexLink"/>
                <w:rtl w:val="true"/>
              </w:rPr>
              <w:t>همانندی امر به معروف و نهی از منکر در ادیان توحیدی</w:t>
            </w:r>
            <w:r>
              <w:rPr>
                <w:rStyle w:val="IndexLink"/>
                <w:rtl w:val="true"/>
              </w:rPr>
              <w:tab/>
            </w:r>
            <w:r>
              <w:rPr>
                <w:rStyle w:val="IndexLink"/>
              </w:rPr>
              <w:t>371</w:t>
            </w:r>
          </w:hyperlink>
        </w:p>
        <w:p>
          <w:pPr>
            <w:pStyle w:val="Contents5"/>
            <w:tabs>
              <w:tab w:val="clear" w:pos="7892"/>
              <w:tab w:val="right" w:pos="9026" w:leader="dot"/>
            </w:tabs>
            <w:rPr/>
          </w:pPr>
          <w:hyperlink w:anchor="__RefHeading___Toc242007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371</w:t>
            </w:r>
          </w:hyperlink>
        </w:p>
        <w:p>
          <w:pPr>
            <w:pStyle w:val="Contents5"/>
            <w:tabs>
              <w:tab w:val="clear" w:pos="7892"/>
              <w:tab w:val="right" w:pos="9026" w:leader="dot"/>
            </w:tabs>
            <w:rPr/>
          </w:pPr>
          <w:hyperlink w:anchor="__RefHeading___Toc242007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375</w:t>
            </w:r>
          </w:hyperlink>
        </w:p>
        <w:p>
          <w:pPr>
            <w:pStyle w:val="Contents4"/>
            <w:tabs>
              <w:tab w:val="clear" w:pos="8176"/>
              <w:tab w:val="right" w:pos="9026" w:leader="dot"/>
            </w:tabs>
            <w:rPr/>
          </w:pPr>
          <w:hyperlink w:anchor="__RefHeading___Toc2420080_653776707">
            <w:r>
              <w:rPr>
                <w:webHidden/>
                <w:rStyle w:val="IndexLink"/>
              </w:rPr>
              <w:t>4</w:t>
            </w:r>
            <w:r>
              <w:rPr>
                <w:rStyle w:val="IndexLink"/>
                <w:rtl w:val="true"/>
              </w:rPr>
              <w:t xml:space="preserve">. </w:t>
            </w:r>
            <w:r>
              <w:rPr>
                <w:rStyle w:val="IndexLink"/>
                <w:rtl w:val="true"/>
              </w:rPr>
              <w:t>همانندی نهی از منکر در ادیان غیر توحیدی</w:t>
            </w:r>
            <w:r>
              <w:rPr>
                <w:rStyle w:val="IndexLink"/>
                <w:rtl w:val="true"/>
              </w:rPr>
              <w:tab/>
            </w:r>
            <w:r>
              <w:rPr>
                <w:rStyle w:val="IndexLink"/>
              </w:rPr>
              <w:t>375</w:t>
            </w:r>
          </w:hyperlink>
        </w:p>
        <w:p>
          <w:pPr>
            <w:pStyle w:val="Contents5"/>
            <w:tabs>
              <w:tab w:val="clear" w:pos="7892"/>
              <w:tab w:val="right" w:pos="9026" w:leader="dot"/>
            </w:tabs>
            <w:rPr/>
          </w:pPr>
          <w:hyperlink w:anchor="__RefHeading___Toc242008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375</w:t>
            </w:r>
          </w:hyperlink>
        </w:p>
        <w:p>
          <w:pPr>
            <w:pStyle w:val="Contents4"/>
            <w:tabs>
              <w:tab w:val="clear" w:pos="8176"/>
              <w:tab w:val="right" w:pos="9026" w:leader="dot"/>
            </w:tabs>
            <w:rPr/>
          </w:pPr>
          <w:hyperlink w:anchor="__RefHeading___Toc2420084_653776707">
            <w:r>
              <w:rPr>
                <w:webHidden/>
                <w:rStyle w:val="IndexLink"/>
              </w:rPr>
              <w:t>5</w:t>
            </w:r>
            <w:r>
              <w:rPr>
                <w:rStyle w:val="IndexLink"/>
                <w:rtl w:val="true"/>
              </w:rPr>
              <w:t xml:space="preserve">. </w:t>
            </w:r>
            <w:r>
              <w:rPr>
                <w:rStyle w:val="IndexLink"/>
                <w:rtl w:val="true"/>
              </w:rPr>
              <w:t>امتیاز اسلام</w:t>
            </w:r>
            <w:r>
              <w:rPr>
                <w:rStyle w:val="IndexLink"/>
                <w:rtl w:val="true"/>
              </w:rPr>
              <w:tab/>
            </w:r>
            <w:r>
              <w:rPr>
                <w:rStyle w:val="IndexLink"/>
              </w:rPr>
              <w:t>378</w:t>
            </w:r>
          </w:hyperlink>
        </w:p>
        <w:p>
          <w:pPr>
            <w:pStyle w:val="Contents5"/>
            <w:tabs>
              <w:tab w:val="clear" w:pos="7892"/>
              <w:tab w:val="right" w:pos="9026" w:leader="dot"/>
            </w:tabs>
            <w:rPr/>
          </w:pPr>
          <w:hyperlink w:anchor="__RefHeading___Toc2420086_653776707">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242008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379</w:t>
            </w:r>
          </w:hyperlink>
        </w:p>
        <w:p>
          <w:pPr>
            <w:pStyle w:val="Contents3"/>
            <w:tabs>
              <w:tab w:val="clear" w:pos="8459"/>
              <w:tab w:val="right" w:pos="9026" w:leader="dot"/>
            </w:tabs>
            <w:rPr/>
          </w:pPr>
          <w:hyperlink w:anchor="__RefHeading___Toc2420090_653776707">
            <w:r>
              <w:rPr>
                <w:webHidden/>
                <w:rStyle w:val="IndexLink"/>
                <w:rtl w:val="true"/>
              </w:rPr>
              <w:t>گزارش و ارزیابی فصل بیستم</w:t>
            </w:r>
            <w:r>
              <w:rPr>
                <w:rStyle w:val="IndexLink"/>
                <w:rtl w:val="true"/>
              </w:rPr>
              <w:t xml:space="preserve">: </w:t>
            </w:r>
            <w:r>
              <w:rPr>
                <w:rStyle w:val="IndexLink"/>
                <w:rtl w:val="true"/>
              </w:rPr>
              <w:t>خاتمه</w:t>
            </w:r>
            <w:r>
              <w:rPr>
                <w:rStyle w:val="IndexLink"/>
                <w:rtl w:val="true"/>
              </w:rPr>
              <w:tab/>
            </w:r>
            <w:r>
              <w:rPr>
                <w:rStyle w:val="IndexLink"/>
              </w:rPr>
              <w:t>385</w:t>
            </w:r>
          </w:hyperlink>
        </w:p>
        <w:p>
          <w:pPr>
            <w:pStyle w:val="Contents4"/>
            <w:tabs>
              <w:tab w:val="clear" w:pos="8176"/>
              <w:tab w:val="right" w:pos="9026" w:leader="dot"/>
            </w:tabs>
            <w:rPr/>
          </w:pPr>
          <w:hyperlink w:anchor="__RefHeading___Toc2420092_653776707">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2420094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385</w:t>
            </w:r>
          </w:hyperlink>
        </w:p>
        <w:p>
          <w:pPr>
            <w:pStyle w:val="Contents5"/>
            <w:tabs>
              <w:tab w:val="clear" w:pos="7892"/>
              <w:tab w:val="right" w:pos="9026" w:leader="dot"/>
            </w:tabs>
            <w:rPr/>
          </w:pPr>
          <w:hyperlink w:anchor="__RefHeading___Toc242009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385</w:t>
            </w:r>
          </w:hyperlink>
        </w:p>
        <w:p>
          <w:pPr>
            <w:pStyle w:val="Contents5"/>
            <w:tabs>
              <w:tab w:val="clear" w:pos="7892"/>
              <w:tab w:val="right" w:pos="9026" w:leader="dot"/>
            </w:tabs>
            <w:rPr/>
          </w:pPr>
          <w:hyperlink w:anchor="__RefHeading___Toc242009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387</w:t>
            </w:r>
          </w:hyperlink>
        </w:p>
        <w:p>
          <w:pPr>
            <w:pStyle w:val="Contents6"/>
            <w:tabs>
              <w:tab w:val="clear" w:pos="7609"/>
              <w:tab w:val="right" w:pos="9026" w:leader="dot"/>
            </w:tabs>
            <w:rPr/>
          </w:pPr>
          <w:hyperlink w:anchor="__RefHeading___Toc2420100_653776707">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2420102_653776707">
            <w:r>
              <w:rPr>
                <w:webHidden/>
                <w:rStyle w:val="IndexLink"/>
                <w:rtl w:val="true"/>
              </w:rPr>
              <w:t>تحمل‌پذیری اسلامی و تمدن غربی</w:t>
            </w:r>
            <w:r>
              <w:rPr>
                <w:rStyle w:val="IndexLink"/>
                <w:rtl w:val="true"/>
              </w:rPr>
              <w:tab/>
            </w:r>
            <w:r>
              <w:rPr>
                <w:rStyle w:val="IndexLink"/>
              </w:rPr>
              <w:t>387</w:t>
            </w:r>
          </w:hyperlink>
        </w:p>
        <w:p>
          <w:pPr>
            <w:pStyle w:val="Contents4"/>
            <w:tabs>
              <w:tab w:val="clear" w:pos="8176"/>
              <w:tab w:val="right" w:pos="9026" w:leader="dot"/>
            </w:tabs>
            <w:rPr/>
          </w:pPr>
          <w:hyperlink w:anchor="__RefHeading___Toc2420104_653776707">
            <w:r>
              <w:rPr>
                <w:webHidden/>
                <w:rStyle w:val="IndexLink"/>
              </w:rPr>
              <w:t>2</w:t>
            </w:r>
            <w:r>
              <w:rPr>
                <w:rStyle w:val="IndexLink"/>
                <w:rtl w:val="true"/>
              </w:rPr>
              <w:t xml:space="preserve">. </w:t>
            </w:r>
            <w:r>
              <w:rPr>
                <w:rStyle w:val="IndexLink"/>
                <w:rtl w:val="true"/>
              </w:rPr>
              <w:t>امداد و نهی از منکر</w:t>
            </w:r>
            <w:r>
              <w:rPr>
                <w:rStyle w:val="IndexLink"/>
                <w:rtl w:val="true"/>
              </w:rPr>
              <w:tab/>
            </w:r>
            <w:r>
              <w:rPr>
                <w:rStyle w:val="IndexLink"/>
              </w:rPr>
              <w:t>388</w:t>
            </w:r>
          </w:hyperlink>
        </w:p>
        <w:p>
          <w:pPr>
            <w:pStyle w:val="Contents5"/>
            <w:tabs>
              <w:tab w:val="clear" w:pos="7892"/>
              <w:tab w:val="right" w:pos="9026" w:leader="dot"/>
            </w:tabs>
            <w:rPr/>
          </w:pPr>
          <w:hyperlink w:anchor="__RefHeading___Toc2420106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388</w:t>
            </w:r>
          </w:hyperlink>
        </w:p>
        <w:p>
          <w:pPr>
            <w:pStyle w:val="Contents5"/>
            <w:tabs>
              <w:tab w:val="clear" w:pos="7892"/>
              <w:tab w:val="right" w:pos="9026" w:leader="dot"/>
            </w:tabs>
            <w:rPr/>
          </w:pPr>
          <w:hyperlink w:anchor="__RefHeading___Toc2420108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390</w:t>
            </w:r>
          </w:hyperlink>
        </w:p>
        <w:p>
          <w:pPr>
            <w:pStyle w:val="Contents4"/>
            <w:tabs>
              <w:tab w:val="clear" w:pos="8176"/>
              <w:tab w:val="right" w:pos="9026" w:leader="dot"/>
            </w:tabs>
            <w:rPr/>
          </w:pPr>
          <w:hyperlink w:anchor="__RefHeading___Toc2420110_653776707">
            <w:r>
              <w:rPr>
                <w:webHidden/>
                <w:rStyle w:val="IndexLink"/>
              </w:rPr>
              <w:t>3</w:t>
            </w:r>
            <w:r>
              <w:rPr>
                <w:rStyle w:val="IndexLink"/>
                <w:rtl w:val="true"/>
              </w:rPr>
              <w:t xml:space="preserve">. </w:t>
            </w:r>
            <w:r>
              <w:rPr>
                <w:rStyle w:val="IndexLink"/>
                <w:rtl w:val="true"/>
              </w:rPr>
              <w:t>تفاوت نهی از منکر و امداد</w:t>
            </w:r>
            <w:r>
              <w:rPr>
                <w:rStyle w:val="IndexLink"/>
                <w:rtl w:val="true"/>
              </w:rPr>
              <w:tab/>
            </w:r>
            <w:r>
              <w:rPr>
                <w:rStyle w:val="IndexLink"/>
              </w:rPr>
              <w:t>393</w:t>
            </w:r>
          </w:hyperlink>
        </w:p>
        <w:p>
          <w:pPr>
            <w:pStyle w:val="Contents5"/>
            <w:tabs>
              <w:tab w:val="clear" w:pos="7892"/>
              <w:tab w:val="right" w:pos="9026" w:leader="dot"/>
            </w:tabs>
            <w:rPr/>
          </w:pPr>
          <w:hyperlink w:anchor="__RefHeading___Toc242011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393</w:t>
            </w:r>
          </w:hyperlink>
        </w:p>
        <w:p>
          <w:pPr>
            <w:pStyle w:val="Contents5"/>
            <w:tabs>
              <w:tab w:val="clear" w:pos="7892"/>
              <w:tab w:val="right" w:pos="9026" w:leader="dot"/>
            </w:tabs>
            <w:rPr/>
          </w:pPr>
          <w:hyperlink w:anchor="__RefHeading___Toc242011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394</w:t>
            </w:r>
          </w:hyperlink>
        </w:p>
        <w:p>
          <w:pPr>
            <w:pStyle w:val="Contents6"/>
            <w:tabs>
              <w:tab w:val="clear" w:pos="7609"/>
              <w:tab w:val="right" w:pos="9026" w:leader="dot"/>
            </w:tabs>
            <w:rPr/>
          </w:pPr>
          <w:hyperlink w:anchor="__RefHeading___Toc2420116_653776707">
            <w:r>
              <w:rPr>
                <w:webHidden/>
                <w:rStyle w:val="IndexLink"/>
                <w:rtl w:val="true"/>
              </w:rPr>
              <w:t>بازگشت نهی از منکر به امداد</w:t>
            </w:r>
            <w:r>
              <w:rPr>
                <w:rStyle w:val="IndexLink"/>
                <w:rtl w:val="true"/>
              </w:rPr>
              <w:tab/>
            </w:r>
            <w:r>
              <w:rPr>
                <w:rStyle w:val="IndexLink"/>
              </w:rPr>
              <w:t>394</w:t>
            </w:r>
          </w:hyperlink>
        </w:p>
        <w:p>
          <w:pPr>
            <w:pStyle w:val="Contents6"/>
            <w:tabs>
              <w:tab w:val="clear" w:pos="7609"/>
              <w:tab w:val="right" w:pos="9026" w:leader="dot"/>
            </w:tabs>
            <w:rPr/>
          </w:pPr>
          <w:hyperlink w:anchor="__RefHeading___Toc2420118_653776707">
            <w:r>
              <w:rPr>
                <w:webHidden/>
                <w:rStyle w:val="IndexLink"/>
                <w:rtl w:val="true"/>
              </w:rPr>
              <w:t>فراتر از اخلاق و فرهنگ</w:t>
            </w:r>
            <w:r>
              <w:rPr>
                <w:rStyle w:val="IndexLink"/>
                <w:rtl w:val="true"/>
              </w:rPr>
              <w:tab/>
            </w:r>
            <w:r>
              <w:rPr>
                <w:rStyle w:val="IndexLink"/>
              </w:rPr>
              <w:t>397</w:t>
            </w:r>
          </w:hyperlink>
        </w:p>
        <w:p>
          <w:pPr>
            <w:pStyle w:val="Contents4"/>
            <w:tabs>
              <w:tab w:val="clear" w:pos="8176"/>
              <w:tab w:val="right" w:pos="9026" w:leader="dot"/>
            </w:tabs>
            <w:rPr/>
          </w:pPr>
          <w:hyperlink w:anchor="__RefHeading___Toc2420120_653776707">
            <w:r>
              <w:rPr>
                <w:webHidden/>
                <w:rStyle w:val="IndexLink"/>
              </w:rPr>
              <w:t>4</w:t>
            </w:r>
            <w:r>
              <w:rPr>
                <w:rStyle w:val="IndexLink"/>
                <w:rtl w:val="true"/>
              </w:rPr>
              <w:t xml:space="preserve">. </w:t>
            </w:r>
            <w:r>
              <w:rPr>
                <w:rStyle w:val="IndexLink"/>
                <w:rtl w:val="true"/>
              </w:rPr>
              <w:t>معروف و منکر</w:t>
            </w:r>
            <w:r>
              <w:rPr>
                <w:rStyle w:val="IndexLink"/>
                <w:rtl w:val="true"/>
              </w:rPr>
              <w:tab/>
            </w:r>
            <w:r>
              <w:rPr>
                <w:rStyle w:val="IndexLink"/>
              </w:rPr>
              <w:t>399</w:t>
            </w:r>
          </w:hyperlink>
        </w:p>
        <w:p>
          <w:pPr>
            <w:pStyle w:val="Contents5"/>
            <w:tabs>
              <w:tab w:val="clear" w:pos="7892"/>
              <w:tab w:val="right" w:pos="9026" w:leader="dot"/>
            </w:tabs>
            <w:rPr/>
          </w:pPr>
          <w:hyperlink w:anchor="__RefHeading___Toc2420122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399</w:t>
            </w:r>
          </w:hyperlink>
        </w:p>
        <w:p>
          <w:pPr>
            <w:pStyle w:val="Contents5"/>
            <w:tabs>
              <w:tab w:val="clear" w:pos="7892"/>
              <w:tab w:val="right" w:pos="9026" w:leader="dot"/>
            </w:tabs>
            <w:rPr/>
          </w:pPr>
          <w:hyperlink w:anchor="__RefHeading___Toc2420124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400</w:t>
            </w:r>
          </w:hyperlink>
        </w:p>
        <w:p>
          <w:pPr>
            <w:pStyle w:val="Contents4"/>
            <w:tabs>
              <w:tab w:val="clear" w:pos="8176"/>
              <w:tab w:val="right" w:pos="9026" w:leader="dot"/>
            </w:tabs>
            <w:rPr/>
          </w:pPr>
          <w:hyperlink w:anchor="__RefHeading___Toc2420126_653776707">
            <w:r>
              <w:rPr>
                <w:webHidden/>
                <w:rStyle w:val="IndexLink"/>
              </w:rPr>
              <w:t>5</w:t>
            </w:r>
            <w:r>
              <w:rPr>
                <w:rStyle w:val="IndexLink"/>
                <w:rtl w:val="true"/>
              </w:rPr>
              <w:t xml:space="preserve">. </w:t>
            </w:r>
            <w:r>
              <w:rPr>
                <w:rStyle w:val="IndexLink"/>
                <w:rtl w:val="true"/>
              </w:rPr>
              <w:t>دو اصل حاکم بر غرب، جهت برخورد با معضلات جهانی</w:t>
            </w:r>
            <w:r>
              <w:rPr>
                <w:rStyle w:val="IndexLink"/>
                <w:rtl w:val="true"/>
              </w:rPr>
              <w:tab/>
            </w:r>
            <w:r>
              <w:rPr>
                <w:rStyle w:val="IndexLink"/>
              </w:rPr>
              <w:t>404</w:t>
            </w:r>
          </w:hyperlink>
        </w:p>
        <w:p>
          <w:pPr>
            <w:pStyle w:val="Contents5"/>
            <w:tabs>
              <w:tab w:val="clear" w:pos="7892"/>
              <w:tab w:val="right" w:pos="9026" w:leader="dot"/>
            </w:tabs>
            <w:rPr/>
          </w:pPr>
          <w:hyperlink w:anchor="__RefHeading___Toc2420128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404</w:t>
            </w:r>
          </w:hyperlink>
        </w:p>
        <w:p>
          <w:pPr>
            <w:pStyle w:val="Contents5"/>
            <w:tabs>
              <w:tab w:val="clear" w:pos="7892"/>
              <w:tab w:val="right" w:pos="9026" w:leader="dot"/>
            </w:tabs>
            <w:rPr/>
          </w:pPr>
          <w:hyperlink w:anchor="__RefHeading___Toc2420130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406</w:t>
            </w:r>
          </w:hyperlink>
        </w:p>
        <w:p>
          <w:pPr>
            <w:pStyle w:val="Contents4"/>
            <w:tabs>
              <w:tab w:val="clear" w:pos="8176"/>
              <w:tab w:val="right" w:pos="9026" w:leader="dot"/>
            </w:tabs>
            <w:rPr/>
          </w:pPr>
          <w:hyperlink w:anchor="__RefHeading___Toc2420132_653776707">
            <w:r>
              <w:rPr>
                <w:webHidden/>
                <w:rStyle w:val="IndexLink"/>
              </w:rPr>
              <w:t>6</w:t>
            </w:r>
            <w:r>
              <w:rPr>
                <w:rStyle w:val="IndexLink"/>
                <w:rtl w:val="true"/>
              </w:rPr>
              <w:t xml:space="preserve">. </w:t>
            </w:r>
            <w:r>
              <w:rPr>
                <w:rStyle w:val="IndexLink"/>
                <w:rtl w:val="true"/>
              </w:rPr>
              <w:t>آرای نوین غربی و اندیشۀ اسلامی و صحنۀ جهانی</w:t>
            </w:r>
            <w:r>
              <w:rPr>
                <w:rStyle w:val="IndexLink"/>
                <w:rtl w:val="true"/>
              </w:rPr>
              <w:tab/>
            </w:r>
            <w:r>
              <w:rPr>
                <w:rStyle w:val="IndexLink"/>
              </w:rPr>
              <w:t>410</w:t>
            </w:r>
          </w:hyperlink>
        </w:p>
        <w:p>
          <w:pPr>
            <w:pStyle w:val="Contents5"/>
            <w:tabs>
              <w:tab w:val="clear" w:pos="7892"/>
              <w:tab w:val="right" w:pos="9026" w:leader="dot"/>
            </w:tabs>
            <w:rPr/>
          </w:pPr>
          <w:hyperlink w:anchor="__RefHeading___Toc2420134_653776707">
            <w:r>
              <w:rPr>
                <w:webHidden/>
                <w:rStyle w:val="IndexLink"/>
                <w:rtl w:val="true"/>
              </w:rPr>
              <w:t>الف</w:t>
            </w:r>
            <w:r>
              <w:rPr>
                <w:rStyle w:val="IndexLink"/>
                <w:rtl w:val="true"/>
              </w:rPr>
              <w:t>)</w:t>
            </w:r>
            <w:r>
              <w:rPr>
                <w:rStyle w:val="IndexLink"/>
                <w:rtl w:val="true"/>
              </w:rPr>
              <w:t>گزارش</w:t>
            </w:r>
            <w:r>
              <w:rPr>
                <w:rStyle w:val="IndexLink"/>
                <w:rtl w:val="true"/>
              </w:rPr>
              <w:tab/>
            </w:r>
            <w:r>
              <w:rPr>
                <w:rStyle w:val="IndexLink"/>
              </w:rPr>
              <w:t>410</w:t>
            </w:r>
          </w:hyperlink>
        </w:p>
        <w:p>
          <w:pPr>
            <w:pStyle w:val="Contents5"/>
            <w:tabs>
              <w:tab w:val="clear" w:pos="7892"/>
              <w:tab w:val="right" w:pos="9026" w:leader="dot"/>
            </w:tabs>
            <w:rPr/>
          </w:pPr>
          <w:hyperlink w:anchor="__RefHeading___Toc2420136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412</w:t>
            </w:r>
          </w:hyperlink>
        </w:p>
        <w:p>
          <w:pPr>
            <w:pStyle w:val="Contents4"/>
            <w:tabs>
              <w:tab w:val="clear" w:pos="8176"/>
              <w:tab w:val="right" w:pos="9026" w:leader="dot"/>
            </w:tabs>
            <w:rPr/>
          </w:pPr>
          <w:hyperlink w:anchor="__RefHeading___Toc2420138_653776707">
            <w:r>
              <w:rPr>
                <w:webHidden/>
                <w:rStyle w:val="IndexLink"/>
              </w:rPr>
              <w:t>7</w:t>
            </w:r>
            <w:r>
              <w:rPr>
                <w:rStyle w:val="IndexLink"/>
                <w:rtl w:val="true"/>
              </w:rPr>
              <w:t xml:space="preserve">. </w:t>
            </w:r>
            <w:r>
              <w:rPr>
                <w:rStyle w:val="IndexLink"/>
                <w:rtl w:val="true"/>
              </w:rPr>
              <w:t>آخرین نکته</w:t>
            </w:r>
            <w:r>
              <w:rPr>
                <w:rStyle w:val="IndexLink"/>
                <w:rtl w:val="true"/>
              </w:rPr>
              <w:t xml:space="preserve">: </w:t>
            </w:r>
            <w:r>
              <w:rPr>
                <w:rStyle w:val="IndexLink"/>
                <w:rtl w:val="true"/>
              </w:rPr>
              <w:t>کشمکش دو جهان‌بینی؛ جایگاه خدا</w:t>
            </w:r>
            <w:r>
              <w:rPr>
                <w:rStyle w:val="IndexLink"/>
                <w:rtl w:val="true"/>
              </w:rPr>
              <w:tab/>
            </w:r>
            <w:r>
              <w:rPr>
                <w:rStyle w:val="IndexLink"/>
              </w:rPr>
              <w:t>420</w:t>
            </w:r>
          </w:hyperlink>
        </w:p>
        <w:p>
          <w:pPr>
            <w:pStyle w:val="Contents5"/>
            <w:tabs>
              <w:tab w:val="clear" w:pos="7892"/>
              <w:tab w:val="right" w:pos="9026" w:leader="dot"/>
            </w:tabs>
            <w:rPr/>
          </w:pPr>
          <w:hyperlink w:anchor="__RefHeading___Toc2420140_653776707">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420</w:t>
            </w:r>
          </w:hyperlink>
        </w:p>
        <w:p>
          <w:pPr>
            <w:pStyle w:val="Contents5"/>
            <w:tabs>
              <w:tab w:val="clear" w:pos="7892"/>
              <w:tab w:val="right" w:pos="9026" w:leader="dot"/>
            </w:tabs>
            <w:rPr/>
          </w:pPr>
          <w:hyperlink w:anchor="__RefHeading___Toc2420142_653776707">
            <w:r>
              <w:rPr>
                <w:webHidden/>
                <w:rStyle w:val="IndexLink"/>
                <w:rtl w:val="true"/>
              </w:rPr>
              <w:t>ب</w:t>
            </w:r>
            <w:r>
              <w:rPr>
                <w:rStyle w:val="IndexLink"/>
                <w:rtl w:val="true"/>
              </w:rPr>
              <w:t xml:space="preserve">) </w:t>
            </w:r>
            <w:r>
              <w:rPr>
                <w:rStyle w:val="IndexLink"/>
                <w:rtl w:val="true"/>
              </w:rPr>
              <w:t>ارزیابی</w:t>
            </w:r>
            <w:r>
              <w:rPr>
                <w:rStyle w:val="IndexLink"/>
                <w:rtl w:val="true"/>
              </w:rPr>
              <w:tab/>
            </w:r>
            <w:r>
              <w:rPr>
                <w:rStyle w:val="IndexLink"/>
              </w:rPr>
              <w:t>420</w:t>
            </w:r>
          </w:hyperlink>
        </w:p>
        <w:p>
          <w:pPr>
            <w:pStyle w:val="Contents3"/>
            <w:tabs>
              <w:tab w:val="clear" w:pos="8459"/>
              <w:tab w:val="right" w:pos="9026" w:leader="dot"/>
            </w:tabs>
            <w:rPr/>
          </w:pPr>
          <w:hyperlink w:anchor="__RefHeading___Toc2420144_653776707">
            <w:r>
              <w:rPr>
                <w:webHidden/>
                <w:rStyle w:val="IndexLink"/>
                <w:rtl w:val="true"/>
              </w:rPr>
              <w:t>خاتمۀ سخن</w:t>
            </w:r>
            <w:r>
              <w:rPr>
                <w:rStyle w:val="IndexLink"/>
                <w:rtl w:val="true"/>
              </w:rPr>
              <w:tab/>
            </w:r>
            <w:r>
              <w:rPr>
                <w:rStyle w:val="IndexLink"/>
              </w:rPr>
              <w:t>422</w:t>
            </w:r>
          </w:hyperlink>
        </w:p>
        <w:p>
          <w:pPr>
            <w:pStyle w:val="Contents2"/>
            <w:tabs>
              <w:tab w:val="clear" w:pos="8743"/>
              <w:tab w:val="right" w:pos="9026" w:leader="dot"/>
            </w:tabs>
            <w:rPr/>
          </w:pPr>
          <w:hyperlink w:anchor="__RefHeading___Toc2420146_653776707">
            <w:r>
              <w:rPr>
                <w:webHidden/>
                <w:rStyle w:val="IndexLink"/>
                <w:rtl w:val="true"/>
              </w:rPr>
              <w:t>فهرست منابع</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4_122161"/>
      <w:bookmarkStart w:id="1" w:name="pg8664_122161"/>
      <w:bookmarkEnd w:id="1"/>
    </w:p>
    <w:p>
      <w:pPr>
        <w:pStyle w:val="Heading2"/>
        <w:numPr>
          <w:ilvl w:val="1"/>
          <w:numId w:val="1"/>
        </w:numPr>
        <w:rPr/>
      </w:pPr>
      <w:bookmarkStart w:id="2" w:name="pg8664_122161"/>
      <w:bookmarkStart w:id="3" w:name="__RefHeading___Toc241944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جعفرپیشه فرد، مصطفی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کتاب امر به معروف و نهی از منکر در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مایکل کوک ترجمه احمد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جعفر پیشه فرد؛ تحقیق و نگارش محمدحسین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احیاء امر طاها،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9263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 ، مایکل ،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در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Cook, Michael . Commanding right and forbidding wrong in Islamic thought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w:t>
      </w:r>
      <w:r>
        <w:rPr>
          <w:rFonts w:eastAsia="Times New Roman" w:cs="Times New Roman" w:ascii="Times New Roman" w:hAnsi="Times New Roman"/>
          <w:color w:val="111111"/>
          <w:sz w:val="28"/>
          <w:szCs w:val="28"/>
          <w:lang w:val="en-US" w:bidi="en-US"/>
        </w:rPr>
        <w:t>Enjoining what is good and prohibiting what is evil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اخلاق اسلامی </w:t>
      </w:r>
      <w:r>
        <w:rPr>
          <w:rFonts w:eastAsia="Times New Roman" w:cs="Times New Roman" w:ascii="Times New Roman" w:hAnsi="Times New Roman"/>
          <w:color w:val="111111"/>
          <w:sz w:val="28"/>
          <w:szCs w:val="28"/>
          <w:lang w:val="en-US" w:bidi="en-US"/>
        </w:rPr>
        <w:t>Islamic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زندگی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life -- Shi'ah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Times New Roman" w:cs="Times New Roman" w:ascii="Times New Roman" w:hAnsi="Times New Roman"/>
          <w:color w:val="111111"/>
          <w:sz w:val="28"/>
          <w:szCs w:val="28"/>
          <w:lang w:val="en-US" w:bidi="en-US"/>
        </w:rPr>
        <w:t>Islam -- Doctrines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زکی، محمدحسین،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BP196/6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297/3775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9177043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944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جعفرپیشه فرد، مصطفی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کتاب امر به معروف و نهی از منکر در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مایکل کوک ترجمه احمد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جعفر پیشه فرد؛ تحقیق و نگارش محمدحسین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احیاء امر طاها،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9263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 ، مایکل ،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در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Cook, Michael . Commanding right and forbidding wrong in Islamic thought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w:t>
      </w:r>
      <w:r>
        <w:rPr>
          <w:rFonts w:eastAsia="Times New Roman" w:cs="Times New Roman" w:ascii="Times New Roman" w:hAnsi="Times New Roman"/>
          <w:color w:val="111111"/>
          <w:sz w:val="28"/>
          <w:szCs w:val="28"/>
          <w:lang w:val="en-US" w:bidi="en-US"/>
        </w:rPr>
        <w:t>Enjoining what is good and prohibiting what is evil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اخلاق اسلامی </w:t>
      </w:r>
      <w:r>
        <w:rPr>
          <w:rFonts w:eastAsia="Times New Roman" w:cs="Times New Roman" w:ascii="Times New Roman" w:hAnsi="Times New Roman"/>
          <w:color w:val="111111"/>
          <w:sz w:val="28"/>
          <w:szCs w:val="28"/>
          <w:lang w:val="en-US" w:bidi="en-US"/>
        </w:rPr>
        <w:t>Islamic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زندگی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life -- Shi'ah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Times New Roman" w:cs="Times New Roman" w:ascii="Times New Roman" w:hAnsi="Times New Roman"/>
          <w:color w:val="111111"/>
          <w:sz w:val="28"/>
          <w:szCs w:val="28"/>
          <w:lang w:val="en-US" w:bidi="en-US"/>
        </w:rPr>
        <w:t>Islam -- Doctrines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زکی، محمدحسین،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BP196/6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297/3775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9177043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محمد و آله الطاهرین و اللعن علی أعدائهم أجمعین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8664_122169"/>
    </w:p>
    <w:p>
      <w:pPr>
        <w:pStyle w:val="Heading2"/>
        <w:numPr>
          <w:ilvl w:val="1"/>
          <w:numId w:val="1"/>
        </w:numPr>
        <w:rPr/>
      </w:pPr>
      <w:bookmarkStart w:id="8" w:name="__RefHeading___Toc2419446_653776707"/>
      <w:bookmarkStart w:id="9" w:name="_Toc3"/>
      <w:bookmarkEnd w:id="7"/>
      <w:bookmarkEnd w:id="8"/>
      <w:r>
        <w:rPr>
          <w:rtl w:val="true"/>
        </w:rPr>
        <w:t>فهرست مطالب</w:t>
      </w:r>
      <w:bookmarkEnd w:id="9"/>
    </w:p>
    <w:p>
      <w:pPr>
        <w:pStyle w:val="Heading3"/>
        <w:numPr>
          <w:ilvl w:val="2"/>
          <w:numId w:val="1"/>
        </w:numPr>
        <w:rPr/>
      </w:pPr>
      <w:bookmarkStart w:id="10" w:name="__RefHeading___Toc2419448_65377670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مایکل کوک و انگیزۀ او برای نوشتن کتاب امر به معروف و نهی از منکر در اندیشۀ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انگیزۀ کار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گزارش و ارزیابی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مرو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گزارش و ارزیابی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تفسیر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و ارزیابی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گزارش و ارزیابی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تاریخچه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حکومت و نگاه افراطی و تفریطی به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زندگی خصوصی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زنان در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گزارش و ارزیابی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ابن‌حنبل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نگاهی به تاریخ حنبلیان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گزارش و ارزیابی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عملی حنبلیان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فکری حنبلیان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فکری و روش عملی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حنبلیان و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گزارش و ارزیابی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حنبلیان 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سیاسی ابن‌تیمیه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حنبلیان پس از ابن‌تیمیه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گزارش و ارزیابی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نجد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حنبلیان در نجد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دولت سعودی و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دولت سعودی و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دولت سعودی و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و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گزارش و ارزیابی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اعتزالی در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معتزلی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مانکدیم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پیوستگی مکتب‌های فقهی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معتزلیان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رقیب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گزارش و ارزیابی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 و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زیدیۀ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عمل‌گرایی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فقهی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نهی از منکر در عقیده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همزیستی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سنّی‌گرایی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گزارش و ارزیابی 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دوره‌های مورد بحث امامیه از نظر مایکل کوک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متقدم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وحی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یا کفایی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دانشمندان متقدم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امامیه در دوره‌های اخیر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شش‌گانه و علمای امامی دوره‌های اخیر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و ارزیابی پیوست 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مبحث پیوست اسماعلیه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فرقه‌های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گزارش و ارزیابی 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حنفی‌ها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 پیش از دولت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 و ماتریدیه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شارحان دوره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برگلی و وارثان او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حنفیان و اواخر دوره‌های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و ارزیابی 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از دیدگاه شافعیه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شافعیان پیش از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شافعیان بعد از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گزارش و ارزیابی 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تراث مالکیان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عقیدۀ مالکیان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عقیدۀ مالکیان 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مالکی در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گزارش و ارزیابی 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نزد اباضیه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اباضیه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اباضیه شرقی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گزارش و ارزیابی 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ارکان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منکرات از نظر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کردن حاکمان از نظر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مایکل کوک از کار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نواقص کار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گزارش و ارزیابی پیوست 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گزارش و ارزیابی 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اسلام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دوره‌های اولیه اسلام؛ از شکل‌گیری دین تا شروع تغییرات مصیبت‌بار تحت تأثیر غرب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خصوصی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اجتماعی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جامعۀ گسترده‌تر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فراسوی اسلام سنتی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گزارش و ارزیابی 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جدید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اسلام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مواجهه با غرب در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اندیشۀ غرب بر مفهوم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آزادی غربی و نهی از منکر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بین نظریات جدید و انزوای سنتی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 در نهی از منکر در دوران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در عقاید شیعه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غرب بر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حزب سیاسی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فقیهان نامدار تا اعضای لژ فراماسونری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تحلیلی جدید از شرایط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قانون اساسی جمهوری اساسی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مقایسۀ سنّیان و شیعیان امامی در تحولات جدید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خصوصی، جامعۀ مدنی و جامعۀ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گزارش و ارزیابی 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سرچشمه‌ها و سنجش‌ها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سرچشمه‌های امر به معروف و نهی از منکر در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همانندی امر به معروف و نهی از منکر در ادیان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همانندی نهی از منکر در ادیان غیر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و ارزیابی 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نهی از منکر و امداد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اصل حاکم بر غرب، جهت برخورد با معضلات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نوین غربی و اندیشۀ اسلامی و صحنۀ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دو جهان‌بینی؛ جایگاه خدا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خاتمۀ سخن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2" w:name="pg8666_122218"/>
    </w:p>
    <w:p>
      <w:pPr>
        <w:pStyle w:val="Heading3"/>
        <w:numPr>
          <w:ilvl w:val="2"/>
          <w:numId w:val="1"/>
        </w:numPr>
        <w:rPr/>
      </w:pPr>
      <w:bookmarkStart w:id="13" w:name="__RefHeading___Toc2419450_653776707"/>
      <w:bookmarkStart w:id="14" w:name="_Toc5"/>
      <w:bookmarkEnd w:id="12"/>
      <w:bookmarkEnd w:id="13"/>
      <w:r>
        <w:rPr>
          <w:rtl w:val="true"/>
        </w:rPr>
        <w:t>پیش‌درآمد</w:t>
      </w:r>
      <w:bookmarkEnd w:id="14"/>
    </w:p>
    <w:p>
      <w:pPr>
        <w:pStyle w:val="BookText"/>
        <w:rPr/>
      </w:pPr>
      <w:r>
        <w:rPr>
          <w:rFonts w:ascii="IRNazanin" w:hAnsi="IRNazanin" w:eastAsia="IRNazanin"/>
          <w:color w:val="111111"/>
          <w:sz w:val="28"/>
          <w:sz w:val="28"/>
          <w:szCs w:val="28"/>
          <w:rtl w:val="true"/>
          <w:lang w:bidi="fa-IR"/>
        </w:rPr>
        <w:t xml:space="preserve">اهمیت امر به معروف و نهی از منکر در بسط، تعمیق و تبیین معارف اسلامی و تحقّق شریعت غرای محمدی در جامعه بر کسی پوشیده نیست تا آنجا که قرآن کریم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امر به معروف و نهی از منکر از میان امت‌های پیامبران دیگر، بهترین امت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 تَأْمُرُونَ بِالْمَعْرُوفِ وَتَنْهَوْنَ عَنْ الْمُنكَرِ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یا روایات معصومین از مردمی که امر به معروف و نهی از منکر در میان آنها فراموش شده است، به‌عنوان مردگانی یاد می‌کند که در میان زندگان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امر به معروف و نهی از منکر در عصر حاضر که مسلمانان در کل و شیعیان به‌خصوص، از هر سو تحت هجمه‌ها و دستگاه تبلیغاتی دشمنان قرار گرفته است و باتوجه‌به اینکه انفجار اطلاعات و از این طریق ترویج فرهنگ‌های مبتذل غربی، ارزش‌های اسلامی را نشانه رفته و سعی در منحرف‌کردن جوامع اسلامی و جوانان و خانواده‌ها دارند، اهمیت ویژه‌ای پیدا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اهمیت مسئله امر به معروف و نهی از منکر، بحث درس خارج استاد محترم حاج آقای جعفرپیشه در سال تحصیلی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ازآنجایی‌که کتاب امر به معروف و نهی از منکر در اندیشۀ اسلامی، نوشتۀ تاریخ‌شناس مشهور آمریکاییآقای مایکل کوک در کشور ایران ترجمه شده و آوازه و سمعه‌ای مهمی یافته است، مقرر شد در کنار بحث از امر به معروف و نهی از منکر، این کتاب هم مورد گزارش و ارزیابی قرار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گزارش‌ها و ارزیابی فصول این کتاب، بدین معنا است که به نقص و ابهام‌های احتمالی آن نیز اشاره شود و چنانچه خواننده گرامی در ضمن مطالعۀ دروس در پاورقی‌ها مشاهده می‌کند، پرسش‌ها و ابهامات زیادی وجود دارد که باید به آنها پاسخ داده شود؛ از جمله آنکه شیعه را از زیرشاخه‌های معتزله معرفی می‌کند و یا شیعه را در مورد امر به معروف و نهی از منکر، در برابر سلطان ستمگر اهل تسلیم و رضا معرفی می‌نماید و یا به سرنوشت امامان شیعه مانند عدالت‌پیشگی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آن حضرت،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قیام کربلا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نقطۀ اوج قیام شیعه در برابر سلطان جائر و ستمگری است که منکرات در دستگاه آن نهادینه شده بود و به تأسی از آن صدها قیام و انقلاب دیگر در دنیا به وجود آمده، نمی‌پردازد و به جای این مسائل، بیشتر دوران قبض ید ائمه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را که در تقیه به سر برده‌اند،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مباحث پایانی کتاب که ناظر به تحولات دوران معاصر در جوامع اسلامی و به‌ویژه جوامع شیعه در دوران پس از انقلاب اسلامی است، اشکالات فراوانی دارد که در جای خود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 متداول حوزه در مسئله امر به معروف و نهی از منکر معمولاً بحث‌های استدلالی مانند وجوب و استحباب آن، کفایی و عینی بودن و نیز شرایط و ضوابط امر به معروف و نهی از منکر همچون علم داشتن به موضوع و حکم، احتمال تأثیر، ظن یا گمان به تأثیر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فقهای شیعه به بحث و بررسی گرفته می‌شود که البته در جای خود، کاری لازم، ارزشمند و قابل قدر است، اما متأسفانه از تاریخ تطور علمی و عملی امر به معروف و نهی از منکر و سرگذشت آن در عینیت جامعه باتوجه‌به نحله‌های کلامی و مذاهب فقهی اسلامی موجود که هر کدام خود را منتسب به اسلام می‌داند، بحث نمی‌شود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رهیافتی که از این نوع بحث حاصل می‌شود، عینیت‌بخشیدن امر به معروف در جامعه، بررسی تنگناها و چالش‌های موجود و ارائه راهکارهای مناسب برای به‌ثمرنشستن اثرات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تقریرات پیش‌رو با استفاده از ارائه گزارش استاد گرانقدر از کتاب مایکل کوک که استقصاء و تتبع نویسنده را در رابطه با این مسئلۀ مهم می‌رساند، به محضر خوانندۀ محترم تقدیم می‌گردد که صد البته از لحاظ محتوایی و نگارش ادبی تمام و کمال نیست و این نقص به مقرر و عدم وقت کافی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در آینده بتوانیم با راهنمایی استاد معظم این پروژه را به کمال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pStyle w:val="BookText"/>
        <w:rPr/>
      </w:pPr>
      <w:r>
        <w:rPr>
          <w:rFonts w:ascii="IRNazanin" w:hAnsi="IRNazanin" w:eastAsia="IRNazanin"/>
          <w:color w:val="111111"/>
          <w:sz w:val="28"/>
          <w:sz w:val="28"/>
          <w:szCs w:val="28"/>
          <w:rtl w:val="true"/>
          <w:lang w:bidi="fa-IR"/>
        </w:rPr>
        <w:t>مؤسسه احیاء امر طاها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66_122226"/>
      <w:bookmarkStart w:id="16" w:name="pg8666_122226"/>
      <w:bookmarkEnd w:id="16"/>
    </w:p>
    <w:p>
      <w:pPr>
        <w:pStyle w:val="Heading3"/>
        <w:numPr>
          <w:ilvl w:val="2"/>
          <w:numId w:val="1"/>
        </w:numPr>
        <w:rPr/>
      </w:pPr>
      <w:bookmarkStart w:id="17" w:name="pg8666_122226"/>
      <w:bookmarkStart w:id="18" w:name="__RefHeading___Toc2419452_653776707"/>
      <w:bookmarkStart w:id="19" w:name="_Toc6"/>
      <w:bookmarkEnd w:id="17"/>
      <w:bookmarkEnd w:id="18"/>
      <w:r>
        <w:rPr>
          <w:rtl w:val="true"/>
        </w:rPr>
        <w:t>مایکل کوک و انگیزۀ او برای نوشتن کتاب امر به معروف و نهی از منکر در اندیشۀ اسلامی</w:t>
      </w:r>
      <w:bookmarkEnd w:id="19"/>
    </w:p>
    <w:p>
      <w:pPr>
        <w:pStyle w:val="Heading3"/>
        <w:numPr>
          <w:ilvl w:val="2"/>
          <w:numId w:val="1"/>
        </w:numPr>
        <w:rPr/>
      </w:pPr>
      <w:bookmarkStart w:id="20" w:name="__RefHeading___Toc2419454_653776707"/>
      <w:bookmarkStart w:id="21" w:name="_Toc7"/>
      <w:bookmarkEnd w:id="20"/>
      <w:r>
        <w:rPr>
          <w:rtl w:val="true"/>
        </w:rPr>
        <w:t>اشاره</w:t>
      </w:r>
      <w:bookmarkEnd w:id="21"/>
    </w:p>
    <w:p>
      <w:pPr>
        <w:pStyle w:val="Heading4"/>
        <w:numPr>
          <w:ilvl w:val="3"/>
          <w:numId w:val="1"/>
        </w:numPr>
        <w:rPr/>
      </w:pPr>
      <w:bookmarkStart w:id="22" w:name="__RefHeading___Toc2419456_653776707"/>
      <w:bookmarkStart w:id="23" w:name="_Toc8"/>
      <w:bookmarkEnd w:id="22"/>
      <w:r>
        <w:rPr>
          <w:rtl w:val="true"/>
        </w:rPr>
        <w:t>الف</w:t>
      </w:r>
      <w:r>
        <w:rPr>
          <w:rtl w:val="true"/>
        </w:rPr>
        <w:t xml:space="preserve">) </w:t>
      </w:r>
      <w:r>
        <w:rPr>
          <w:rtl w:val="true"/>
        </w:rPr>
        <w:t>گزارش</w:t>
      </w:r>
      <w:bookmarkEnd w:id="23"/>
    </w:p>
    <w:p>
      <w:pPr>
        <w:pStyle w:val="BookText"/>
        <w:rPr/>
      </w:pPr>
      <w:r>
        <w:rPr>
          <w:rFonts w:ascii="IRNazanin" w:hAnsi="IRNazanin" w:eastAsia="IRNazanin"/>
          <w:color w:val="111111"/>
          <w:sz w:val="28"/>
          <w:sz w:val="28"/>
          <w:szCs w:val="28"/>
          <w:rtl w:val="true"/>
          <w:lang w:bidi="fa-IR"/>
        </w:rPr>
        <w:t xml:space="preserve">این مورخ و اسلام‌شناس غربی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دنیا آمد و در دانشگاه کمبریج به آموختن تاریخ انگلستان و اروپا پرداخت و علاوه بر زبان‌های رسمی اروپایی و عربی، زبان‌های فارسی و ترکی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 سالی در مدرسه مطالعات شرقی و آفریقایی لندن سرگرم تحقیق و تدریس تاریخ اسلام بود و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تدریس در دانشگاه پرینستون آمریکا، انگلستان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مطابق گزارش خودش، در مورد امر به معروف و نهی از منکر از دیدگاه اسلام به مطالعۀ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پرداخته است که نشان از تتبع عمیق وی برای خلق این اثر علمی دارد</w:t>
      </w:r>
    </w:p>
    <w:p>
      <w:pPr>
        <w:pStyle w:val="Heading4"/>
        <w:numPr>
          <w:ilvl w:val="3"/>
          <w:numId w:val="1"/>
        </w:numPr>
        <w:rPr/>
      </w:pPr>
      <w:bookmarkStart w:id="24" w:name="__RefHeading___Toc2419458_653776707"/>
      <w:bookmarkStart w:id="25" w:name="_Toc9"/>
      <w:bookmarkEnd w:id="24"/>
      <w:r>
        <w:rPr>
          <w:rtl w:val="true"/>
        </w:rPr>
        <w:t>ب</w:t>
      </w:r>
      <w:r>
        <w:rPr>
          <w:rtl w:val="true"/>
        </w:rPr>
        <w:t xml:space="preserve">) </w:t>
      </w:r>
      <w:r>
        <w:rPr>
          <w:rtl w:val="true"/>
        </w:rPr>
        <w:t>ارزیابی</w:t>
      </w:r>
      <w:bookmarkEnd w:id="25"/>
    </w:p>
    <w:p>
      <w:pPr>
        <w:pStyle w:val="BookText"/>
        <w:rPr/>
      </w:pPr>
      <w:r>
        <w:rPr>
          <w:rFonts w:ascii="IRNazanin" w:hAnsi="IRNazanin" w:eastAsia="IRNazanin"/>
          <w:color w:val="111111"/>
          <w:sz w:val="28"/>
          <w:sz w:val="28"/>
          <w:szCs w:val="28"/>
          <w:rtl w:val="true"/>
          <w:lang w:bidi="fa-IR"/>
        </w:rPr>
        <w:t>این روش نویسنده، روش خوبی است که از حادثه یا واقعه‌ای که در جامعه اتفاق افتاده و مشکلی رخ داده است، با پیگیری و دنبال‌کردن و دلسرد نشدن به یک مطلب مهم دیگر دست می‌یابد که خودش نوعی از تحقیق و پژوهش را در سطح عالی‌تر به نمایش می‌گذارد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اگرچه گزارش نمی‌کند که این کار توسط یک تیم و به‌صورت گروهی انجام شده یا تلاشی فردی بوده است، ولی در لابلای مدارک و مستندات، تشکرهایی وجود دارد </w:t>
      </w:r>
      <w:bookmarkStart w:id="26" w:name="pg8666_122227"/>
    </w:p>
    <w:p>
      <w:pPr>
        <w:pStyle w:val="BookText"/>
        <w:rPr/>
      </w:pPr>
      <w:bookmarkEnd w:id="26"/>
      <w:r>
        <w:rPr>
          <w:rFonts w:ascii="IRNazanin" w:hAnsi="IRNazanin" w:eastAsia="IRNazanin"/>
          <w:color w:val="111111"/>
          <w:sz w:val="28"/>
          <w:sz w:val="28"/>
          <w:szCs w:val="28"/>
          <w:rtl w:val="true"/>
          <w:lang w:bidi="fa-IR"/>
        </w:rPr>
        <w:t>که نشان می‌دهد، افرادی زیاد در کشورهای مختلف، در کار جمع‌آوری اطلاعات و آثار و منابع به مؤلف، کمک شایانی کرده‌اند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 ارجاع به این کتاب، از نام آن خود داری و تنها به ذکر جلد و صفحه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اینکه از منابع مالی و اسپانسر احتمالی این کار و کسانی که علاقه‌مند به تحقیق در این زمینه بوده‌اند و نویسنده را تشویق به این کار کرده‌اند و اهدافی که در این زمینه در پی آن بوده‌اند و ثمره‌ای که این قبیل پژوهش‌ها برای پشتیبانان مالی آنها دارد، سخنی به میان نیامده است و از این جهت نیز کار با ابهام مواجه است</w:t>
      </w:r>
      <w:r>
        <w:rPr>
          <w:rFonts w:eastAsia="IRNazanin" w:cs="IRNazanin"/>
          <w:color w:val="111111"/>
          <w:sz w:val="28"/>
          <w:szCs w:val="28"/>
          <w:rtl w:val="true"/>
          <w:lang w:bidi="fa-IR"/>
        </w:rPr>
        <w:t>.</w:t>
      </w:r>
    </w:p>
    <w:p>
      <w:pPr>
        <w:pStyle w:val="Heading3"/>
        <w:numPr>
          <w:ilvl w:val="2"/>
          <w:numId w:val="1"/>
        </w:numPr>
        <w:rPr/>
      </w:pPr>
      <w:bookmarkStart w:id="27" w:name="__RefHeading___Toc2419460_653776707"/>
      <w:bookmarkStart w:id="28" w:name="_Toc10"/>
      <w:bookmarkEnd w:id="27"/>
      <w:r>
        <w:rPr>
          <w:rtl w:val="true"/>
        </w:rPr>
        <w:t>انگیزۀ کار</w:t>
      </w:r>
      <w:bookmarkEnd w:id="28"/>
    </w:p>
    <w:p>
      <w:pPr>
        <w:pStyle w:val="Heading4"/>
        <w:numPr>
          <w:ilvl w:val="3"/>
          <w:numId w:val="1"/>
        </w:numPr>
        <w:rPr/>
      </w:pPr>
      <w:bookmarkStart w:id="29" w:name="__RefHeading___Toc2419462_653776707"/>
      <w:bookmarkStart w:id="30" w:name="_Toc11"/>
      <w:bookmarkEnd w:id="29"/>
      <w:r>
        <w:rPr>
          <w:rtl w:val="true"/>
        </w:rPr>
        <w:t>الف</w:t>
      </w:r>
      <w:r>
        <w:rPr>
          <w:rtl w:val="true"/>
        </w:rPr>
        <w:t xml:space="preserve">) </w:t>
      </w:r>
      <w:r>
        <w:rPr>
          <w:rtl w:val="true"/>
        </w:rPr>
        <w:t>گزارش</w:t>
      </w:r>
      <w:bookmarkEnd w:id="30"/>
    </w:p>
    <w:p>
      <w:pPr>
        <w:pStyle w:val="BookText"/>
        <w:rPr/>
      </w:pPr>
      <w:r>
        <w:rPr>
          <w:rFonts w:ascii="IRNazanin" w:hAnsi="IRNazanin" w:eastAsia="IRNazanin"/>
          <w:color w:val="111111"/>
          <w:sz w:val="28"/>
          <w:sz w:val="28"/>
          <w:szCs w:val="28"/>
          <w:rtl w:val="true"/>
          <w:lang w:bidi="fa-IR"/>
        </w:rPr>
        <w:t>مایکل کوک جرقۀ این کار و انگیزۀ شروع برای این تلاش علمی را با بیان یک گزارش خبری در جراید،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ایستگاه قطار شهری شیکاگو در حضور جمعی از مردم، زنی مورد تجاوز قرار گرفت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به‌طوری که کارآگاه دیزی مارتین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نفر به آن صحنه می‌نگریستند و زن از آنها کمک خواست، اما هیچ‌کس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آمریکایی، اصل ماجرا خیلی بازتاب داده نشده و گزارش آنها حاکی از نوعی سردرگمی مردم در برابر این‌گونه حوادث بوده است که تعداد قابل توجهی از انسان‌ها در آنجا بودند، اما بی‌تفاوت، در کناری ایستاده و فقط نگاه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شایان توجه در آن گزارش، این بود که هیچ‌کس برای کمک به قربانی از جای خود حرکت نکرد، با وجود آنکه این تجاوز در ساعت‌های پر رفت و آمد روز انجام شد، ولی فریادهای زن بی‌پاسخ ماند</w:t>
      </w:r>
      <w:r>
        <w:rPr>
          <w:rFonts w:eastAsia="IRNazanin" w:cs="IRNazanin"/>
          <w:color w:val="111111"/>
          <w:sz w:val="28"/>
          <w:szCs w:val="28"/>
          <w:rtl w:val="true"/>
          <w:lang w:bidi="fa-IR"/>
        </w:rPr>
        <w:t xml:space="preserve">. </w:t>
      </w:r>
      <w:bookmarkStart w:id="31" w:name="pg8666_122229"/>
    </w:p>
    <w:p>
      <w:pPr>
        <w:pStyle w:val="BookText"/>
        <w:rPr/>
      </w:pPr>
      <w:bookmarkEnd w:id="31"/>
      <w:r>
        <w:rPr>
          <w:rFonts w:ascii="IRNazanin" w:hAnsi="IRNazanin" w:eastAsia="IRNazanin"/>
          <w:color w:val="111111"/>
          <w:sz w:val="28"/>
          <w:sz w:val="28"/>
          <w:szCs w:val="28"/>
          <w:rtl w:val="true"/>
          <w:lang w:bidi="fa-IR"/>
        </w:rPr>
        <w:t xml:space="preserve">به‌عقیدۀ مایکل، در این گزارش شالودۀ یک اجماع کلی اخلاقی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احساس می‌کنیم به‌نوعی وظیفه داریم علاوه بر آنکه خود باید به شایستگی رفتار کنیم، دیگران را نیز از ارتکاب کارهای ناشایست، نسبت به هم‌نوعان خود بازداریم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به‌گفتۀ نویسنده، در زندگی روزمره، نامی برای این وظیفه نداریم، هنوز به تدوین کلی مواردی که باید آن را به‌کاربریم و شرایطی که از انجام آن معافیم، نپرداخته‌ایم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آمریکا و کشورهای دیگر به این مهم پرداخته نشده و نام و قوانینی برای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برعکس، نام و تعالیمی ویژه برای چنین وظیفۀ اخلاقی گسترده‌ای دارد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ترجمه تحت‌اللفظی‌اش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کار نیک و بازداشتن از کار زشت، است</w:t>
      </w:r>
      <w:r>
        <w:rPr>
          <w:rFonts w:eastAsia="IRNazanin" w:cs="IRNazanin"/>
          <w:color w:val="111111"/>
          <w:sz w:val="28"/>
          <w:szCs w:val="28"/>
          <w:rtl w:val="true"/>
          <w:lang w:bidi="fa-IR"/>
        </w:rPr>
        <w:t>.</w:t>
      </w:r>
    </w:p>
    <w:p>
      <w:pPr>
        <w:pStyle w:val="Heading4"/>
        <w:numPr>
          <w:ilvl w:val="3"/>
          <w:numId w:val="1"/>
        </w:numPr>
        <w:rPr/>
      </w:pPr>
      <w:bookmarkStart w:id="32" w:name="__RefHeading___Toc2419464_653776707"/>
      <w:bookmarkStart w:id="33" w:name="_Toc12"/>
      <w:bookmarkEnd w:id="32"/>
      <w:r>
        <w:rPr>
          <w:rtl w:val="true"/>
        </w:rPr>
        <w:t>ب</w:t>
      </w:r>
      <w:r>
        <w:rPr>
          <w:rtl w:val="true"/>
        </w:rPr>
        <w:t xml:space="preserve">) </w:t>
      </w:r>
      <w:r>
        <w:rPr>
          <w:rtl w:val="true"/>
        </w:rPr>
        <w:t>ارزیابی</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مثبت کتاب مایکل کوک این است که در ابتدای کتاب امر به معروف را نه به‌عنوان یک وظیفۀ اسلامی، بلکه به‌عنوان یک وظیفۀ اخلاقی و همگانی و ارزش جهانی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کتاب پس از ترجمه به فارسی، کتابی تأثیرگذار بوده است و نسبت به کسانی که در تلاش‌اند، مسائل شرعی و اسلامی را کاربردی‌تر و عینی‌تر در جامعه وارد نمایند و فقه را حکومتی مشاهده و در عینیت جامعه ملاحظه کنند، به این قبیل افراد دید جدیدی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این کتاب تجربه‌ای است که گویا می‌خواهد نشان دهد برخلاف قرائت رسمی از مکتب لیبرالیسم، در جامعه با آسیب‌های اجتماعی چگونه برخورد داشته باشیم و از کنار آنها بی‌تفاوت عبور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احساس می‌شود، اصالت فرد در لیبرالیسم غربی آن‌قدر دید مردم را عوض کرده است که گویا هیچ‌گونه احساسی نسبت به کار ناشایست اخلاقی در میان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حس جلوگیری از کارهای ناروا در درون همه انسان‌ها وجود دارد، اما وقتی نگاه، نگاه فردگرایی و اومانیسم و لیبرالیستی شد، آن حس دیگر تحریک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در این حال باید کار کسرا را به کسرا و کار قیصر را به قیصر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نویسنده در این کتاب اعلام می‌کند، این قرائت رسمی از تمدن لیبرال غربی چندان خوشایند نیست و لازم است با </w:t>
      </w:r>
    </w:p>
    <w:p>
      <w:pPr>
        <w:pStyle w:val="BookText"/>
        <w:rPr/>
      </w:pPr>
      <w:r>
        <w:rPr>
          <w:rFonts w:ascii="IRNazanin" w:hAnsi="IRNazanin" w:eastAsia="IRNazanin"/>
          <w:color w:val="111111"/>
          <w:sz w:val="28"/>
          <w:sz w:val="28"/>
          <w:szCs w:val="28"/>
          <w:rtl w:val="true"/>
          <w:lang w:bidi="fa-IR"/>
        </w:rPr>
        <w:t>دید انتقادی به آسیب‌های اجتماعی نگریسته شود و برای آنبه‌دنبال راه حل بود، اگرچه راه حل در سایر مکاتب و اندیشه‌ها باشد؛ ازاین‌رو، آقای کوک معتقد است در اسلام این چنین نیست که انسان بتواند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هر جایی هست، وظیفه‌ای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فریضۀ امر به معروف و نهی از منکر می‌تواند کلید حلّ بسیاری از معضلات اخلاقی، اجتماعی، سیاسی و فرهنگی، حتی برای جوامع مدرن و پیشرفته محسوب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گردآوری کتاب مایکل کوک، تجربه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روش موفّق و خوبی برای تحقیق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پی یک اتفاق رخ داده در شیکاگو به دنبال سرمنشأ و ریشه‌های آن است و برای یافتن راه حلّ با یک رویکرد علمی، به نظریۀ اسلام در ارتباط با یک معضل اجتماعی دست یافته و به رویکرد علمی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نگاهی ایجابی و مثبت به شروع کار آقای مایکل کوک است؛ ولی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شروع کتاب که شروعی جذّاب و به‌عنوان نسخه‌ای برای درمان آلام بشریّت قرن بیست و یکم تلقی می‌شود که می‌تواند آسیب‌های اجتماعی زاییدۀ مدرنیته را در جامعه آمریکایی و غربی شناسایی کند و راه درمان ارائه دهد، درعین حال، هرچه خواننده بیشتر می‌خواند، متوجه می‌شود که چندان مسیر کتاب در مسیر داستان اولیه پیش نمی‌رود، به‌ویژه مباحث انتهایی کتاب از این جهت، با پایان غم‌آلود، خاتمه می‌یابد</w:t>
      </w:r>
      <w:r>
        <w:rPr>
          <w:rFonts w:eastAsia="IRNazanin" w:cs="IRNazanin"/>
          <w:color w:val="111111"/>
          <w:sz w:val="28"/>
          <w:szCs w:val="28"/>
          <w:rtl w:val="true"/>
          <w:lang w:bidi="fa-IR"/>
        </w:rPr>
        <w:t xml:space="preserve">. </w:t>
      </w:r>
      <w:bookmarkStart w:id="34" w:name="pg8666_122233"/>
    </w:p>
    <w:p>
      <w:pPr>
        <w:pStyle w:val="Heading2"/>
        <w:numPr>
          <w:ilvl w:val="1"/>
          <w:numId w:val="1"/>
        </w:numPr>
        <w:rPr/>
      </w:pPr>
      <w:bookmarkStart w:id="35" w:name="__RefHeading___Toc2419466_653776707"/>
      <w:bookmarkStart w:id="36" w:name="_Toc13"/>
      <w:bookmarkEnd w:id="34"/>
      <w:bookmarkEnd w:id="35"/>
      <w:r>
        <w:rPr>
          <w:rtl w:val="true"/>
        </w:rPr>
        <w:t>بخش اول</w:t>
      </w:r>
      <w:r>
        <w:rPr>
          <w:rtl w:val="true"/>
        </w:rPr>
        <w:t xml:space="preserve">: </w:t>
      </w:r>
      <w:r>
        <w:rPr>
          <w:rtl w:val="true"/>
        </w:rPr>
        <w:t>مقدمه</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419468_653776707"/>
      <w:bookmarkStart w:id="38" w:name="_Toc14"/>
      <w:bookmarkEnd w:id="37"/>
      <w:r>
        <w:rPr>
          <w:rtl w:val="true"/>
        </w:rPr>
        <w:t>اشاره</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666_122237"/>
      <w:bookmarkStart w:id="40" w:name="pg8666_122237"/>
      <w:bookmarkEnd w:id="40"/>
    </w:p>
    <w:p>
      <w:pPr>
        <w:pStyle w:val="Heading3"/>
        <w:numPr>
          <w:ilvl w:val="2"/>
          <w:numId w:val="1"/>
        </w:numPr>
        <w:rPr/>
      </w:pPr>
      <w:bookmarkStart w:id="41" w:name="pg8666_122237"/>
      <w:bookmarkStart w:id="42" w:name="__RefHeading___Toc2419470_653776707"/>
      <w:bookmarkStart w:id="43" w:name="_Toc15"/>
      <w:bookmarkEnd w:id="41"/>
      <w:bookmarkEnd w:id="42"/>
      <w:r>
        <w:rPr>
          <w:rtl w:val="true"/>
        </w:rPr>
        <w:t>گزارش و ارزیابی فصل اول</w:t>
      </w:r>
      <w:r>
        <w:rPr>
          <w:rtl w:val="true"/>
        </w:rPr>
        <w:t xml:space="preserve">: </w:t>
      </w:r>
      <w:r>
        <w:rPr>
          <w:rtl w:val="true"/>
        </w:rPr>
        <w:t>زرگر مرو</w:t>
      </w:r>
      <w:bookmarkEnd w:id="43"/>
    </w:p>
    <w:p>
      <w:pPr>
        <w:pStyle w:val="Heading4"/>
        <w:numPr>
          <w:ilvl w:val="3"/>
          <w:numId w:val="1"/>
        </w:numPr>
        <w:rPr/>
      </w:pPr>
      <w:bookmarkStart w:id="44" w:name="__RefHeading___Toc2419472_653776707"/>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گزارش و ارزیابی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مرو</w:t>
      </w:r>
      <w:r>
        <w:rPr>
          <w:rStyle w:val="FootnoteAnchor"/>
          <w:rtl w:val="true"/>
        </w:rPr>
        <w:footnoteReference w:id="5"/>
      </w:r>
    </w:p>
    <w:p>
      <w:pPr>
        <w:pStyle w:val="Heading4"/>
        <w:numPr>
          <w:ilvl w:val="3"/>
          <w:numId w:val="1"/>
        </w:numPr>
        <w:rPr/>
      </w:pPr>
      <w:bookmarkStart w:id="46" w:name="__RefHeading___Toc2419474_653776707"/>
      <w:bookmarkStart w:id="47" w:name="_Toc17"/>
      <w:bookmarkEnd w:id="46"/>
      <w:r>
        <w:rPr>
          <w:rtl w:val="true"/>
        </w:rPr>
        <w:t>الف</w:t>
      </w:r>
      <w:r>
        <w:rPr>
          <w:rtl w:val="true"/>
        </w:rPr>
        <w:t xml:space="preserve">) </w:t>
      </w:r>
      <w:r>
        <w:rPr>
          <w:rtl w:val="true"/>
        </w:rPr>
        <w:t>گزارش</w:t>
      </w:r>
      <w:bookmarkEnd w:id="47"/>
    </w:p>
    <w:p>
      <w:pPr>
        <w:pStyle w:val="BookText"/>
        <w:rPr/>
      </w:pPr>
      <w:r>
        <w:rPr>
          <w:rFonts w:ascii="IRNazanin" w:hAnsi="IRNazanin" w:eastAsia="IRNazanin"/>
          <w:color w:val="111111"/>
          <w:sz w:val="28"/>
          <w:sz w:val="28"/>
          <w:szCs w:val="28"/>
          <w:rtl w:val="true"/>
          <w:lang w:bidi="fa-IR"/>
        </w:rPr>
        <w:t>بر اساس فصل‌بندیی که کتاب امر به معروف مایکل کوک دارد، ابتدا مبانی امر به معروف و نهی از منکر در اسلام را از نگاه آیات و روایات بحث می‌کند و سپس به بررسی امر به معروف و نهی از منکر در فرقه‌ها و نحله‌های مختلف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از حنبلیان شروع نموده، سپس در مورد معتزلیان سخن می‌گوید و شیعیان زیدی و امامی را نیز تحت همین عنوان اعتزالی مورد بحث قرار می‌دهد، آن‌گاه سرنوشت امر به معروف و نهی از منکر را در مذاهب اسلامی دیگر بررسی می‌کند تا می‌رسد به دوران معاصر و تحوّلات جدید دوران تأثیرگذار غرب و در نهایت، پژوهش و بررسی خود را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ابتدا به نقل دو قصه در مورد آمران به معروف و ناهیان از منکر می‌پردازد؛ یکی زرگر مرو و دیگری شخصی به نام زبیر‌بن‌بکّار</w:t>
      </w:r>
      <w:r>
        <w:rPr>
          <w:rFonts w:eastAsia="IRNazanin" w:cs="IRNazanin"/>
          <w:color w:val="111111"/>
          <w:sz w:val="28"/>
          <w:szCs w:val="28"/>
          <w:rtl w:val="true"/>
          <w:lang w:bidi="fa-IR"/>
        </w:rPr>
        <w:t>.</w:t>
      </w:r>
      <w:r>
        <w:rPr>
          <w:rStyle w:val="FootnoteAnchor"/>
          <w:rtl w:val="true"/>
        </w:rPr>
        <w:footnoteReference w:id="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زرگر مرو در زمان ابومسلم خراسانی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حاکمی است که نسخۀ امویان را درهم پیچید و به حکومت آنان پایان داد و بعد از فتح عراق در مرو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مرو در مقابل ابومسلم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راه خدا هیچ‌کاری را شایسته‌تر از این نمی‌دانم که بر ضدّ تو جهاد کنم و چون توانایی جهاد با دست را با تو ندارم با زبان بر ضدّ تو </w:t>
      </w:r>
    </w:p>
    <w:p>
      <w:pPr>
        <w:pStyle w:val="BookText"/>
        <w:rPr/>
      </w:pPr>
      <w:r>
        <w:rPr>
          <w:rFonts w:ascii="IRNazanin" w:hAnsi="IRNazanin" w:eastAsia="IRNazanin"/>
          <w:color w:val="111111"/>
          <w:sz w:val="28"/>
          <w:sz w:val="28"/>
          <w:szCs w:val="28"/>
          <w:rtl w:val="true"/>
          <w:lang w:bidi="fa-IR"/>
        </w:rPr>
        <w:t>جهاد خواهم کرد؛ اما خداوند ناظر کار من است و برای رضایت او از تو نفرت دارم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اما ابومسلم او را به‌خاطر این کارش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در گزارش آمده، مادر این زرگر کنیزی از قبیله همدان و پدرش هم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زرگر، ابواسحاق ابراهیم‌بن‌میمون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بارز این شخص، دین‌داری و صداقت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عراق می‌زیسته، غذایی را که ابوحنیفه برایش می‌فرستاد تا درباره آن از او پرسش نمی‌کرد، با احتیاط تمام به آن لب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زرگر مرو این حدیث را شنیده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جهاد در راه خدا، کلمۀ حقی است که در حضور سلطانی ستمگر گفته شود و برای آن به قتل برسد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در گفت‌وگویش با ابوحنیفه مطرح می‌کند که چرا قیام نمی‌کنید؛ اما ابوحنیفه با تعلل و عذر از عدم توانایی در هماهنگی و هم‌سویی با او، از این وظیفه اجتناب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عملگرای سیاسی نبود و روش احتیاط‌آمیز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قصۀ دوم، سرنوشت زبیر‌بن‌بکّار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مأمون خلیفه عباسی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عازم یکی از سفرهای جنگی ضدّ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آناتولی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به‌تنهایی با یکی از امیرانش پیاده می‌رفت که ناگاه مردی کفن پوشیده و حنوط کرده در مقابلش ظاهر شد و رو به مأمون کرد، ولی بر وی سلام نکرد و خلیفه را متهم کرد که جنگ‌جویان را از سه جهت به تباهی کشانده است؛ نخست فروش شراب را در اردوگاه‌ها جایز شمرده است؛ دوم، او مسئول حضور بی‌پردۀ کنیزکان سر برهنه در عماری‌ها است؛ سوم، او نهی از منکر را ممنوع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به این آخرین اتهام، بی‌درنگ جواب داد و گفت ممنوعیت او فقط در مورد کسانی است که امر به معروف را تبدیل به منکر کرده‌اند؛ اما برعکس، کسانی را که می‌دانند چه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یأمر بالمعروف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منع نمی‌کند که تشویق به انجام آن هممی‌کند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لکن در مورد وجود شراب حرف ابن‌بکّار دروغ از آب درآمد و اما در رابطه با وجود کنیزکان، جواب داد که این کار را کردم تا دشمن گمان نبرد که افراد ارزش‌مندی </w:t>
      </w:r>
      <w:bookmarkStart w:id="48" w:name="pg8666_122242"/>
    </w:p>
    <w:p>
      <w:pPr>
        <w:pStyle w:val="BookText"/>
        <w:rPr/>
      </w:pPr>
      <w:bookmarkEnd w:id="48"/>
      <w:r>
        <w:rPr>
          <w:rFonts w:ascii="IRNazanin" w:hAnsi="IRNazanin" w:eastAsia="IRNazanin"/>
          <w:color w:val="111111"/>
          <w:sz w:val="28"/>
          <w:sz w:val="28"/>
          <w:szCs w:val="28"/>
          <w:rtl w:val="true"/>
          <w:lang w:bidi="fa-IR"/>
        </w:rPr>
        <w:t>همچون خواهران و مادران خود را در جنگ آورده‌اند، بلکه به دشمن بفهماند که اینان کنیزکانی بیش در سپاه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آدم زیرکی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زوج جوانی را ببیند که در این گردنۀ کوه، عاشقانه با هم سخن می‌گویند، چه می‌کند؟ وی جواب داد که به زندان می‌فرستیم و تحقیق می‌کنیم تا روشن شود که آیا این دو زن و شوهرند یانه؟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اَسپيجاب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ماوراءالنهر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است، چه می‌کنید؟ زبیر‌بن‌بکّار یک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را می‌فرستم تا تحقیق و نتیجه را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فرستاده از دنیا رفت و یا پیش از رسیدن فرستاده، یکی از این دو زن و مرد از دنیا رفت، چه کار باید کرد؟ آیا صلاح است که مدت‌های طولانی را در زندان سپری کنند؟</w:t>
      </w:r>
    </w:p>
    <w:p>
      <w:pPr>
        <w:pStyle w:val="BookText"/>
        <w:rPr/>
      </w:pPr>
      <w:r>
        <w:rPr>
          <w:rFonts w:ascii="IRNazanin" w:hAnsi="IRNazanin" w:eastAsia="IRNazanin"/>
          <w:color w:val="111111"/>
          <w:sz w:val="28"/>
          <w:sz w:val="28"/>
          <w:szCs w:val="28"/>
          <w:rtl w:val="true"/>
          <w:lang w:bidi="fa-IR"/>
        </w:rPr>
        <w:t xml:space="preserve">خلیفه نتیجه گرفت که او با مردمی سروکار دارد که با سوء تعبیر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جهاد در راه خدا، کلمۀ حقی است که در حضور سلطانی ستمگر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فریفته‌اند</w:t>
      </w:r>
      <w:r>
        <w:rPr>
          <w:rFonts w:eastAsia="IRNazanin" w:cs="IRNazanin"/>
          <w:color w:val="111111"/>
          <w:sz w:val="28"/>
          <w:szCs w:val="28"/>
          <w:rtl w:val="true"/>
          <w:lang w:bidi="fa-IR"/>
        </w:rPr>
        <w:t>.</w:t>
      </w:r>
    </w:p>
    <w:p>
      <w:pPr>
        <w:pStyle w:val="Heading4"/>
        <w:numPr>
          <w:ilvl w:val="3"/>
          <w:numId w:val="1"/>
        </w:numPr>
        <w:rPr/>
      </w:pPr>
      <w:bookmarkStart w:id="49" w:name="__RefHeading___Toc2419476_653776707"/>
      <w:bookmarkStart w:id="50" w:name="_Toc18"/>
      <w:bookmarkEnd w:id="49"/>
      <w:r>
        <w:rPr>
          <w:rtl w:val="true"/>
        </w:rPr>
        <w:t>ب</w:t>
      </w:r>
      <w:r>
        <w:rPr>
          <w:rtl w:val="true"/>
        </w:rPr>
        <w:t xml:space="preserve">) </w:t>
      </w:r>
      <w:r>
        <w:rPr>
          <w:rtl w:val="true"/>
        </w:rPr>
        <w:t>ارزیابی</w:t>
      </w:r>
      <w:bookmarkEnd w:id="50"/>
    </w:p>
    <w:p>
      <w:pPr>
        <w:pStyle w:val="BookText"/>
        <w:rPr/>
      </w:pPr>
      <w:r>
        <w:rPr>
          <w:rFonts w:ascii="IRNazanin" w:hAnsi="IRNazanin" w:eastAsia="IRNazanin"/>
          <w:color w:val="111111"/>
          <w:sz w:val="28"/>
          <w:sz w:val="28"/>
          <w:szCs w:val="28"/>
          <w:rtl w:val="true"/>
          <w:lang w:bidi="fa-IR"/>
        </w:rPr>
        <w:t>بحث فهم متون دینی و فقه الحدیث از مباحث مهم بوده و نیازمند اجتهاد و دقت نظر است و اگرنه، هر فرد عوام و بی‌سوادی ولو با انگیزۀ درست، بر اثر سوء برداشت به اشتباه می‌افتد و این موضوع مشترک در هر دو قصّه‌ای است که مایکل کوک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نمونه از مواردی است که یک فرد عامی و ظاهرگرا به اقدام نهی از منکر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چنانچه در حکایت زبیر‌بن‌بکّار نیز منعکس شده، مشکل ظاهرگرایی و جمود و تحجّر است و امروزه همین مشکل به‌عنوان یک درد دامنگیر جهان اسلام شده است، مثل کارهایی که امروزهگروه‌های تکفیری و ارهابی انجام می‌دهند و با خشونت و تندی و بدون تحقیق و با سخت‌گیری تمام می‌خواهند، نهی از منکر را انجام 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مأمون خلیفه عباسی هم که در زیرکی و شیطنت ضرب‌المثل است، وقتی دریافت که رقیب او، مرتکب نادانی و حماقت شده است، نگاهی تحقیرآمیز به او افکند و حتی از تازیانه‌زدن او چشم پوشید و به این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بدین معنا نیست که خلیفه از </w:t>
      </w:r>
    </w:p>
    <w:p>
      <w:pPr>
        <w:pStyle w:val="BookText"/>
        <w:rPr/>
      </w:pPr>
      <w:r>
        <w:rPr>
          <w:rFonts w:ascii="IRNazanin" w:hAnsi="IRNazanin" w:eastAsia="IRNazanin"/>
          <w:color w:val="111111"/>
          <w:sz w:val="28"/>
          <w:sz w:val="28"/>
          <w:szCs w:val="28"/>
          <w:rtl w:val="true"/>
          <w:lang w:bidi="fa-IR"/>
        </w:rPr>
        <w:t>جرائم خویش تطهیر شود، بلکه بدین معنا است که مقابله با فساد و عصیان و ظلم دستگاه خلیفه، نیازمند انسان‌هایی فهیم و حکیم و دارای بصیرت کافی نسبت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اصل امر به معروف و نهی از منکر از مسلّمات اسلامی است و کسی آن را انکار نمی‌کند، بلکه به‌عنوان اصل اخلاقی مورد اجماع جمیع عقلای عالم تلقی می‌شود؛ اما تعیین حدود و ثغور آن کار ساده‌ای نیست و باید بررسی فقیهانه و مجتهدانه شود و کسی هم که در مقام انجام این فریضه برمی‌آید، پیش از هر چیز باید بر این حدود و ثغور فقهی اشراف تام داشته باشد، وگرنه چه بسا به جای امر به معروف، نهی از معروف یا امر به منکر کند یا خود مرتکب منکر و تارک واجب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باتوجه‌به آنچه گفته شد، در این فصل اوّلاً پس از بیان قصّه، مناسب بود نویسندۀ محترم به این بخش از بحث هم بپردازد تا روشن گردد فریضه‌ای نهی از منکر، فریضۀ سهل و ممتنع است؛ ازاین‌رو، نه به بهانۀ حسّاسیت لازم در به‌کاربردن آن، می‌توان خائف شد و از انجام آن سرباز زد و ازسوی‌دیگر، نمی‌توان متهورانه، بی‌احتیاط و بدون حزم، سر را زیر انداخت و فوراً به اقدام نسبت به آن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 خرد و درایت و از همه مهم‌تر، نیاز به دانش کافی دارد و نمی‌توان به افراد عوام، ناپخته، خشن و ظاهرگرا چنین امر مهمی را واگذار کرد؛ ثانیاً رمز اینکه آقای کوک این دو قصه را در طلیعۀ بحث نهی از منکر برگزیده است، جای پرسش دارد و ابهام‌انگیز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نمونه‌ای که سؤال‌برانگیز است و پرسش‌هایی را متوجه ناهی از منکر می‌کند و چه بسا تأثیر منفی برای مخاطب خواهد داشت، درحالی‌که چه بسیار نمونه‌های ارزشمند و تأثیرگذار در تاریخ اسلام وجود دارد که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عالمان و فرهیختگان جامعه اسلامی به انجام نهی از منکر پرداخته‌اند و اسوه و الگویی جاودانه پدید آورده‌اند؛ آنجا که صحابی فداکار ابوذر غفاری، معاویه را نهی از منکر می‌کند و او را به رعایتعدالت و احکام اسلامی فرامی‌خواند</w:t>
      </w:r>
      <w:r>
        <w:rPr>
          <w:rStyle w:val="FootnoteAnchor"/>
          <w:rtl w:val="true"/>
        </w:rPr>
        <w:footnoteReference w:id="11"/>
      </w:r>
      <w:r>
        <w:rPr>
          <w:rFonts w:ascii="IRNazanin" w:hAnsi="IRNazanin" w:eastAsia="IRNazanin"/>
          <w:color w:val="111111"/>
          <w:sz w:val="28"/>
          <w:sz w:val="28"/>
          <w:szCs w:val="28"/>
          <w:rtl w:val="true"/>
          <w:lang w:bidi="fa-IR"/>
        </w:rPr>
        <w:t>و نشان می‌دهدکه امر به معروف و نهی از منکر مهم‌ترین عوامل نقد قدرت و نظام سیاسی و هدایت آن به سمت صراط مستقیم است و ده‌ها جریان و حادثه‌ای که می‌توان درباره آنها، آثار ارزشمندی تدوین نمود</w:t>
      </w:r>
      <w:r>
        <w:rPr>
          <w:rFonts w:eastAsia="IRNazanin" w:cs="IRNazanin"/>
          <w:color w:val="111111"/>
          <w:sz w:val="28"/>
          <w:szCs w:val="28"/>
          <w:rtl w:val="true"/>
          <w:lang w:bidi="fa-IR"/>
        </w:rPr>
        <w:t xml:space="preserve">. </w:t>
      </w:r>
      <w:bookmarkStart w:id="51" w:name="pg8666_122246"/>
    </w:p>
    <w:p>
      <w:pPr>
        <w:pStyle w:val="Heading3"/>
        <w:numPr>
          <w:ilvl w:val="2"/>
          <w:numId w:val="1"/>
        </w:numPr>
        <w:rPr/>
      </w:pPr>
      <w:bookmarkStart w:id="52" w:name="__RefHeading___Toc2419478_653776707"/>
      <w:bookmarkStart w:id="53" w:name="_Toc19"/>
      <w:bookmarkEnd w:id="51"/>
      <w:bookmarkEnd w:id="52"/>
      <w:r>
        <w:rPr>
          <w:rtl w:val="true"/>
        </w:rPr>
        <w:t>گزارش و ارزیابی فصل دوم</w:t>
      </w:r>
      <w:r>
        <w:rPr>
          <w:rtl w:val="true"/>
        </w:rPr>
        <w:t xml:space="preserve">: </w:t>
      </w:r>
      <w:r>
        <w:rPr>
          <w:rtl w:val="true"/>
        </w:rPr>
        <w:t>قرآن و تفسیر قرآن</w:t>
      </w:r>
      <w:bookmarkEnd w:id="53"/>
    </w:p>
    <w:p>
      <w:pPr>
        <w:pStyle w:val="Heading4"/>
        <w:numPr>
          <w:ilvl w:val="3"/>
          <w:numId w:val="1"/>
        </w:numPr>
        <w:rPr/>
      </w:pPr>
      <w:bookmarkStart w:id="54" w:name="__RefHeading___Toc2419480_653776707"/>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گزارش و ارزیابی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تفسیر قرآن</w:t>
      </w:r>
      <w:r>
        <w:rPr>
          <w:rStyle w:val="FootnoteAnchor"/>
          <w:rtl w:val="true"/>
        </w:rPr>
        <w:footnoteReference w:id="12"/>
      </w:r>
    </w:p>
    <w:p>
      <w:pPr>
        <w:pStyle w:val="Heading4"/>
        <w:numPr>
          <w:ilvl w:val="3"/>
          <w:numId w:val="1"/>
        </w:numPr>
        <w:rPr/>
      </w:pPr>
      <w:bookmarkStart w:id="56" w:name="__RefHeading___Toc2419482_653776707"/>
      <w:bookmarkStart w:id="57" w:name="_Toc21"/>
      <w:bookmarkEnd w:id="56"/>
      <w:r>
        <w:rPr>
          <w:rtl w:val="true"/>
        </w:rPr>
        <w:t>الف</w:t>
      </w:r>
      <w:r>
        <w:rPr>
          <w:rtl w:val="true"/>
        </w:rPr>
        <w:t xml:space="preserve">) </w:t>
      </w:r>
      <w:r>
        <w:rPr>
          <w:rtl w:val="true"/>
        </w:rPr>
        <w:t>گزارش</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کلیات و اشاراتی در رابطه با امر به معروف و نهی از منکر وجود دارد اما آیات قرآنی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 وَأُوْلَئِكَ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منكر ريشه در قرآن دارد، اما براساس اين مطالب قرآنی، درباره ويژگی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واقعی اين وظيفه چه می‌توان گفت؟ چه كسی آن را ايفا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مخاطب آن كيست؟ مضمون آن درباره چيست؟ آیا همه وظیفه دارند یا تنها عالمان وظیفه دارند یا وظیفه مربوط به حکومت می‌شود؟ و ده‌ها سؤال دیگر که همگی بی‌پاسخ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نیز مایل‌اند عقیده و مذهب خود را درباره امر به معروف و نهی از منکر در تفسیر قرآن بیان کنند نه آنچه که خود قرآن از آن سخن می‌گوید</w:t>
      </w:r>
      <w:r>
        <w:rPr>
          <w:rFonts w:eastAsia="IRNazanin" w:cs="IRNazanin"/>
          <w:color w:val="111111"/>
          <w:sz w:val="28"/>
          <w:szCs w:val="28"/>
          <w:rtl w:val="true"/>
          <w:lang w:bidi="fa-IR"/>
        </w:rPr>
        <w:t xml:space="preserve">. </w:t>
      </w:r>
      <w:bookmarkStart w:id="58" w:name="pg8666_122248"/>
    </w:p>
    <w:p>
      <w:pPr>
        <w:pStyle w:val="Heading4"/>
        <w:numPr>
          <w:ilvl w:val="3"/>
          <w:numId w:val="1"/>
        </w:numPr>
        <w:rPr/>
      </w:pPr>
      <w:bookmarkStart w:id="59" w:name="__RefHeading___Toc2419484_653776707"/>
      <w:bookmarkStart w:id="60" w:name="_Toc22"/>
      <w:bookmarkEnd w:id="58"/>
      <w:bookmarkEnd w:id="59"/>
      <w:r>
        <w:rPr>
          <w:rtl w:val="true"/>
        </w:rPr>
        <w:t>ب</w:t>
      </w:r>
      <w:r>
        <w:rPr>
          <w:rtl w:val="true"/>
        </w:rPr>
        <w:t xml:space="preserve">) </w:t>
      </w:r>
      <w:r>
        <w:rPr>
          <w:rtl w:val="true"/>
        </w:rPr>
        <w:t>ارزیابی</w:t>
      </w:r>
      <w:bookmarkEnd w:id="60"/>
    </w:p>
    <w:p>
      <w:pPr>
        <w:pStyle w:val="BookText"/>
        <w:rPr/>
      </w:pPr>
      <w:r>
        <w:rPr>
          <w:rFonts w:ascii="IRNazanin" w:hAnsi="IRNazanin" w:eastAsia="IRNazanin"/>
          <w:color w:val="111111"/>
          <w:sz w:val="28"/>
          <w:sz w:val="28"/>
          <w:szCs w:val="28"/>
          <w:rtl w:val="true"/>
          <w:lang w:bidi="fa-IR"/>
        </w:rPr>
        <w:t>ازآنجاکه در مباحث کتاب مایکل کوک، نسبت میان قرآن و سنت در منابع اسلامی حل نشده است و چه بسا در این زمینه، آقای مایکل کوک چون یک مورّخ است و اشراف علمی بر این مباحث تخصّصی ندارد، نکات مذکور در بالا را مطرح می‌کند و الّا از مسلّمات مبانی اجتهاد اسلامی آن است که قرآن در بسیاری از احکام مثل نماز، روزه، زکات، حج و غیره، اصول کلی را مطرح می‌کند و متکفل اساس تشریع است و اما وظیفه شرح و تفسیر و بیان جزئیات موکول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صدر اسلام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عده‌ای بود و مایکل کوک هم گویا ناخواسته بر آن گرایش یافته،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باید در کنار هم باشند تا حکم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قالب یک تشبیه بسیار ناقص، آیات قرآنی، حکم موادّ قانون اساسی را دارد که به کلّیات اساسی احکام صادره اشاره می‌کند و همان حکم کلی در سنّت و سیره و گفتار و کردار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شرح داده می‌شود و شرایط، ارکان، واجبات، مقدّمات و قلمرو آنها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آیات قرآنی مربوط به نماز، روزه، حج و سائر فرائض و احکام، بیانگر این نکته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هرگز از تعداد رکعات نماز و کیفیت اقامه نماز سخن نمی‌گوید یا به تعداد اشواط طواف بیت‌الله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از سوی جناب مایکل کوک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سنّت است که به شرایط امر معروف و مخاطب و مراتب و کیفیت آن می‌پردازند؛ البته سنت هم به آن معنای وسیعی است که در حدیث ثقلین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وَ لَنْ‌یَفْتَرِقا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 قول، فعل و تقریر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این بیان، در پرتو سنت و روایات مروی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w:t>
      </w:r>
      <w:bookmarkStart w:id="61" w:name="pg8666_122250"/>
    </w:p>
    <w:p>
      <w:pPr>
        <w:pStyle w:val="BookText"/>
        <w:rPr/>
      </w:pPr>
      <w:bookmarkEnd w:id="61"/>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پرسش‌های بالا که کوک در مورد فریضه امر به معروف و نهی از منکر مطرح کرده، پاسخ خود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آنکه هدف از تشریع احکام در اسلام، از جمله امر به معروف و نهی از منکر، همان به جریان افتادن شریعت و فقه حکومتی است که حکم وارد زندگی روزانه شود و این جز در پرتو کتاب و سنت ممکن نیست</w:t>
      </w:r>
      <w:r>
        <w:rPr>
          <w:rFonts w:eastAsia="IRNazanin" w:cs="IRNazanin"/>
          <w:color w:val="111111"/>
          <w:sz w:val="28"/>
          <w:szCs w:val="28"/>
          <w:rtl w:val="true"/>
          <w:lang w:bidi="fa-IR"/>
        </w:rPr>
        <w:t>.</w:t>
      </w:r>
    </w:p>
    <w:p>
      <w:pPr>
        <w:pStyle w:val="Heading4"/>
        <w:numPr>
          <w:ilvl w:val="3"/>
          <w:numId w:val="1"/>
        </w:numPr>
        <w:rPr/>
      </w:pPr>
      <w:bookmarkStart w:id="62" w:name="__RefHeading___Toc2419486_653776707"/>
      <w:bookmarkStart w:id="63" w:name="_Toc23"/>
      <w:bookmarkEnd w:id="62"/>
      <w:r>
        <w:rPr>
          <w:rtl w:val="true"/>
        </w:rPr>
        <w:t>الف</w:t>
      </w:r>
      <w:r>
        <w:rPr>
          <w:rtl w:val="true"/>
        </w:rPr>
        <w:t xml:space="preserve">) </w:t>
      </w:r>
      <w:r>
        <w:rPr>
          <w:rtl w:val="true"/>
        </w:rPr>
        <w:t>گزارش</w:t>
      </w:r>
      <w:bookmarkEnd w:id="63"/>
    </w:p>
    <w:p>
      <w:pPr>
        <w:pStyle w:val="BookText"/>
        <w:rPr/>
      </w:pPr>
      <w:r>
        <w:rPr>
          <w:rFonts w:ascii="IRNazanin" w:hAnsi="IRNazanin" w:eastAsia="IRNazanin"/>
          <w:color w:val="111111"/>
          <w:sz w:val="28"/>
          <w:sz w:val="28"/>
          <w:szCs w:val="28"/>
          <w:rtl w:val="true"/>
          <w:lang w:bidi="fa-IR"/>
        </w:rPr>
        <w:t>از جهت تفسیر قرآن، به نظر نویسنده اگرچه قرآن کریم در چندین آیه از امر به معروف و نهی از منکر سخن گفته است و جدای از نام‌بردن، درباره این فریضه از مطالب اندکی سخن به میانمی‌آورد؛ لکن درباره اینکه این وظیفه واجب کفایی و بر عهده تمامی مردم است یا فقط بر عهده عده‌ای از مردم یا فقط عالمان یا اصحاب پیامبران و یا مجاهدان است، نظر مفسران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دعوت به توحید و دوری از شرک را هم شامل می‌شود؟ آیا تمامی اوامر خداوند به پیامبرش را شامل می‌شود؟ معنای معروف چیست؟ آیا منظور از آن، کار حسن از نظر عقل است یا شرع یا عرف؟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لايَتَنَاهَوْنَ عَنْ مُنكَرٍ فَعَلُوهُ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که در قرآن آمده، چیست؟ 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أَنفُسَكُمْ لَا يَضُرُّكُمْ مَنْ ضَلَّ إِذَا اهْتَدَيْتُمْ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نوعی این وظیفه را محدود نمی‌کند؟ در پاسخ این پرسش‌ها نظر مفسران متفاوت است و از خود آیات هم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این وظیفۀ مؤمنان نسبت به یکدیگر است نه وظیفۀ امت برای تمامی جهانیان؛ مربوط به کارهای ناشایست است نه باورهای کلی و مبهم اخلاقی؛ اما به‌هرحال، این وظیفه را به‌طور عینی وارد زندگی روزانه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مایکل کوک، برداشت مفسّران از کتاب و سنت به درک مفهومی از نهی از منکر منتهی می‌گردد که به‌طور مستقیم از خود آیات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آنان از این وظیفه این است که اوّلاً </w:t>
      </w:r>
      <w:bookmarkStart w:id="64" w:name="pg8666_122252"/>
    </w:p>
    <w:p>
      <w:pPr>
        <w:pStyle w:val="BookText"/>
        <w:rPr/>
      </w:pPr>
      <w:bookmarkEnd w:id="64"/>
      <w:r>
        <w:rPr>
          <w:rFonts w:ascii="IRNazanin" w:hAnsi="IRNazanin" w:eastAsia="IRNazanin"/>
          <w:color w:val="111111"/>
          <w:sz w:val="28"/>
          <w:sz w:val="28"/>
          <w:szCs w:val="28"/>
          <w:rtl w:val="true"/>
          <w:lang w:bidi="fa-IR"/>
        </w:rPr>
        <w:t>مؤمنان باید نسبت به یکدیگر آن را انجام دهند، نه امت اسلامی نسبت به کل جهان؛ ثانیاً دامنۀ آن را در وهله اول پاسخ به کارهای ناشایست می‌دانند نه باورهای کلی و مبهم اخلاقی</w:t>
      </w:r>
      <w:r>
        <w:rPr>
          <w:rFonts w:eastAsia="IRNazanin" w:cs="IRNazanin"/>
          <w:color w:val="111111"/>
          <w:sz w:val="28"/>
          <w:szCs w:val="28"/>
          <w:rtl w:val="true"/>
          <w:lang w:bidi="fa-IR"/>
        </w:rPr>
        <w:t>.</w:t>
      </w:r>
    </w:p>
    <w:p>
      <w:pPr>
        <w:pStyle w:val="Heading4"/>
        <w:numPr>
          <w:ilvl w:val="3"/>
          <w:numId w:val="1"/>
        </w:numPr>
        <w:rPr/>
      </w:pPr>
      <w:bookmarkStart w:id="65" w:name="__RefHeading___Toc2419488_653776707"/>
      <w:bookmarkStart w:id="66" w:name="_Toc24"/>
      <w:bookmarkEnd w:id="65"/>
      <w:r>
        <w:rPr>
          <w:rtl w:val="true"/>
        </w:rPr>
        <w:t>ب</w:t>
      </w:r>
      <w:r>
        <w:rPr>
          <w:rtl w:val="true"/>
        </w:rPr>
        <w:t xml:space="preserve">) </w:t>
      </w:r>
      <w:r>
        <w:rPr>
          <w:rtl w:val="true"/>
        </w:rPr>
        <w:t>ارزیابی</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تفسیر قرآن، یادآوری این نکته لازم است که اگر روایات تفسیرگر قرآن در جوامع روایی وجود داشتند، پس از اعتبارسنجی سند و تبیین دلالت آنها، معتبر و حجت‌اند و می‌توانند حدود و ثغور آیات قرآن را مشخص کنند؛ ولی در تفسیر وقتی نوبت به آرای مفسّران می‌رسد، درصورتی‌که مفسّر از جهت امانت و اعتبار علمی، مورد تأیید بود و صاحب‌نظران او را به‌عنوان صاحب نظر و رأی و دارای اجتهاد در تفسیر شناختند، در این صورت، رأی او در کنار سایرآرا،در حدّ یک نظر معتبر خواهد بود و الّا اگر معیارهای لازم را برای اعتبار نداشت، به‌طور کلی رأی مفسّر هیچ ارزش و حجیّتی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رأی مفسّر به‌عنوان یک رأی اجتهادی به تأیید برسد، این آرا بر اساس معیارهایی که در مباحث اجتهاد و شیوۀ استنباط در منابع اسلامی به‌ویژه فقه و اصول بیان گردیده است، مورد سنجش اهل رأی و نظر قرار می‌گیرد و مردود یا مقبول اعلام می‌شود و یا مورد تعدیل و تحدید دیگر واقع می‌شود؛ بنابراین، در این قسمت از فصل دوم چون مباحث مایکل کوک خام و ناپخته است و چندان با نهج اجتهاد و مکانیسم آن تطابق ندارد و کتاب نتوانسته است میان امور یادشده، تفکیک کرده، جایگاه مباحث را به‌خوبی نشان دهد</w:t>
      </w:r>
      <w:r>
        <w:rPr>
          <w:rFonts w:eastAsia="IRNazanin" w:cs="IRNazanin"/>
          <w:color w:val="111111"/>
          <w:sz w:val="28"/>
          <w:szCs w:val="28"/>
          <w:rtl w:val="true"/>
          <w:lang w:bidi="fa-IR"/>
        </w:rPr>
        <w:t xml:space="preserve">. </w:t>
      </w:r>
      <w:bookmarkStart w:id="67" w:name="pg8666_122254"/>
    </w:p>
    <w:p>
      <w:pPr>
        <w:pStyle w:val="Heading3"/>
        <w:numPr>
          <w:ilvl w:val="2"/>
          <w:numId w:val="1"/>
        </w:numPr>
        <w:rPr/>
      </w:pPr>
      <w:bookmarkStart w:id="68" w:name="__RefHeading___Toc2419490_653776707"/>
      <w:bookmarkStart w:id="69" w:name="_Toc25"/>
      <w:bookmarkEnd w:id="67"/>
      <w:bookmarkEnd w:id="68"/>
      <w:r>
        <w:rPr>
          <w:rtl w:val="true"/>
        </w:rPr>
        <w:t>گزارش و ارزیابی فصل سوم</w:t>
      </w:r>
      <w:r>
        <w:rPr>
          <w:rtl w:val="true"/>
        </w:rPr>
        <w:t xml:space="preserve">: </w:t>
      </w:r>
      <w:r>
        <w:rPr>
          <w:rtl w:val="true"/>
        </w:rPr>
        <w:t>حدیث</w:t>
      </w:r>
      <w:bookmarkEnd w:id="69"/>
    </w:p>
    <w:p>
      <w:pPr>
        <w:pStyle w:val="Heading4"/>
        <w:numPr>
          <w:ilvl w:val="3"/>
          <w:numId w:val="1"/>
        </w:numPr>
        <w:rPr/>
      </w:pPr>
      <w:bookmarkStart w:id="70" w:name="__RefHeading___Toc2419492_653776707"/>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گزارش و ارزیابی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Style w:val="FootnoteAnchor"/>
          <w:rtl w:val="true"/>
        </w:rPr>
        <w:footnoteReference w:id="16"/>
      </w:r>
    </w:p>
    <w:p>
      <w:pPr>
        <w:pStyle w:val="Heading4"/>
        <w:numPr>
          <w:ilvl w:val="3"/>
          <w:numId w:val="1"/>
        </w:numPr>
        <w:rPr/>
      </w:pPr>
      <w:bookmarkStart w:id="72" w:name="__RefHeading___Toc2419494_653776707"/>
      <w:bookmarkStart w:id="73" w:name="_Toc27"/>
      <w:bookmarkEnd w:id="72"/>
      <w:r>
        <w:rPr>
          <w:rtl w:val="true"/>
        </w:rPr>
        <w:t>الف</w:t>
      </w:r>
      <w:r>
        <w:rPr>
          <w:rtl w:val="true"/>
        </w:rPr>
        <w:t xml:space="preserve">) </w:t>
      </w:r>
      <w:r>
        <w:rPr>
          <w:rtl w:val="true"/>
        </w:rPr>
        <w:t>گزارش</w:t>
      </w:r>
      <w:bookmarkEnd w:id="73"/>
    </w:p>
    <w:p>
      <w:pPr>
        <w:pStyle w:val="BookText"/>
        <w:rPr/>
      </w:pPr>
      <w:r>
        <w:rPr>
          <w:rFonts w:ascii="IRNazanin" w:hAnsi="IRNazanin" w:eastAsia="IRNazanin"/>
          <w:color w:val="111111"/>
          <w:sz w:val="28"/>
          <w:sz w:val="28"/>
          <w:szCs w:val="28"/>
          <w:rtl w:val="true"/>
          <w:lang w:bidi="fa-IR"/>
        </w:rPr>
        <w:t>در فصل سوم مایکل کوک به سراغ روایات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سه مرحله‌ای‌بودن امر به معروف و نهی از منکر را از روایات این‌گونه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برخورد فیزیکی و بازداشتن شخص از کار‌های زشت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یغیّره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شخص با زبان خود اظهار انزجار و تنفر خود را اعلام و موضعش را مشخص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کسی توانایی و شرایط دو مرحله قبل را نداشت، حداقل در قلب خودش ناراحت و اعلام انزجار و تنفر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سپس به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او روایاتی با نگرش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اهمیت و جایگاه امر به معروف و نهی از منکر را نشان می‌دهد و به تشویق انجام و تهدید ترک آن می‌پردازد، مثلاً نزول برخی حوادث ناگوار به‌خاطر ترک امر به معروف و نهی از منکر یا کسی که امر به معروف کند خلیفةالله در زمین است و کسی که از انجام آن خودداری ورزد، </w:t>
      </w:r>
    </w:p>
    <w:p>
      <w:pPr>
        <w:pStyle w:val="BookText"/>
        <w:rPr/>
      </w:pPr>
      <w:r>
        <w:rPr>
          <w:rFonts w:ascii="IRNazanin" w:hAnsi="IRNazanin" w:eastAsia="IRNazanin"/>
          <w:color w:val="111111"/>
          <w:sz w:val="28"/>
          <w:sz w:val="28"/>
          <w:szCs w:val="28"/>
          <w:rtl w:val="true"/>
          <w:lang w:bidi="fa-IR"/>
        </w:rPr>
        <w:t>مرده‌ای در میان زندگان است و یا روایاتی که برترین و بهترین جهاد را اظهار کلمۀ حق در برابر سلطان جائر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کوک در ادامه به روایاتی اشاره دارد که به زعم ایشان نسبت به امر معروف و نهی از منکر نگرشی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اندکی این وظیفه را کم اهمیت جلوه می‌دهد و روایاتی که اشاره به دوران آخرالزمان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خواهد رسید که امر به معروف و نهی از منکر یک عمل غیر واقعی و دارای قبح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زمان مناسبی برای انجام این وظیفه نخواهد بود و حتی روایاتی که گویا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نسخ شده است و مثلاً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از نهی از منکر دست برمی‌دارند و یا در حدیث کوتاهی نهی از منکر موجب هلاکت نیست و احادیثی که نگرش شجاعت را کم‌رنگ می‌کند و بالاخره احادیثی که پُر از قید و شرط‌هایی درباره این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خاتمه فصل با یک تقسیم‌بندی به لحاظ جغرافیایی، روایات مربوط به امر به معروف و نهی از منکر را به دو شهر مهم و مراکز اسلامی آن روز منتسب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روایات سرزمین کوفه نگرش مثبت دارد؛ امّا روایاتی که مربوط به سرزمین شام می‌شود، نگرش منفی دارد و در نزد شامیان امر به معروف و نهی از منکر اهمیت چندانی نداشته و زیاد به آن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نویسنده، چنین اختلافی بین نقش محدثان کوفی و شامی را باید واکنش وضع جغرافیایی سیاسی دوران امویان دانست و به‌طور تلویحی نشان دهندۀ جنبۀ سیاسی مطلب به حساب 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مؤلّف ویژگی دیگر احادیث ماهیت آنهاست که نه مانند آیات قرآنی مبهم و کلی از این وظیفه سخن می‌گویند و نه مقررات مفصّل و دقیقی برای آن وضع می‌کنند؛ بیشتر یا به امر به معروف تشویق می‌کنند و یا مردم را از انجام منکر برحذر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مایکل آخرین نکته‌ای که باید بر آن تأکید شود، این است که درست همانند متن تفسیری قرآن، اجماع عالمانۀ احادیث متأخر این است که سخن از نهی از منکر را پایه‌ریزی می‌کند، هرچند طرز بیان خود احادیث چنین مطلبی را روشن نمی‌کند</w:t>
      </w:r>
      <w:r>
        <w:rPr>
          <w:rFonts w:eastAsia="IRNazanin" w:cs="IRNazanin"/>
          <w:color w:val="111111"/>
          <w:sz w:val="28"/>
          <w:szCs w:val="28"/>
          <w:rtl w:val="true"/>
          <w:lang w:bidi="fa-IR"/>
        </w:rPr>
        <w:t xml:space="preserve">. </w:t>
      </w:r>
      <w:bookmarkStart w:id="74" w:name="pg8666_122258"/>
    </w:p>
    <w:p>
      <w:pPr>
        <w:pStyle w:val="Heading4"/>
        <w:numPr>
          <w:ilvl w:val="3"/>
          <w:numId w:val="1"/>
        </w:numPr>
        <w:rPr/>
      </w:pPr>
      <w:bookmarkStart w:id="75" w:name="__RefHeading___Toc2419496_653776707"/>
      <w:bookmarkStart w:id="76" w:name="_Toc28"/>
      <w:bookmarkEnd w:id="74"/>
      <w:bookmarkEnd w:id="75"/>
      <w:r>
        <w:rPr>
          <w:rtl w:val="true"/>
        </w:rPr>
        <w:t>ب</w:t>
      </w:r>
      <w:r>
        <w:rPr>
          <w:rtl w:val="true"/>
        </w:rPr>
        <w:t xml:space="preserve">) </w:t>
      </w:r>
      <w:r>
        <w:rPr>
          <w:rtl w:val="true"/>
        </w:rPr>
        <w:t>ارزیابی</w:t>
      </w:r>
      <w:bookmarkEnd w:id="76"/>
    </w:p>
    <w:p>
      <w:pPr>
        <w:pStyle w:val="BookText"/>
        <w:rPr/>
      </w:pPr>
      <w:r>
        <w:rPr>
          <w:rFonts w:ascii="IRNazanin" w:hAnsi="IRNazanin" w:eastAsia="IRNazanin"/>
          <w:color w:val="111111"/>
          <w:sz w:val="28"/>
          <w:sz w:val="28"/>
          <w:szCs w:val="28"/>
          <w:rtl w:val="true"/>
          <w:lang w:bidi="fa-IR"/>
        </w:rPr>
        <w:t>در مورد مطالب بازگو شده در فصل سوم از بخش اول توسط جناب مایکل کوک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بسیاری از عبارت‌های متن کتاب مثل همین عبارت پایانی که نقل شد، ابهام دارد و معلوم نیست که ابهام از خود متن است یا از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تقسیم احادیث با نگرش مثبت و احادیث با نگرش منفی چندان دقیق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نویسنده، احادیث با نگرش مثبت شامل روایاتی‌اند که به انجام این وظیفه ترغیب می‌کنند و در مقابل، احادیث با نگرش منفی احادیثی‌اند که این وظیفه را کم اهمیت جلوه می‌دهند و این احادیث اگرچه کمتر است ولی اهمیت بیشتری دارند؛ درحالی‌که چنین تقسیمی بر اساس باورهای مسلمانان از ریشه خطا است، چون معنا ندارد که فریضه و تکلیفی در میان باشد و روایات تشویق نکنند و یا آن را کم اهمیت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کم اهمیت است ولی فریضه است؟ چنین تقسیمی از ریشه خطا است؛ بله آنچه در میان است آنکه بعضی از روایات تشویق می‌کنند و بعضی هم مردم را از خطر ترک آن در آخرالزمان بیم می‌دهند که خود این هم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روایات هم به شرایط، حدود، ثغور، قلمرو و احکام این فریضه می‌پردازند، ولی اینها را نمی‌توان دارای نگرش منفی برشمرد؛ به‌عبارت‌دیگر، فریضه‌بودن با نگرش منفی دانستن در حقیقت تناقض‌نما و پارادکس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حدیث از جهت اعتبار و سندیّت، با قرآن تفاوت فراوانی دارد؛ درحالی‌که قرآن از جهت سند دارای اعتبار قطعی و صددرصد است، ولی احادیث، به‌ویژه احادیث سنّیان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رحلت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درآمده است، از جهت اعتبار متفاوت‌اند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برخی از آنها ضعیف و کاملاً جعلی و بی‌اعتبارند، برخی دارای اعتباری ضعیف و برخی هم دارای حجیت و اعتبارند و این بر عهدۀ حدیث‌شناسان است که صحیح را از سقیم و سره را از ناسره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الأسف مایکل کوک تمامی روایات را با </w:t>
      </w:r>
    </w:p>
    <w:p>
      <w:pPr>
        <w:pStyle w:val="BookText"/>
        <w:rPr/>
      </w:pPr>
      <w:r>
        <w:rPr>
          <w:rFonts w:ascii="IRNazanin" w:hAnsi="IRNazanin" w:eastAsia="IRNazanin"/>
          <w:color w:val="111111"/>
          <w:sz w:val="28"/>
          <w:sz w:val="28"/>
          <w:szCs w:val="28"/>
          <w:rtl w:val="true"/>
          <w:lang w:bidi="fa-IR"/>
        </w:rPr>
        <w:t>یک چوب رانده و با یک میزان به گزارش آنها می‌پردازد، بدون اینکه معتبر را از غیر آن جدا کند و طبیعی است که این کار چه خطای فاحشی است و چقدر خوانندۀ بی‌خبر را به گمراهی و ضلالت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مخالف قرآن بود، آن را باید به دیوار زد ولی مایکل به این حقیقت بی‌توجه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رابعاً نویسنده چون نسبت به رابطه سنت و قرآن کریم و نیز درباره نقش حدیث معتبر و مورد وثوق، آشنایی ندارد، با احادیث این‌گونه برخورد می‌کند و آنها را گویا در عرض یا در مقابل قرآن قرار می‌دهد و حتی برای آنها منطقۀ جغرافیایی شام و عراق تعیین می‌کند، درحالی‌که بر اساس تصریح قرآن کریم، وظیفه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إِلَيْكَ الذِّكْرَ لِتُبَيِّنَ لِلنَّاسِ مَا نُزِّلَ إِلَيْهِمْ</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و از نقش‌های آن حضرت در جامعه تعلیم کتاب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 مسلمانان موظف‌اند به کلام وحیانی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درنتیجه، وقتی قرآن از حکمی مثل امر به معروف و نهی از منکر سخن می‌گوید، وظیفه شرح و تفسیر آن بر عهده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بیان شرایط و مراتب و قلمرو و احکام آن می‌پردازد، چنانچه تفاصیل احکام نماز و روزه و حج را پس از اجمال قرآن، سنت بیان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مایکل کوک چنانچه از فصول پایانی کتاب او آشکار است، با آنکه به حسب ظاهر نسبت به آرای شیعیان امامیه در مورد امر به معروف و نهی از منکر اهتمامی ویژه دارد، ولی با این اهتمام، تعجب است که چگونه در فصل سوم که به بحث حدیث اختصاص دارد، نسبت به بیان روایات و نقل احادیث بسیار فراوان و گسترده و متنوع امامیه، غفلت صورت‌پذیرفته است؛ درحالی‌که تنها به‌عنوان یک نمونه مرحوم شیخ حرّ عاملی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موسوعه گران‌سنگ و شریف وسائل الشیعه یک کتاب از موسوعه بزرگ خود را در مورد روایات امر به معروف و نهی از منکر تنظیم کرده و در طی آن در دو دسته از ابواب، روایات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طبقه‌بندی کرده است؛ دسته اول ابوابی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الامر والنهی و مایناسبهما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ابوابی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فعل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روشن‌شدن جایگاه فریضه امر به معروف در حدیث شیعه هم از جهت اهمیت و ماهیت و هم از جهت قلمرو، شرایط و احکام، لازم است به اجمالی از کمیّت حدیث شیعه در‌این‌باره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الامر والنهی ما یناسبهما</w:t>
      </w:r>
    </w:p>
    <w:p>
      <w:pPr>
        <w:pStyle w:val="BookText"/>
        <w:rPr/>
      </w:pPr>
      <w:r>
        <w:rPr>
          <w:rFonts w:ascii="IRNazanin" w:hAnsi="IRNazanin" w:eastAsia="IRNazanin"/>
          <w:color w:val="111111"/>
          <w:sz w:val="28"/>
          <w:sz w:val="28"/>
          <w:szCs w:val="28"/>
          <w:rtl w:val="true"/>
          <w:lang w:bidi="fa-IR"/>
        </w:rPr>
        <w:t>عکس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نگاهی گذرا به عناوین ابواب وسائل الشیعه که در مجموع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می‌شود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بخش یک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بخش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نگاه عمیق و همه جانبۀ حدیث امامیّه به این فریضه الهی است که انتظار می‌رفت در کتاب مایکل به آن پرداخته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تنها گزارش اجمالی از روایات امر به معروف و نهی از منکر در کتاب وسائل الشیعه است که در مجموع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می‌کند تا چه رسد به دیگر منابع روایی امامیّه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مایکل کوک در فصل مربوط به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امر به معروف و نهی از منکر در اندیشه اسلامی از صفحه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امامیه پرداخته است که در آنجا نیز چنانچه اشاره خواهد شد، حقّ مطلب ادا نشده است</w:t>
      </w:r>
      <w:r>
        <w:rPr>
          <w:rFonts w:eastAsia="IRNazanin" w:cs="IRNazanin"/>
          <w:color w:val="111111"/>
          <w:sz w:val="28"/>
          <w:szCs w:val="28"/>
          <w:rtl w:val="true"/>
          <w:lang w:bidi="fa-IR"/>
        </w:rPr>
        <w:t xml:space="preserve">. </w:t>
      </w:r>
      <w:bookmarkStart w:id="77" w:name="pg8666_122274"/>
    </w:p>
    <w:p>
      <w:pPr>
        <w:pStyle w:val="Heading3"/>
        <w:numPr>
          <w:ilvl w:val="2"/>
          <w:numId w:val="1"/>
        </w:numPr>
        <w:rPr/>
      </w:pPr>
      <w:bookmarkStart w:id="78" w:name="__RefHeading___Toc2419498_653776707"/>
      <w:bookmarkStart w:id="79" w:name="_Toc29"/>
      <w:bookmarkEnd w:id="77"/>
      <w:bookmarkEnd w:id="78"/>
      <w:r>
        <w:rPr>
          <w:rtl w:val="true"/>
        </w:rPr>
        <w:t>گزارش و ارزیابی فصل چهارم</w:t>
      </w:r>
      <w:r>
        <w:rPr>
          <w:rtl w:val="true"/>
        </w:rPr>
        <w:t xml:space="preserve">: </w:t>
      </w:r>
      <w:r>
        <w:rPr>
          <w:rtl w:val="true"/>
        </w:rPr>
        <w:t xml:space="preserve">کتاب‌های سیره </w:t>
      </w:r>
      <w:r>
        <w:rPr>
          <w:rtl w:val="true"/>
        </w:rPr>
        <w:t>(</w:t>
      </w:r>
      <w:r>
        <w:rPr>
          <w:rtl w:val="true"/>
        </w:rPr>
        <w:t>شرح احوال</w:t>
      </w:r>
      <w:r>
        <w:rPr>
          <w:rtl w:val="true"/>
        </w:rPr>
        <w:t xml:space="preserve">) </w:t>
      </w:r>
      <w:r>
        <w:rPr>
          <w:rtl w:val="true"/>
        </w:rPr>
        <w:t>مسلمانان صدر اسلام</w:t>
      </w:r>
      <w:bookmarkEnd w:id="79"/>
    </w:p>
    <w:p>
      <w:pPr>
        <w:pStyle w:val="Heading4"/>
        <w:numPr>
          <w:ilvl w:val="3"/>
          <w:numId w:val="1"/>
        </w:numPr>
        <w:rPr/>
      </w:pPr>
      <w:bookmarkStart w:id="80" w:name="__RefHeading___Toc2419500_653776707"/>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گزارش و ارزیابی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مایکل کوک بعد از بحث و بررسی آیات قرآن کریم و روایات، در فصل چهارم به جنبه تاریخی امر به معروف و نهی از منکر، در سیره مسلمانان می‌پردازد و این نکته را مورد توجه قرار می‌دهد که آیا در صدر اسلام امر به معروف و نهی از منکر وجود داشته یا نه؟ و اگر وجود داشته چگونه بوده است؟</w:t>
      </w:r>
    </w:p>
    <w:p>
      <w:pPr>
        <w:pStyle w:val="Heading4"/>
        <w:numPr>
          <w:ilvl w:val="3"/>
          <w:numId w:val="1"/>
        </w:numPr>
        <w:rPr/>
      </w:pPr>
      <w:bookmarkStart w:id="82" w:name="__RefHeading___Toc2419502_653776707"/>
      <w:bookmarkStart w:id="83" w:name="_Toc31"/>
      <w:bookmarkEnd w:id="82"/>
      <w:r>
        <w:rPr>
          <w:rtl w:val="true"/>
        </w:rPr>
        <w:t>مطلب اول</w:t>
      </w:r>
      <w:r>
        <w:rPr>
          <w:rtl w:val="true"/>
        </w:rPr>
        <w:t xml:space="preserve">: </w:t>
      </w:r>
      <w:r>
        <w:rPr>
          <w:rtl w:val="true"/>
        </w:rPr>
        <w:t>نگاهی به تاریخچه امر به معروف و نهی از منکر</w:t>
      </w:r>
      <w:bookmarkEnd w:id="83"/>
    </w:p>
    <w:p>
      <w:pPr>
        <w:pStyle w:val="Heading5"/>
        <w:numPr>
          <w:ilvl w:val="4"/>
          <w:numId w:val="1"/>
        </w:numPr>
        <w:rPr/>
      </w:pPr>
      <w:bookmarkStart w:id="84" w:name="__RefHeading___Toc2419504_653776707"/>
      <w:bookmarkStart w:id="85" w:name="_Toc32"/>
      <w:bookmarkEnd w:id="84"/>
      <w:r>
        <w:rPr>
          <w:rtl w:val="true"/>
        </w:rPr>
        <w:t>الف</w:t>
      </w:r>
      <w:r>
        <w:rPr>
          <w:rtl w:val="true"/>
        </w:rPr>
        <w:t xml:space="preserve">) </w:t>
      </w:r>
      <w:r>
        <w:rPr>
          <w:rtl w:val="true"/>
        </w:rPr>
        <w:t>گزارش</w:t>
      </w:r>
      <w:bookmarkEnd w:id="85"/>
    </w:p>
    <w:p>
      <w:pPr>
        <w:pStyle w:val="BookText"/>
        <w:rPr/>
      </w:pPr>
      <w:r>
        <w:rPr>
          <w:rFonts w:ascii="IRNazanin" w:hAnsi="IRNazanin" w:eastAsia="IRNazanin"/>
          <w:color w:val="111111"/>
          <w:sz w:val="28"/>
          <w:sz w:val="28"/>
          <w:szCs w:val="28"/>
          <w:rtl w:val="true"/>
          <w:lang w:bidi="fa-IR"/>
        </w:rPr>
        <w:t>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اوضاع و احوال آمران به معروف و ناهیان از منکر کتابی مستقل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صورت می‌گرفت، کار خیلی آسان و ساده بود، ولی ما ناچاریم از لابلای وقایع و حوادث گذشته و شرح احوال آنان که خیلی‌هایش مبهم و یا تکراری است به مسئله بپردازیم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پیشینۀ نهی از منکر را به زمانی پیش از اسلام می‌رساند و می‌گوید که در قرآن کریم به ضمیمه برداشت مفسران، این مسئله آمده است، مثل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 مورد امر به </w:t>
      </w:r>
      <w:bookmarkStart w:id="86" w:name="pg8666_122275"/>
    </w:p>
    <w:p>
      <w:pPr>
        <w:pStyle w:val="BookText"/>
        <w:rPr/>
      </w:pPr>
      <w:bookmarkEnd w:id="86"/>
      <w:r>
        <w:rPr>
          <w:rFonts w:ascii="IRNazanin" w:hAnsi="IRNazanin" w:eastAsia="IRNazanin"/>
          <w:color w:val="111111"/>
          <w:sz w:val="28"/>
          <w:sz w:val="28"/>
          <w:szCs w:val="28"/>
          <w:rtl w:val="true"/>
          <w:lang w:bidi="fa-IR"/>
        </w:rPr>
        <w:t xml:space="preserve">معروف و نهی از منکر گروهی از اهل کتاب و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بنی‌اسرائیلیانی</w:t>
      </w:r>
      <w:r>
        <w:rPr>
          <w:rStyle w:val="FootnoteAnchor"/>
          <w:rtl w:val="true"/>
        </w:rPr>
        <w:footnoteReference w:id="22"/>
      </w:r>
      <w:r>
        <w:rPr>
          <w:rFonts w:ascii="IRNazanin" w:hAnsi="IRNazanin" w:eastAsia="IRNazanin"/>
          <w:color w:val="111111"/>
          <w:sz w:val="28"/>
          <w:sz w:val="28"/>
          <w:szCs w:val="28"/>
          <w:rtl w:val="true"/>
          <w:lang w:bidi="fa-IR"/>
        </w:rPr>
        <w:t>را سرزنش می‌کند که از کار زشت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آیاتی از قرآن به حضرت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پیامبر گرامی اسلام را جزو اولین کسانی می‌داند که امر به معروف و نهی از منکر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حدود شصت نفر از صحابه و تابعین دراین‌باره چیزی گفته یا کاری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در پاسخ این سؤال که آیا همه مسلمان‌ها قائل به امر به معروف و نهی از منکر هستند یا نه؟ چنین جواب می‌دهد که همه فرقه‌های اسلامی و مسلمانان نسبت به آن یکسان نیستند و یادآوری می‌کند که در بین برخی از نحله‌ها و فرقه‌ها مانند حشویه کسانی قائل به وجوب امر به معروف و نهی از منکر نبوده‌اند؛ بنابراین، وقتی سخن از وجوب این وظیفه به زبان می‌آوریم این وجوب یکسان نیست و هرکدام شرایط ویژه‌ای دارند، چون ماهیت امر به معروف و نهی از منکر با سایر تکالیف قابل مقایسه نیست و نیازمند شجاعت، مهارت و جسارت و قضاوت است</w:t>
      </w:r>
      <w:r>
        <w:rPr>
          <w:rFonts w:eastAsia="IRNazanin" w:cs="IRNazanin"/>
          <w:color w:val="111111"/>
          <w:sz w:val="28"/>
          <w:szCs w:val="28"/>
          <w:rtl w:val="true"/>
          <w:lang w:bidi="fa-IR"/>
        </w:rPr>
        <w:t>.</w:t>
      </w:r>
    </w:p>
    <w:p>
      <w:pPr>
        <w:pStyle w:val="Heading5"/>
        <w:numPr>
          <w:ilvl w:val="4"/>
          <w:numId w:val="1"/>
        </w:numPr>
        <w:rPr/>
      </w:pPr>
      <w:bookmarkStart w:id="87" w:name="__RefHeading___Toc2419506_653776707"/>
      <w:bookmarkStart w:id="88" w:name="_Toc33"/>
      <w:bookmarkEnd w:id="87"/>
      <w:r>
        <w:rPr>
          <w:rtl w:val="true"/>
        </w:rPr>
        <w:t>ب</w:t>
      </w:r>
      <w:r>
        <w:rPr>
          <w:rtl w:val="true"/>
        </w:rPr>
        <w:t xml:space="preserve">) </w:t>
      </w:r>
      <w:r>
        <w:rPr>
          <w:rtl w:val="true"/>
        </w:rPr>
        <w:t>ارزیابی</w:t>
      </w:r>
      <w:bookmarkEnd w:id="88"/>
    </w:p>
    <w:p>
      <w:pPr>
        <w:pStyle w:val="BookText"/>
        <w:rPr/>
      </w:pPr>
      <w:r>
        <w:rPr>
          <w:rFonts w:ascii="IRNazanin" w:hAnsi="IRNazanin" w:eastAsia="IRNazanin"/>
          <w:color w:val="111111"/>
          <w:sz w:val="28"/>
          <w:sz w:val="28"/>
          <w:szCs w:val="28"/>
          <w:rtl w:val="true"/>
          <w:lang w:bidi="fa-IR"/>
        </w:rPr>
        <w:t>درباره این سخنان نویسنده باید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بر فرقه‌ای سنّیان گفته می‌شود که به هر خبری هرچند متناقض عمل می‌کردند و به ظواهر قرآن هرچند مخالف با دلیل قطعی، تمسک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اعتقادی به جبر و جسمیّت و شباهت خداوند به خلقش، باور داشتند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با این توضیح از حشویه آشکار می‌گردد که این گروه از گروه‌های بدنام و حتی بدعت‌گذار در میان مسلمانان شمرده شده‌اند و حتی به نظر برخی فقیهان، محکوم به کفر نیز بوده‌اند؛ ازاین‌رو، ذکر نام آنها در ردیف سایر فرقه‌ها و مذاهب چندان مطابق معیارهای پژوهشی و علمی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مایکل کوک در ابتدای فصل اشاره می‌کند و معتقد است که باید به سرگذشت تاریخی آمران به معروف و ناهیان از منکر پرداخته شود و باعث تأسف مایکل شده است کهکتاب مستقلی در شرح حال آنان نگاشته نشده است، حرفی حق و صواب است، اما این کار اولاً نیاز به تتبع بسیار دقیق و به دور از تعصبات مذهبی و نژادی دارد، به‌ویژه آنکه بسیاری از کارها و حوادث و اقدامات از جهت ماهیتی مصداق امر به معروف و نهی از منکر و اقدام علیه منکر و تلاش برای انجام معروف است، اگرچه اسم آن به میان نیامده باشد مثل اعتراضات منجر به قتل خلیفه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هرچند در پایان فصل چهارم نویسنده تذکر داده است که آنچه از سیره و تاریخ نقل کرده است از جهت طبقه اجتماعی و تعلق به نظام عقیدتی خاص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بعدی و در سرگذشت حنبلیان و عقیده معتزلیان، هدف مایکل آن است که این نقص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چندان دقیق نیست، دست‌کم نسبت به چهره‌هایی که از جهت مذهبی و طبقه اجتماعی، جزء چهره‌های مشهور و شاخص بوده‌اند، می‌توان هم طبقه اجتماعی و هم نظام فکری آنان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مثل رؤسای مذاهب همچون سفیان ثوری، حسن بصری، اوزاعی و غیره و یا کسانی که از صحابه یا از خلفاء بوده‌اند مثل ابوذر غفاری و عمربن‌خطاب و غیرهم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آنچه جای تعجب و شگفتی دارد و گویا از چشم مایکل نادیده مانده است، با آنکه نمونه‌ای عظیم و بسیار چشمگیر از امر به معروف در تاریخ صدر اسلام است و نمی‌توان آن را نادیده گرفت و امکان ندارد کسی که آشنایی، هرچند اندک با حوادث سدۀ اول اسلام دارد، آن را نبیند، مسئله قیام کربلا و اهداف آن است که در کلمات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آن آمر بالمعروف و انهی عن المنکر و اسیر بسیرة جدّی و ابی‌علی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4"/>
      </w:r>
      <w:r>
        <w:rPr>
          <w:rFonts w:ascii="IRNazanin" w:hAnsi="IRNazanin" w:eastAsia="IRNazanin"/>
          <w:color w:val="111111"/>
          <w:sz w:val="28"/>
          <w:sz w:val="28"/>
          <w:szCs w:val="28"/>
          <w:rtl w:val="true"/>
          <w:lang w:bidi="fa-IR"/>
        </w:rPr>
        <w:t xml:space="preserve">چگونه مایکل در چنین کتاب مهمی درباره امر به معروف و </w:t>
      </w:r>
      <w:bookmarkStart w:id="89" w:name="pg8666_122280"/>
    </w:p>
    <w:p>
      <w:pPr>
        <w:pStyle w:val="BookText"/>
        <w:rPr/>
      </w:pPr>
      <w:bookmarkEnd w:id="89"/>
      <w:r>
        <w:rPr>
          <w:rFonts w:ascii="IRNazanin" w:hAnsi="IRNazanin" w:eastAsia="IRNazanin"/>
          <w:color w:val="111111"/>
          <w:sz w:val="28"/>
          <w:sz w:val="28"/>
          <w:szCs w:val="28"/>
          <w:rtl w:val="true"/>
          <w:lang w:bidi="fa-IR"/>
        </w:rPr>
        <w:t>نهی از منکر، در فصل چهارم خود که به سیره مسلمانان صدر اسلام می‌پردازد، قیام خونین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ده‌ها نفر از بزرگان اسلام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را از قلم می‌اندازد، با اینکه از نگاهتمامی مسلمانان و مذاهب حتی محققان و پژوهشگران، نسبت آن حضرت و یارانش با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قیامی ایشان در جهت فریضه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حداقل چند صفحه‌ای در مورد آن حادثه در این فصل که بحث سیره و شرح احوال مسلمانان صدر اسلام است، نوشته شود، درحالی‌که حتی اشاره‌ای هم به آن نشده و مورد غفلت صددرصد قرار گرفته است و موجب آسیب جدّی به این پژوهش مایکل کوک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حوادث مربوط به اعتراضات به نحوۀ زمامداری خلیفه سوم و بعد کشته شدن خلیفه و جنگ‌های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قاسطین و ناکثین و مارقین و شهادت امثال حجربن‌عدی و میثم تمّار بعد از شهادت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توابین و قیام مختار بعد از حادثه عاشورا، تمامی این امور از حوادث مهم و مرتبط با امر به معروف و نهی از منکر به شمار می‌روند و در موضوع نحوۀ رویارویی با حکومت در صدر اسلام گنجانده می‌شوند، ولی به چشم و قلم نویسنده نیامده است</w:t>
      </w:r>
      <w:r>
        <w:rPr>
          <w:rFonts w:eastAsia="IRNazanin" w:cs="IRNazanin"/>
          <w:color w:val="111111"/>
          <w:sz w:val="28"/>
          <w:szCs w:val="28"/>
          <w:rtl w:val="true"/>
          <w:lang w:bidi="fa-IR"/>
        </w:rPr>
        <w:t>.</w:t>
      </w:r>
    </w:p>
    <w:p>
      <w:pPr>
        <w:pStyle w:val="Heading4"/>
        <w:numPr>
          <w:ilvl w:val="3"/>
          <w:numId w:val="1"/>
        </w:numPr>
        <w:rPr/>
      </w:pPr>
      <w:bookmarkStart w:id="90" w:name="__RefHeading___Toc2419508_653776707"/>
      <w:bookmarkStart w:id="91" w:name="_Toc34"/>
      <w:bookmarkEnd w:id="90"/>
      <w:r>
        <w:rPr>
          <w:rtl w:val="true"/>
        </w:rPr>
        <w:t>مطلب دوم</w:t>
      </w:r>
      <w:r>
        <w:rPr>
          <w:rtl w:val="true"/>
        </w:rPr>
        <w:t xml:space="preserve">: </w:t>
      </w:r>
      <w:r>
        <w:rPr>
          <w:rtl w:val="true"/>
        </w:rPr>
        <w:t>رویارویی با حکومت و نگاه افراطی و تفریطی به امر به معروف و نهی از منکر</w:t>
      </w:r>
      <w:bookmarkEnd w:id="91"/>
    </w:p>
    <w:p>
      <w:pPr>
        <w:pStyle w:val="Heading5"/>
        <w:numPr>
          <w:ilvl w:val="4"/>
          <w:numId w:val="1"/>
        </w:numPr>
        <w:rPr/>
      </w:pPr>
      <w:bookmarkStart w:id="92" w:name="__RefHeading___Toc2419510_653776707"/>
      <w:bookmarkStart w:id="93" w:name="_Toc35"/>
      <w:bookmarkEnd w:id="92"/>
      <w:r>
        <w:rPr>
          <w:rtl w:val="true"/>
        </w:rPr>
        <w:t>الف</w:t>
      </w:r>
      <w:r>
        <w:rPr>
          <w:rtl w:val="true"/>
        </w:rPr>
        <w:t xml:space="preserve">) </w:t>
      </w:r>
      <w:r>
        <w:rPr>
          <w:rtl w:val="true"/>
        </w:rPr>
        <w:t>گزارش</w:t>
      </w:r>
      <w:bookmarkEnd w:id="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به دو دسته از آمران به معروف و ناهیان از منکر در قبال حکومت،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افراطی و عمل‌گرا و شورشی که معتقد است به هر نحو باید جلوی ظلم و استبداد حکومت گرفته شود و لوبلغ مابلغ، حتی ممکن است ضد حکومت ظلم، قیام مسلحانه شود و خون یک انسان ریخته و در این مسیر شهید گردد، مثل زرگر مرو و حسن‌بن صالح‌بن حیّ و عبدالله‌بن فرّوخ و احمد‌بن نصر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دوم نگاه تفریطی به مسئله است، در این نگاه تا امکان دارد باید با حکومت سازش و همکاری صورت گیرد و باید توجیه‌گر </w:t>
      </w:r>
      <w:bookmarkStart w:id="94" w:name="pg8666_122282"/>
    </w:p>
    <w:p>
      <w:pPr>
        <w:pStyle w:val="BookText"/>
        <w:rPr/>
      </w:pPr>
      <w:bookmarkEnd w:id="94"/>
      <w:r>
        <w:rPr>
          <w:rFonts w:ascii="IRNazanin" w:hAnsi="IRNazanin" w:eastAsia="IRNazanin"/>
          <w:color w:val="111111"/>
          <w:sz w:val="28"/>
          <w:sz w:val="28"/>
          <w:szCs w:val="28"/>
          <w:rtl w:val="true"/>
          <w:lang w:bidi="fa-IR"/>
        </w:rPr>
        <w:t>اعمال حاکمان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حذیفة‌بن یمان و عبدالله‌بن عمر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اگر امر به معروف دچار خفت مؤمن شود یا درمقابل، دچار عُجب گردد، لازم نیست که امر به معروف و نهی از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برخلاف نظریه تفریطی، در قبال حاکم، آمر به معروف و ناهی از منکر بودند، چهره‌هایی مانند ابوذر غفاری، محمدبن عجلان مدنی، انس‌بن مالک و عجلان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چهره‌های جدیدتر مانند اوزاعی و سفیان ثوری و حسن بصری را می‌توان نام برد که در تاریخ به نام آمران به معروف و ناهیان از منکر ثبت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نویسنده این دو رویکرد را در برابر حکومت‌ها برجسته کرده است</w:t>
      </w:r>
      <w:r>
        <w:rPr>
          <w:rFonts w:eastAsia="IRNazanin" w:cs="IRNazanin"/>
          <w:color w:val="111111"/>
          <w:sz w:val="28"/>
          <w:szCs w:val="28"/>
          <w:rtl w:val="true"/>
          <w:lang w:bidi="fa-IR"/>
        </w:rPr>
        <w:t>.</w:t>
      </w:r>
    </w:p>
    <w:p>
      <w:pPr>
        <w:pStyle w:val="Heading5"/>
        <w:numPr>
          <w:ilvl w:val="4"/>
          <w:numId w:val="1"/>
        </w:numPr>
        <w:rPr/>
      </w:pPr>
      <w:bookmarkStart w:id="95" w:name="__RefHeading___Toc2419512_653776707"/>
      <w:bookmarkStart w:id="96" w:name="_Toc36"/>
      <w:bookmarkEnd w:id="95"/>
      <w:r>
        <w:rPr>
          <w:rtl w:val="true"/>
        </w:rPr>
        <w:t>ب</w:t>
      </w:r>
      <w:r>
        <w:rPr>
          <w:rtl w:val="true"/>
        </w:rPr>
        <w:t xml:space="preserve">) </w:t>
      </w:r>
      <w:r>
        <w:rPr>
          <w:rtl w:val="true"/>
        </w:rPr>
        <w:t>ارزیابی</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رویارویی و مواجهه مسلمانان با حکومت، نمی‌توان مواجهه با فساد، معاصی و بی‌عدالتی حکومت‌ها را به دو دیدگاه افراطی و تفریطی، آن‌چنان‌که مایکل کوک انجام داده، حمل کرد، به‌گونه‌ای که گویا با گرایش نویسنده از دید اعتدالی، هر دو خطا هستند؛ درحالی‌که واقعیت آن است که ریشه این اختلاف مربوط به خود نهی از منکر نیست، بلکه این اختلاف ریشه در یک مسئله اصولی دیگر به نام امامت و زعامت سیاسی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از مسئله حاکمیت در درون جامعه اسلامی و چگونگی مواجهه با انحرافات و گناهان و ستم‌ورزی حاکمان، از صدر اسلام دو نگاه شکل گرفته بود؛ یک نگاه نظر مکتب و مدرسه صحابه بود که معتقد به مشروعیت ولو با قهر و غلبه بود و لذا اقدام علیه نظام سیاسی را مشروع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دوم عقیده مکتب و مدرسه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قائل به مشروعیت نظام سیاسی از غیرطریق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مکتب هم در مواردی که شرایط برای اقدام عملی علیه حاکم مناسب نبود، اقدام انقلابی را تجویز نمی‌شمرد، اگرچه قائل به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مبانی فکری این مدرسه و مکتب، در شرایط تقیه با رعایت اولویت‌بندی و بررسی اهم و مهم مسائل، </w:t>
      </w:r>
      <w:bookmarkStart w:id="97" w:name="pg8666_122284"/>
    </w:p>
    <w:p>
      <w:pPr>
        <w:pStyle w:val="BookText"/>
        <w:rPr/>
      </w:pPr>
      <w:bookmarkEnd w:id="97"/>
      <w:r>
        <w:rPr>
          <w:rFonts w:ascii="IRNazanin" w:hAnsi="IRNazanin" w:eastAsia="IRNazanin"/>
          <w:color w:val="111111"/>
          <w:sz w:val="28"/>
          <w:sz w:val="28"/>
          <w:szCs w:val="28"/>
          <w:rtl w:val="true"/>
          <w:lang w:bidi="fa-IR"/>
        </w:rPr>
        <w:t>به‌خاطر ضرورت و لزوم تقیّه، در مواردی که مسئلۀ اهم در میان نبود، از امر به معروف صرف نظر می‌شد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بنابراین، اختلاف در مورد چگونگی مواجهه و رویارویی با حکومت ناشی از نظریه آنها در مورد امامت و مشروعیت حکومت بوده است و براین‌اساس، اقدام علیه نظام سیاسی از طرفدو مدرسه و دو مکتب روا و ناروا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مایکل کوک به جای بیان دو گونه مواجهه، به ریشه فکری دو دیدگاه بپردازد؛ چون آن ریشه است که در نحوۀ انجام امر به معروف و نهی از منکر نسبت به حاکمان تأثیر دارد</w:t>
      </w:r>
      <w:r>
        <w:rPr>
          <w:rFonts w:eastAsia="IRNazanin" w:cs="IRNazanin"/>
          <w:color w:val="111111"/>
          <w:sz w:val="28"/>
          <w:szCs w:val="28"/>
          <w:rtl w:val="true"/>
          <w:lang w:bidi="fa-IR"/>
        </w:rPr>
        <w:t>.</w:t>
      </w:r>
    </w:p>
    <w:p>
      <w:pPr>
        <w:pStyle w:val="Heading4"/>
        <w:numPr>
          <w:ilvl w:val="3"/>
          <w:numId w:val="1"/>
        </w:numPr>
        <w:rPr/>
      </w:pPr>
      <w:bookmarkStart w:id="98" w:name="__RefHeading___Toc2419514_653776707"/>
      <w:bookmarkStart w:id="99" w:name="_Toc37"/>
      <w:bookmarkEnd w:id="98"/>
      <w:r>
        <w:rPr>
          <w:rtl w:val="true"/>
        </w:rPr>
        <w:t>مطلب سوم</w:t>
      </w:r>
      <w:r>
        <w:rPr>
          <w:rtl w:val="true"/>
        </w:rPr>
        <w:t xml:space="preserve">: </w:t>
      </w:r>
      <w:r>
        <w:rPr>
          <w:rtl w:val="true"/>
        </w:rPr>
        <w:t>رویارویی با جامعه</w:t>
      </w:r>
      <w:bookmarkEnd w:id="99"/>
    </w:p>
    <w:p>
      <w:pPr>
        <w:pStyle w:val="Heading5"/>
        <w:numPr>
          <w:ilvl w:val="4"/>
          <w:numId w:val="1"/>
        </w:numPr>
        <w:rPr/>
      </w:pPr>
      <w:bookmarkStart w:id="100" w:name="__RefHeading___Toc2419516_653776707"/>
      <w:bookmarkStart w:id="101" w:name="_Toc38"/>
      <w:bookmarkEnd w:id="100"/>
      <w:r>
        <w:rPr>
          <w:rtl w:val="true"/>
        </w:rPr>
        <w:t>الف</w:t>
      </w:r>
      <w:r>
        <w:rPr>
          <w:rtl w:val="true"/>
        </w:rPr>
        <w:t xml:space="preserve">) </w:t>
      </w:r>
      <w:r>
        <w:rPr>
          <w:rtl w:val="true"/>
        </w:rPr>
        <w:t>گزارش</w:t>
      </w:r>
      <w:bookmarkEnd w:id="101"/>
    </w:p>
    <w:p>
      <w:pPr>
        <w:pStyle w:val="BookText"/>
        <w:rPr/>
      </w:pPr>
      <w:r>
        <w:rPr>
          <w:rFonts w:ascii="IRNazanin" w:hAnsi="IRNazanin" w:eastAsia="IRNazanin"/>
          <w:color w:val="111111"/>
          <w:sz w:val="28"/>
          <w:sz w:val="28"/>
          <w:szCs w:val="28"/>
          <w:rtl w:val="true"/>
          <w:lang w:bidi="fa-IR"/>
        </w:rPr>
        <w:t>مایکل در عنوان دیگری از فصل چهارم تحت عنوان رویارویی با جامعه، مصادیقی از امر به معروف و نهی از منکر را یادآور می‌شود که بیشتر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مسئله جنسی و معاشقه، غناء و خنیاگری و نوای 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نهی از منکر است که در صدر اسلام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یکی از مصادیق آن را نهی سفیان ثوری از فروش مشروبات توسط مشروب‌فروشان دانسته یا ناراحتی اصبغ‌بن زید واسطی که نوازندگی باعث آن شد و نمونه‌های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دیگری که در صدر اسلام مورد نهی از منکر قرار گرفته، رفتار نادرست یا بدرفتاری با بردگان و حیوانات است که حاکمان و زورمداران و ظالمان این کار را می‌کرده‌اند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بر این باور است که مأمون عباسی در بغداد، امر به معروف را نهی کرده بود و برای همین، افرادی مثل ابونُعیم و حسن‌بن صباح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مأمون توضیح داد که منع از امر به معروف نسبت به کسانی است که معروف را به منکر بدل می‌کنند</w:t>
      </w:r>
      <w:r>
        <w:rPr>
          <w:rFonts w:eastAsia="IRNazanin" w:cs="IRNazanin"/>
          <w:color w:val="111111"/>
          <w:sz w:val="28"/>
          <w:szCs w:val="28"/>
          <w:rtl w:val="true"/>
          <w:lang w:bidi="fa-IR"/>
        </w:rPr>
        <w:t xml:space="preserve">. </w:t>
      </w:r>
      <w:bookmarkStart w:id="102" w:name="pg8666_122286"/>
    </w:p>
    <w:p>
      <w:pPr>
        <w:pStyle w:val="BookText"/>
        <w:rPr/>
      </w:pPr>
      <w:bookmarkEnd w:id="102"/>
      <w:r>
        <w:rPr>
          <w:rFonts w:ascii="IRNazanin" w:hAnsi="IRNazanin" w:eastAsia="IRNazanin"/>
          <w:color w:val="111111"/>
          <w:sz w:val="28"/>
          <w:sz w:val="28"/>
          <w:szCs w:val="28"/>
          <w:rtl w:val="true"/>
          <w:lang w:bidi="fa-IR"/>
        </w:rPr>
        <w:t>مایکل نتیجه می‌گیرد که آمران به معروف و ناهیان از منکر در این عرصه نیز مانند مواجهه با حاکم، رویکرد یکسانی ندارند و اصل آن را مسلم می‌داند، ولی برخورد مردم را نسبت به امر به معروف و نهی از منکر به سه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که خیلی به آن اهمّیت می‌دادند؛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آن را کم اهمّیت جلوه می‌دادند و آسان می‌گرفتند؛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اعتدالیون که راه میانه را درپیش گرفته‌اند و مخالف افراط و تفریط‌اند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زیاد اهمّیت می‌دادند حتی زندان رفتن را به جان می‌خریدند و خودشان را مصداق صابران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با وجود آنکه این فریضه را دست‌کم نمی‌گیرند، به آیندۀ آن با بدبینی می‌نگرند مثل مالک‌بن دینار و بشر حافی و اویس قرنی</w:t>
      </w:r>
      <w:r>
        <w:rPr>
          <w:rFonts w:eastAsia="IRNazanin" w:cs="IRNazanin"/>
          <w:color w:val="111111"/>
          <w:sz w:val="28"/>
          <w:szCs w:val="28"/>
          <w:rtl w:val="true"/>
          <w:lang w:bidi="fa-IR"/>
        </w:rPr>
        <w:t>.</w:t>
      </w:r>
    </w:p>
    <w:p>
      <w:pPr>
        <w:pStyle w:val="Heading5"/>
        <w:numPr>
          <w:ilvl w:val="4"/>
          <w:numId w:val="1"/>
        </w:numPr>
        <w:rPr/>
      </w:pPr>
      <w:bookmarkStart w:id="103" w:name="__RefHeading___Toc2419518_653776707"/>
      <w:bookmarkStart w:id="104" w:name="_Toc39"/>
      <w:bookmarkEnd w:id="103"/>
      <w:r>
        <w:rPr>
          <w:rtl w:val="true"/>
        </w:rPr>
        <w:t>ب</w:t>
      </w:r>
      <w:r>
        <w:rPr>
          <w:rtl w:val="true"/>
        </w:rPr>
        <w:t xml:space="preserve">) </w:t>
      </w:r>
      <w:r>
        <w:rPr>
          <w:rtl w:val="true"/>
        </w:rPr>
        <w:t>ارزیابی</w:t>
      </w:r>
      <w:bookmarkEnd w:id="104"/>
    </w:p>
    <w:p>
      <w:pPr>
        <w:pStyle w:val="BookText"/>
        <w:rPr/>
      </w:pPr>
      <w:r>
        <w:rPr>
          <w:rFonts w:ascii="IRNazanin" w:hAnsi="IRNazanin" w:eastAsia="IRNazanin"/>
          <w:color w:val="111111"/>
          <w:sz w:val="28"/>
          <w:sz w:val="28"/>
          <w:szCs w:val="28"/>
          <w:rtl w:val="true"/>
          <w:lang w:bidi="fa-IR"/>
        </w:rPr>
        <w:t>گرایش مایکل کوک به تقسیم‌بندی آمران به معروف و ناهیان از منکر در جامعه اسلامی، به روش حزب‌های سیاسی راستی و چپی و اعتدالی غربی اندکی شگفت‌آور است؛ زیرا اوّلاً از یک گزارش تاریخی در مورد یک نفر، نمی‌توان او را جزء این گروه افراطی یا تفریطی یا اعتدالی قرار داد؛ ثانیاً نحوه‌ای برخورد و اقدام نسبت به امر به معروف متأثر از عوامل و پارامترهای بسیار متنوعی است که ریشه در امور دیگری از جمله مسئله امامت دارد و فی‌نفسه مربوط به فریضه امر به معروف نیست</w:t>
      </w:r>
      <w:r>
        <w:rPr>
          <w:rFonts w:eastAsia="IRNazanin" w:cs="IRNazanin"/>
          <w:color w:val="111111"/>
          <w:sz w:val="28"/>
          <w:szCs w:val="28"/>
          <w:rtl w:val="true"/>
          <w:lang w:bidi="fa-IR"/>
        </w:rPr>
        <w:t>.</w:t>
      </w:r>
    </w:p>
    <w:p>
      <w:pPr>
        <w:pStyle w:val="Heading5"/>
        <w:numPr>
          <w:ilvl w:val="4"/>
          <w:numId w:val="1"/>
        </w:numPr>
        <w:rPr/>
      </w:pPr>
      <w:bookmarkStart w:id="105" w:name="__RefHeading___Toc2419520_653776707"/>
      <w:bookmarkStart w:id="106" w:name="_Toc40"/>
      <w:bookmarkEnd w:id="105"/>
      <w:r>
        <w:rPr>
          <w:rtl w:val="true"/>
        </w:rPr>
        <w:t>الف</w:t>
      </w:r>
      <w:r>
        <w:rPr>
          <w:rtl w:val="true"/>
        </w:rPr>
        <w:t xml:space="preserve">) </w:t>
      </w:r>
      <w:r>
        <w:rPr>
          <w:rtl w:val="true"/>
        </w:rPr>
        <w:t>گزارش</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نویسنده این سؤال را مطرح می‌کند که آیا انجام نهی از منکر و امر به معروف، فردی بوده یا گروهی؟ او سپس گروهی‌بودن نهی از منکر را گزارش می‌کند و از افرادی مانند ابن‌حنفیّه که به‌صورت گروهی به امر به معروف و نهی از منکر می‌پرداختند یا محمدبن منکدر در حمام همراهانی داشته است، وقتی که خلیفه به او تازیانه می‌زند، کسانی با او همراهی کرده و در تازیانه‌خوردن با او سهیم بوده‌اند؛ اما اینکه این کار به‌صورت تشکیلاتی </w:t>
      </w:r>
    </w:p>
    <w:p>
      <w:pPr>
        <w:pStyle w:val="BookText"/>
        <w:rPr/>
      </w:pPr>
      <w:r>
        <w:rPr>
          <w:rFonts w:ascii="IRNazanin" w:hAnsi="IRNazanin" w:eastAsia="IRNazanin"/>
          <w:color w:val="111111"/>
          <w:sz w:val="28"/>
          <w:sz w:val="28"/>
          <w:szCs w:val="28"/>
          <w:rtl w:val="true"/>
          <w:lang w:bidi="fa-IR"/>
        </w:rPr>
        <w:t>و از قبل بوده، خیلی معلوم نیست، شاید برخی از آن خلق‌الساعه بوده که همراه آمران و ناهیان همراه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کوک رویکرد هجرت از سرزمین را درصورتی قدرت‌نداشتن بر نهی از منکر، راه دیگری برای مقابله با منکر یاد می‌کند و از ابراهیم ادهم نام می‌برد که از بلخ به شام هجرت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دنیا داران واگذار می‌کنیم و اینها از لحظات خشم خداوند است و باید به قدس و مسجدالاقصی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از کسانی که نسبت به امر به معروف و نهی از منکر بی‌تفاوت بوده‌اند، نقل شده که دیگر امر به معروف و نهی از منکر در این عصر و زمان که در مرحله ضعف قرار داریم، یک وظیفه نیست، بلکه به نافله تبدیل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حسن بصری که انسان مطرحی بوده، نقل شده است و از ابن‌شُبرُمه نیز در پاسخ ابن‌عبید شبیه این عبارت نقل شده که فعلاً نهی از منکر نافله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مشی اعتدالیون را در مورد امر به معروف و نهی از منکر بازگو می‌کند که شیوه کار آنها در سه اصل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دلیل خوبی برای اقدام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 نهی از منکر را محکوم می‌کند جز اینکه وحشت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یتّقی تقاتاً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باعث آزار و اذیت او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تأثیر داشته باشد و اندرز او را بپذیرند؛ یعنی از کسی که حرفش را نشنوند تکلیف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و حسن بصری نقل شده که نهی از منکر برای مؤمنی است که حرف وی را می‌شنود یا موجب رفع جهل از او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مؤدبانه و در خلوت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مطلب در گفتار سفیان ثوری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لحن مؤدبانه را تأثیرگذار می‌دانند و اینکه در خلوت باشد نیز دلیلش مشخص است، چون در انظار عمومی، شخص را بدنام کرده و موجب رفتن آبرویش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توصیه می‌کند که اگر حاکمی را موعظه می‌کنید باید در خلوت باشد</w:t>
      </w:r>
      <w:r>
        <w:rPr>
          <w:rFonts w:eastAsia="IRNazanin" w:cs="IRNazanin"/>
          <w:color w:val="111111"/>
          <w:sz w:val="28"/>
          <w:szCs w:val="28"/>
          <w:rtl w:val="true"/>
          <w:lang w:bidi="fa-IR"/>
        </w:rPr>
        <w:t xml:space="preserve">. </w:t>
      </w:r>
      <w:bookmarkStart w:id="107" w:name="pg8666_122290"/>
    </w:p>
    <w:p>
      <w:pPr>
        <w:pStyle w:val="Heading5"/>
        <w:numPr>
          <w:ilvl w:val="4"/>
          <w:numId w:val="1"/>
        </w:numPr>
        <w:rPr/>
      </w:pPr>
      <w:bookmarkStart w:id="108" w:name="__RefHeading___Toc2419522_653776707"/>
      <w:bookmarkStart w:id="109" w:name="_Toc41"/>
      <w:bookmarkEnd w:id="107"/>
      <w:bookmarkEnd w:id="108"/>
      <w:r>
        <w:rPr>
          <w:rtl w:val="true"/>
        </w:rPr>
        <w:t>ب</w:t>
      </w:r>
      <w:r>
        <w:rPr>
          <w:rtl w:val="true"/>
        </w:rPr>
        <w:t xml:space="preserve">) </w:t>
      </w:r>
      <w:r>
        <w:rPr>
          <w:rtl w:val="true"/>
        </w:rPr>
        <w:t>ارزیابی</w:t>
      </w:r>
      <w:bookmarkEnd w:id="109"/>
    </w:p>
    <w:p>
      <w:pPr>
        <w:pStyle w:val="BookText"/>
        <w:rPr/>
      </w:pPr>
      <w:r>
        <w:rPr>
          <w:rFonts w:ascii="IRNazanin" w:hAnsi="IRNazanin" w:eastAsia="IRNazanin"/>
          <w:color w:val="111111"/>
          <w:sz w:val="28"/>
          <w:sz w:val="28"/>
          <w:szCs w:val="28"/>
          <w:rtl w:val="true"/>
          <w:lang w:bidi="fa-IR"/>
        </w:rPr>
        <w:t>شگفت‌آور است که مایکل کوک کمتر به سراغ روایات و سیره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این مورد از موارد نادر کتاب ایشان است که در اصل اول از امام چهارم امامیه نام می‌برد، درحالی‌که از حسن بصری و اوزاعی، ابوحنیفه و دیگر بزرگان سنّیان بارها بحث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سه اصلی که نویسنده در این قسمت به آنها اشاره می‌کند، از اموری است که به‌طور مفصل در مباحث بعدی، هر مذهبی نسبت به آن موضع خود را اعلام می‌کند و اینجا فرصت تفصیل آن نیست</w:t>
      </w:r>
      <w:r>
        <w:rPr>
          <w:rFonts w:eastAsia="IRNazanin" w:cs="IRNazanin"/>
          <w:color w:val="111111"/>
          <w:sz w:val="28"/>
          <w:szCs w:val="28"/>
          <w:rtl w:val="true"/>
          <w:lang w:bidi="fa-IR"/>
        </w:rPr>
        <w:t>.</w:t>
      </w:r>
    </w:p>
    <w:p>
      <w:pPr>
        <w:pStyle w:val="Heading4"/>
        <w:numPr>
          <w:ilvl w:val="3"/>
          <w:numId w:val="1"/>
        </w:numPr>
        <w:rPr/>
      </w:pPr>
      <w:bookmarkStart w:id="110" w:name="__RefHeading___Toc2419524_653776707"/>
      <w:bookmarkStart w:id="111" w:name="_Toc42"/>
      <w:bookmarkEnd w:id="110"/>
      <w:r>
        <w:rPr>
          <w:rtl w:val="true"/>
        </w:rPr>
        <w:t>مطلب چهارم</w:t>
      </w:r>
      <w:r>
        <w:rPr>
          <w:rtl w:val="true"/>
        </w:rPr>
        <w:t xml:space="preserve">: </w:t>
      </w:r>
      <w:r>
        <w:rPr>
          <w:rtl w:val="true"/>
        </w:rPr>
        <w:t>دفاع از زندگی خصوصی</w:t>
      </w:r>
      <w:bookmarkEnd w:id="111"/>
    </w:p>
    <w:p>
      <w:pPr>
        <w:pStyle w:val="Heading5"/>
        <w:numPr>
          <w:ilvl w:val="4"/>
          <w:numId w:val="1"/>
        </w:numPr>
        <w:rPr/>
      </w:pPr>
      <w:bookmarkStart w:id="112" w:name="__RefHeading___Toc2419526_653776707"/>
      <w:bookmarkStart w:id="113" w:name="_Toc43"/>
      <w:bookmarkEnd w:id="112"/>
      <w:r>
        <w:rPr>
          <w:rtl w:val="true"/>
        </w:rPr>
        <w:t>الف</w:t>
      </w:r>
      <w:r>
        <w:rPr>
          <w:rtl w:val="true"/>
        </w:rPr>
        <w:t xml:space="preserve">) </w:t>
      </w:r>
      <w:r>
        <w:rPr>
          <w:rtl w:val="true"/>
        </w:rPr>
        <w:t>گزارش</w:t>
      </w:r>
      <w:bookmarkEnd w:id="113"/>
    </w:p>
    <w:p>
      <w:pPr>
        <w:pStyle w:val="BookText"/>
        <w:rPr/>
      </w:pPr>
      <w:r>
        <w:rPr>
          <w:rFonts w:ascii="IRNazanin" w:hAnsi="IRNazanin" w:eastAsia="IRNazanin"/>
          <w:color w:val="111111"/>
          <w:sz w:val="28"/>
          <w:sz w:val="28"/>
          <w:szCs w:val="28"/>
          <w:rtl w:val="true"/>
          <w:lang w:bidi="fa-IR"/>
        </w:rPr>
        <w:t>بعد از بررسی امر به معروف و نهی از منکر در صدر اسلام و وجود امر به معروف در برابر حکومت و رویارویی با جامعه، بحث دیگری که مایکل روی آن انگشت می‌گذارد، زندگی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از نظر اسلام مقوله خاصی در این مورد وجود ندارد، اما سه عنوان دیگر می‌تواند بر حریم خصوصی منطبق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تجسس و نهی از کنجکاوی و جاسوسی، همان‌گونه 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اجْتَنِبُوا كَثِيرًا مِنْ الظَّنِّ إِنَّ بَعْضَ الظَّنِّ إِثْمٌ وَلَا تَجَسَّسُوا وَلَا يَغْتَبْ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هتک حرمت مسلمان که نباید افشا شود و حدیث نبوی به آن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 ورود به خانه کسی بدون اجازه صاحب خانه که در آیات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الْبِرُّ بِأَنْ تَأْتُوا الْبُيُوتَ مِنْ ظُهُورِهَا وَلَكِنَّ الْبِرَّ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بُيُوتًا غَيْرَ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شده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مایکل برخی از مواردی را که سه اصل بالا به آن اشاره دارد،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ابن‌مسعود درباره مردی که ریش او خیس شراب بود، سؤال شد و ایشان جواب داد که </w:t>
      </w:r>
      <w:bookmarkStart w:id="114" w:name="pg8666_122292"/>
    </w:p>
    <w:p>
      <w:pPr>
        <w:pStyle w:val="BookText"/>
        <w:rPr/>
      </w:pPr>
      <w:bookmarkEnd w:id="114"/>
      <w:r>
        <w:rPr>
          <w:rFonts w:ascii="IRNazanin" w:hAnsi="IRNazanin" w:eastAsia="IRNazanin"/>
          <w:color w:val="111111"/>
          <w:sz w:val="28"/>
          <w:sz w:val="28"/>
          <w:szCs w:val="28"/>
          <w:rtl w:val="true"/>
          <w:lang w:bidi="fa-IR"/>
        </w:rPr>
        <w:t>خداوند جاسوسی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وقتی برای‌مان آشکار شد، نهی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موارد دیگری را که تا گناه کسی آشکار نشده از نهی از منکر خودداری می‌شود، برمی‌شمارد، مانند قضیه عُقبة‌بن عامر جهنی صحابی و روایت او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رازداری مثل نجات جان دختر زنده به گور شده است و قضایای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ادامه به قضیه عمربن‌خطاب اشاره و داستانی را از قول غزالی در احیاء العلوم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خليفه‌ای كه در منابع اهل سنت به‌صورت مرد خوش قلبی تصور شده؛ امّا مايل است پا را از گليم خود بيرون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از ديوار خانۀ مردی بالا می‌رود و وارد خانۀ او می‌شود و مرد را سرگرم گناه می‌بيند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تندی به او می‌گويد كه اگر من يک گناه كرده‌ام، ولیدر حقيقت او مرتكب سه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جاسوسی كرده است، در‌حالی‌كه خداوند می‌فرمايد در کارهای پنهانی دیگران جست‌وجو نکنید؛ ثانیاً از پشت بام وارد خانه شده است، درحالی‌که خداوند می‌فرماید از درها به خانه درآیید؛ ثالثاً بدون سلام وارد خانه شده است، درحالی‌که خداوند می‌فرماید قبل از ورود به اهل خانه سلام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از کار خود پشیمان شده و مرد را به حال خودش وامی‌گذارد و می‌گوید باید از کارش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به نظر نویسنده، موضع‌گیری به نفع زندگی خصوصی با عنصر خصومت و بی‌اعتمادی به حکومت تقویت می‌شود</w:t>
      </w:r>
      <w:r>
        <w:rPr>
          <w:rFonts w:eastAsia="IRNazanin" w:cs="IRNazanin"/>
          <w:color w:val="111111"/>
          <w:sz w:val="28"/>
          <w:szCs w:val="28"/>
          <w:rtl w:val="true"/>
          <w:lang w:bidi="fa-IR"/>
        </w:rPr>
        <w:t>.</w:t>
      </w:r>
    </w:p>
    <w:p>
      <w:pPr>
        <w:pStyle w:val="Heading5"/>
        <w:numPr>
          <w:ilvl w:val="4"/>
          <w:numId w:val="1"/>
        </w:numPr>
        <w:rPr/>
      </w:pPr>
      <w:bookmarkStart w:id="115" w:name="__RefHeading___Toc2419528_653776707"/>
      <w:bookmarkStart w:id="116" w:name="_Toc44"/>
      <w:bookmarkEnd w:id="115"/>
      <w:r>
        <w:rPr>
          <w:rtl w:val="true"/>
        </w:rPr>
        <w:t>ب</w:t>
      </w:r>
      <w:r>
        <w:rPr>
          <w:rtl w:val="true"/>
        </w:rPr>
        <w:t xml:space="preserve">) </w:t>
      </w:r>
      <w:r>
        <w:rPr>
          <w:rtl w:val="true"/>
        </w:rPr>
        <w:t>ارزیابی</w:t>
      </w:r>
      <w:bookmarkEnd w:id="116"/>
    </w:p>
    <w:p>
      <w:pPr>
        <w:pStyle w:val="BookText"/>
        <w:rPr/>
      </w:pPr>
      <w:r>
        <w:rPr>
          <w:rFonts w:ascii="IRNazanin" w:hAnsi="IRNazanin" w:eastAsia="IRNazanin"/>
          <w:color w:val="111111"/>
          <w:sz w:val="28"/>
          <w:sz w:val="28"/>
          <w:szCs w:val="28"/>
          <w:rtl w:val="true"/>
          <w:lang w:bidi="fa-IR"/>
        </w:rPr>
        <w:t>مطالبی که در مورد حریم خصوصی در این قسمت ذکر شده، بسیار مهم و از این جهت قابل قبول است که اصطلاح حریم خصوصی به آن معنا و مفهومی که در غرب رایج است، در اندیشه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این مطلب مهم و قصّه خلیفه دوم در تحلیل فصول پایانی کتاب اشاره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 قسمت شایان توجه است و می‌توان به آن اشارت داشت، آن است که نویسنده بین احترام به زندگی خصوصی و تقویت خصومت و بی‌اعتمادی به حکومت، همواره رابطه ملازمه و علّی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معتقد است حکومت‌ها برای پیشبرد اهداف </w:t>
      </w:r>
      <w:bookmarkStart w:id="117" w:name="pg8666_122294"/>
    </w:p>
    <w:p>
      <w:pPr>
        <w:pStyle w:val="BookText"/>
        <w:rPr/>
      </w:pPr>
      <w:bookmarkEnd w:id="117"/>
      <w:r>
        <w:rPr>
          <w:rFonts w:ascii="IRNazanin" w:hAnsi="IRNazanin" w:eastAsia="IRNazanin"/>
          <w:color w:val="111111"/>
          <w:sz w:val="28"/>
          <w:sz w:val="28"/>
          <w:szCs w:val="28"/>
          <w:rtl w:val="true"/>
          <w:lang w:bidi="fa-IR"/>
        </w:rPr>
        <w:t>خود، تحمّل زندگی خصوصی و حفظ و تقویت آن را ندارند و همواره برای حفظ قدرت و موقعیت خود حاضرند که به زندگی خصوصی مردم سرک بکشند و به هر بهانه‌ای چارچوب‌های حیات فردی مردم را درنوردند و در معرض مخاطره قرار دهند و این مطلبی است که نیازمند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حکومت‌های فاسد، مستبد و ستم‌پیشه شاید چنین رابطه‌ای حاکم باشد، ولی بر اساس ملاک‌هایی که برای حکومت صالح و عادل برشمرده می‌شود، حکومت عادل و صالح باید خودش مدافع سرسخت احترام به زندگی خصوصی به معنای اسلامی آن باشد و چنین نیست که احترام به آن موجب تقویت بی‌اعتمادی و خصومت با حکومت گردد، بلکه برعکس، احترام به زندگی خصوصی، موجب تقویت پایه و اساس نظام سیاسی عادلانه و شایسته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 اساس نوع حکومت و مشروعیت و اعتبار و عدالت، این مقوله را ملاحظه کردکه آیا احترام به زندگی خصوصی تقویت خصومت نسبت به حکومت را به همراه دارد یا تقویت دوستی و موالات نسبت به آن را؟ در واقع، این مأموریت حکومت است که باید مدافع حریم زندگی مردم باشد و نگذارد عده‌ای به نام نهی از منکر، به اقدامات خلاف شرع همچون تجسّس، هتک حرمت و آبروی مردم و مانند آنها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ادامه، در ارزیابی فصول آینده به مباحث بیشتری پیرامون مصطلح حریم خصوصی که واژۀ وارداتی است خواهیم پرداخت</w:t>
      </w:r>
      <w:r>
        <w:rPr>
          <w:rFonts w:eastAsia="IRNazanin" w:cs="IRNazanin"/>
          <w:color w:val="111111"/>
          <w:sz w:val="28"/>
          <w:szCs w:val="28"/>
          <w:rtl w:val="true"/>
          <w:lang w:bidi="fa-IR"/>
        </w:rPr>
        <w:t>.</w:t>
      </w:r>
    </w:p>
    <w:p>
      <w:pPr>
        <w:pStyle w:val="Heading4"/>
        <w:numPr>
          <w:ilvl w:val="3"/>
          <w:numId w:val="1"/>
        </w:numPr>
        <w:rPr/>
      </w:pPr>
      <w:bookmarkStart w:id="118" w:name="__RefHeading___Toc2419530_653776707"/>
      <w:bookmarkStart w:id="119" w:name="_Toc45"/>
      <w:bookmarkEnd w:id="118"/>
      <w:r>
        <w:rPr>
          <w:rtl w:val="true"/>
        </w:rPr>
        <w:t>مطلب پنجم</w:t>
      </w:r>
      <w:r>
        <w:rPr>
          <w:rtl w:val="true"/>
        </w:rPr>
        <w:t xml:space="preserve">: </w:t>
      </w:r>
      <w:r>
        <w:rPr>
          <w:rtl w:val="true"/>
        </w:rPr>
        <w:t>مشارکت زنان در امر به معروف و نهی از منکر</w:t>
      </w:r>
      <w:bookmarkEnd w:id="119"/>
    </w:p>
    <w:p>
      <w:pPr>
        <w:pStyle w:val="Heading5"/>
        <w:numPr>
          <w:ilvl w:val="4"/>
          <w:numId w:val="1"/>
        </w:numPr>
        <w:rPr/>
      </w:pPr>
      <w:bookmarkStart w:id="120" w:name="__RefHeading___Toc2419532_653776707"/>
      <w:bookmarkStart w:id="121" w:name="_Toc46"/>
      <w:bookmarkEnd w:id="120"/>
      <w:r>
        <w:rPr>
          <w:rtl w:val="true"/>
        </w:rPr>
        <w:t>الف</w:t>
      </w:r>
      <w:r>
        <w:rPr>
          <w:rtl w:val="true"/>
        </w:rPr>
        <w:t xml:space="preserve">) </w:t>
      </w:r>
      <w:r>
        <w:rPr>
          <w:rtl w:val="true"/>
        </w:rPr>
        <w:t>گزارش</w:t>
      </w:r>
      <w:bookmarkEnd w:id="1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مایکل در آخر فصل چهارم به آن اشاره می‌کند، این است که آیا نهی از منکر تنها وظیفه مردان بوده است یا زنان نیز در این امر مشارکت داشته‌اند؟ ایشان می‌نویسد که در صدر اسلام زنان نیز امر به معروف و نهی از منکر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منبع حنبلی‌ها آدرس می‌دهد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سمراء بنت نهیک تازیانه‌ای در دست داشته و با آن مردم را گوشمالی می‌داده و آنان را نهی از منکر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تاریخ‌نگاران صدر اسلام در احوال آن </w:t>
      </w:r>
      <w:bookmarkStart w:id="122" w:name="pg8666_122296"/>
    </w:p>
    <w:p>
      <w:pPr>
        <w:pStyle w:val="BookText"/>
        <w:rPr/>
      </w:pPr>
      <w:bookmarkEnd w:id="122"/>
      <w:r>
        <w:rPr>
          <w:rFonts w:ascii="IRNazanin" w:hAnsi="IRNazanin" w:eastAsia="IRNazanin"/>
          <w:color w:val="111111"/>
          <w:sz w:val="28"/>
          <w:sz w:val="28"/>
          <w:szCs w:val="28"/>
          <w:rtl w:val="true"/>
          <w:lang w:bidi="fa-IR"/>
        </w:rPr>
        <w:t>زن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بنی‌اسد بوده و عمری درازی داشته و به این کار مشغول بوده است؛ اما اینکه این زن از طرف حکومت بوده و منصب حکومتی داشته یا نه، خیلی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زنی به نام شفاء العدویّه اشاره می‌کند که از طرف عمربن‌خطاب به کار امر به معروف و نهی از منکر گماشته شده بوده و مردم را نهی از منکر می‌کرده است و از شخصی به نام سلیمان‌بن‌مهران اعمش نام می‌برد که آدمی بداخلاقی بوده و مشهور است که سگی داشته و با آن همه را به وحشت می‌انداخته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می‌بیند که سگش مرده است، وقتی چشمش به سگ می‌افتد،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نهی از منکر می‌کرد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فصل چهارم، نویسنده دو چیز را در مورد آمران به معروف و ناهیان از منکر، مبهم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چه طبقه ای از مردم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فکری به کدام مذهب و نحله گرایش داشتند؟ شاید از فصول بعدی پاسخ این پرسش‌ها به دست آید</w:t>
      </w:r>
      <w:r>
        <w:rPr>
          <w:rFonts w:eastAsia="IRNazanin" w:cs="IRNazanin"/>
          <w:color w:val="111111"/>
          <w:sz w:val="28"/>
          <w:szCs w:val="28"/>
          <w:rtl w:val="true"/>
          <w:lang w:bidi="fa-IR"/>
        </w:rPr>
        <w:t>.</w:t>
      </w:r>
    </w:p>
    <w:p>
      <w:pPr>
        <w:pStyle w:val="Heading5"/>
        <w:numPr>
          <w:ilvl w:val="4"/>
          <w:numId w:val="1"/>
        </w:numPr>
        <w:rPr/>
      </w:pPr>
      <w:bookmarkStart w:id="123" w:name="__RefHeading___Toc2419534_653776707"/>
      <w:bookmarkStart w:id="124" w:name="_Toc47"/>
      <w:bookmarkEnd w:id="123"/>
      <w:r>
        <w:rPr>
          <w:rtl w:val="true"/>
        </w:rPr>
        <w:t>ب</w:t>
      </w:r>
      <w:r>
        <w:rPr>
          <w:rtl w:val="true"/>
        </w:rPr>
        <w:t xml:space="preserve">) </w:t>
      </w:r>
      <w:r>
        <w:rPr>
          <w:rtl w:val="true"/>
        </w:rPr>
        <w:t>ارزیابی</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مشارکت زنان در فریضه نهی از منکر چنانچه در مباحث پیش‌رو می‌آید، آشکار می‌گردد که ادله این فریضه، عمومیّت و اطلاق دارد و نشان می‌دهد این تکلیف تنها متوجه مردان نیست و با وجود شرایط آن، زنان نیز در شمول اطلاق زیر پوشش خواهند بود و چنانچه اندیشمند یا مذهبی از مذاهب برخلاف آن بیندیشد، دیدگاه وی مخالف ادله و شواهد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این حقیقت را از نظر دور داشت که هر یک از زن و مرد اقتضای ویژه‌ای خود را دارند و همچنان که با وجود اشتراک در تکالیف مثل اقامه نماز، انجام روزه، رفتن به حج، پرداخت خمس و زکات، قیام به جهاد و غیره، هر یک ویژگی‌هایی دارند که از دیگری متمایز است و این ویژگی‌ها در مورد نهی از منکر زنان 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به‌نظر می‌رسد جریان سگ سلیمان‌بن‌مهران اعمش، ضرورتی نداشت که چنین برجسته شود، درحالی‌که قضیه در واقع بوده است و سگ طبق تربیت صاحب خود اقدام می‌کند مانند سگ گله یا سگ نگهبان و یا سگ زنده‌یاب و الّا آن حیوان که تکلیفی ندارد و در دائرۀ یک بحث علمی قرار نمی‌گیرد</w:t>
      </w:r>
      <w:r>
        <w:rPr>
          <w:rFonts w:eastAsia="IRNazanin" w:cs="IRNazanin"/>
          <w:color w:val="111111"/>
          <w:sz w:val="28"/>
          <w:szCs w:val="28"/>
          <w:rtl w:val="true"/>
          <w:lang w:bidi="fa-IR"/>
        </w:rPr>
        <w:t xml:space="preserve">. </w:t>
      </w:r>
      <w:bookmarkStart w:id="125" w:name="pg8666_122299"/>
    </w:p>
    <w:p>
      <w:pPr>
        <w:pStyle w:val="Heading2"/>
        <w:numPr>
          <w:ilvl w:val="1"/>
          <w:numId w:val="1"/>
        </w:numPr>
        <w:rPr/>
      </w:pPr>
      <w:bookmarkStart w:id="126" w:name="__RefHeading___Toc2419536_653776707"/>
      <w:bookmarkStart w:id="127" w:name="_Toc48"/>
      <w:bookmarkEnd w:id="125"/>
      <w:bookmarkEnd w:id="126"/>
      <w:r>
        <w:rPr>
          <w:rtl w:val="true"/>
        </w:rPr>
        <w:t>بخش دوم</w:t>
      </w:r>
      <w:r>
        <w:rPr>
          <w:rtl w:val="true"/>
        </w:rPr>
        <w:t xml:space="preserve">: </w:t>
      </w:r>
      <w:r>
        <w:rPr>
          <w:rtl w:val="true"/>
        </w:rPr>
        <w:t>حنبلیان</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2419538_653776707"/>
      <w:bookmarkStart w:id="129" w:name="_Toc49"/>
      <w:bookmarkEnd w:id="128"/>
      <w:r>
        <w:rPr>
          <w:rtl w:val="true"/>
        </w:rPr>
        <w:t>اشاره</w:t>
      </w:r>
      <w:bookmarkEnd w:id="1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8666_122302"/>
      <w:bookmarkStart w:id="131" w:name="pg8666_122302"/>
      <w:bookmarkEnd w:id="131"/>
    </w:p>
    <w:p>
      <w:pPr>
        <w:pStyle w:val="Heading3"/>
        <w:numPr>
          <w:ilvl w:val="2"/>
          <w:numId w:val="1"/>
        </w:numPr>
        <w:rPr/>
      </w:pPr>
      <w:bookmarkStart w:id="132" w:name="pg8666_122302"/>
      <w:bookmarkStart w:id="133" w:name="__RefHeading___Toc2419540_653776707"/>
      <w:bookmarkStart w:id="134" w:name="_Toc50"/>
      <w:bookmarkEnd w:id="132"/>
      <w:bookmarkEnd w:id="133"/>
      <w:r>
        <w:rPr>
          <w:rtl w:val="true"/>
        </w:rPr>
        <w:t>گزارش و ارزیابی فصل پنجم</w:t>
      </w:r>
      <w:r>
        <w:rPr>
          <w:rtl w:val="true"/>
        </w:rPr>
        <w:t xml:space="preserve">: </w:t>
      </w:r>
      <w:r>
        <w:rPr>
          <w:rtl w:val="true"/>
        </w:rPr>
        <w:t>ابن‌حنبل</w:t>
      </w:r>
      <w:bookmarkEnd w:id="134"/>
    </w:p>
    <w:p>
      <w:pPr>
        <w:pStyle w:val="Heading4"/>
        <w:numPr>
          <w:ilvl w:val="3"/>
          <w:numId w:val="1"/>
        </w:numPr>
        <w:rPr/>
      </w:pPr>
      <w:bookmarkStart w:id="135" w:name="__RefHeading___Toc2419542_653776707"/>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گزارش و ارزیابی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ابن‌حنبل</w:t>
      </w:r>
      <w:r>
        <w:rPr>
          <w:rStyle w:val="FootnoteAnchor"/>
          <w:rtl w:val="true"/>
        </w:rPr>
        <w:footnoteReference w:id="26"/>
      </w:r>
    </w:p>
    <w:p>
      <w:pPr>
        <w:pStyle w:val="Heading4"/>
        <w:numPr>
          <w:ilvl w:val="3"/>
          <w:numId w:val="1"/>
        </w:numPr>
        <w:rPr/>
      </w:pPr>
      <w:bookmarkStart w:id="137" w:name="__RefHeading___Toc2419544_653776707"/>
      <w:bookmarkStart w:id="138" w:name="_Toc52"/>
      <w:bookmarkEnd w:id="137"/>
      <w:r>
        <w:rPr/>
        <w:t>1</w:t>
      </w:r>
      <w:r>
        <w:rPr>
          <w:rtl w:val="true"/>
        </w:rPr>
        <w:t xml:space="preserve">. </w:t>
      </w:r>
      <w:r>
        <w:rPr>
          <w:rtl w:val="true"/>
        </w:rPr>
        <w:t>مقدمه</w:t>
      </w:r>
      <w:bookmarkEnd w:id="138"/>
    </w:p>
    <w:p>
      <w:pPr>
        <w:pStyle w:val="Heading5"/>
        <w:numPr>
          <w:ilvl w:val="4"/>
          <w:numId w:val="1"/>
        </w:numPr>
        <w:rPr/>
      </w:pPr>
      <w:bookmarkStart w:id="139" w:name="__RefHeading___Toc2419546_653776707"/>
      <w:bookmarkStart w:id="140" w:name="_Toc53"/>
      <w:bookmarkEnd w:id="139"/>
      <w:r>
        <w:rPr>
          <w:rtl w:val="true"/>
        </w:rPr>
        <w:t>الف</w:t>
      </w:r>
      <w:r>
        <w:rPr>
          <w:rtl w:val="true"/>
        </w:rPr>
        <w:t xml:space="preserve">) </w:t>
      </w:r>
      <w:r>
        <w:rPr>
          <w:rtl w:val="true"/>
        </w:rPr>
        <w:t>گزارش</w:t>
      </w:r>
      <w:bookmarkEnd w:id="140"/>
    </w:p>
    <w:p>
      <w:pPr>
        <w:pStyle w:val="BookText"/>
        <w:rPr/>
      </w:pPr>
      <w:r>
        <w:rPr>
          <w:rFonts w:ascii="IRNazanin" w:hAnsi="IRNazanin" w:eastAsia="IRNazanin"/>
          <w:color w:val="111111"/>
          <w:sz w:val="28"/>
          <w:sz w:val="28"/>
          <w:szCs w:val="28"/>
          <w:rtl w:val="true"/>
          <w:lang w:bidi="fa-IR"/>
        </w:rPr>
        <w:t xml:space="preserve">به اعتقاد آقای مایکل کوک تحقیق درباره نهی از منکر مستلزم گردآوری مدارک است و آن را در اهل سنّت باید در کتاب‌های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شیعه باید در رساله‌های فقهی،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سیره و تاریخ اگرچه مفید است، ولی تصویری قاطع از این وظیفه ارائه نمی‌دهد، اگرچه حنبلیان به‌روشنی از این مورد استثنا هستند</w:t>
      </w:r>
      <w:r>
        <w:rPr>
          <w:rFonts w:eastAsia="IRNazanin" w:cs="IRNazanin"/>
          <w:color w:val="111111"/>
          <w:sz w:val="28"/>
          <w:szCs w:val="28"/>
          <w:rtl w:val="true"/>
          <w:lang w:bidi="fa-IR"/>
        </w:rPr>
        <w:t>.</w:t>
      </w:r>
    </w:p>
    <w:p>
      <w:pPr>
        <w:pStyle w:val="Heading5"/>
        <w:numPr>
          <w:ilvl w:val="4"/>
          <w:numId w:val="1"/>
        </w:numPr>
        <w:rPr/>
      </w:pPr>
      <w:bookmarkStart w:id="141" w:name="__RefHeading___Toc2419548_653776707"/>
      <w:bookmarkStart w:id="142" w:name="_Toc54"/>
      <w:bookmarkEnd w:id="141"/>
      <w:r>
        <w:rPr>
          <w:rtl w:val="true"/>
        </w:rPr>
        <w:t>ب</w:t>
      </w:r>
      <w:r>
        <w:rPr>
          <w:rtl w:val="true"/>
        </w:rPr>
        <w:t xml:space="preserve">) </w:t>
      </w:r>
      <w:r>
        <w:rPr>
          <w:rtl w:val="true"/>
        </w:rPr>
        <w:t>ارزیابی</w:t>
      </w:r>
      <w:bookmarkEnd w:id="142"/>
    </w:p>
    <w:p>
      <w:pPr>
        <w:pStyle w:val="BookText"/>
        <w:rPr/>
      </w:pPr>
      <w:r>
        <w:rPr>
          <w:rFonts w:ascii="IRNazanin" w:hAnsi="IRNazanin" w:eastAsia="IRNazanin"/>
          <w:color w:val="111111"/>
          <w:sz w:val="28"/>
          <w:sz w:val="28"/>
          <w:szCs w:val="28"/>
          <w:rtl w:val="true"/>
          <w:lang w:bidi="fa-IR"/>
        </w:rPr>
        <w:t>در مورد بخش دوم و فصل پنجم کتاب امر به معروف و نهی از منکر مایکل کوک چند نکته مهم و قابل تأمل مطرح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شروع کتاب و بخش اول آن، شروع خوبی است که با یک حادثه و یک داستان واقعی شروع می‌شود و ترتیب بخش اول آن هم مناسب به‌نظر می‌رسد و با اسم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هماهنگی دارد، ولی برعکس بخش اول، از بخش دوم که با حنبلیان شروع می‌شود و از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سرگذشت امر به معروف در این نحله می‌پردازد تا پایان کتاب که سخن از سایر مذاهب را برعهده دارد، از ترتیب منطقی مناسبی برخوردار نیست؛ زیرا اوّلاً هیچ توضیح و توجیهی برای بیان فلسفه تقدیم اندیشه حنبلیان ارائه نمی‌شود، درحالی‌که اگر ملاک مباحث کلامی باشد و اینکه متکلمان بحث از امر به معروف را در کتب کلام دنبال کرده‌اند، لازم بود پیش از حنبلیان که مذهبی فقهی است، نخست به مذاهب کلامی اهل حدیث و اختلاف معتزلی و اشعری پرداخته می‌شد، نه حنبلیان و اگر ملاک مذاهب فقهی باشد به این صورت که امر به معروف و نهی از منکر به‌عنوان فریضه‌ای از فرایض در فقه از آن بحث می‌شود، در این فرض لازم بود طبق ترتیب تاریخی پیشوایان مذاهب فقهی، بحث از حنفیان آغاز می‌شد؛ به‌ویژه آنکه قاطبۀ جهان اسلام، از جهت کثرت پیرو و همچنین از جهت عمق تأثیرگذاری، هیچ مذهب فقهی به مرتبۀ مذهب حنفیان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بسیار مناسب بود که شروع مباحث بخش دوم با حنبلیان نباشد مگر اینکه سرّی در شروع از حنبلیان وجود داشته که آن راز را نویسنده آشکار نکرده است؛ ولی گفتنی است در دهه‌های اخیر آنچه از حوادث خشونت‌بار و تروریستی و ارهاب در سراسر جهان از آمریکا تا اروپا و آسیا به‌ویژه در شرق آسیا مشاهده شده است، محور اساسی آن را مذهب وهّابی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 هم از ثمرات و فرزندان حنبلیان محسوب می‌شوند؛ بنابراین، می‌توان اذعان کرد بستر لازم برای رشد و توسعه تروریسم و خشونت از یک‌سو و جریان فکری سیاسی اسلام‌هراسی در تمدّن غربی و تحقق آرمان‌های جهان‌گرایانۀ گفتمان مقابله با اسلام اصیل، همچون دو تیغه‌ای یک قیچی، وامدار حرکت حنبلیان جدید است و این برجستگی بی‌بدیل است که از میان مذاهب دیگر اسلام نخست بحث امر به معروف و نهی از منکر حنبلیان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قدیم و جدید همواره در طول تاریخ تا زمان معاصر به اسم امر به معروف و نهی از منکر دست به خشونت و حرکت‌های افراطی و تندی زده‌اند که در مسیر اهداف و منافع و نقشه سرمایه‌داری و کاپیتالیسم بین‌المللی بوده و هست</w:t>
      </w:r>
      <w:r>
        <w:rPr>
          <w:rFonts w:eastAsia="IRNazanin" w:cs="IRNazanin"/>
          <w:color w:val="111111"/>
          <w:sz w:val="28"/>
          <w:szCs w:val="28"/>
          <w:rtl w:val="true"/>
          <w:lang w:bidi="fa-IR"/>
        </w:rPr>
        <w:t xml:space="preserve">. </w:t>
      </w:r>
      <w:bookmarkStart w:id="143" w:name="pg8666_122306"/>
    </w:p>
    <w:p>
      <w:pPr>
        <w:pStyle w:val="Heading4"/>
        <w:numPr>
          <w:ilvl w:val="3"/>
          <w:numId w:val="1"/>
        </w:numPr>
        <w:rPr/>
      </w:pPr>
      <w:bookmarkStart w:id="144" w:name="__RefHeading___Toc2419550_653776707"/>
      <w:bookmarkStart w:id="145" w:name="_Toc55"/>
      <w:bookmarkEnd w:id="143"/>
      <w:bookmarkEnd w:id="144"/>
      <w:r>
        <w:rPr>
          <w:rtl w:val="true"/>
        </w:rPr>
        <w:t>نگاهی به تاریخ حنبلیان</w:t>
      </w:r>
      <w:bookmarkEnd w:id="145"/>
    </w:p>
    <w:p>
      <w:pPr>
        <w:pStyle w:val="Heading4"/>
        <w:numPr>
          <w:ilvl w:val="3"/>
          <w:numId w:val="1"/>
        </w:numPr>
        <w:rPr/>
      </w:pPr>
      <w:bookmarkStart w:id="146" w:name="__RefHeading___Toc2419552_653776707"/>
      <w:bookmarkStart w:id="147" w:name="_Toc56"/>
      <w:bookmarkEnd w:id="146"/>
      <w:r>
        <w:rPr>
          <w:rtl w:val="true"/>
        </w:rPr>
        <w:t>الف</w:t>
      </w:r>
      <w:r>
        <w:rPr>
          <w:rtl w:val="true"/>
        </w:rPr>
        <w:t xml:space="preserve">) </w:t>
      </w:r>
      <w:r>
        <w:rPr>
          <w:rtl w:val="true"/>
        </w:rPr>
        <w:t>گزارش</w:t>
      </w:r>
      <w:bookmarkEnd w:id="147"/>
    </w:p>
    <w:p>
      <w:pPr>
        <w:pStyle w:val="Heading5"/>
        <w:numPr>
          <w:ilvl w:val="4"/>
          <w:numId w:val="1"/>
        </w:numPr>
        <w:rPr/>
      </w:pPr>
      <w:bookmarkStart w:id="148" w:name="__RefHeading___Toc2419554_653776707"/>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حنبلیان قدیم مردمی بودند که مطالب عینی 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می‌پسندیدند و از امور ذهنی و نظری و علوم غامض پرهیز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مبنا کتب خیلی قدیم حنبلی، شامل مسائلی است که در زندگی روزمرّه رخ می‌دهد و یا به ذهن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این پرسش و پاسخ‌ها را از ابن‌حنبل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جمع‌آوری کرده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کتاب یکی از منابع اصلی در مورد امر به معروف و نهی از منکر برای حنبلیان به حساب می‌آید و چاپ‌های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هرچند خیلی روشمند بحث نکرده؛ اما سادگی و صراحت و تنوع مطلب به‌گونه‌ای است که مردم می‌پسندند و مطالبی درباره امر به معروف و نهی از منکر از آن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سه عنوان توجه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یا زمینۀ انجام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با گناه</w:t>
      </w:r>
      <w:r>
        <w:rPr>
          <w:rFonts w:eastAsia="IRNazanin" w:cs="IRNazanin"/>
          <w:color w:val="111111"/>
          <w:sz w:val="28"/>
          <w:szCs w:val="28"/>
          <w:rtl w:val="true"/>
          <w:lang w:bidi="fa-IR"/>
        </w:rPr>
        <w:t>.</w:t>
      </w:r>
    </w:p>
    <w:p>
      <w:pPr>
        <w:pStyle w:val="Heading5"/>
        <w:numPr>
          <w:ilvl w:val="4"/>
          <w:numId w:val="1"/>
        </w:numPr>
        <w:rPr/>
      </w:pPr>
      <w:bookmarkStart w:id="150" w:name="__RefHeading___Toc2419556_653776707"/>
      <w:bookmarkStart w:id="151" w:name="_Toc58"/>
      <w:bookmarkEnd w:id="150"/>
      <w:r>
        <w:rPr/>
        <w:t>1</w:t>
      </w:r>
      <w:r>
        <w:rPr>
          <w:rtl w:val="true"/>
        </w:rPr>
        <w:t xml:space="preserve">. </w:t>
      </w:r>
      <w:r>
        <w:rPr>
          <w:rtl w:val="true"/>
        </w:rPr>
        <w:t>تنوع گناهان</w:t>
      </w:r>
      <w:bookmarkEnd w:id="151"/>
    </w:p>
    <w:p>
      <w:pPr>
        <w:pStyle w:val="BookText"/>
        <w:rPr/>
      </w:pPr>
      <w:r>
        <w:rPr>
          <w:rFonts w:ascii="IRNazanin" w:hAnsi="IRNazanin" w:eastAsia="IRNazanin"/>
          <w:color w:val="111111"/>
          <w:sz w:val="28"/>
          <w:sz w:val="28"/>
          <w:szCs w:val="28"/>
          <w:rtl w:val="true"/>
          <w:lang w:bidi="fa-IR"/>
        </w:rPr>
        <w:t>در نوع گناه به سه گناهی که گستردگی بیشتر دارد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موسیقی مثل تنبور، طبل و عود و دفّ شامل انواع نوازندگی، ساخت، فروش، نگهداری و نگاه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شراب‌خوارگی در صدر گناهان بزرگ</w:t>
      </w:r>
      <w:r>
        <w:rPr>
          <w:rFonts w:eastAsia="IRNazanin" w:cs="IRNazanin"/>
          <w:color w:val="111111"/>
          <w:sz w:val="28"/>
          <w:szCs w:val="28"/>
          <w:rtl w:val="true"/>
          <w:lang w:bidi="fa-IR"/>
        </w:rPr>
        <w:t xml:space="preserve">. </w:t>
      </w:r>
      <w:bookmarkStart w:id="152" w:name="pg8666_122308"/>
    </w:p>
    <w:p>
      <w:pPr>
        <w:pStyle w:val="BookText"/>
        <w:rPr/>
      </w:pPr>
      <w:bookmarkEnd w:id="1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نامشروع جنسی که با معیارهای غربی و حتی بسیاری از معاصران ابن‌حنبل مسائل کم‌اهمیتی است و موضوع اصلی مسائل خانوادگی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پراکنده‌ای از خطا، شطرنج و مجسمه‌سازی و</w:t>
      </w:r>
      <w:r>
        <w:rPr>
          <w:rFonts w:eastAsia="IRNazanin" w:cs="IRNazanin"/>
          <w:color w:val="111111"/>
          <w:sz w:val="28"/>
          <w:szCs w:val="28"/>
          <w:rtl w:val="true"/>
          <w:lang w:bidi="fa-IR"/>
        </w:rPr>
        <w:t>... .</w:t>
      </w:r>
    </w:p>
    <w:p>
      <w:pPr>
        <w:pStyle w:val="Heading5"/>
        <w:numPr>
          <w:ilvl w:val="4"/>
          <w:numId w:val="1"/>
        </w:numPr>
        <w:rPr/>
      </w:pPr>
      <w:bookmarkStart w:id="153" w:name="__RefHeading___Toc2419558_653776707"/>
      <w:bookmarkStart w:id="154" w:name="_Toc59"/>
      <w:bookmarkEnd w:id="153"/>
      <w:r>
        <w:rPr/>
        <w:t>2</w:t>
      </w:r>
      <w:r>
        <w:rPr>
          <w:rtl w:val="true"/>
        </w:rPr>
        <w:t xml:space="preserve">. </w:t>
      </w:r>
      <w:r>
        <w:rPr>
          <w:rtl w:val="true"/>
        </w:rPr>
        <w:t>زمینۀ گناهان</w:t>
      </w:r>
      <w:bookmarkEnd w:id="154"/>
    </w:p>
    <w:p>
      <w:pPr>
        <w:pStyle w:val="BookText"/>
        <w:rPr/>
      </w:pPr>
      <w:r>
        <w:rPr>
          <w:rFonts w:ascii="IRNazanin" w:hAnsi="IRNazanin" w:eastAsia="IRNazanin"/>
          <w:color w:val="111111"/>
          <w:sz w:val="28"/>
          <w:sz w:val="28"/>
          <w:szCs w:val="28"/>
          <w:rtl w:val="true"/>
          <w:lang w:bidi="fa-IR"/>
        </w:rPr>
        <w:t>بعد از تقسیم‌بندی گناهان، به موقعیت و زمینه آن توجه شده است که این گناه یک وقتی در خانه و منزل، یک وقت دیگر در ملأ عام مانند خیابان، کوچه، بازار و مسجد و گاهی هم در یک جمع محدود و خانهۀ دیگران صورت می‌گیرد</w:t>
      </w:r>
      <w:r>
        <w:rPr>
          <w:rFonts w:eastAsia="IRNazanin" w:cs="IRNazanin"/>
          <w:color w:val="111111"/>
          <w:sz w:val="28"/>
          <w:szCs w:val="28"/>
          <w:rtl w:val="true"/>
          <w:lang w:bidi="fa-IR"/>
        </w:rPr>
        <w:t>.</w:t>
      </w:r>
    </w:p>
    <w:p>
      <w:pPr>
        <w:pStyle w:val="Heading5"/>
        <w:numPr>
          <w:ilvl w:val="4"/>
          <w:numId w:val="1"/>
        </w:numPr>
        <w:rPr/>
      </w:pPr>
      <w:bookmarkStart w:id="155" w:name="__RefHeading___Toc2419560_653776707"/>
      <w:bookmarkStart w:id="156" w:name="_Toc60"/>
      <w:bookmarkEnd w:id="155"/>
      <w:r>
        <w:rPr/>
        <w:t>3</w:t>
      </w:r>
      <w:r>
        <w:rPr>
          <w:rtl w:val="true"/>
        </w:rPr>
        <w:t xml:space="preserve">. </w:t>
      </w:r>
      <w:r>
        <w:rPr>
          <w:rtl w:val="true"/>
        </w:rPr>
        <w:t>واکنش نسبت به منکر</w:t>
      </w:r>
      <w:bookmarkEnd w:id="156"/>
    </w:p>
    <w:p>
      <w:pPr>
        <w:pStyle w:val="BookText"/>
        <w:rPr/>
      </w:pPr>
      <w:r>
        <w:rPr>
          <w:rFonts w:ascii="IRNazanin" w:hAnsi="IRNazanin" w:eastAsia="IRNazanin"/>
          <w:color w:val="111111"/>
          <w:sz w:val="28"/>
          <w:sz w:val="28"/>
          <w:szCs w:val="28"/>
          <w:rtl w:val="true"/>
          <w:lang w:bidi="fa-IR"/>
        </w:rPr>
        <w:t>در مورد برخورد با گناه، زنان و بردگان استثنا نشده است و این کار وظیفه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ابن‌حنبل قائل به سه مرحله‌بودن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مرحله قلبی و انجام در دل است، بعد مرحله زبانی است که امر و نهی و اصطلاحات دیگر مثل وعظ، نصیحت، نکوهش و فریاد را هم دربر‌می‌گیرد و آخرین روش، اقدام با دست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تنفر قلبی از همه مقدم است، بعد تذکر زبانی و بعد هم مرحله عملی فرا می‌رسد که ممکن است در برخی موارد منجر به شکستن آلات موسیقی و ریختن شراب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شامل اقدام به ترساندن گناهکار یا کتک زدن جوانان سرکش می‌شود و اگر نتیجه‌بخش نبود محل انجام گناه را باید ترک نمود، ولی اگر ممکن است از کمک دیگران استفاده کند</w:t>
      </w:r>
      <w:r>
        <w:rPr>
          <w:rFonts w:eastAsia="IRNazanin" w:cs="IRNazanin"/>
          <w:color w:val="111111"/>
          <w:sz w:val="28"/>
          <w:szCs w:val="28"/>
          <w:rtl w:val="true"/>
          <w:lang w:bidi="fa-IR"/>
        </w:rPr>
        <w:t>.</w:t>
      </w:r>
    </w:p>
    <w:p>
      <w:pPr>
        <w:pStyle w:val="Heading5"/>
        <w:numPr>
          <w:ilvl w:val="4"/>
          <w:numId w:val="1"/>
        </w:numPr>
        <w:rPr/>
      </w:pPr>
      <w:bookmarkStart w:id="157" w:name="__RefHeading___Toc2419562_653776707"/>
      <w:bookmarkStart w:id="158" w:name="_Toc61"/>
      <w:bookmarkEnd w:id="157"/>
      <w:r>
        <w:rPr/>
        <w:t>4</w:t>
      </w:r>
      <w:r>
        <w:rPr>
          <w:rtl w:val="true"/>
        </w:rPr>
        <w:t xml:space="preserve">. </w:t>
      </w:r>
      <w:r>
        <w:rPr>
          <w:rtl w:val="true"/>
        </w:rPr>
        <w:t>شرایط نهی از منکر</w:t>
      </w:r>
      <w:bookmarkEnd w:id="158"/>
    </w:p>
    <w:p>
      <w:pPr>
        <w:pStyle w:val="BookText"/>
        <w:rPr/>
      </w:pPr>
      <w:r>
        <w:rPr>
          <w:rFonts w:ascii="IRNazanin" w:hAnsi="IRNazanin" w:eastAsia="IRNazanin"/>
          <w:color w:val="111111"/>
          <w:sz w:val="28"/>
          <w:sz w:val="28"/>
          <w:szCs w:val="28"/>
          <w:rtl w:val="true"/>
          <w:lang w:bidi="fa-IR"/>
        </w:rPr>
        <w:t>شرایطی را که حنبلی‌ها برای نهی از منکر مورد توجه قرار می‌دهند،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به خطر افتادن امنیّت یعنی جان آمر به معروف و ناهی از منکر در خطر نباشد؛</w:t>
      </w:r>
      <w:bookmarkStart w:id="159" w:name="pg8666_122311"/>
    </w:p>
    <w:p>
      <w:pPr>
        <w:pStyle w:val="BookText"/>
        <w:rPr/>
      </w:pPr>
      <w:bookmarkEnd w:id="1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یعنی نهی از منکر بر مخاطبان مؤثر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زندگی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نبود این شرایط، امر به معروف و نهی از منکر ساقط خواهد شد؛ ازاین‌رو، محتسب نباید وارد منزل مردم شود و از آنچه آشکار نیست تحقیق کند</w:t>
      </w:r>
      <w:r>
        <w:rPr>
          <w:rFonts w:eastAsia="IRNazanin" w:cs="IRNazanin"/>
          <w:color w:val="111111"/>
          <w:sz w:val="28"/>
          <w:szCs w:val="28"/>
          <w:rtl w:val="true"/>
          <w:lang w:bidi="fa-IR"/>
        </w:rPr>
        <w:t>.</w:t>
      </w:r>
    </w:p>
    <w:p>
      <w:pPr>
        <w:pStyle w:val="Heading5"/>
        <w:numPr>
          <w:ilvl w:val="4"/>
          <w:numId w:val="1"/>
        </w:numPr>
        <w:rPr/>
      </w:pPr>
      <w:bookmarkStart w:id="160" w:name="__RefHeading___Toc2419564_653776707"/>
      <w:bookmarkStart w:id="161" w:name="_Toc62"/>
      <w:bookmarkEnd w:id="160"/>
      <w:r>
        <w:rPr/>
        <w:t>5</w:t>
      </w:r>
      <w:r>
        <w:rPr>
          <w:rtl w:val="true"/>
        </w:rPr>
        <w:t xml:space="preserve">. </w:t>
      </w:r>
      <w:r>
        <w:rPr>
          <w:rtl w:val="true"/>
        </w:rPr>
        <w:t>حکومت</w:t>
      </w:r>
      <w:bookmarkEnd w:id="161"/>
    </w:p>
    <w:p>
      <w:pPr>
        <w:pStyle w:val="BookText"/>
        <w:rPr/>
      </w:pPr>
      <w:r>
        <w:rPr>
          <w:rFonts w:ascii="IRNazanin" w:hAnsi="IRNazanin" w:eastAsia="IRNazanin"/>
          <w:color w:val="111111"/>
          <w:sz w:val="28"/>
          <w:sz w:val="28"/>
          <w:szCs w:val="28"/>
          <w:rtl w:val="true"/>
          <w:lang w:bidi="fa-IR"/>
        </w:rPr>
        <w:t>در بین حنبلیان قدیم دو چیز به‌روشنی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تلویحاً و دیگری به‌صراحت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قبال اکثریت فاسد جامعه، دنبال دردسر نیستند و معتقدند که اگر امکاناتی نداشتید، وظیفه ندارید اقدام کنید و کاری خودسرانه انجام دهید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به‌طور صریح با حکومت و دستگاه حاکم رویارویی ندارند، اگرچه رابطه‌ای هم با حکومت ندارند، چون معتقدند شمشیر حاکم برهنه است و نباید با او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اطاعت از حاکم را مقرر نموده است، پس بهتر است که از سر راه او 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شخصی اگر توانستید به‌صورت موردی انجام دهید، ولی خبردادن به حکومت، کار را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حکومت در قبال گناهکار، زیاده‌روی نماید، پس در امر به معروف و نهی از منکر شریک نسازید و از حکومت کمک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به‌همین‌دلیل، نام احمدبن‌حنبل در هیچ شورشی وجود ندارد، نه شورش علیه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جامعه بغداد شورش‌های متعدّدی به اسم نهی از منکر، در زمان ابن‌حنبل، انجام گرفت، ولی او برکنار بود و فکر او، نماینده جامعه شهری که به آن تعلق داشت،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وجهه سیاسی وی زندگی کردن در بغداد بوده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احمدبن‌حنبل با بقیۀ جامعه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محدوده شمال غربی بغداد می‌زیسته و کوچه او بن‌بست بوده است؛ ازاین‌رو، برای بستن درب خانه به روی کسی، آسان بود درب کوچه را ببندد تا راه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کوچه منزل عمو و پسرعمو و دو فرزندش، صالح 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نماز جمعه و جماعات شرکت می‌کرد، اما بعداً در خانه به‌صورت فرادی نمازش را اعاده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اطاعت محض را از خلیفه </w:t>
      </w:r>
      <w:bookmarkStart w:id="162" w:name="pg8666_122312"/>
    </w:p>
    <w:p>
      <w:pPr>
        <w:pStyle w:val="BookText"/>
        <w:rPr/>
      </w:pPr>
      <w:bookmarkEnd w:id="162"/>
      <w:r>
        <w:rPr>
          <w:rFonts w:ascii="IRNazanin" w:hAnsi="IRNazanin" w:eastAsia="IRNazanin"/>
          <w:color w:val="111111"/>
          <w:sz w:val="28"/>
          <w:sz w:val="28"/>
          <w:szCs w:val="28"/>
          <w:rtl w:val="true"/>
          <w:lang w:bidi="fa-IR"/>
        </w:rPr>
        <w:t>قبول داشت، جز در مواردی که معصیت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عقیده او نسبت به امر به معروف و نهی از منکر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طولانی محنت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خود ندید که در صدد رویارویی با حکومت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احمدبن‌حنبل به‌خاطر عقیده‌اش که قدیم‌شمردن کلام خداوند است، گرفتار شد و خودش آن را فتنة‌الدین نامید و بر اثر همکاری‌نکردن با حکومت و یورش‌بردن دستگاه حاکم به خانه‌اش، گرفتار حکم حاکم شد که خودش به آن فتنة‌الدنیا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احمدبن‌حنبل کار قیصر را به قیصر واگذاشت و این کلید عقیدۀ او نسبت به نهی از منکر است، ولی حکومت به دنیای او هجوم آورد و گرفتار فتنة‌الدین و فتنة‌الدنیا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معاصرانش او را به حال خود، رها نکردند، نسل‌های بعدی نیز نقشی را بر او تحمیل کردندکه خود به دنبال آن نبود؛ یعنی بنیان‌گذاری امتی متجاوز دینی که پیامد آن برهم‌زدن بنیادهای روش غیرسیاسی ابن‌حنبل است</w:t>
      </w:r>
      <w:r>
        <w:rPr>
          <w:rFonts w:eastAsia="IRNazanin" w:cs="IRNazanin"/>
          <w:color w:val="111111"/>
          <w:sz w:val="28"/>
          <w:szCs w:val="28"/>
          <w:rtl w:val="true"/>
          <w:lang w:bidi="fa-IR"/>
        </w:rPr>
        <w:t>.</w:t>
      </w:r>
    </w:p>
    <w:p>
      <w:pPr>
        <w:pStyle w:val="Heading4"/>
        <w:numPr>
          <w:ilvl w:val="3"/>
          <w:numId w:val="1"/>
        </w:numPr>
        <w:rPr/>
      </w:pPr>
      <w:bookmarkStart w:id="163" w:name="__RefHeading___Toc2419566_653776707"/>
      <w:bookmarkStart w:id="164" w:name="_Toc63"/>
      <w:bookmarkEnd w:id="163"/>
      <w:r>
        <w:rPr>
          <w:rtl w:val="true"/>
        </w:rPr>
        <w:t>ب</w:t>
      </w:r>
      <w:r>
        <w:rPr>
          <w:rtl w:val="true"/>
        </w:rPr>
        <w:t xml:space="preserve">) </w:t>
      </w:r>
      <w:r>
        <w:rPr>
          <w:rtl w:val="true"/>
        </w:rPr>
        <w:t>ارزیابی</w:t>
      </w:r>
      <w:bookmarkEnd w:id="164"/>
    </w:p>
    <w:p>
      <w:pPr>
        <w:pStyle w:val="BookText"/>
        <w:rPr/>
      </w:pPr>
      <w:r>
        <w:rPr>
          <w:rFonts w:ascii="IRNazanin" w:hAnsi="IRNazanin" w:eastAsia="IRNazanin"/>
          <w:color w:val="111111"/>
          <w:sz w:val="28"/>
          <w:sz w:val="28"/>
          <w:szCs w:val="28"/>
          <w:rtl w:val="true"/>
          <w:lang w:bidi="fa-IR"/>
        </w:rPr>
        <w:t>نویسنده محترم در پایان فصل پنجم، به نکته‌ای مهم اشاره می‌کند و آن اینکه احمدبن‌حنبل را نه معاصرانش و نه نسل‌های بعدی رها نکردند و نقش‌هایی را بر او تحمیل کردند که خود در جست‌وجوی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بنیان‌گذار و پیشوای امتّی مشهور و متجاوز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سرّ مطلب و علت اینکه پیروان مذاهب حنبلی تا حدودی از سایر مذاهب از جهت تعصب مذهبی متفاوت است، اشاره‌ای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در مورد شخصیّت احمدبن‌حنبل و مذهب و نگرش او در باب امر به معروف و نهی ازمنکر، از چند مطلب نمی‌توان غفلت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آنکه احمدبن‌حنبل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حدیثی و ظاهرگرا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انگیزۀ جمع‌آوری و نگارش حدیث به شهرهای مختلفی چون کوفه، بصره، مکه، مدینه</w:t>
      </w:r>
    </w:p>
    <w:p>
      <w:pPr>
        <w:pStyle w:val="BookText"/>
        <w:rPr/>
      </w:pPr>
      <w:r>
        <w:rPr>
          <w:rFonts w:ascii="IRNazanin" w:hAnsi="IRNazanin" w:eastAsia="IRNazanin"/>
          <w:color w:val="111111"/>
          <w:sz w:val="28"/>
          <w:sz w:val="28"/>
          <w:szCs w:val="28"/>
          <w:rtl w:val="true"/>
          <w:lang w:bidi="fa-IR"/>
        </w:rPr>
        <w:t xml:space="preserve">و شام سفر کرده و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چهل هزار حدیث تدوین کرده است که در آن انبوهی از روایات ضعیف 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ابن‌حنبل فقط به نوشتن حدیث معتقد بود و نظرات و فتاوای فقهی او بعدها توسط فرزندان و مریدانش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کتاب فقهی ننوشت و از این کار یعنی ننوشتن کتاب فقهی ناخشنود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زیربنای فقهی مذهب حنبلی، روایات و اقوال صحابه و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خبر واحد مطلقاً عمل می‌کرد و حتی در موردی که اقوال صحابه مختلف بود و نمی‌توانست یکی را بر دیگری ترجیح دهد، تمامی آن اقوال را علی‌رغم اختلاف و تفاوت نقل می‌کرد و همین موجب اضطراب در فقه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حنبلیان پیرو او هم همین سلوک را دنبال کردند؛ یعنی جمود و تعصّب بر اقوال صحابه و اعتبار خبر واحد به‌طور مطلق، بدون اینکه نسبت به اعتبار سند، دقت صورت گیرد؛ حتی بهعقیده ابن‌حنبل سنت بر قرآن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راوی معروف به کذب نباشد، در پذیرش روایت کافی است هرچند ضعیف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ظاهرگرایی و نص‌گرایی احمدبن‌حنبل و پیروان او را مایکل هم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تنها علوم قابل درک را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غامض را ردّ می‌کنند، از شاخصه‌های مذهب حنبلی است که به آن مایکل کوک هم اذعان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تمرکز بر این ویژگی‌ها و خصلت‌ها، آن بود که پیروان این مذهب، مجموعه‌ای از توده‌های جامعه باشند که از یک‌سو فکر تحلیلی و تعمق در امور علمی را برنمی‌تابند و ازسوی‌دیگر نسبت به ظاهر نصوص و اقوال گذشتگان جمود خاص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پذیرش چنین پایه و اساسی، نتیجه‌ای جز تعصب مذهبی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مایکل که می‌گوید ابن‌حنبل نقشی پیدا کرد که خود در جست‌وجوی آن نبود، با پایه و اساس این مذهب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هم این است که در جریان فتنه قدیم‌بودن کلام الهی، </w:t>
      </w:r>
    </w:p>
    <w:p>
      <w:pPr>
        <w:pStyle w:val="BookText"/>
        <w:rPr/>
      </w:pPr>
      <w:r>
        <w:rPr>
          <w:rFonts w:ascii="IRNazanin" w:hAnsi="IRNazanin" w:eastAsia="IRNazanin"/>
          <w:color w:val="111111"/>
          <w:sz w:val="28"/>
          <w:sz w:val="28"/>
          <w:szCs w:val="28"/>
          <w:rtl w:val="true"/>
          <w:lang w:bidi="fa-IR"/>
        </w:rPr>
        <w:t>او به هیچ وجه دست از عقیده خود برنداشت، با اینکه دستگاه خلافت عباسی و مأمون مخالف قدیم‌بودن کلام الهی بودند و حادث‌بودن آن را ترویج می‌کردند، ولی ابن‌حنبل زندان را به جان خرید و دست از عقیده خود برنداشت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آنکه در مورد دستگاه حکومت و رویارویی با آن، ابن‌حنبل اطاعت از حاکم را لازم می‌شمرد، اگرچه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اطاعت را بر خروج و قیام علیه حاکم برای جلوگیری از فتنه و کینه، ترجیح می‌دهد؛ حتی از او نقل نشده است که نصیحتی را به حکام زمان خویش بفرستد و وعظی را متوجه آنان کند، اگرچه از آنان اجتناب 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اصلاح رعیت و جامعه و توجیه و هدایت افراد به سمت سنت و تمسک به سیره سلف صالح بود و باور داشت که اصلاح جامعه به اصلاح راعی و زمامداران خواهد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روش و منهج از مبانی مهمی است که تأثیر ژرف در پیروان این مذهب داشته است؛ زیرا آنچه به تجربه در مقابل نظریۀ یادشدۀ ابن‌حنبل به اثبات رسیده، آن است که این نظام و دستگاه سیاسی است که مردم را در آداب و سلوک و فرهنگ همانند خود می‌کند و در روایات هم منعکس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بِأُمَرَائِهِمْ أَشْبَهُ مِنْهُمْ بِآبَائِهِم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إِذَا صَلَحَا صَلَحَتْ أُمَّتِي وَ إِذَا فَسَدَا فَسَدَتْ أُمَّتِي قِيلَ يَا رَسُولَ اللهِ 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الْأُمَرَاءُ</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ساده‌انگاری است که توهم شود دستگاه حاکم به حال خود رها شود و حتی موعظه و نصیحت در مورد آن انجام نپذیرد و نسبت به فساد و انحراف و بیداد نظام سلطه و گناهان بسیار مهم و تأثیرگذار آن اقدامی صورت نپذیرد و از شعاع امر به معروف و نهی از منکر بیرون باشد و به گناهان جزئی و موردی جامعه بسنده شود و نسبت به آن حساسیت </w:t>
      </w:r>
    </w:p>
    <w:p>
      <w:pPr>
        <w:pStyle w:val="BookText"/>
        <w:rPr/>
      </w:pPr>
      <w:r>
        <w:rPr>
          <w:rFonts w:ascii="IRNazanin" w:hAnsi="IRNazanin" w:eastAsia="IRNazanin"/>
          <w:color w:val="111111"/>
          <w:sz w:val="28"/>
          <w:sz w:val="28"/>
          <w:szCs w:val="28"/>
          <w:rtl w:val="true"/>
          <w:lang w:bidi="fa-IR"/>
        </w:rPr>
        <w:t>زیادی وجود داشته باشد؛ درحالی‌که چنانچه در فصول پایانی خواهد آمد، نهی از منکر سه شاخه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مردم به‌وسیلۀ حاکمان؛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مردم توسط خود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دولت به‌وسیلۀ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شاخه نهی از منکر، سومین شاخه آن است؛ درحالی‌که احمد‌بن‌حنبل طبق گزارش مایکل کوک، نه تنها به آن توجه نداشته است، بلکه برای دولت اگرچه فاسد و ظالم، وجوب اطاعت و مشروعیت قائل بوده است، مبنایی که باید آن را فاجعه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سوم اینکه در نتیجۀ مطالب اول و دوم از همان بدو پیدایش مذهب فقهی احمدبن‌حنبل که شاید بتوان آن را مذهبی متناسب با سلیقه عوام و ظاهرگرا و بدون عمق و فکر برشمرد، پیروانی متشدّد و سخت‌گیر، گرد این مذهب جمع شدند، به‌گونه‌ای که با دیگران بدون استفاده از حجت و برهان به مخالفت عملی برمی‌خواستند و به اسم امر به معروف و نهی از منکر بر مردم سخت‌گیری می‌کردند تا آنجا که یاران احمدبن‌حنبل چنین وصف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خشن، تقلّصت اخلاقهم عن المخالطة وغلظت طباعهم عن المداخلة وغلب علیهم الجدّ و قلّ عندهم الهزل وغربت نفوسهم عن ذلّ المراءاة و فزعوا عن الآراء الی الروایات وتمسّکوا بالظاهر تحرّجاً عن التأویل وغلبت علیهم الاعمال الصالحة فلم یدقّقوا فی العلوم الغامضة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گروهی خشن و تند بودند و خلق و خوی ایشان از ارتباط و پیوند با دیگران برحذر می‌بود و طبع آنها پیوند با مردمان دیگر را برنمی‌تابید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کلام آنان را سخن جدّی تشکیل می‌داد و از هزل و بیهوده‌گویی پرهیز داشتند و به دنبال ظاهرآرایی و ظاهرفریبی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اهل رأی و نظر باشند، به روایات و ظواهر آنها بسنده می‌کردند و از تأویل روایات اجتناب می‌نمودند و اهل دقّت و ژرف‌اندیشی در دانش‌های مشکل و پیچیده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اخلاقی و سلوک فکری و اندیشه پیروان ابن‌حنبل بوده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نمی‌توان سرنوشت قرون بعدی حنبلیان را از امام آنها جدا پنداشت، بلکه در یک تحلیل عالمانه و منصفانه باید ریشه آن حوادث را در مبانی و آرای رهبر و پیشوایان ایشان جست‌وجو کرد</w:t>
      </w:r>
      <w:r>
        <w:rPr>
          <w:rFonts w:eastAsia="IRNazanin" w:cs="IRNazanin"/>
          <w:color w:val="111111"/>
          <w:sz w:val="28"/>
          <w:szCs w:val="28"/>
          <w:rtl w:val="true"/>
          <w:lang w:bidi="fa-IR"/>
        </w:rPr>
        <w:t xml:space="preserve">. </w:t>
      </w:r>
      <w:bookmarkStart w:id="165" w:name="pg8666_122322"/>
    </w:p>
    <w:p>
      <w:pPr>
        <w:pStyle w:val="Heading3"/>
        <w:numPr>
          <w:ilvl w:val="2"/>
          <w:numId w:val="1"/>
        </w:numPr>
        <w:rPr/>
      </w:pPr>
      <w:bookmarkStart w:id="166" w:name="__RefHeading___Toc2419568_653776707"/>
      <w:bookmarkStart w:id="167" w:name="_Toc64"/>
      <w:bookmarkEnd w:id="165"/>
      <w:bookmarkEnd w:id="166"/>
      <w:r>
        <w:rPr>
          <w:rtl w:val="true"/>
        </w:rPr>
        <w:t>گزارش و ارزیابی فصل ششم</w:t>
      </w:r>
      <w:r>
        <w:rPr>
          <w:rtl w:val="true"/>
        </w:rPr>
        <w:t xml:space="preserve">: </w:t>
      </w:r>
      <w:r>
        <w:rPr>
          <w:rtl w:val="true"/>
        </w:rPr>
        <w:t>حنبلیان بغداد</w:t>
      </w:r>
      <w:bookmarkEnd w:id="167"/>
    </w:p>
    <w:p>
      <w:pPr>
        <w:pStyle w:val="Heading4"/>
        <w:numPr>
          <w:ilvl w:val="3"/>
          <w:numId w:val="1"/>
        </w:numPr>
        <w:rPr/>
      </w:pPr>
      <w:bookmarkStart w:id="168" w:name="__RefHeading___Toc2419570_653776707"/>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گزارش و ارزیابی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بغداد</w:t>
      </w:r>
      <w:r>
        <w:rPr>
          <w:rStyle w:val="FootnoteAnchor"/>
          <w:rtl w:val="true"/>
        </w:rPr>
        <w:footnoteReference w:id="32"/>
      </w:r>
    </w:p>
    <w:p>
      <w:pPr>
        <w:pStyle w:val="Heading4"/>
        <w:numPr>
          <w:ilvl w:val="3"/>
          <w:numId w:val="1"/>
        </w:numPr>
        <w:rPr/>
      </w:pPr>
      <w:bookmarkStart w:id="170" w:name="__RefHeading___Toc2419572_653776707"/>
      <w:bookmarkStart w:id="171" w:name="_Toc66"/>
      <w:bookmarkEnd w:id="170"/>
      <w:r>
        <w:rPr>
          <w:rtl w:val="true"/>
        </w:rPr>
        <w:t>الف</w:t>
      </w:r>
      <w:r>
        <w:rPr>
          <w:rtl w:val="true"/>
        </w:rPr>
        <w:t xml:space="preserve">) </w:t>
      </w:r>
      <w:r>
        <w:rPr>
          <w:rtl w:val="true"/>
        </w:rPr>
        <w:t>گزارش</w:t>
      </w:r>
      <w:bookmarkEnd w:id="171"/>
    </w:p>
    <w:p>
      <w:pPr>
        <w:pStyle w:val="Heading5"/>
        <w:numPr>
          <w:ilvl w:val="4"/>
          <w:numId w:val="1"/>
        </w:numPr>
        <w:rPr/>
      </w:pPr>
      <w:bookmarkStart w:id="172" w:name="__RefHeading___Toc2419574_653776707"/>
      <w:bookmarkStart w:id="173" w:name="_Toc67"/>
      <w:bookmarkEnd w:id="172"/>
      <w:r>
        <w:rPr/>
        <w:t>1</w:t>
      </w:r>
      <w:r>
        <w:rPr>
          <w:rtl w:val="true"/>
        </w:rPr>
        <w:t xml:space="preserve">. </w:t>
      </w:r>
      <w:r>
        <w:rPr>
          <w:rtl w:val="true"/>
        </w:rPr>
        <w:t>روش عملی حنبلیان</w:t>
      </w:r>
      <w:bookmarkEnd w:id="173"/>
    </w:p>
    <w:p>
      <w:pPr>
        <w:pStyle w:val="BookText"/>
        <w:rPr/>
      </w:pPr>
      <w:r>
        <w:rPr>
          <w:rFonts w:ascii="IRNazanin" w:hAnsi="IRNazanin" w:eastAsia="IRNazanin"/>
          <w:color w:val="111111"/>
          <w:sz w:val="28"/>
          <w:sz w:val="28"/>
          <w:szCs w:val="28"/>
          <w:rtl w:val="true"/>
          <w:lang w:bidi="fa-IR"/>
        </w:rPr>
        <w:t xml:space="preserve">مایکل کوک بعد از بررسی اوضاع و احوال زمان ابن‌حنبل، به بررسی روش عملی حنبلیان بغداد در آغاز قرن چهارم، پنجم و ششم می‌پردازد و خصوصاً قصه واعظی به نام 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شیخ مفید و دوره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بویهیین</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نویسنده شاهد چرخشی در رفتار حنبلی‌های بغداد هستیم و خشونت‌طلبی آنان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مایکل، از اوایل سده چهارم کارهای خشونت‌آمیز حنبلیان در کوچه و بازار فراگیر شد که با اعمال بربهاری واعظ و عوام‌فریبی ارتباطی نزدیک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در این دوره،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خاک‌سپاری ابوجعفر طبری، ناچار شدند به جرم و اتهام رافضی بودن، او را شبانه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دوره شروع </w:t>
      </w:r>
    </w:p>
    <w:p>
      <w:pPr>
        <w:pStyle w:val="BookText"/>
        <w:rPr/>
      </w:pPr>
      <w:r>
        <w:rPr>
          <w:rFonts w:ascii="IRNazanin" w:hAnsi="IRNazanin" w:eastAsia="IRNazanin"/>
          <w:color w:val="111111"/>
          <w:sz w:val="28"/>
          <w:sz w:val="28"/>
          <w:szCs w:val="28"/>
          <w:rtl w:val="true"/>
          <w:lang w:bidi="fa-IR"/>
        </w:rPr>
        <w:t>تجسّس در زندگی مردم از شراب و موسیقی و زنان رامشگر بود، به‌گونه‌ای که شرطه و پلیس برخی از آنها را به زندان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دوره بربهاری زائران کربلا را که شیعیان بودند، اذیت می‌کردند و جلو نوحه‌گری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شیعه‌ستیزی و مقابله با آنها را در دستور کار خود قرار دادند؛ خصوصاً بعد از دوره سلجوقیان این نزاع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تند حنبلیان حتی با اشعری‌ها نیز نزاع داشتند و هر گروهی دیگری را کافر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آنها با معتزلیان حتی بیش از اشاعره، ادامه داشت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حنبلیان این دوره از حکومت ترسی نداشتند، حتی به همکاری با حکومت نیز تمایل داشتند؛ البته با رأس حکومت و فساد خیلی درگیری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عمل‌گرایی سده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به نظر کوک، کاملاً متناقض با نگرش احمدبن‌حنبل است و باید این موضوع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برای توجیه این مشکل دو تحلیل را در این زمینه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پیروان در بغداد نسبت به دوره‌های قبل که موجب اعتماد به نفس آنها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یافتن مردم و ضعیف شدن خلافت و رخنه کردن حنبلیان در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گویا خلافت خیمه‌ای است که حنبلی‌ها طناب‌های آن خیمه‌اند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از این دوره، قصه‌ها و قضیه‌هایی را نقل کرده و آن را با دوران خود احمد‌بن‌حنبل یا همان حنبلیان قدیم که در کوچه بن‌بستی با همراهانش زندگی می‌کرده و کاری به کاری کسی نداشته است، مقایسه می‌کند؛ اما پسر احمد حنبل به نام صالح در اصفهان به منصب قضاوت می‌رسد و در مسجد جامع اصفهان از شرم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است که ابویعلی‌بن‌فرّاء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 منصب قضاوت تکیه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این وقتی با نام قاضی خطاب می‌شد ناراحت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بقال که یک زمان در شکستن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خواننده بدون عنایت به ارتباط او با مردم و لشکری نقش داشت، آن قدر به </w:t>
      </w:r>
      <w:bookmarkStart w:id="174" w:name="pg8666_122327"/>
    </w:p>
    <w:p>
      <w:pPr>
        <w:pStyle w:val="BookText"/>
        <w:rPr/>
      </w:pPr>
      <w:bookmarkEnd w:id="174"/>
      <w:r>
        <w:rPr>
          <w:rFonts w:ascii="IRNazanin" w:hAnsi="IRNazanin" w:eastAsia="IRNazanin"/>
          <w:color w:val="111111"/>
          <w:sz w:val="28"/>
          <w:sz w:val="28"/>
          <w:szCs w:val="28"/>
          <w:rtl w:val="true"/>
          <w:lang w:bidi="fa-IR"/>
        </w:rPr>
        <w:t>حاکم نزدیک شد که در حضور خلیفه مستظهر، حاکمان دیگر را موعظه و نصیحت می‌کند و در خطبه‌ای، در حضور خلیفه و نظام الملک، از انوشیروان پادشاه ساسانی یاد می‌کند و از این کار ابایی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تمیمی از علمای حنابله تا جایی پیشرفت که مقام ندیمی و سیاست‌مداری حاکم را به خود اختصاص داد، درحالی‌که پیش از آن لقب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 نماز جمعه به کار برده بود و این کار نشانی از نزدیک شدن حنبلی‌ها به دستگاه حاکمه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عسکر خلیفه عباسی مقتفی شد، ابن‌هُبیره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وزیر خلیفه بود و خلاصه در دهه‌های پایانی خلافت عباسی، علمای حنبلی بیشترین مناصب دولتی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واعظ مشهور رابطه‌اش با خلیفه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مورد علاقه مردم و هم خلیفه بود و خلیفه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در اختیار او گذاشت تا به گفتۀ مورّخان، تظاهرات غالیان شیعه را درهم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در قرن ششم حنبلیان بغداد بیش از هر زمان دیگر در حکومت ایفای نقش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هر چه بیشتر گرفتار حمایت حکومت شدند، نهی از منکر در میان آنها کم‌رنگ شد و در تاریخ جز مواردی اندک، نامی از آنها به میان نیامده 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75" w:name="__RefHeading___Toc2419576_653776707"/>
      <w:bookmarkStart w:id="176" w:name="_Toc68"/>
      <w:bookmarkEnd w:id="175"/>
      <w:r>
        <w:rPr/>
        <w:t>2</w:t>
      </w:r>
      <w:r>
        <w:rPr>
          <w:rtl w:val="true"/>
        </w:rPr>
        <w:t xml:space="preserve">. </w:t>
      </w:r>
      <w:r>
        <w:rPr>
          <w:rtl w:val="true"/>
        </w:rPr>
        <w:t>بینش فکری حنبلیان</w:t>
      </w:r>
      <w:bookmarkEnd w:id="17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مایکل کوک، بربهاری نظراتش در مورد نهی از منکر، شبیه ابن‌حنبل است؛ یعنی در صورت عدم ترس، باید با دست و زبان و دل، نهی از منکر کرد، اگرچه در عمل برخلاف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کشتۀ در راه نهی از منکر را شهید می‌داند</w:t>
      </w:r>
      <w:r>
        <w:rPr>
          <w:rFonts w:eastAsia="IRNazanin" w:cs="IRNazanin"/>
          <w:color w:val="111111"/>
          <w:sz w:val="28"/>
          <w:szCs w:val="28"/>
          <w:rtl w:val="true"/>
          <w:lang w:bidi="fa-IR"/>
        </w:rPr>
        <w:t xml:space="preserve">. </w:t>
      </w:r>
      <w:bookmarkStart w:id="177" w:name="pg8666_122328"/>
    </w:p>
    <w:p>
      <w:pPr>
        <w:pStyle w:val="BookText"/>
        <w:rPr/>
      </w:pPr>
      <w:bookmarkEnd w:id="177"/>
      <w:r>
        <w:rPr>
          <w:rFonts w:ascii="IRNazanin" w:hAnsi="IRNazanin" w:eastAsia="IRNazanin"/>
          <w:color w:val="111111"/>
          <w:sz w:val="28"/>
          <w:sz w:val="28"/>
          <w:szCs w:val="28"/>
          <w:rtl w:val="true"/>
          <w:lang w:bidi="fa-IR"/>
        </w:rPr>
        <w:t>از شخصیت‌ها و عالمان این دوره و از مهم‌ترین آنها، می‌توان قاضی ابویعلی را نام برد که دارای اثر و نویسنده کتاب اصول الدین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الهام‌گرفته از کلام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امر به معروف و نهی از منکر را واجب سمعی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و بالغ و مکلّف واجب است که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نهی از منکر را علممی‌داند و می‌گوید هر قدر علم به احکام بالاتر باشد، درجه‌ای از امر به معروف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طبق روایت نبوی به نهی از منکر سه مرحله‌ای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زبان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اما خودش آن را برنمی‌گزیند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نهی از منکر قائل به مدارا است و در صورت لزوم به مرحله شدید‌تر معتقد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پیش‌شرط امر به معروف، علم به حکم، علم به موضوع، نداشتن قبح عظیم، داشتن احتمال تأثیر و نداشتن خطر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ابی‌یعلی به آن اشاره می‌کند، این است که در برابر سلطان ستمگر می‌شود مرگ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بخش دیگری وی تصریح می‌کند که نهی از منکر باید باعث اعزاز دین شود نه اذلال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در این است که ناهی از منکر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آنکه حنبلیان نباید ضد حنفیانی که بر اساس باورهای مشخص مذهب خود، کاری را انجام می‌دهند، اقدام کنند، مثلاً در مورد مسئله روا دانستن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دیگر این دوره عبدالقادر جِبِلّی است که رئیس گروه قادریّه گیلانی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نکته جدید را مطرح می‌کند که مراحل نهی از منکر سه مرحله‌ای، مربوط به سه گروه می‌شود، نهی از منکر با دست مربوط به حکام است، نهی از منکر با زبان مربوط به علما است و مرحله سوم، یعنی نهی از منکر با دل مربوط به عوام‌الناس است</w:t>
      </w:r>
      <w:r>
        <w:rPr>
          <w:rFonts w:eastAsia="IRNazanin" w:cs="IRNazanin"/>
          <w:color w:val="111111"/>
          <w:sz w:val="28"/>
          <w:szCs w:val="28"/>
          <w:rtl w:val="true"/>
          <w:lang w:bidi="fa-IR"/>
        </w:rPr>
        <w:t>.</w:t>
      </w:r>
    </w:p>
    <w:p>
      <w:pPr>
        <w:pStyle w:val="Heading5"/>
        <w:numPr>
          <w:ilvl w:val="4"/>
          <w:numId w:val="1"/>
        </w:numPr>
        <w:rPr/>
      </w:pPr>
      <w:bookmarkStart w:id="178" w:name="__RefHeading___Toc2419578_653776707"/>
      <w:bookmarkStart w:id="179" w:name="_Toc69"/>
      <w:bookmarkEnd w:id="178"/>
      <w:r>
        <w:rPr/>
        <w:t>3</w:t>
      </w:r>
      <w:r>
        <w:rPr>
          <w:rtl w:val="true"/>
        </w:rPr>
        <w:t xml:space="preserve">. </w:t>
      </w:r>
      <w:r>
        <w:rPr>
          <w:rtl w:val="true"/>
        </w:rPr>
        <w:t>بینش فکری و روش عملی</w:t>
      </w:r>
      <w:bookmarkEnd w:id="1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معتقد است اگرچه استفتائات ابن‌حنبل، اعتقاد حنبلی‌گری را به‌عنوان هدف‌های آدم‌فریبان و یا آرمان‌های نهادی و سیاسی معرفی نمی‌کند، ولی نقش تاریخی حنبلی‌گری در بغداد، مخالف این حقیقت است، همان‌طوری که سخن ابویعلی و عبدالقادر نیز با عملیات حنبلیان آن عصر در کوچه و خیابان و قصر و خلیفه، تناسبی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ویژگی‌های این دو عالم حنبلی برمی‌آید که رویارویی با حاکم، حتی در صورت خطر جانی مشکلی ندارد، امّا تمایل دارند که با حکومت هماهنگ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کوک در ادامه به بررسی سخن ابن‌جوزی شخصیت برجسته حنبلی‌ها می‌رسد و همزمان از غزالی صاحب کتاب احیاء العلوم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مقایسۀ این دو شخصیت، اختلافات آن دو را این‌گونه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خشونت در برابر مردم را برای جلوگیریاز گناه تجویز می‌کند و از ورود به منازل با وجود شاهد البته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نهی از منکر اذن حاکم را برای ضرب و عملیات مسلحانه لازم نمی‌داند و ابن‌جوزی در مخالفت با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حاکم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غزالی با آنکه خطری برای شخص وجود دارد، می‌تواند با سلطان با خشونت سخن گوید، بلکه این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نظر، ابن‌جوزی بر این عقیده است که اگرچه بیشتر علما، این شیوه را مجاز می‌شمارند، امّا خود او موافق نیست و دلیلش هم این است که اگر در برابر حاکم و در حضور او با خشونت رفتار شود، حاکم عاصی شده، به گناه بزرگ‌تری واداشته می‌شود، چون حاکم اهانت را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علما، غزالی معتقد است که عالمان به وظیفۀ خویش عمل نکرده و در برابر حکومت کوتاه می‌آیند؛ اما ابن‌جوزی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حاکمان‌اند که به گفتار عالمان وقعی 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ابن‌جوزی معتقد است که در این روزگار اهریمنی، از تذکر دادن به حاکمان برحذر باشند مگر اینکه این کار با نهایت ظرافت و دقت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فرد دولت‌طلبی بود و می‌کوشید از طرف تمام حنبلیان آن روز سخن بگوید و یک نوع هماهنگی بین عقاید اهل سنت به وجود بیاورد؛ ازاین‌رو، در نفی اتهام مشبهه‌بودن از خود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آقای کوک، مکتب حنبلی در سده سوم تا ششم دچار 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تحول به جهت افزایش قدرت حنبلیان و بخشی هم به دلیل سازش امثال ابن‌جوزی با حکومت بود</w:t>
      </w:r>
      <w:r>
        <w:rPr>
          <w:rFonts w:eastAsia="IRNazanin" w:cs="IRNazanin"/>
          <w:color w:val="111111"/>
          <w:sz w:val="28"/>
          <w:szCs w:val="28"/>
          <w:rtl w:val="true"/>
          <w:lang w:bidi="fa-IR"/>
        </w:rPr>
        <w:t xml:space="preserve">. </w:t>
      </w:r>
      <w:bookmarkStart w:id="180" w:name="pg8666_122333"/>
    </w:p>
    <w:p>
      <w:pPr>
        <w:pStyle w:val="Heading4"/>
        <w:numPr>
          <w:ilvl w:val="3"/>
          <w:numId w:val="1"/>
        </w:numPr>
        <w:rPr/>
      </w:pPr>
      <w:bookmarkStart w:id="181" w:name="__RefHeading___Toc2419580_653776707"/>
      <w:bookmarkStart w:id="182" w:name="_Toc70"/>
      <w:bookmarkEnd w:id="180"/>
      <w:bookmarkEnd w:id="181"/>
      <w:r>
        <w:rPr>
          <w:rtl w:val="true"/>
        </w:rPr>
        <w:t>ب</w:t>
      </w:r>
      <w:r>
        <w:rPr>
          <w:rtl w:val="true"/>
        </w:rPr>
        <w:t xml:space="preserve">) </w:t>
      </w:r>
      <w:r>
        <w:rPr>
          <w:rtl w:val="true"/>
        </w:rPr>
        <w:t>ارزیابی</w:t>
      </w:r>
      <w:bookmarkEnd w:id="182"/>
    </w:p>
    <w:p>
      <w:pPr>
        <w:pStyle w:val="BookText"/>
        <w:rPr/>
      </w:pPr>
      <w:r>
        <w:rPr>
          <w:rFonts w:ascii="IRNazanin" w:hAnsi="IRNazanin" w:eastAsia="IRNazanin"/>
          <w:color w:val="111111"/>
          <w:sz w:val="28"/>
          <w:sz w:val="28"/>
          <w:szCs w:val="28"/>
          <w:rtl w:val="true"/>
          <w:lang w:bidi="fa-IR"/>
        </w:rPr>
        <w:t>در فصل ششم تلاش مایکل بر این استوار است که نشان دهد، حنبلیان دچار تحول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بغداد از قرن چهارم تا ششم که در نهی از منکر به خشونت با مردم روی می‌آوردند و با دستگاه حاکمیت نزدیک می‌شدند، با حنبلیان اولیه و نگرش ابن‌حنبل متفاوت هستند؛ درحالی‌که به اندازه کافی شواهد تاریخی برای این گفتۀ مایکل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این نظریۀ مایکل، به‌نظر می‌رسد به چند دلیل نمی‌توان عمل‌گرایی و حتی اندیشه و افکار حنبلیان را در این سه قرن، از مبانی فکری مذهب حنبلی و پیشوای آن به‌طور کلی متمایز و مختلف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همان مبانی و ویژگی‌های اصولی ابن‌حنبل است که در جامعه و میان پیروان او انعکاس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به تعمق و عقل‌گرایی چندان روی خوش نشان نمی‌دهد و در عوض به نصّ‌گرایی افراطی و پذیرش حتی روایات ضعیف روی می‌آورد و حتی حاضر نیست از اقوال صحابه و تابعین عبور کند، اگرچه گرفتار تحیّر و تردید باشد و بدین‌صورت، در مکتب فکری ابن‌حنبل احادیث ولو ضعیف و اقوال صحابه هرچند متناقض، به نوعی قداست می‌رسند و از چنین مکتبی، جز خشونت، چه انتظاری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ابن‌حنبل از تقلید از امثال خود و مالک و ثوری و شافعی منع می‌کرد و تقلید غیر معصوم را مذموم می‌شمرد،</w:t>
      </w:r>
      <w:r>
        <w:rPr>
          <w:rStyle w:val="FootnoteAnchor"/>
          <w:rtl w:val="true"/>
        </w:rPr>
        <w:footnoteReference w:id="35"/>
      </w:r>
      <w:r>
        <w:rPr>
          <w:rFonts w:ascii="IRNazanin" w:hAnsi="IRNazanin" w:eastAsia="IRNazanin"/>
          <w:color w:val="111111"/>
          <w:sz w:val="28"/>
          <w:sz w:val="28"/>
          <w:szCs w:val="28"/>
          <w:rtl w:val="true"/>
          <w:lang w:bidi="fa-IR"/>
        </w:rPr>
        <w:t>لکن گویا برای اقوال صحابه و روایات ضعیف نوعی عصمت قائل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همان اصول و مبانی، وقتی رفتار صحابه با یکدیگر متناقض است و با هم به جنگ و اقدامات خشونت‌آمیز پرداخته‌اند و به خون‌ریزی و قتل یکدیگر اقدام کرده‌اند و چون دیگران را برای خود مباح شمرده‌اند، چگونه پیروان ایشان از آنها چنین درسی را نیاموزند؟ بنابراین، اعتقاد به چیزی شبیه عصمت صحابه، نتایج قهری آن، پیدایش مسائل قرن سوم تا ششم بغداد و حمایت ایشان از اقدامات خشن است</w:t>
      </w:r>
      <w:r>
        <w:rPr>
          <w:rFonts w:eastAsia="IRNazanin" w:cs="IRNazanin"/>
          <w:color w:val="111111"/>
          <w:sz w:val="28"/>
          <w:szCs w:val="28"/>
          <w:rtl w:val="true"/>
          <w:lang w:bidi="fa-IR"/>
        </w:rPr>
        <w:t xml:space="preserve">. </w:t>
      </w:r>
      <w:bookmarkStart w:id="183" w:name="pg8666_122335"/>
    </w:p>
    <w:p>
      <w:pPr>
        <w:pStyle w:val="BookText"/>
        <w:rPr/>
      </w:pPr>
      <w:bookmarkEnd w:id="183"/>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که در میان اهل سنت به‌ویژه حنبلیان و فتاوای ابن‌حنبل و ابن‌جوزی و غیره رایج بود که اطاعت از دستگاه حکومت را لازم می‌شمرند و برای نظام سیاسی هر اندازه هم فاسد و منحرف باشد، نوعی مشروعیت و مصونیت قائل می‌شوند و هر نوع اقدام علیه آن را جایز نمی‌شمرند، نتیجۀ قهری اجتماعی این فتوا، چیزی جز نزدیک شدن به حکومت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یک جمله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عقیدتی و فکری حنبلیان، به‌ویژه در مسئله امامت و مشروعیت و اطاعت از حکومت و اعتقاد به اعتبار قول صحابه را، باید منشأ رفتار وعملکرد آنها در بغداد دانست و اما مسئله نهی از منکر تابعی از این اصول محسوب می‌شود، نه اینکه خودش اصلی از اصول باشد، آن‌چنان‌که مایکل کوک باور دارد</w:t>
      </w:r>
      <w:r>
        <w:rPr>
          <w:rFonts w:eastAsia="IRNazanin" w:cs="IRNazanin"/>
          <w:color w:val="111111"/>
          <w:sz w:val="28"/>
          <w:szCs w:val="28"/>
          <w:rtl w:val="true"/>
          <w:lang w:bidi="fa-IR"/>
        </w:rPr>
        <w:t>.</w:t>
      </w:r>
    </w:p>
    <w:p>
      <w:pPr>
        <w:pStyle w:val="Heading4"/>
        <w:numPr>
          <w:ilvl w:val="3"/>
          <w:numId w:val="1"/>
        </w:numPr>
        <w:rPr/>
      </w:pPr>
      <w:bookmarkStart w:id="184" w:name="__RefHeading___Toc2419582_653776707"/>
      <w:bookmarkStart w:id="185" w:name="_Toc71"/>
      <w:bookmarkEnd w:id="184"/>
      <w:r>
        <w:rPr>
          <w:rtl w:val="true"/>
        </w:rPr>
        <w:t>الف</w:t>
      </w:r>
      <w:r>
        <w:rPr>
          <w:rtl w:val="true"/>
        </w:rPr>
        <w:t xml:space="preserve">) </w:t>
      </w:r>
      <w:r>
        <w:rPr>
          <w:rtl w:val="true"/>
        </w:rPr>
        <w:t>گزارش</w:t>
      </w:r>
      <w:bookmarkEnd w:id="185"/>
    </w:p>
    <w:p>
      <w:pPr>
        <w:pStyle w:val="Heading5"/>
        <w:numPr>
          <w:ilvl w:val="4"/>
          <w:numId w:val="1"/>
        </w:numPr>
        <w:rPr/>
      </w:pPr>
      <w:bookmarkStart w:id="186" w:name="__RefHeading___Toc2419584_653776707"/>
      <w:bookmarkStart w:id="187" w:name="_Toc72"/>
      <w:bookmarkEnd w:id="186"/>
      <w:r>
        <w:rPr>
          <w:rtl w:val="true"/>
        </w:rPr>
        <w:t>حنبلیان و حبّ علی</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حنبلی‌ها برخلاف سایر اهل سنت که محبّ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کلّ گرایش به اموی‌ها و حکومت شام داشتند و به‌همین‌جهت، برخلاف نگرش فراگیر اهل سنت که یزید را قابل لعن می‌دانستند، آنان او را قابل لعن نمی‌دانستند و در مقام توجیه کار او در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می‌خواست که این مسئله را تلطیف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ابن‌جوزی در گسترش حنبلی‌ها در بغداد تأثیر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دوره، مرکزیت حنبلی‌ها به دمشق منتقل می‌شود و محصول آن هم ابن‌تیمیه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حنبلیان بغداد، پس از سقوط بغداد به دست مغولان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زیادی در تاریخ نیست</w:t>
      </w:r>
      <w:r>
        <w:rPr>
          <w:rFonts w:eastAsia="IRNazanin" w:cs="IRNazanin"/>
          <w:color w:val="111111"/>
          <w:sz w:val="28"/>
          <w:szCs w:val="28"/>
          <w:rtl w:val="true"/>
          <w:lang w:bidi="fa-IR"/>
        </w:rPr>
        <w:t>.</w:t>
      </w:r>
    </w:p>
    <w:p>
      <w:pPr>
        <w:pStyle w:val="Heading4"/>
        <w:numPr>
          <w:ilvl w:val="3"/>
          <w:numId w:val="1"/>
        </w:numPr>
        <w:rPr/>
      </w:pPr>
      <w:bookmarkStart w:id="188" w:name="__RefHeading___Toc2419586_653776707"/>
      <w:bookmarkStart w:id="189" w:name="_Toc73"/>
      <w:bookmarkEnd w:id="188"/>
      <w:r>
        <w:rPr>
          <w:rtl w:val="true"/>
        </w:rPr>
        <w:t>ب</w:t>
      </w:r>
      <w:r>
        <w:rPr>
          <w:rtl w:val="true"/>
        </w:rPr>
        <w:t xml:space="preserve">) </w:t>
      </w:r>
      <w:r>
        <w:rPr>
          <w:rtl w:val="true"/>
        </w:rPr>
        <w:t>ارزیابی</w:t>
      </w:r>
      <w:bookmarkEnd w:id="1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در مصادر و منابع روایی اهل سنت 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لایبغضک مؤمن و لایحبّک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شبیه آن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علیّاً منافق و لایبغض علیّاً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إنّه ممّا عهد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لایبغضنی الّا منافق و لایحبّنی الّا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این روایت، جز مؤمن،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نمی‌دارد و جز منافق با او بغض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جوامع روایی اهل سنت و چندین کتاب روایی و تاریخی مهم دیگر نقل شده است</w:t>
      </w:r>
      <w:r>
        <w:rPr>
          <w:rStyle w:val="FootnoteAnchor"/>
          <w:rtl w:val="true"/>
        </w:rPr>
        <w:footnoteReference w:id="36"/>
      </w:r>
      <w:r>
        <w:rPr>
          <w:rFonts w:ascii="IRNazanin" w:hAnsi="IRNazanin" w:eastAsia="IRNazanin"/>
          <w:color w:val="111111"/>
          <w:sz w:val="28"/>
          <w:sz w:val="28"/>
          <w:szCs w:val="28"/>
          <w:rtl w:val="true"/>
          <w:lang w:bidi="fa-IR"/>
        </w:rPr>
        <w:t>تا آنجا که از ابن‌عبدالبرّ در کتابالاستیعاب</w:t>
      </w:r>
      <w:r>
        <w:rPr>
          <w:rStyle w:val="FootnoteAnchor"/>
          <w:rtl w:val="true"/>
        </w:rPr>
        <w:footnoteReference w:id="37"/>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طائفة من الصحابة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لایحبّک الّا مؤمن و لایبغضک الّا منافق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باتوجه‌به کثرت مصادر این حدیث نزد خود اهل تسنن، می‌توان به اعتبار این روایت اطمینان پیدا کرد و اینجا است که اگر حبّ و بغض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ایمان و نفاق باشد، لازم بود جناب مایکل کوک که در مقام بیان اندیشه اسلامی است، به این حقیقت نیز اشاره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ایمان و نفاق است و امویان و پیروان آنها و کسانی که کینه و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در سنّت نبوی منافق شمرده شده‌اند و بر این مبنا، باید اندیشه آنها را تحلیل کرد، نه اینکه صرفاً به نقل موضع عده‌ای از حنبلیان در ارتباط با موضوع محوری حبّ و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 و نویسنده جایگاه موضوع را در اندیشه اسلامی آشکار نسازد، تا چه رسد به موضوع مهم لعن یزید و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جزئی از دستور قرآن و مزد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38"/>
      </w:r>
      <w:bookmarkStart w:id="190" w:name="pg8666_122338"/>
    </w:p>
    <w:p>
      <w:pPr>
        <w:pStyle w:val="Heading3"/>
        <w:numPr>
          <w:ilvl w:val="2"/>
          <w:numId w:val="1"/>
        </w:numPr>
        <w:rPr/>
      </w:pPr>
      <w:bookmarkStart w:id="191" w:name="__RefHeading___Toc2419588_653776707"/>
      <w:bookmarkStart w:id="192" w:name="_Toc74"/>
      <w:bookmarkEnd w:id="190"/>
      <w:bookmarkEnd w:id="191"/>
      <w:r>
        <w:rPr>
          <w:rtl w:val="true"/>
        </w:rPr>
        <w:t>گزارش و ارزیابی فصل هفتم</w:t>
      </w:r>
      <w:r>
        <w:rPr>
          <w:rtl w:val="true"/>
        </w:rPr>
        <w:t xml:space="preserve">: </w:t>
      </w:r>
      <w:r>
        <w:rPr>
          <w:rtl w:val="true"/>
        </w:rPr>
        <w:t>حنبلیان دمشق</w:t>
      </w:r>
      <w:bookmarkEnd w:id="192"/>
    </w:p>
    <w:p>
      <w:pPr>
        <w:pStyle w:val="Heading4"/>
        <w:numPr>
          <w:ilvl w:val="3"/>
          <w:numId w:val="1"/>
        </w:numPr>
        <w:rPr/>
      </w:pPr>
      <w:bookmarkStart w:id="193" w:name="__RefHeading___Toc2419590_653776707"/>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گزارش و ارزیابی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دمشق</w:t>
      </w:r>
      <w:r>
        <w:rPr>
          <w:rStyle w:val="FootnoteAnchor"/>
          <w:rtl w:val="true"/>
        </w:rPr>
        <w:footnoteReference w:id="39"/>
      </w:r>
    </w:p>
    <w:p>
      <w:pPr>
        <w:pStyle w:val="Heading4"/>
        <w:numPr>
          <w:ilvl w:val="3"/>
          <w:numId w:val="1"/>
        </w:numPr>
        <w:rPr/>
      </w:pPr>
      <w:bookmarkStart w:id="195" w:name="__RefHeading___Toc2419592_653776707"/>
      <w:bookmarkStart w:id="196" w:name="_Toc76"/>
      <w:bookmarkEnd w:id="195"/>
      <w:r>
        <w:rPr>
          <w:rtl w:val="true"/>
        </w:rPr>
        <w:t>الف</w:t>
      </w:r>
      <w:r>
        <w:rPr>
          <w:rtl w:val="true"/>
        </w:rPr>
        <w:t xml:space="preserve">) </w:t>
      </w:r>
      <w:r>
        <w:rPr>
          <w:rtl w:val="true"/>
        </w:rPr>
        <w:t>گزارش</w:t>
      </w:r>
      <w:bookmarkEnd w:id="196"/>
    </w:p>
    <w:p>
      <w:pPr>
        <w:pStyle w:val="Heading5"/>
        <w:numPr>
          <w:ilvl w:val="4"/>
          <w:numId w:val="1"/>
        </w:numPr>
        <w:rPr/>
      </w:pPr>
      <w:bookmarkStart w:id="197" w:name="__RefHeading___Toc2419594_653776707"/>
      <w:bookmarkStart w:id="198" w:name="_Toc77"/>
      <w:bookmarkEnd w:id="197"/>
      <w:r>
        <w:rPr/>
        <w:t>1</w:t>
      </w:r>
      <w:r>
        <w:rPr>
          <w:rtl w:val="true"/>
        </w:rPr>
        <w:t xml:space="preserve">. </w:t>
      </w:r>
      <w:r>
        <w:rPr>
          <w:rtl w:val="true"/>
        </w:rPr>
        <w:t>حنبلیان در دمشق</w:t>
      </w:r>
      <w:bookmarkEnd w:id="198"/>
    </w:p>
    <w:p>
      <w:pPr>
        <w:pStyle w:val="BookText"/>
        <w:rPr/>
      </w:pPr>
      <w:r>
        <w:rPr>
          <w:rFonts w:ascii="IRNazanin" w:hAnsi="IRNazanin" w:eastAsia="IRNazanin"/>
          <w:color w:val="111111"/>
          <w:sz w:val="28"/>
          <w:sz w:val="28"/>
          <w:szCs w:val="28"/>
          <w:rtl w:val="true"/>
          <w:lang w:bidi="fa-IR"/>
        </w:rPr>
        <w:t>به عقیده مایکل کوک، نسل اول حنبلیه هرچند طرف‌دار خشونت نبودند، اما نسل دوم حنبلیان در بغداد چون اعتماد به نفس پیدا کردند و با حکومت مرتبط شدند، برای اعمال نهی از منکر دست به کارهای خشونت‌آمیز زدند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سقوط بغداد به دست مغول‌ها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هجری قمری، حنبلی‌ها از این شهر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برهه از تاریخ به دمشق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حنبلی و شخصیت‌های مهم آنها در دمشق، ظهور و بروز کردند و در آنجا دست به اقداماتی زدند و رهبری حنبلیان را بر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خود شام خیلی نتوانستند برای خود موقعیتی به دست آورند؛ چون بیشتر مردم دمشق، پیرو مذهب شافعی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دمشق به چند دلیل جای خود را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آنکه موفق‌الدین ابن‌قدامه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bookmarkStart w:id="199" w:name="pg8666_122341"/>
    </w:p>
    <w:p>
      <w:pPr>
        <w:pStyle w:val="BookText"/>
        <w:rPr/>
      </w:pPr>
      <w:bookmarkEnd w:id="199"/>
      <w:r>
        <w:rPr>
          <w:rFonts w:ascii="IRNazanin" w:hAnsi="IRNazanin" w:eastAsia="IRNazanin"/>
          <w:color w:val="111111"/>
          <w:sz w:val="28"/>
          <w:sz w:val="28"/>
          <w:szCs w:val="28"/>
          <w:rtl w:val="true"/>
          <w:lang w:bidi="fa-IR"/>
        </w:rPr>
        <w:t>بزرگان فقه حنبلی ظهور می‌یابد و شرح مفصلی بر کتاب مختصر می‌زند که یک دوره کتاب فقهی مهمی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اینکه حنبلی‌ها در دمشق در ابتدا با حکومت مرتبط نبودند، ولی بعدها با حکومت، به‌ویژه در عهد ممالیک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شدند، بعضی حنبلی‌ها مانند ابن‌نجیه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صلاح‌الدین ایوبی رابطه خوبی داشتند، اگرچه از تعدادی علمای حنبلی هم نام‌برده شده که با حکومت مقابله داشتند، مثل عبدالغنی مقدس که این یک استثنا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حنبلیان دمشق نیز مثل حنبلیان بغداد نهی از منکر می‌کردند، مثلاً شراب را می‌ریختند و آلات موسقی را می‌شکستند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ابهت بغداد را نداشتند</w:t>
      </w:r>
      <w:r>
        <w:rPr>
          <w:rFonts w:eastAsia="IRNazanin" w:cs="IRNazanin"/>
          <w:color w:val="111111"/>
          <w:sz w:val="28"/>
          <w:szCs w:val="28"/>
          <w:rtl w:val="true"/>
          <w:lang w:bidi="fa-IR"/>
        </w:rPr>
        <w:t>.</w:t>
      </w:r>
    </w:p>
    <w:p>
      <w:pPr>
        <w:pStyle w:val="Heading5"/>
        <w:numPr>
          <w:ilvl w:val="4"/>
          <w:numId w:val="1"/>
        </w:numPr>
        <w:rPr/>
      </w:pPr>
      <w:bookmarkStart w:id="200" w:name="__RefHeading___Toc2419596_653776707"/>
      <w:bookmarkStart w:id="201" w:name="_Toc78"/>
      <w:bookmarkEnd w:id="200"/>
      <w:r>
        <w:rPr/>
        <w:t>2</w:t>
      </w:r>
      <w:r>
        <w:rPr>
          <w:rtl w:val="true"/>
        </w:rPr>
        <w:t xml:space="preserve">. </w:t>
      </w:r>
      <w:r>
        <w:rPr>
          <w:rtl w:val="true"/>
        </w:rPr>
        <w:t>ابن‌تیمیه و نهی از منکر</w:t>
      </w:r>
      <w:bookmarkEnd w:id="201"/>
    </w:p>
    <w:p>
      <w:pPr>
        <w:pStyle w:val="BookText"/>
        <w:rPr/>
      </w:pPr>
      <w:r>
        <w:rPr>
          <w:rFonts w:ascii="IRNazanin" w:hAnsi="IRNazanin" w:eastAsia="IRNazanin"/>
          <w:color w:val="111111"/>
          <w:sz w:val="28"/>
          <w:sz w:val="28"/>
          <w:szCs w:val="28"/>
          <w:rtl w:val="true"/>
          <w:lang w:bidi="fa-IR"/>
        </w:rPr>
        <w:t xml:space="preserve">می‌رسیم به زمان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حنبلی و شخصیتی خشن و ناتوان از سازش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 زمان حیات ابن‌تیمیه، حکومت مملوکان تشکیل شده بود و رابطه وی با آنها خوب نبود و چندین مرتبه به زندان انداخته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مایکل کوک اقدامات ابن‌تیمیه نوعی عوام‌گرایی حنبلی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وی سعی می‌کرد رابطه‌اش را با حکومت حفظ کند و در چند حمله نظامی ضدّ کافران با حکومت همکاری داشت، ولی خیلی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کتابی در مورد امر به معروف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 علمی چندانی ندارد و بیشتر جنبه وعظ و خطابه دارد و مخاطبانش عوام جامعه‌اند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ابن‌تیمیه وجوب نهی از منکر را کفایی می‌داند و برای نهی از منکر سه مرحله یدی، زبانی و قلبی قائل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از قواعد کلی و عامّه سخن می‌گوید و بر اساس آن مصالح و مفاسد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اندیشه ابن‌تیمیه اصالة الفایده است؛ به این معنا که هرجا مصلحت بر </w:t>
      </w:r>
      <w:bookmarkStart w:id="202" w:name="pg8666_122343"/>
    </w:p>
    <w:p>
      <w:pPr>
        <w:pStyle w:val="BookText"/>
        <w:rPr/>
      </w:pPr>
      <w:bookmarkEnd w:id="202"/>
      <w:r>
        <w:rPr>
          <w:rFonts w:ascii="IRNazanin" w:hAnsi="IRNazanin" w:eastAsia="IRNazanin"/>
          <w:color w:val="111111"/>
          <w:sz w:val="28"/>
          <w:sz w:val="28"/>
          <w:szCs w:val="28"/>
          <w:rtl w:val="true"/>
          <w:lang w:bidi="fa-IR"/>
        </w:rPr>
        <w:t>مفسده غلبه دارد، اقدام می‌کنیم و گرنه نیازی به اقدام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اردوی مغولان هنگامی که دید آنان مست از شراب بودند، یکی از حنابله خواست نهی از منکر کند، ولی ابن‌تیمیه او را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شراب نخورند، مسلمان‌ها از دست‌شان بیشتر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اولوالأمر را برای نهی از منکر بیشتر شایسته می‌دانست و با تفسیری که از آن ارائه می‌کرد، آن را شامل امراء و علماء می‌دانست؛ چون این دو طائفه در جامعه اسلامی دارای نفوذ و قدرت فراوان هستند</w:t>
      </w:r>
      <w:r>
        <w:rPr>
          <w:rFonts w:eastAsia="IRNazanin" w:cs="IRNazanin"/>
          <w:color w:val="111111"/>
          <w:sz w:val="28"/>
          <w:szCs w:val="28"/>
          <w:rtl w:val="true"/>
          <w:lang w:bidi="fa-IR"/>
        </w:rPr>
        <w:t>.</w:t>
      </w:r>
    </w:p>
    <w:p>
      <w:pPr>
        <w:pStyle w:val="Heading5"/>
        <w:numPr>
          <w:ilvl w:val="4"/>
          <w:numId w:val="1"/>
        </w:numPr>
        <w:rPr/>
      </w:pPr>
      <w:bookmarkStart w:id="203" w:name="__RefHeading___Toc2419598_653776707"/>
      <w:bookmarkStart w:id="204" w:name="_Toc79"/>
      <w:bookmarkEnd w:id="203"/>
      <w:r>
        <w:rPr/>
        <w:t>3</w:t>
      </w:r>
      <w:r>
        <w:rPr>
          <w:rtl w:val="true"/>
        </w:rPr>
        <w:t xml:space="preserve">. </w:t>
      </w:r>
      <w:r>
        <w:rPr>
          <w:rtl w:val="true"/>
        </w:rPr>
        <w:t>اندیشه سیاسی ابن‌تیمیه</w:t>
      </w:r>
      <w:bookmarkEnd w:id="204"/>
    </w:p>
    <w:p>
      <w:pPr>
        <w:pStyle w:val="BookText"/>
        <w:rPr/>
      </w:pPr>
      <w:r>
        <w:rPr>
          <w:rFonts w:ascii="IRNazanin" w:hAnsi="IRNazanin" w:eastAsia="IRNazanin"/>
          <w:color w:val="111111"/>
          <w:sz w:val="28"/>
          <w:sz w:val="28"/>
          <w:szCs w:val="28"/>
          <w:rtl w:val="true"/>
          <w:lang w:bidi="fa-IR"/>
        </w:rPr>
        <w:t>ابن تیمیه کتابی به نام السیاسة الشرعیة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معتقد است تمامی مناصب عمومی و اجتماعی، منصب دینی نیز هست و حاکم باید تمام تلاشش را انجام دهد که این منصب‌ها به اهلش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به اختلاط دیانت با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معتقد است مردم سه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اخلاق سیاسی را نفی می‌کنند و معتقدند سیاست ربطی به اخلاق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اخلاق را بدون سیاست می‌پذیرند و چه بسا اهل تسلیم‌اند؛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هر دو گروه افراطی را ردّ می‌کند و معتقد است اخلاق و سیاست را باید سازش داد و هر دو را باید گرفت وگرنه به اسم اخلاق، برخی مانند خوارج با توسل به سلاح، عمل‌گرا می‌شوند که نتیجۀ خوبی ندارد</w:t>
      </w:r>
      <w:r>
        <w:rPr>
          <w:rFonts w:eastAsia="IRNazanin" w:cs="IRNazanin"/>
          <w:color w:val="111111"/>
          <w:sz w:val="28"/>
          <w:szCs w:val="28"/>
          <w:rtl w:val="true"/>
          <w:lang w:bidi="fa-IR"/>
        </w:rPr>
        <w:t>.</w:t>
      </w:r>
    </w:p>
    <w:p>
      <w:pPr>
        <w:pStyle w:val="Heading4"/>
        <w:numPr>
          <w:ilvl w:val="3"/>
          <w:numId w:val="1"/>
        </w:numPr>
        <w:rPr/>
      </w:pPr>
      <w:bookmarkStart w:id="205" w:name="__RefHeading___Toc2419600_653776707"/>
      <w:bookmarkStart w:id="206" w:name="_Toc80"/>
      <w:bookmarkEnd w:id="205"/>
      <w:r>
        <w:rPr>
          <w:rtl w:val="true"/>
        </w:rPr>
        <w:t>ب</w:t>
      </w:r>
      <w:r>
        <w:rPr>
          <w:rtl w:val="true"/>
        </w:rPr>
        <w:t xml:space="preserve">) </w:t>
      </w:r>
      <w:r>
        <w:rPr>
          <w:rtl w:val="true"/>
        </w:rPr>
        <w:t>ارزیابی</w:t>
      </w:r>
      <w:bookmarkEnd w:id="20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جناب مایکل کوک، از حرکت فکری ابن‌تیمیه به‌راحتی عبور کرده و به بسیاری از امور مهم و حقایق مرتبط با او نپرداخته است؛ درحالی‌که باتوجه‌به تأثیرگذاری شخصیت ابن‌تیمیه بر حرکت وهابیت تا زمان حاضر و حرکت‌های تکفیری و خشونت‌های معاصر، لازم بود بیشتر به شکافتن ابعاد شخصیت جنجالی وی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به اصطلاح صُحُفی است که بیشتر از طریق مطالعه و قرائت و نه از طریق تلمّذ نزد اساتید، آگاهی‌های خود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شاذ و نادر او </w:t>
      </w:r>
    </w:p>
    <w:p>
      <w:pPr>
        <w:pStyle w:val="BookText"/>
        <w:rPr/>
      </w:pPr>
      <w:r>
        <w:rPr>
          <w:rFonts w:ascii="IRNazanin" w:hAnsi="IRNazanin" w:eastAsia="IRNazanin"/>
          <w:color w:val="111111"/>
          <w:sz w:val="28"/>
          <w:sz w:val="28"/>
          <w:szCs w:val="28"/>
          <w:rtl w:val="true"/>
          <w:lang w:bidi="fa-IR"/>
        </w:rPr>
        <w:t>موجب اعتراض بسیاری از فقهای معاصر وی شد و همین امر، عامل به زندان افتادن و تبعید او به اسکندریه و قاهره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خود را پیرو صحابه و علمای سلف می‌داند، ولی برخلاف احمد‌بن‌حنبل بسیاری از آنها از جمله خلیفه اول و دوم و سوم را تخطئه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ابن‌تیمیه شخصیتی جنجالی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از مجسمه شمرده‌اند و برخی او را زندیق دانسته‌اند و بعضی دیگر وی را منافق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اهل سنت در ردّ افکار و منهج کلامی و فقهی او ردّیه‌های مهمی نوشته‌اند، مانند تقی‌الدین سبکی در کتاب شفاء السقامفی زیارة قبر خیر الامام و کتاب الدّررة المضیة فی الردّ علی ابن‌تیمیة و دانشمندان دیگر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قاضی‌القضات مصر البدر بن جماعة در برابر فتوای ابن‌تیمیه که زیارت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کرده بود، فتوایی صادر و آن را بدعت شمرد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ابن‌تیمیه قاعده‌ای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فی فضل معاویة و فی ابنه یزید انه لایسبّ</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وی در کتب خویش در مقام دفاع از جنایات یزید در قتل عام مردم مدینه و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و او را امیر وقت مسلمانان شمرده که اطاعت از او واجب بوده است و جواز لعن یزید را زیر سؤال می‌برد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اینکه مایکل در کتاب امر به معروف خود، ابن‌تیمیه را پیرو ابن‌حنبل می‌شمرد و به شرح مختصری از او اکتفا می‌کند، برای مخاطب کافی نیست، چون با چهره جنجالی او آشنا نمی‌گردد و نیازمند توضیح بیشتری است؛ زیرا او در بسیاری از مباحث حتی از افکار و مبانی احمد‌بن‌حنبل هم عبور می‌کند و خط قرمزهای او را نسبت به صحابه و خلفا مراعات نمی‌کند و تأثیر او به‌ویژه در میان حنبلیان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207" w:name="pg8666_122347"/>
    </w:p>
    <w:p>
      <w:pPr>
        <w:pStyle w:val="BookText"/>
        <w:rPr/>
      </w:pPr>
      <w:bookmarkEnd w:id="207"/>
      <w:r>
        <w:rPr>
          <w:rFonts w:ascii="IRNazanin" w:hAnsi="IRNazanin" w:eastAsia="IRNazanin"/>
          <w:color w:val="111111"/>
          <w:sz w:val="28"/>
          <w:sz w:val="28"/>
          <w:szCs w:val="28"/>
          <w:rtl w:val="true"/>
          <w:lang w:bidi="fa-IR"/>
        </w:rPr>
        <w:t>پرداختن به مسئلۀ امر به معروف از دیدگاه او، نه تنها کارساز نیست، بلکه دچار لغزش و عدم درک صحیح حوادث توسط خواننده خواهد بود</w:t>
      </w:r>
      <w:r>
        <w:rPr>
          <w:rFonts w:eastAsia="IRNazanin" w:cs="IRNazanin"/>
          <w:color w:val="111111"/>
          <w:sz w:val="28"/>
          <w:szCs w:val="28"/>
          <w:rtl w:val="true"/>
          <w:lang w:bidi="fa-IR"/>
        </w:rPr>
        <w:t>.</w:t>
      </w:r>
    </w:p>
    <w:p>
      <w:pPr>
        <w:pStyle w:val="Heading4"/>
        <w:numPr>
          <w:ilvl w:val="3"/>
          <w:numId w:val="1"/>
        </w:numPr>
        <w:rPr/>
      </w:pPr>
      <w:bookmarkStart w:id="208" w:name="__RefHeading___Toc2419602_653776707"/>
      <w:bookmarkStart w:id="209" w:name="_Toc81"/>
      <w:bookmarkEnd w:id="208"/>
      <w:r>
        <w:rPr>
          <w:rtl w:val="true"/>
        </w:rPr>
        <w:t>الف</w:t>
      </w:r>
      <w:r>
        <w:rPr>
          <w:rtl w:val="true"/>
        </w:rPr>
        <w:t xml:space="preserve">) </w:t>
      </w:r>
      <w:r>
        <w:rPr>
          <w:rtl w:val="true"/>
        </w:rPr>
        <w:t>گزارش</w:t>
      </w:r>
      <w:bookmarkEnd w:id="209"/>
    </w:p>
    <w:p>
      <w:pPr>
        <w:pStyle w:val="Heading5"/>
        <w:numPr>
          <w:ilvl w:val="4"/>
          <w:numId w:val="1"/>
        </w:numPr>
        <w:rPr/>
      </w:pPr>
      <w:bookmarkStart w:id="210" w:name="__RefHeading___Toc2419604_653776707"/>
      <w:bookmarkStart w:id="211" w:name="_Toc82"/>
      <w:bookmarkEnd w:id="210"/>
      <w:r>
        <w:rPr/>
        <w:t>4</w:t>
      </w:r>
      <w:r>
        <w:rPr>
          <w:rtl w:val="true"/>
        </w:rPr>
        <w:t xml:space="preserve">. </w:t>
      </w:r>
      <w:r>
        <w:rPr>
          <w:rtl w:val="true"/>
        </w:rPr>
        <w:t>حنبلیان پس از ابن‌تیمیه</w:t>
      </w:r>
      <w:bookmarkEnd w:id="211"/>
    </w:p>
    <w:p>
      <w:pPr>
        <w:pStyle w:val="BookText"/>
        <w:rPr/>
      </w:pPr>
      <w:r>
        <w:rPr>
          <w:rFonts w:ascii="IRNazanin" w:hAnsi="IRNazanin" w:eastAsia="IRNazanin"/>
          <w:color w:val="111111"/>
          <w:sz w:val="28"/>
          <w:sz w:val="28"/>
          <w:szCs w:val="28"/>
          <w:rtl w:val="true"/>
          <w:lang w:bidi="fa-IR"/>
        </w:rPr>
        <w:t>بعد از ابن‌تیمیه قدرت و خلاقیت حنبلیه افول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ابن‌قیّم جوزی هم مقداری موجب رشد و شکوفایی بوده است تا می‌رسد به دوران دولت عثمانی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امپراطوری بزرگ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عثمانی دو تغییر اساسی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پیروزیدولت عثمانی که از نظر حنبلیان ناگوار بود و دومی مربوط به دوره‌های آخر عثمانی است که حضور بیشتری در دمشق داشت و حنبلیان از این فرصت بهره بردند، ولی دوران آنها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هم بودند که در این زمان مانند زین‌الدین صالحی گاهی در مورد امر به معروف و نهی از منکر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جلد کتاب به نام الکنز الاکبر فی الأمر بالمعروف و النهی عن المنکر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غزالی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برای نهی از منکر هشت درجه قائل بود، ولی زین‌الدین درجۀ مهمی را ذکر می‌کند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المنکر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نگرش عرفانی و صوفیانه به امر معروف و نهی از منکر است؛ مثلاً تبدیل سرکه به شراب است که کار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زین‌الدین نسبت به تقسیم کار بین حاکمان و عالمان و عوام نظر منفی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حنبلیان بعد از افول در بغداد، در دمشق به دلیل اینکه با حکومت هماهنگ نبودند رشد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هرچند شخصیت‌های مهمی را پرورش دادند، ولی در دمشق اندیشه‌های آنها رشد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شهر بر سر میراث مکتب حنبلی و شرایط واقعی جامعه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برای این کار روش عقلانی نداشتند، ولی در دمشق ابن‌تیمیه موفق به نوعی اندیشه سیاسی شد که از نظر مفهوم و کلیت ابتکاری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ابن‌تیمیه در سرزمینی دیگر در نجد با پیمانی که محمدبن عبدالوهاب با شاهان سعودی می‌بندد، آغاز جدیدی را برای این تفکر در حجاز بنا می‌نهد</w:t>
      </w:r>
      <w:r>
        <w:rPr>
          <w:rFonts w:eastAsia="IRNazanin" w:cs="IRNazanin"/>
          <w:color w:val="111111"/>
          <w:sz w:val="28"/>
          <w:szCs w:val="28"/>
          <w:rtl w:val="true"/>
          <w:lang w:bidi="fa-IR"/>
        </w:rPr>
        <w:t xml:space="preserve">. </w:t>
      </w:r>
      <w:bookmarkStart w:id="212" w:name="pg8666_122349"/>
    </w:p>
    <w:p>
      <w:pPr>
        <w:pStyle w:val="Heading4"/>
        <w:numPr>
          <w:ilvl w:val="3"/>
          <w:numId w:val="1"/>
        </w:numPr>
        <w:rPr/>
      </w:pPr>
      <w:bookmarkStart w:id="213" w:name="__RefHeading___Toc2419606_653776707"/>
      <w:bookmarkStart w:id="214" w:name="_Toc83"/>
      <w:bookmarkEnd w:id="212"/>
      <w:bookmarkEnd w:id="213"/>
      <w:r>
        <w:rPr>
          <w:rtl w:val="true"/>
        </w:rPr>
        <w:t>ب</w:t>
      </w:r>
      <w:r>
        <w:rPr>
          <w:rtl w:val="true"/>
        </w:rPr>
        <w:t xml:space="preserve">) </w:t>
      </w:r>
      <w:r>
        <w:rPr>
          <w:rtl w:val="true"/>
        </w:rPr>
        <w:t>ارزیابی</w:t>
      </w:r>
      <w:bookmarkEnd w:id="214"/>
    </w:p>
    <w:p>
      <w:pPr>
        <w:pStyle w:val="BookText"/>
        <w:rPr/>
      </w:pPr>
      <w:r>
        <w:rPr>
          <w:rFonts w:ascii="IRNazanin" w:hAnsi="IRNazanin" w:eastAsia="IRNazanin"/>
          <w:color w:val="111111"/>
          <w:sz w:val="28"/>
          <w:sz w:val="28"/>
          <w:szCs w:val="28"/>
          <w:rtl w:val="true"/>
          <w:lang w:bidi="fa-IR"/>
        </w:rPr>
        <w:t>در مورد فصل هفتم از بخش دوم کتاب مایکل چند نکته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از گزارش مایکل کوک در مورد حنبلیان و امر به معروف و نهی از منکر آشکار می‌شود، در اندیشه آنها شکاف و گسست شگرفی در قلمرو امر به معروف و نهی از منکر مشاهده می‌شود، به‌گونه‌ای که این فریضه در حدّ تذکرات اجتماعی و موعظه و نصیحت فروکاسته می‌شود و اما اقدامات عملی نوعاً به حکومت سپرده می‌شود و خود حکومت و نظام سلطه نیز از اینکه در معرض امر به معروف و نهی از منکر قرار گیرد، استثنا می‌شود و مصونیت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شکاف و گسستی از نقش این فریضه مهم در جلوگیری ازمفاسد اجتماعی به شدت می‌کاهد و تقریباً آن را بی‌اثر می‌کند؛ زیرا مبادی و منابع اولیۀ فساد و ستم و منکر را از تیررس آن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این اندیشه گرگ‌ها آزاد می‌شوند و گوسفندان مورد پرسش و بازخواست و وعظ و نصیحت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مناسب بود در کتابی که مایکل کوک به مسئله امر به معروف و نهی از منکر در اندیشه اسلامی پرداخته است، به این بُعد از موضوع نیز توجه لازم مبذول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اگرچه تتبع فراوانی در مورد تاریخ حنبلیان بغداد و دمشق صرف گردیده است، ولی باید توجه داشت که اوّلاً مباحث تا حدود بسیار زیادی از امر به معروف فاصله گرفته و درصد فراوانی از گزارش‌ها و تحلیل‌های مایکل به تحوّلات سیاسی اجتماعی حنبلیان و تحلیل سیاسی و اجتماعی برخی از شخصیت‌های حنبلی از جمله ابن‌تیمیه در این دو مرکز مهم اسلامی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اگرچه مایکل در این فصل هم مصرّ است، فرایند کار خشونت‌آمیز حنبلیان بغداد را از مبانی فکری ابن‌حنبل تفکیک کند، ولی چنانچه در نقد و بررسی فصل ششم گذشت، اضافه بر آنچه آنجا گفته شد، در نقد و بررسی این فصل این نکته را باید افزود که مایکل کوک در این کارش موفق به نظر نمی‌رسد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ابن‌حنبل اگرچه در ظاهر نمی‌خواست رابطه‌ای گسسته با حکومت داشته باشد و از نظر زندگی نیز فرد خشن نبود، ولی علی‌رغم نظر دستگاه خلافت، چنان بر قدیم بودن کلام –البته این هم جای بحث دارد که چرا دستگاه خلافت به این مسئله کلامی این‌قدر اهتمام ورزیده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می‌ورزد که حاضر به زندان و تحمل محنت و شلّاق می‌شود؛ با اینکه وی اطاعت از حکومت هرچند فاسد را واجب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مهم در تحلیل حرکت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حنبلیان بغداد و دمشق و بعد از آن، این است که برخلاف قاطبه اهل سنت که مایکل نیز به آن معترف است، آنها به امویان گرایش دارند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پرسشی که نمی‌توان در تحلیل وقایع سیاسی و اجتماعی آن زمان و ارتباط حنبلیان با امر به معروف و نهی از منکر، از آن غفلت نمود، این است که احمد‌بن‌حنبل پیشوای حنبلیان اگرچهبنا به نقل برخی از اسناد تاریخی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و معتقد بوده است که خلافت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نیست، بلکه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خلافت است، ولی در جریان حوادث مربوط به رابطۀ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او چرا ورود به بحث در این مورد را اجازه نمی‌داد؟</w:t>
      </w:r>
      <w:r>
        <w:rPr>
          <w:rStyle w:val="FootnoteAnchor"/>
          <w:rtl w:val="true"/>
        </w:rPr>
        <w:footnoteReference w:id="45"/>
      </w:r>
      <w:r>
        <w:rPr>
          <w:rFonts w:ascii="IRNazanin" w:hAnsi="IRNazanin" w:eastAsia="IRNazanin"/>
          <w:color w:val="111111"/>
          <w:sz w:val="28"/>
          <w:sz w:val="28"/>
          <w:szCs w:val="28"/>
          <w:rtl w:val="true"/>
          <w:lang w:bidi="fa-IR"/>
        </w:rPr>
        <w:t>اگر کسی دراین‌باره از او می‌پرسید، این آیه شریفه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أُمَّةٌ قَدْ خَلَتْ لَهَا مَا كَسَبَتْ وَلَكُمْ مَا كَسَبْتُمْ وَلَا تُسْأَلُونَ عَمَّا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آنها امتی بودند که در گذشتند، اعمال آنها مربوط به خودشان بود و اعمال شما نیز مربوط به خود شما است و شما مسئول اعمال آنها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موضع پیشوای حنبلیان علی‌رغم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لایحبّک الّا مؤمن و لایبغضک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ارزیابی فصل پیشین گذشت، چه توجیهی دارد؟ ثانیاً تأثیر این برخورد ابن‌حنبل با مسئلۀ مهم رابطۀ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در عقاید و اندیشه و رفتار پیروان او چه بوده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شگفت‌آورتر اینکه احمد‌بن‌حنبل با اینکه در عمل به احادیث و وفاداری به آنها، حتی از روایات ضعیف هم نمی‌گذرد، ولی وقتی در مورد روایت صحیح و معتبر و متواتر نزد فریقین از او می‌پرسند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 عَمَّارٍ، تَقْتُلُهُ الفِئَةُ البَاغِیَةُ، </w:t>
      </w:r>
    </w:p>
    <w:p>
      <w:pPr>
        <w:pStyle w:val="BookText"/>
        <w:rPr/>
      </w:pPr>
      <w:r>
        <w:rPr>
          <w:rFonts w:ascii="Amiri" w:hAnsi="Amiri" w:eastAsia="Amiri" w:cs="Amiri"/>
          <w:color w:val="111111"/>
          <w:sz w:val="28"/>
          <w:sz w:val="28"/>
          <w:szCs w:val="28"/>
          <w:rtl w:val="true"/>
          <w:lang w:bidi="ar-SA"/>
        </w:rPr>
        <w:t>یَدْعُوهُمْ إلَی الْجَنَّةِ وَیَدْعُونهُ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احمد‌بن‌حنبل در مقام فرار از پاسخ و بیان 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لااتکلم</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اسلم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همچنین هنگامی که پسرعموی احمد‌بن‌حنبل تصمیم گرفت کتابی در مورد جنگ صفین و جمل بنویسد، از احمد‌بن‌حنبل دراین‌باره پرسید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می‌خواهی چنین کاری کنی، درحالی‌که در این کار امر حلال و حرامی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بذلک ولیس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نهایت هم وقتی مطالبی را در مورد جنگ جمل و صفین می‌نویسد و خبرش به احمد‌بن‌حنبل می‌رسد، احمد‌بن‌حنبل به عموی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از او بگیر وپنهان کن و نگذار به آن نگاه کند؛</w:t>
      </w:r>
      <w:r>
        <w:rPr>
          <w:rStyle w:val="FootnoteAnchor"/>
          <w:rtl w:val="true"/>
        </w:rPr>
        <w:footnoteReference w:id="49"/>
      </w:r>
      <w:r>
        <w:rPr>
          <w:rFonts w:ascii="IRNazanin" w:hAnsi="IRNazanin" w:eastAsia="IRNazanin"/>
          <w:color w:val="111111"/>
          <w:sz w:val="28"/>
          <w:sz w:val="28"/>
          <w:szCs w:val="28"/>
          <w:rtl w:val="true"/>
          <w:lang w:bidi="fa-IR"/>
        </w:rPr>
        <w:t>با آنکه باغی بودن معاویه علیه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تاریخ و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شجره ملعونه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بسیاری</w:t>
      </w:r>
    </w:p>
    <w:p>
      <w:pPr>
        <w:pStyle w:val="BookText"/>
        <w:rPr/>
      </w:pPr>
      <w:r>
        <w:rPr>
          <w:rFonts w:ascii="IRNazanin" w:hAnsi="IRNazanin" w:eastAsia="IRNazanin"/>
          <w:color w:val="111111"/>
          <w:sz w:val="28"/>
          <w:sz w:val="28"/>
          <w:szCs w:val="28"/>
          <w:rtl w:val="true"/>
          <w:lang w:bidi="fa-IR"/>
        </w:rPr>
        <w:t>از مفسران آن را به بنی‌امیه تفسیر کرده‌اند، از جمله فخر رزای در روایتی از ابن‌عباس و سیوطی و حاکم نیشابوری و خطیب بغدادی از عایشه روایت کرده که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اباک وانت فی صلبه فأنت بعض من لعنه الله</w:t>
      </w:r>
      <w:r>
        <w:rPr>
          <w:rFonts w:eastAsia="IRNazanin" w:cs="IRNazanin"/>
          <w:color w:val="111111"/>
          <w:sz w:val="28"/>
          <w:szCs w:val="28"/>
          <w:rtl w:val="true"/>
          <w:lang w:bidi="fa-IR"/>
        </w:rPr>
        <w:t>».</w:t>
      </w:r>
      <w:r>
        <w:rPr>
          <w:rStyle w:val="FootnoteAnchor"/>
          <w:rtl w:val="true"/>
        </w:rPr>
        <w:footnoteReference w:id="5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همین مبانی فکری ابن‌حنبل، زمینه گرایش حنبلیان را به امویان پدید نیاورد و موجب نشد که آنها در بغداد علیه شیعیان دست به اقدامات خشونت‌آمیز بزنند؟ اگرچه به نقل مایکل کوک برخی همچون ابن‌جوزی حنبلی تلاش می‌کرد که حنبلیان را با دیگران هماهنگ سازد ولی چندان موفق نبود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لازم بود مایکل کوک به این حقایق تاریخی بپردازد و پرسش‌های بالا را پاسخ گوید تا بتواند تحلیلی عالمانه از جریان فکری حرکت حنبلیان ارائه دهد و میان بغداد و دمشق تفکیکی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اصول و اساس و مبانی فکری حنبلیان همواره یکسان بوده است که ظاهرگرایی، وفاداری به نص ولو ضعیف، گرایش به اموی‌ها، دشمنی با شیعیان، از جملۀ آنها است</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8666_122359"/>
      <w:bookmarkStart w:id="216" w:name="pg8666_122359"/>
      <w:bookmarkEnd w:id="216"/>
    </w:p>
    <w:p>
      <w:pPr>
        <w:pStyle w:val="Heading3"/>
        <w:numPr>
          <w:ilvl w:val="2"/>
          <w:numId w:val="1"/>
        </w:numPr>
        <w:rPr/>
      </w:pPr>
      <w:bookmarkStart w:id="217" w:name="pg8666_122359"/>
      <w:bookmarkStart w:id="218" w:name="__RefHeading___Toc2419608_653776707"/>
      <w:bookmarkStart w:id="219" w:name="_Toc84"/>
      <w:bookmarkEnd w:id="217"/>
      <w:bookmarkEnd w:id="218"/>
      <w:r>
        <w:rPr>
          <w:rtl w:val="true"/>
        </w:rPr>
        <w:t>گزارش و ارزیابی فصل هشتم</w:t>
      </w:r>
      <w:r>
        <w:rPr>
          <w:rtl w:val="true"/>
        </w:rPr>
        <w:t xml:space="preserve">: </w:t>
      </w:r>
      <w:r>
        <w:rPr>
          <w:rtl w:val="true"/>
        </w:rPr>
        <w:t>حنبلیان نجد</w:t>
      </w:r>
      <w:bookmarkEnd w:id="219"/>
    </w:p>
    <w:p>
      <w:pPr>
        <w:pStyle w:val="Heading4"/>
        <w:numPr>
          <w:ilvl w:val="3"/>
          <w:numId w:val="1"/>
        </w:numPr>
        <w:rPr/>
      </w:pPr>
      <w:bookmarkStart w:id="220" w:name="__RefHeading___Toc2419610_653776707"/>
      <w:bookmarkStart w:id="221" w:name="_Toc85"/>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گزارش و ارزیابی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نجد</w:t>
      </w:r>
      <w:r>
        <w:rPr>
          <w:rStyle w:val="FootnoteAnchor"/>
          <w:rtl w:val="true"/>
        </w:rPr>
        <w:footnoteReference w:id="53"/>
      </w:r>
    </w:p>
    <w:p>
      <w:pPr>
        <w:pStyle w:val="Heading4"/>
        <w:numPr>
          <w:ilvl w:val="3"/>
          <w:numId w:val="1"/>
        </w:numPr>
        <w:rPr/>
      </w:pPr>
      <w:bookmarkStart w:id="222" w:name="__RefHeading___Toc2419612_653776707"/>
      <w:bookmarkStart w:id="223" w:name="_Toc86"/>
      <w:bookmarkEnd w:id="222"/>
      <w:r>
        <w:rPr/>
        <w:t>1</w:t>
      </w:r>
      <w:r>
        <w:rPr>
          <w:rtl w:val="true"/>
        </w:rPr>
        <w:t xml:space="preserve">. </w:t>
      </w:r>
      <w:r>
        <w:rPr>
          <w:rtl w:val="true"/>
        </w:rPr>
        <w:t>حضور حنبلیان در نجد</w:t>
      </w:r>
      <w:bookmarkEnd w:id="223"/>
    </w:p>
    <w:p>
      <w:pPr>
        <w:pStyle w:val="Heading5"/>
        <w:numPr>
          <w:ilvl w:val="4"/>
          <w:numId w:val="1"/>
        </w:numPr>
        <w:rPr/>
      </w:pPr>
      <w:bookmarkStart w:id="224" w:name="__RefHeading___Toc2419614_653776707"/>
      <w:bookmarkStart w:id="225" w:name="_Toc87"/>
      <w:bookmarkEnd w:id="224"/>
      <w:r>
        <w:rPr>
          <w:rtl w:val="true"/>
        </w:rPr>
        <w:t>الف</w:t>
      </w:r>
      <w:r>
        <w:rPr>
          <w:rtl w:val="true"/>
        </w:rPr>
        <w:t xml:space="preserve">) </w:t>
      </w:r>
      <w:r>
        <w:rPr>
          <w:rtl w:val="true"/>
        </w:rPr>
        <w:t>گزارش</w:t>
      </w:r>
      <w:bookmarkEnd w:id="2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هشتم به بحث حنبلیان نجد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حنبلیان دمشق گفته شد که ابن‌تیمیه افکاری را مطرح کرد ولی در خود دمشق انعکاس چندانی نداشت؛ اما پانصد سال بعد به عقیده مایکل کوک در درون یک جامعه قبیله‌ای سنّتی در عربستان مرکزی در منطقه‌ای به نام نجد در جامعه‌ای بدون دولت و یک‌دست که رئیس قبیله حاکم بود، این اتفاق افتاد و در یک چنین سیستمی افکار ابن‌تیمیه رشد کرد و این اولین بار بود که یک جامعه یک‌دست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یکی از واحه‌هایی است که نمی‌توان به آن اسم شهر اطلاق کرد و اطلاعات چندانی هم از این شهر در آن ایّام در دست نیست، منتهی عالمان حنبلی با این قبیله کنار آمدند تا اینکه 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توافقی میان عالم حنبلی به نام محمدبن عبدالوهاب و محمدبن‌سعود که از حاکمان و از رؤسای ناحیه درعیه بود، صورت گرفت</w:t>
      </w:r>
      <w:r>
        <w:rPr>
          <w:rFonts w:eastAsia="IRNazanin" w:cs="IRNazanin"/>
          <w:color w:val="111111"/>
          <w:sz w:val="28"/>
          <w:szCs w:val="28"/>
          <w:rtl w:val="true"/>
          <w:lang w:bidi="fa-IR"/>
        </w:rPr>
        <w:t xml:space="preserve">. </w:t>
      </w:r>
      <w:bookmarkStart w:id="226" w:name="pg8666_122361"/>
    </w:p>
    <w:p>
      <w:pPr>
        <w:pStyle w:val="BookText"/>
        <w:rPr/>
      </w:pPr>
      <w:bookmarkEnd w:id="226"/>
      <w:r>
        <w:rPr>
          <w:rFonts w:ascii="IRNazanin" w:hAnsi="IRNazanin" w:eastAsia="IRNazanin"/>
          <w:color w:val="111111"/>
          <w:sz w:val="28"/>
          <w:sz w:val="28"/>
          <w:szCs w:val="28"/>
          <w:rtl w:val="true"/>
          <w:lang w:bidi="fa-IR"/>
        </w:rPr>
        <w:t>ابن‌عبدالوهاب معتقد بود اکثر کارهای مردم را شرک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خود می‌دانست که مردم را از مظاهر شرک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باعث شد که ظهور نهضت وهّابی با اندیشه و عقیده حنبلی به‌عنوان اندیشه سیاسی در قالب دولت سعودی ظاهر شود که وظیفه‌اش جهاد و مقابله با شرک بود</w:t>
      </w:r>
      <w:r>
        <w:rPr>
          <w:rFonts w:eastAsia="IRNazanin" w:cs="IRNazanin"/>
          <w:color w:val="111111"/>
          <w:sz w:val="28"/>
          <w:szCs w:val="28"/>
          <w:rtl w:val="true"/>
          <w:lang w:bidi="fa-IR"/>
        </w:rPr>
        <w:t>.</w:t>
      </w:r>
    </w:p>
    <w:p>
      <w:pPr>
        <w:pStyle w:val="Heading5"/>
        <w:numPr>
          <w:ilvl w:val="4"/>
          <w:numId w:val="1"/>
        </w:numPr>
        <w:rPr/>
      </w:pPr>
      <w:bookmarkStart w:id="227" w:name="__RefHeading___Toc2419616_653776707"/>
      <w:bookmarkStart w:id="228" w:name="_Toc88"/>
      <w:bookmarkEnd w:id="227"/>
      <w:r>
        <w:rPr>
          <w:rtl w:val="true"/>
        </w:rPr>
        <w:t>ب</w:t>
      </w:r>
      <w:r>
        <w:rPr>
          <w:rtl w:val="true"/>
        </w:rPr>
        <w:t xml:space="preserve">) </w:t>
      </w:r>
      <w:r>
        <w:rPr>
          <w:rtl w:val="true"/>
        </w:rPr>
        <w:t>ارزیابی</w:t>
      </w:r>
      <w:bookmarkEnd w:id="228"/>
    </w:p>
    <w:p>
      <w:pPr>
        <w:pStyle w:val="BookText"/>
        <w:rPr/>
      </w:pPr>
      <w:r>
        <w:rPr>
          <w:rFonts w:ascii="IRNazanin" w:hAnsi="IRNazanin" w:eastAsia="IRNazanin"/>
          <w:color w:val="111111"/>
          <w:sz w:val="28"/>
          <w:sz w:val="28"/>
          <w:szCs w:val="28"/>
          <w:rtl w:val="true"/>
          <w:lang w:bidi="fa-IR"/>
        </w:rPr>
        <w:t>مایکل کوک در فصل هشتم کتاب خود به سرگذشت امر به معروف و نهی از منکر در میان حنبلیان نجد که پیروان ابن‌تیمیه و محمد‌بن‌عبدالوهاب بودند، از ظهور تا افول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بسیار مهم، دقیق، پرتجربه و قابل تأمل است، به‌ویژه برای کسانی که به سازمان اداری و دولتی با نام امر به معروف و نهی از منکر که تحت اداره و اشراف حکومت و دولت مدیریت شود، فکر می‌کنند، بسیار مهم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مایکل کوک در این فصل تلاش‌های فراوان کرده تا زوایای مختلف به حاکمیت رسیدن وهابیان را تحت عنوان حنبلیان نجد به تصویر بکشد و به پژوهش آن بپردازد، ولی به نظر می‌رسد، در این کار نواقص و نقاط قابل تأمل و قابل ملاحظه‌ای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فقها و مفتیان وهّابی، فقه خود را فقه حنبلی نمی‌دانند، بلکه آنها فقه خود را فقه السنّة می‌شمرند که به‌عنوان بازگشتی به آرای صحابه و سلف محسوب می‌شود و لذا آنها سلفیه هستند، نه 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آرای شیوخ و مفتیان وهّابی مانند آل شیخ و بن‌باز و غیره، مبیّن این حقیقت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چنانچه در نقد و بررسی فصل پیشین اشاره شد، نگرش ابن‌تیمیه با نگاه ابن‌حنبل تفاوت‌هایی مهم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از پیشوایان مذهبی اهل سنت محسوب می‌شود، ولی ابن‌تیمیه شخصیتی جنجالی است که در برابر آرای شاذ و فتاوای نادر او علمای زیادی موضع گرفتند و او را به عناوین مختلفی همچون زندیق، بدعت‌گذار و منافق طرد نمودند و به زندان افکندند؛ ازاین‌رو، لازم است نویسنده به مشترکات و تفاوت‌های ابن‌حنبل و ابن‌تیمیّه بپردازد</w:t>
      </w:r>
      <w:r>
        <w:rPr>
          <w:rFonts w:eastAsia="IRNazanin" w:cs="IRNazanin"/>
          <w:color w:val="111111"/>
          <w:sz w:val="28"/>
          <w:szCs w:val="28"/>
          <w:rtl w:val="true"/>
          <w:lang w:bidi="fa-IR"/>
        </w:rPr>
        <w:t xml:space="preserve">. </w:t>
      </w:r>
      <w:bookmarkStart w:id="229" w:name="pg8666_122363"/>
    </w:p>
    <w:p>
      <w:pPr>
        <w:pStyle w:val="BookText"/>
        <w:rPr/>
      </w:pPr>
      <w:bookmarkEnd w:id="229"/>
      <w:r>
        <w:rPr>
          <w:rFonts w:ascii="IRNazanin" w:hAnsi="IRNazanin" w:eastAsia="IRNazanin"/>
          <w:color w:val="111111"/>
          <w:sz w:val="28"/>
          <w:sz w:val="28"/>
          <w:szCs w:val="28"/>
          <w:rtl w:val="true"/>
          <w:lang w:bidi="fa-IR"/>
        </w:rPr>
        <w:t>همچنین نسبت به محمد‌بن عبدالوهاب نیز که چند قرن بعد از ابن‌تیمیه، راه او را ادامه می‌دهد، مطلب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تفاوت‌ها و مشترکات این سه نفر یعنی ابن‌حنبل، ابن‌تیمیه، و ابن‌عبدالوهاب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توجه مایکل کوک قرار نگرفته، این است که دانشمندان مختلفی علیه عقاید وهابیه موضع‌گیری کرده و دراین‌باره کتابنوشته‌اند و آنها را از اهل سنت و یا پیروان احمد‌بن‌حنبل نشمرده‌اند و حتی معتقدند پیش از آنکه بتوانیم وهابیه را از حنبلیان برشماریم، آنان را می‌توان فرقۀ نوظهور و بدعت‌آمیز تلقی کنیم که منسوب به حنبلیان شمرده شده‌اند، ولی واقعیت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افرادی که علیه محمد‌بن عبدالوهاب موضع گرفتند، پدر و برادر او بودند که از پیروان ابن‌حنبل شمرده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سلیمان‌بن عبدالوهاب کتاب الصواعق الالهیة فی الرد علی الوهابیة را در ردّ اندیشه‌های برادر خود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زینی دحلان و عباس محمود عقاد می‌گویند که پدر و برادر ابن‌عبدالوهاب از مخالفان عقاید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شیعه هم نخستین کتابی که در ردّ عقاید محمد‌بن عبدالوهاب نگاشته شد، کتاب منهاج الرشاد فقیه بزرگ 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در پاسخ رساله‌ای که یکی از امرای سعودی به نام عبدالعزیز‌بن‌سعود برای او فرستاده بود، نوشت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230" w:name="__RefHeading___Toc2419618_653776707"/>
      <w:bookmarkStart w:id="231" w:name="_Toc89"/>
      <w:bookmarkEnd w:id="230"/>
      <w:r>
        <w:rPr/>
        <w:t>2</w:t>
      </w:r>
      <w:r>
        <w:rPr>
          <w:rtl w:val="true"/>
        </w:rPr>
        <w:t xml:space="preserve">. </w:t>
      </w:r>
      <w:r>
        <w:rPr>
          <w:rtl w:val="true"/>
        </w:rPr>
        <w:t>اولین دولت سعودی و امر به معروف و نهی از منکر</w:t>
      </w:r>
      <w:bookmarkEnd w:id="231"/>
    </w:p>
    <w:p>
      <w:pPr>
        <w:pStyle w:val="Heading5"/>
        <w:numPr>
          <w:ilvl w:val="4"/>
          <w:numId w:val="1"/>
        </w:numPr>
        <w:rPr/>
      </w:pPr>
      <w:bookmarkStart w:id="232" w:name="__RefHeading___Toc2419620_653776707"/>
      <w:bookmarkStart w:id="233" w:name="_Toc90"/>
      <w:bookmarkEnd w:id="232"/>
      <w:r>
        <w:rPr>
          <w:rtl w:val="true"/>
        </w:rPr>
        <w:t>الف</w:t>
      </w:r>
      <w:r>
        <w:rPr>
          <w:rtl w:val="true"/>
        </w:rPr>
        <w:t xml:space="preserve">) </w:t>
      </w:r>
      <w:r>
        <w:rPr>
          <w:rtl w:val="true"/>
        </w:rPr>
        <w:t>گزارش</w:t>
      </w:r>
      <w:bookmarkEnd w:id="23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کوک دولت سعودی را به سه دوره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آن از زمان توافق محمدبن عبدالوهاب با محمدبن‌سعود یعنی از تاریخ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شروع و تا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حدود هشتاد سال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ابن‌عبدالوهاب در نجد به مبارزه با شرک پرداخت و بخت با او 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در عیینه به کمک عثمان‌بن‌معمّر اقدام کرد و سپس در درعیه </w:t>
      </w:r>
    </w:p>
    <w:p>
      <w:pPr>
        <w:pStyle w:val="BookText"/>
        <w:rPr/>
      </w:pPr>
      <w:r>
        <w:rPr>
          <w:rFonts w:ascii="IRNazanin" w:hAnsi="IRNazanin" w:eastAsia="IRNazanin"/>
          <w:color w:val="111111"/>
          <w:sz w:val="28"/>
          <w:sz w:val="28"/>
          <w:szCs w:val="28"/>
          <w:rtl w:val="true"/>
          <w:lang w:bidi="fa-IR"/>
        </w:rPr>
        <w:t>بود که موفق شد با ابن‌سعود پیمان منعقد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نهی از منکر پرداخت و حاکمان سعودی هم یکی پس از دیگری طبق پیمان منعقده به این کار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حنبلی در ایام حج در مکه و مدینه حضور می‌یافتند و مردم را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آنها دخانیات را حرام اعلام کردند و کسانی را گماشتند که وقت نمازدر بازار بگردند تا مردم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ابن‌عبدالوهاب در مورد امر به معروف و نهی از منکر در نامه‌ای به وهابیان سدیر چنین سفارش می‌کند که ابتدا با مردم با ملائمت رفتار شود و این فریضه در خلوت اجرا گردد، ولی نه به صورتی که در جامعه سبب تفرقه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ابن‌عبدالوهاب، نهی از منکر را با جنگ ضد شرک مربوط می‌سازد و معتقد است، نقش علما که در گذشته با اندیشه و گفتار و عمل، به جنگ با گناه و بدعت برخاستند، در همین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عالم دیگر وهابی یکی نوه عبدالوهاب به نام عبدالله‌بن محمدبن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حَمَدبن ناصربن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معتقدند به صرف نهی از منکر وظیفه تمام نمی‌شود و باید در این امر جدی بود و استمرار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مهاجرت را به‌خاطر عدم توانایی بر انجام نهی از منکر جایز نمی‌دانند و معتقدند مهاجرت تنها از سرزمین کفر که زمینه برای انجام مناسک دینی ندارند جایز است، نه سرزمینی که معصیت آن را فراگرفته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محمد عبدالوهاب با زیدیه نیز درباره قیام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محاجاتی داشته و شرایط آن دوران را مربوط به دوران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رابطه با امر به معروف و نهی از منکر برای خود اصولی دارد که از جمله آنها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بودن خودداری از انجام وظیفه به‌خاطر ترس؛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حرمت اشخاص؛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 گناه علنی که تأثیرگذار بر مردم است با گناه مخفی که در درون خانه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کسانی را که برای ادای این وظیفه، نسبت به بستگان خود فرق می‌گذارند، مورد نکوهش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این وظیفه بر دوش همه است، ولی بیش از همه بر دوش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نهی از منکر را با جنگ علیه شرک مرتبط می‌داند</w:t>
      </w:r>
      <w:r>
        <w:rPr>
          <w:rFonts w:eastAsia="IRNazanin" w:cs="IRNazanin"/>
          <w:color w:val="111111"/>
          <w:sz w:val="28"/>
          <w:szCs w:val="28"/>
          <w:rtl w:val="true"/>
          <w:lang w:bidi="fa-IR"/>
        </w:rPr>
        <w:t xml:space="preserve">. </w:t>
      </w:r>
      <w:bookmarkStart w:id="234" w:name="pg8666_122368"/>
    </w:p>
    <w:p>
      <w:pPr>
        <w:pStyle w:val="BookText"/>
        <w:rPr/>
      </w:pPr>
      <w:bookmarkEnd w:id="234"/>
      <w:r>
        <w:rPr>
          <w:rFonts w:ascii="IRNazanin" w:hAnsi="IRNazanin" w:eastAsia="IRNazanin"/>
          <w:color w:val="111111"/>
          <w:sz w:val="28"/>
          <w:sz w:val="28"/>
          <w:szCs w:val="28"/>
          <w:rtl w:val="true"/>
          <w:lang w:bidi="fa-IR"/>
        </w:rPr>
        <w:t xml:space="preserve">مایکل از نوشتن نامه ریاکارانه عبدالله‌بن‌سعود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شاه دوره اول سعودی‌ها به محمد علی، حاکم مصر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از جزیرة‌العرب که زیر سلطۀ حاکمان دولت عثمانی بود، کفار و مشرکین، جنگ را شروع کرده‌اند و سربازان سعودی و مسلمان‌ها فقط اعمال حکم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نامه این مداخله و جنگ را با آیات قرآن درباره مشرکین توجیه می‌کند و سپس آن را به اتمام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از نوشتن این نامه، رسیدن به قدرت با ادعای جنگ در برابر 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آنچهمشخص است، این است که توجیه یورش سربازان عبدالله، به نواحی مختلف حجاز، به‌خاطر دست‌یافتن به قدرت نظامی است تا مبارزه علیه شرک و کفر</w:t>
      </w:r>
      <w:r>
        <w:rPr>
          <w:rFonts w:eastAsia="IRNazanin" w:cs="IRNazanin"/>
          <w:color w:val="111111"/>
          <w:sz w:val="28"/>
          <w:szCs w:val="28"/>
          <w:rtl w:val="true"/>
          <w:lang w:bidi="fa-IR"/>
        </w:rPr>
        <w:t>.</w:t>
      </w:r>
    </w:p>
    <w:p>
      <w:pPr>
        <w:pStyle w:val="Heading5"/>
        <w:numPr>
          <w:ilvl w:val="4"/>
          <w:numId w:val="1"/>
        </w:numPr>
        <w:rPr/>
      </w:pPr>
      <w:bookmarkStart w:id="235" w:name="__RefHeading___Toc2419622_653776707"/>
      <w:bookmarkStart w:id="236" w:name="_Toc91"/>
      <w:bookmarkEnd w:id="235"/>
      <w:r>
        <w:rPr>
          <w:rtl w:val="true"/>
        </w:rPr>
        <w:t>ب</w:t>
      </w:r>
      <w:r>
        <w:rPr>
          <w:rtl w:val="true"/>
        </w:rPr>
        <w:t xml:space="preserve">) </w:t>
      </w:r>
      <w:r>
        <w:rPr>
          <w:rtl w:val="true"/>
        </w:rPr>
        <w:t>ارزیابی</w:t>
      </w:r>
      <w:bookmarkEnd w:id="236"/>
    </w:p>
    <w:p>
      <w:pPr>
        <w:pStyle w:val="BookText"/>
        <w:rPr/>
      </w:pPr>
      <w:r>
        <w:rPr>
          <w:rFonts w:ascii="IRNazanin" w:hAnsi="IRNazanin" w:eastAsia="IRNazanin"/>
          <w:color w:val="111111"/>
          <w:sz w:val="28"/>
          <w:sz w:val="28"/>
          <w:szCs w:val="28"/>
          <w:rtl w:val="true"/>
          <w:lang w:bidi="fa-IR"/>
        </w:rPr>
        <w:t>دولت اول سعودی که به گفتۀ مایکل برای مبارزه با شرک و کفر در نجد و مناطق و قبایل بیابانی حدود آن تشکیل شده است، در حقیقت امری را به‌عنوان کفر و شرک مطرح می‌کند که مخالف عقاید قاطبۀ مسلمانان و از جمله حنبلیان است؛ بنابراین، اینکه جناب مایکل کوک در کتاب امر به معروف وهابیان نجد را ظهور دوباره حنبلیان می‌داند، امری است که با واقعیت‌های تاریخی و حقایق مذهبی و عقیدتی مسلمانان چندان سازگاری ندارد، درحالی‌که احمد‌بن‌حنبل به تعدیل فرقه‌های مختلف می‌اندیشید و به دنبال رفع تضاد میان آنها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اندیشه سلفی‌گری و وهابیت، میان فرقه‌های اسلامی شعلۀ جنگ، اختلاف، فتنه و برادرکشی را برافروخت و این آتش خانمان‌سوز و فتنۀ بزرگ همچنان دامن‌گیر جهان اسلام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عملکرد وهابیان و دولت اول آل سعود در حجاز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از قول ابن‌بشر نجدی نقل می‌کند که من در ابتدا شاهد تنگ‌دستی مردم درعیه بودم، ولی آن شهر را در زمان آل‌سعود مشاهده کردم، درحالی‌که مردم آن شهر از ثروت فراوان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اسلحه، شتر، گوسفند، اسب، لباس‌های فاخر، گوشت، گندم و دیگر خوردنی‌ها به‌قدری فراوان بود که نمی‌توان آن را وصف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این ثروت هنگفت حاصل حمله به مسلمانان قبایل و شهرهای دیگر نجد و به‌غنیمت‌گرفتن و غارت اموال آنان بوده است؛ زیرا ابن‌عبدالوهاب با مسلمانانی که عقاید او را نمی‌پذیرفتند، معامله مشرک و کافر حربی می‌کرد و برای جان و ناموس آنان ارزشی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اسم توحید با قرائت خود ابن‌عبدالوهاب که مخالف نظر و عقیدۀ قاطبۀ مسلمانان و حتی پیروان ابن‌حنبل بود، جان و مال و ناموس مسلمانان را مباح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وهابیان در نجد و یمن و حجاز و سپس در اطراف سوریه و عراق راه انداختند و حتی نسل‌هایبعدی در ادامۀ کار آنها، حرکت‌های طالبان و داعش و جبهة‌النصرة و سایر گروه‌های ارهابی و تکفیری در سال‌های اخیر در جهان اسلام و حتی در اروپا و آمریکا و در کل جهان به راه انداخته‌اند، بر اساس همین مبانی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شهری را که با جنگ و غلبه بر آن چیره می‌شدند، جان و مال و ناموس مردم آن را برای خود حلال می‌شمردند و ضمیمۀ املاک خود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عقاید آنان موافق نبودند و از تبعیت سرباز می‌زدند باید کشته می‌شدند و اموالشان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روش از اهالی یک قریه به نام فصول، در شهر احساء سیصد مرد را به قتل رسانیدند و اموالشان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اولین دولت سعودی سپاهی مرکب از بیست هزار مرد جنگی را تجهیز کرد و به شهر کربلا در عراق حمله‌ور شد و پس از محاصره، سرانجام وارد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را به قتل رسانید و به خزائن و اموال نفیس حرم حمله‌ور شد و آنها را به غارت برد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بزرگ امامیه مرحوم سید محمدجواد عاملی، در آخر مجلّد هفتم دائرة المعارف گران‌سنگ خود مفتاح الکرامة،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جزء از کتاب بعد از نیمه شب نهم رمضان المبارک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 درحالی‌که در نگرانی و تشویش بودم؛ زیرا اعراب نخیره که وهابی هستند اطراف نجف اشرف و مشهد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کرده بودند، راه‌ها را بسته و زوار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زیارت نیمه شعبان به وطن‌های خود باز می‌گشتند، غارت می‌کردند </w:t>
      </w:r>
      <w:bookmarkStart w:id="237" w:name="pg8666_122372"/>
    </w:p>
    <w:p>
      <w:pPr>
        <w:pStyle w:val="BookText"/>
        <w:rPr/>
      </w:pPr>
      <w:bookmarkEnd w:id="237"/>
      <w:r>
        <w:rPr>
          <w:rFonts w:ascii="IRNazanin" w:hAnsi="IRNazanin" w:eastAsia="IRNazanin"/>
          <w:color w:val="111111"/>
          <w:sz w:val="28"/>
          <w:sz w:val="28"/>
          <w:szCs w:val="28"/>
          <w:rtl w:val="true"/>
          <w:lang w:bidi="fa-IR"/>
        </w:rPr>
        <w:t xml:space="preserve">و جمع کثیری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زوار ایرانی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عدد مقتولین در این بار یک‌صد و پنجاه تن بوده است، البته کمتر از این هم گفته‌اند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حال این فجایع را اگر وهابیان به اسم توحید یا به نام امر به معروف و نهی از منکر انجام دادند، ولی سایر مسلمانان و حتی حنبلیان این شیوه را نادرست می‌دانند و آن را بدعت محسوب می‌کنند، پس آیا بهتر نبود جناب مایکل کوک به این حقایق نیز اشاره کند؟ به‌ویژه آنکه این حقایق موجب استحاله و انقلاب ماهوی امر به معروف و نهی از منکر خواهد شد؛درحالی‌که نویسنده محترم آغاز کتاب امر به معروف خود را از حادثه متروی شیکاگو آغاز می‌کند تا نشان دهد در اندیشه اسلامی، حقیقتی به نام امر به معروف وجود دارد که می‌تواند به کمک وجدان اخلاقی جوامع آید و آنان را از کارهای ناشایست دیگران برهاند و به آنها آموزش دهد که 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اقدمات وهابیان و گروه‌های وابسته به آنها را که تا الان به نام‌های مختلف دست به فتنه و کشتار و هر نوع اقدام غیرانسانی می‌زنند، جزء حقیقت انسانی امر به معروف و نهی از منکر دانست که برای حلّ مشکل اجتماعی و نجات جوامع انسانی قیام کرده‌اند؟</w:t>
      </w:r>
    </w:p>
    <w:p>
      <w:pPr>
        <w:pStyle w:val="Heading4"/>
        <w:numPr>
          <w:ilvl w:val="3"/>
          <w:numId w:val="1"/>
        </w:numPr>
        <w:rPr/>
      </w:pPr>
      <w:bookmarkStart w:id="238" w:name="__RefHeading___Toc2419624_653776707"/>
      <w:bookmarkStart w:id="239" w:name="_Toc92"/>
      <w:bookmarkEnd w:id="238"/>
      <w:r>
        <w:rPr/>
        <w:t>3</w:t>
      </w:r>
      <w:r>
        <w:rPr>
          <w:rtl w:val="true"/>
        </w:rPr>
        <w:t xml:space="preserve">. </w:t>
      </w:r>
      <w:r>
        <w:rPr>
          <w:rtl w:val="true"/>
        </w:rPr>
        <w:t>دومین دولت سعودی و امر به معروف و نهی از منکر</w:t>
      </w:r>
      <w:bookmarkEnd w:id="239"/>
    </w:p>
    <w:p>
      <w:pPr>
        <w:pStyle w:val="Heading5"/>
        <w:numPr>
          <w:ilvl w:val="4"/>
          <w:numId w:val="1"/>
        </w:numPr>
        <w:rPr/>
      </w:pPr>
      <w:bookmarkStart w:id="240" w:name="__RefHeading___Toc2419626_653776707"/>
      <w:bookmarkStart w:id="241" w:name="_Toc93"/>
      <w:bookmarkEnd w:id="240"/>
      <w:r>
        <w:rPr>
          <w:rtl w:val="true"/>
        </w:rPr>
        <w:t>الف</w:t>
      </w:r>
      <w:r>
        <w:rPr>
          <w:rtl w:val="true"/>
        </w:rPr>
        <w:t xml:space="preserve">) </w:t>
      </w:r>
      <w:r>
        <w:rPr>
          <w:rtl w:val="true"/>
        </w:rPr>
        <w:t>گزارش</w:t>
      </w:r>
      <w:bookmarkEnd w:id="241"/>
    </w:p>
    <w:p>
      <w:pPr>
        <w:pStyle w:val="BookText"/>
        <w:rPr/>
      </w:pPr>
      <w:r>
        <w:rPr>
          <w:rFonts w:ascii="IRNazanin" w:hAnsi="IRNazanin" w:eastAsia="IRNazanin"/>
          <w:color w:val="111111"/>
          <w:sz w:val="28"/>
          <w:sz w:val="28"/>
          <w:szCs w:val="28"/>
          <w:rtl w:val="true"/>
          <w:lang w:bidi="fa-IR"/>
        </w:rPr>
        <w:t xml:space="preserve">مایکل کوک زمان دولت دوم سعودی را در فاصله بین سال‌های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حاکمان سعودی و علمای حنبلی، هر دو، توجه ویژه‌ای نسبت به امر به معروف و نهی از منکر و اهتمام ویژه‌ای به نهی از منکر به‌عنوان واجب کفایی 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تُرکی‌بن‌عبدالله و فیصل‌بن‌ترکی از حاکمان دولت دوم سعودی توجه ویژه‌ای به نهی از منکر داشتند، به‌گونه‌ای که با پخش نامه اعلام کردند کسانی که برای تجارت به سرزمین‌های کفر می‌روند مردم باید آنها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این است که برای </w:t>
      </w:r>
    </w:p>
    <w:p>
      <w:pPr>
        <w:pStyle w:val="BookText"/>
        <w:rPr/>
      </w:pPr>
      <w:r>
        <w:rPr>
          <w:rFonts w:ascii="IRNazanin" w:hAnsi="IRNazanin" w:eastAsia="IRNazanin"/>
          <w:color w:val="111111"/>
          <w:sz w:val="28"/>
          <w:sz w:val="28"/>
          <w:szCs w:val="28"/>
          <w:rtl w:val="true"/>
          <w:lang w:bidi="fa-IR"/>
        </w:rPr>
        <w:t>تجارت و دید و بازدید به سرزمین‌های کفر نروند و از امیران تحت امرشان می‌خواهند که از آمران به معروف و ناهیان از منکر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فیصل دستور می‌دهد که سیگارکشان را پیدا و قلع و قمع نمایند، بر نماز مردم نظارت شود، همین طور به سایر امور دینی و از جمله بر مراسم حج نظارت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سعودی از جمله عبدالرحمان معتقد است که وظیفه نهی از منکر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نهی از منکر نکنند، از عهده دیگران برداشته نمی‌شود، بلکه به‌خاطر ترک نهی از منکر همه گناهکارند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دستورات این دوره حاکمان این است که اگر افرادی مانع از نهی از منکر می‌شوند باید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دوره تا حدی اداری‌کردن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که ترکی وفیصل برای امیران نوشته و آنان را برای تحقق این وظیفه تشویق می‌کنند، گویای اداری‌کردن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دیگری که اداری‌شدن نهی از منکر را تأیید می‌کند، این است که به حاکمان گوشزد می‌کند همان قسم که برای جمع‌آوری زکات عمال فرستاده می‌شود، برای آموزش دینی مردم نیز این کار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یعنی تحریف برخی گزاره‌های دینی توسط آمران جاهل باعث می‌شود که برخی مردم به آمرین به معروف خرده گیرند و آنان را مسخره نمایند و به اهل دین، اهل 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 آن است که چرا در دولت دوم سعودی نهی از منکر اهمیّت می‌یابد؟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موجّه‌ترین دلیل، تغییر شرایط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تمایزی که دولت اول سعودی با دولت دوم دارد این است که در دولت اول توجه به بیرون بود، چون ضدّ کفر اعلان جهاد کرده بود و شعارش مبارزه با شرک بود؛ درحالی‌که در دولت دوم بیشترین توجه به درون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نخستین وظیفه خودش را این می‌دانست که از دین‌دارشدن مردم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این بود که در دولت اول توجه دولت به توسعه بود، اما وقتی که مناطق بیشتری نصیب دولت دوم شده بود، باید به امور داخلی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احساء را با فشار تصرف کردند، اما فتح حجاز خارج از توانایی آنها بود؛ لذا جهاد با کفار جایش را به نهی از منکر داد تا هویت دینی دولت سعودی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دیگری که دیده می‌شود این است که </w:t>
      </w:r>
      <w:bookmarkStart w:id="242" w:name="pg8666_122376"/>
    </w:p>
    <w:p>
      <w:pPr>
        <w:pStyle w:val="BookText"/>
        <w:rPr/>
      </w:pPr>
      <w:bookmarkEnd w:id="242"/>
      <w:r>
        <w:rPr>
          <w:rFonts w:ascii="IRNazanin" w:hAnsi="IRNazanin" w:eastAsia="IRNazanin"/>
          <w:color w:val="111111"/>
          <w:sz w:val="28"/>
          <w:sz w:val="28"/>
          <w:szCs w:val="28"/>
          <w:rtl w:val="true"/>
          <w:lang w:bidi="fa-IR"/>
        </w:rPr>
        <w:t>در دولت دوم هماهنگی و هم‌سویی دولت با علمای دینی و وهابیت بیشتر شده بود که مهم‌ترین علت آن شرایط تاریخی و قبیله‌ای بود و علت دیگر هم اندیشه‌های ابن‌تیمیه بود</w:t>
      </w:r>
      <w:r>
        <w:rPr>
          <w:rFonts w:eastAsia="IRNazanin" w:cs="IRNazanin"/>
          <w:color w:val="111111"/>
          <w:sz w:val="28"/>
          <w:szCs w:val="28"/>
          <w:rtl w:val="true"/>
          <w:lang w:bidi="fa-IR"/>
        </w:rPr>
        <w:t>.</w:t>
      </w:r>
    </w:p>
    <w:p>
      <w:pPr>
        <w:pStyle w:val="Heading4"/>
        <w:numPr>
          <w:ilvl w:val="3"/>
          <w:numId w:val="1"/>
        </w:numPr>
        <w:rPr/>
      </w:pPr>
      <w:bookmarkStart w:id="243" w:name="__RefHeading___Toc2419628_653776707"/>
      <w:bookmarkStart w:id="244" w:name="_Toc94"/>
      <w:bookmarkEnd w:id="243"/>
      <w:r>
        <w:rPr/>
        <w:t>4</w:t>
      </w:r>
      <w:r>
        <w:rPr>
          <w:rtl w:val="true"/>
        </w:rPr>
        <w:t xml:space="preserve">. </w:t>
      </w:r>
      <w:r>
        <w:rPr>
          <w:rtl w:val="true"/>
        </w:rPr>
        <w:t>سومین دولت سعودی و امر به معروف و نهی از منکر</w:t>
      </w:r>
      <w:bookmarkEnd w:id="244"/>
    </w:p>
    <w:p>
      <w:pPr>
        <w:pStyle w:val="Heading5"/>
        <w:numPr>
          <w:ilvl w:val="4"/>
          <w:numId w:val="1"/>
        </w:numPr>
        <w:rPr/>
      </w:pPr>
      <w:bookmarkStart w:id="245" w:name="__RefHeading___Toc2419630_653776707"/>
      <w:bookmarkStart w:id="246" w:name="_Toc95"/>
      <w:bookmarkEnd w:id="245"/>
      <w:r>
        <w:rPr>
          <w:rtl w:val="true"/>
        </w:rPr>
        <w:t>الف</w:t>
      </w:r>
      <w:r>
        <w:rPr>
          <w:rtl w:val="true"/>
        </w:rPr>
        <w:t xml:space="preserve">) </w:t>
      </w:r>
      <w:r>
        <w:rPr>
          <w:rtl w:val="true"/>
        </w:rPr>
        <w:t>گزارش</w:t>
      </w:r>
      <w:bookmarkEnd w:id="246"/>
    </w:p>
    <w:p>
      <w:pPr>
        <w:pStyle w:val="BookText"/>
        <w:rPr/>
      </w:pPr>
      <w:r>
        <w:rPr>
          <w:rFonts w:ascii="IRNazanin" w:hAnsi="IRNazanin" w:eastAsia="IRNazanin"/>
          <w:color w:val="111111"/>
          <w:sz w:val="28"/>
          <w:sz w:val="28"/>
          <w:szCs w:val="28"/>
          <w:rtl w:val="true"/>
          <w:lang w:bidi="fa-IR"/>
        </w:rPr>
        <w:t xml:space="preserve">سومین دولت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ملک عبدالعزیزبن‌سعود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حکومت به دو دوره تقسیم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فتح مکه،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حجاز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حاضر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می‌توان به 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دوره‌ایاست که با سقوط امپراطور عثمانی حاکمان سعودی با خیالی آسوده سرزمین حجاز را مدیریت و کمیته‌های امر به معروف و نهی از منکر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روشن این دوره را منابع خارجی آشکار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ریحانی یکی از بازدیدگران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ریاض این دوره می‌نویسد که در ریاض دیدم مردم را به‌خاطر دودکردن دخانیات و حاضرنشدن در نماز در مساجد حضور و غیاب می‌کردند و شلاق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حجاز معلوم می‌شود که اولین هسته‌های سازمانی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انگلسی کمیته و در تعبیر عربی 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که دست‌اندرکار این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که سربازان مصری در اطراف پالکی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شیپور می‌نواختند که مورد ضرب و شتم گروهی از متعصبین وهابی،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نابسامان و برخورد خشن عرب‌های بیابانی شترچران که خود از آمران به معروف و ناهیان از منکر بودند، باعث شد که به اینها آموزش داده شود و این آموزش زیر نظر قاضی صورت گیرد؛ لذا نامه ملک‌بن‌عبدالعزیز نسبت به تعیین رئاسة القضا در روزنامه ام‌القری چاپ و خبر از تعیین رئیس، معاون و دبیر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وهبه خدمتکار مصری ابن‌سعود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کمیته‌ها، جلوگیری از رفتار خشن اخوان نسبت به مردم مکه و حاجیان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فکر می‌کردند به‌تنهایی با </w:t>
      </w:r>
    </w:p>
    <w:p>
      <w:pPr>
        <w:pStyle w:val="BookText"/>
        <w:rPr/>
      </w:pPr>
      <w:r>
        <w:rPr>
          <w:rFonts w:ascii="IRNazanin" w:hAnsi="IRNazanin" w:eastAsia="IRNazanin"/>
          <w:color w:val="111111"/>
          <w:sz w:val="28"/>
          <w:sz w:val="28"/>
          <w:szCs w:val="28"/>
          <w:rtl w:val="true"/>
          <w:lang w:bidi="fa-IR"/>
        </w:rPr>
        <w:t xml:space="preserve">چوب‌دستی می‌خواهند قانون خدا را اجرا کنند و نمی‌دانستند در محیط متمدن چگونه رفتار کنند و کارشان موجب هرج و مرج می‌شود و نمی‌دانستند دستور اقدام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خود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ابن‌سعود تغییر عقیده داد و قاضی‌ای را منصوب کرد که جلوی تندروی‌ها را بگیرد و درنتیجه، سازمان جدیدی متولد شد و در روزنامه امّ‌القری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چنین سازمانی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این سازمان، سلسله مقالاتی در أمّ‌القری توسط ابن‌بُلهید قاضی مصری و بهجت البیطار مدیر وقت مؤسسه اسلامی سعودی درباره نهی از منکر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گزارش‌ها تنها اخوان آشوبگر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آل شیخ، سیگاری را از دهان راننده مصری بیرون کشید و با چوب به او حمله کرد و این موجب درگیری شد و راننده را تا حدّ مرگ شلاق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اگرچه در برخی جاها بین مردم و آمرین به معروف و سیستم ایجادشده از طرف دولت، اصطکاک‌هایی گزارش شده است، اما در کل حکایت از سیستمی‌شدن ناهیان از منکر دارد و اینکه مقداری قانون‌مند گشته و به بعضی مراکز ابلاغ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حاجیان مصری برخی قوانین گوشزد شده است که از چه کارهایی پرهیز کنند، مثل مشروبات الکلی، دخانیات، اختلاط زن و مرد، رعایت ضوابط نماز و اینکه بزرگان هر محلّه مسئول جرم آن محلّه‌اند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دوره اول دولت سوم سعودی با مقاومت‌هایی مواجه شده است و گزارش شده که سازدهنی‌های پسران هم توسط مأموران جمع‌آوری شده بود، پسران جدّه برای انتقام‌گیری با انداختن پوست خربوزه بر سر راه رئیس کمیته، انتقام می‌گرفتند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بعد از گذراندن این دوره‌ها در دوره دوم، کم‌کم شاه سعودی نیز از سیستم علمای وهابی فاصله گرفت و به‌تدریج مظهر سلطانی آن آشکار گردید، مثل شرکت در جشن مردم و شرکت در جشن رقص آنان، ولی ظرف چند ماه رویه عوض شد و سخت‌گیری آغاز گردید و جنگ با فساد جان تازه‌ای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هدف‌های سنتی این وظیفه، دستگاه موسیقی یا ساز ناشناخته‌ای در فقه حنبلیان به نام گرامافون به بازار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سوزن‌های موجود را ضبط کردند و گفته شد که فقط می‌توان این ساز را از شرطه 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به‌تدریج سربازان وهابی که عمدتاً از قبیله نجد بودند، در کمیته‌ها قدرت پیدا کردند و در مکه و سایر مراکز توسعه یافتند و عالمان وهابی در رأس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هیئت‌ها دوتا سازمان امر به معروف و نهی از منکر را یکی در مرکز نجد و دیگر در مکه به وجود آوردند، ولی حرکت به سمت تمرکزگرایی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شده که دولت سعودی می‌خواست به سوی تمرکزگرایی پیش رود و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دوتا کمیته را با هم ادغام کردند که در رأس آن کمیته کسی در حد وزیر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طیف نجدی‌ها با کمیتۀ مکی‌ها داشتند، این بود که سازمان نجدی‌ها بسیار تندوتیز بودند و در مقابل، کمیتۀ مکی‌ها اهل تسامح و تساهل بودند؛ ولی هر دو کمیته کم‌کم رو به ضعف نهادند که می‌توان آن را مربوط به روند ابعاد دیوان‌سالاری، در عملکرد علمای دینی سعودی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قانون اساسی نوشته شد، هیئت آمرین به معروف نادیده گرفته شد و مورد بی‌مهری قرار گرفت و دلیلش هم این‌گونه عنوان شد که نظام برای تحکیم نیروهای زهدگرای اخلاقی، پایگاه قانونی برای افزایش بنیادگرایی اسلامی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مسئله ابهام دارد؛ اما دو کتاب تا اندازه‌ای ابهام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درباره نهی از منکر و استفتائات محمد‌بن‌ابراهیم آل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موضوع این استفتاءها نشانه‌ای از خصومت است که در نتیجۀ فعالیت‌های کمیته‌ها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مکّی به متهمی به شرب خمر اجازه داده بود، به اعتبار شهادت اعضای کمیته حمله کند و ابن‌ابراهیم با صراحت قاضی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هم در جدّه شاهد اصلی عمل نامشروع جنسی ناپدیده شده بود و سه شاهد دیگر باید حدّ قذف می‌خوردند، ولی چون از اعضای کمیته بودند، ابن‌ابراهیم سعی داشت راهی قانونی برای گریز از اتهام اعضایش پیدا کنند که از خوردن حد قذف نجات یابند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دیگر حسبه در اسلام نوشته علی‌بن‌حسن قرنی است که جرم‌هایی اتفاق‌افتاده در ریاض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می‌کند که از جملۀ آنها لواط، قاچاق عرق و قرص‌های رنگی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است که کسانی از شاگردان ابن‌ابراهیم هر مردی را که </w:t>
      </w:r>
      <w:bookmarkStart w:id="247" w:name="pg8666_122382"/>
    </w:p>
    <w:p>
      <w:pPr>
        <w:pStyle w:val="BookText"/>
        <w:rPr/>
      </w:pPr>
      <w:bookmarkEnd w:id="247"/>
      <w:r>
        <w:rPr>
          <w:rFonts w:ascii="IRNazanin" w:hAnsi="IRNazanin" w:eastAsia="IRNazanin"/>
          <w:color w:val="111111"/>
          <w:sz w:val="28"/>
          <w:sz w:val="28"/>
          <w:szCs w:val="28"/>
          <w:rtl w:val="true"/>
          <w:lang w:bidi="fa-IR"/>
        </w:rPr>
        <w:t>به نماز حاضر نمی‌شد و زنانی را که لباس تنگ در بر داشتند، کتک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دیوان‌سالاری در دولت جدید عربستان مانند هلال خصیب رو به افول گرایید و در نهایت، اندیشه حنبلی نیز افول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سعودی عملاً سنت مربوط به احمدبن‌حنبل به پایان رسیده و دوره جدید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دولت عثمانی، حنبلیان را به‌صورت انفرادی جذب یا از بین برد، ولی دولت جدید سعودی به‌صورت جزئی علما را جذب کرد هرچند آنان همیشه مطیع دیوان‌سالاری نبودند و این پیامدها اختیاری نبود</w:t>
      </w:r>
      <w:r>
        <w:rPr>
          <w:rFonts w:eastAsia="IRNazanin" w:cs="IRNazanin"/>
          <w:color w:val="111111"/>
          <w:sz w:val="28"/>
          <w:szCs w:val="28"/>
          <w:rtl w:val="true"/>
          <w:lang w:bidi="fa-IR"/>
        </w:rPr>
        <w:t>.</w:t>
      </w:r>
    </w:p>
    <w:p>
      <w:pPr>
        <w:pStyle w:val="Heading4"/>
        <w:numPr>
          <w:ilvl w:val="3"/>
          <w:numId w:val="1"/>
        </w:numPr>
        <w:rPr/>
      </w:pPr>
      <w:bookmarkStart w:id="248" w:name="__RefHeading___Toc2419632_653776707"/>
      <w:bookmarkStart w:id="249" w:name="_Toc96"/>
      <w:bookmarkEnd w:id="248"/>
      <w:r>
        <w:rPr/>
        <w:t>5</w:t>
      </w:r>
      <w:r>
        <w:rPr>
          <w:rtl w:val="true"/>
        </w:rPr>
        <w:t xml:space="preserve">. </w:t>
      </w:r>
      <w:r>
        <w:rPr>
          <w:rtl w:val="true"/>
        </w:rPr>
        <w:t>خاتمه</w:t>
      </w:r>
      <w:bookmarkEnd w:id="249"/>
    </w:p>
    <w:p>
      <w:pPr>
        <w:pStyle w:val="Heading5"/>
        <w:numPr>
          <w:ilvl w:val="4"/>
          <w:numId w:val="1"/>
        </w:numPr>
        <w:rPr/>
      </w:pPr>
      <w:bookmarkStart w:id="250" w:name="__RefHeading___Toc2419634_653776707"/>
      <w:bookmarkStart w:id="251" w:name="_Toc9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با وجود آنکه دولت سعودی محصول عقاید یکپارچه ابن‌حنبل و ابن‌تیمیه بود، ولی در عربستان نیز مثل هلال خصیب،</w:t>
      </w:r>
      <w:r>
        <w:rPr>
          <w:rStyle w:val="FootnoteAnchor"/>
          <w:rtl w:val="true"/>
        </w:rPr>
        <w:footnoteReference w:id="58"/>
      </w:r>
      <w:r>
        <w:rPr>
          <w:rFonts w:ascii="IRNazanin" w:hAnsi="IRNazanin" w:eastAsia="IRNazanin"/>
          <w:color w:val="111111"/>
          <w:sz w:val="28"/>
          <w:sz w:val="28"/>
          <w:szCs w:val="28"/>
          <w:rtl w:val="true"/>
          <w:lang w:bidi="fa-IR"/>
        </w:rPr>
        <w:t>سنتی که مدیون ابن‌حنبل بود، عملاً به پایان رسید و آرای غیرسیاسی و انفرادی او به عمل دیوانی تبدیل شد و به تشکیل کمیته‌های امر به معروف با راهنمایی مدیر کلی در سطح وزیر انجامید و در نهایت، به افول سنت گرایید</w:t>
      </w:r>
      <w:r>
        <w:rPr>
          <w:rFonts w:eastAsia="IRNazanin" w:cs="IRNazanin"/>
          <w:color w:val="111111"/>
          <w:sz w:val="28"/>
          <w:szCs w:val="28"/>
          <w:rtl w:val="true"/>
          <w:lang w:bidi="fa-IR"/>
        </w:rPr>
        <w:t>.</w:t>
      </w:r>
    </w:p>
    <w:p>
      <w:pPr>
        <w:pStyle w:val="Heading5"/>
        <w:numPr>
          <w:ilvl w:val="4"/>
          <w:numId w:val="1"/>
        </w:numPr>
        <w:rPr/>
      </w:pPr>
      <w:bookmarkStart w:id="252" w:name="__RefHeading___Toc2419636_653776707"/>
      <w:bookmarkStart w:id="253" w:name="_Toc98"/>
      <w:bookmarkEnd w:id="252"/>
      <w:r>
        <w:rPr>
          <w:rtl w:val="true"/>
        </w:rPr>
        <w:t>ب</w:t>
      </w:r>
      <w:r>
        <w:rPr>
          <w:rtl w:val="true"/>
        </w:rPr>
        <w:t xml:space="preserve">) </w:t>
      </w:r>
      <w:r>
        <w:rPr>
          <w:rtl w:val="true"/>
        </w:rPr>
        <w:t>ارزیابی</w:t>
      </w:r>
      <w:bookmarkEnd w:id="2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نکتۀ قابل تأمّل در مورد این قسمت از مطالب آقای مایکل کوک، نگاهی به عوامل پشت پرده ظهور وهابیان در نجد و حجاز و به قدرت رسیدن دولت سعودی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کوک در تحلیل ظهور حنبلیان و پیمان میان محمد‌بن‌عبدالوهاب و آل سعود، نگاهی به دست‌های پنهان ندارد، کسانی که اهداف سیاسی و منافع کلان خود را در ظهور دولت سعودی در حجاز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نبود وقتی به عملکرد دینی وهابیان در حجاز </w:t>
      </w:r>
    </w:p>
    <w:p>
      <w:pPr>
        <w:pStyle w:val="BookText"/>
        <w:rPr/>
      </w:pPr>
      <w:r>
        <w:rPr>
          <w:rFonts w:ascii="IRNazanin" w:hAnsi="IRNazanin" w:eastAsia="IRNazanin"/>
          <w:color w:val="111111"/>
          <w:sz w:val="28"/>
          <w:sz w:val="28"/>
          <w:szCs w:val="28"/>
          <w:rtl w:val="true"/>
          <w:lang w:bidi="fa-IR"/>
        </w:rPr>
        <w:t>پرداخته است، به آن عوامل پشت پرده نیز اشاره می‌کرد؟ درحالی‌که بسیاری از متفکران و اندیشمندان شیعه و سنی بر این باورند که وهابیه ساختۀ دست انگلستان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البوطی عالم سنی سوری که توسط وهابیان کشته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خلافت عثمانی، بریتانیا در اندیشه تفرقه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اعمدة الحکمة السبعة نوشتۀ لرانس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و انگلیس نقشه کشید و برای تفرقه مسلمانان، فرقه‌هایی را ساخت مانند فرقه قادیانی در هند و اطراف آن، فرقه بابیت و بهائیت در مصر و جنوب شرق آسیا و فرقه سوم، وهابیت بود که در جزیرة‌العرب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می‌کند وهابیتی را که انگلیسی‌ها در جزیرة‌العرب ساخته، برای تفرقه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کتاب‌هایزیادی از جمله کتاب خاطرات مستر همفر و کتاب تاریخ آل‌سعود با نام مستعار ناصر السعید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دوره‌های اخیر هم نقشی که دولت‌های آمریکا و اسرائیل در حمایت از اندیشه تکفیری و به‌راه‌انداختن این گروه‌ها در افغانستان، پاکستان، سوریه، عراق و غیره داشته‌اند، اکنون بر همگان کاملاً روشن و واضح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جای این پژوهش در کتاب مایکل کوک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وی به‌عنوان یک ناظر بی‌طرف و منصف، حداقل به زوایای سیاسی و اهداف پشت‌پردۀ پیدایش و ظهور وهابیان در دولت‌های سعودی اشاره می‌کرد تا خواننده کتاب امر به معروف و نهی از منکر در اندیشه اسلامی، با مطلعه این کتاب، می‌توانست به عملکرد گروه‌های مختلف اسلامی دراین‌باره آگاهی یافته و به زوایای مهم و اصلی این بحث دست می‌یافت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نکته آنکه کارهایی را که وهابیان به اسم امر به معروف و نهی از منکر مرتکب شدند و مایکل آنها را گزارش کرده است، مثل جلوگیری از دخانیات و اجبار به نماز جماعت و غیره که منکربودن پاره‌ای از آنها در اسلام ثابت نیست و بعد تشکیل کمیته‌ها و هیئت‌های آمران به معروف و نهی از منکر و سوء استفاده و خطاهایی که خود آن هیئت‌ها مرتکب شدند و اموری که نشان می‌داد سیاسیون متحد علمای وهابی در واقع به دنبال حکومت و منافع سیاسی خود بودند مثل نامه به حاکم مصر و ظهور سلطانی ملک در جشن </w:t>
      </w:r>
    </w:p>
    <w:p>
      <w:pPr>
        <w:pStyle w:val="BookText"/>
        <w:rPr/>
      </w:pPr>
      <w:r>
        <w:rPr>
          <w:rFonts w:ascii="IRNazanin" w:hAnsi="IRNazanin" w:eastAsia="IRNazanin"/>
          <w:color w:val="111111"/>
          <w:sz w:val="28"/>
          <w:sz w:val="28"/>
          <w:szCs w:val="28"/>
          <w:rtl w:val="true"/>
          <w:lang w:bidi="fa-IR"/>
        </w:rPr>
        <w:t>مردم و رقص با آنان، تندروی‌های نجدی‌ها در برابر مکی‌ها و تعدیل‌های قانونی نسبت به هیئت‌های امر به معروف و نهی از منکر، همه و همه از درس‌ها و عبرت‌های تاریخی است که مایکل کوک به بخش‌هایی از آن اشاره می‌کند و واقعاً برای مصلحان اجتماعی، درسی تاریخی است که با دقت باید سطر به سطر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تندروهای وهابی‌ها و هیئت‌های امر به معروف علیه کارهای مردم و اتهاماتی که به آنها می‌زدند و بعد آنها را محکوم می‌کردند، قضایای ناگفته و ناپیدای بی‌شماری دارد؛ از جمله قضیۀ میرابوطالب یزدی است که در کتاب شهید صفا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ایرانی و یزدی که بر اثر بیماری استفراغ کرده بود و محتوای معده خود را در لباس احرامش ریخته بود تامسجدالحرام را ملوّث نکند، به اتهام واهی و اینکه او این کار را برای تنجیس پرده کعبه کرده است، به اعدام محکوم می‌شود، درحالی‌که وی زبان عربی هم نمی‌دانسته تا از خود دفاع 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اینها حقایقی است که روشن می‌کند این عملکرد در نهایت به افول و شکست اندیشه امر به معروف و نهی از منکر بر اساس الگویی که وهابیت ارائه کردند، انجامید؛ حقیقتی که اکنون در این سال‌ها پس از گذشت بیش از دو دهه از نگارش و ترجمه کتاب مایکل کوک و چرخش‌های حکومت سعودی به‌صورتی واضح،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جدید سعودی نشان از تعدیل‌های فراوان در روش‌های دولت وهابی سعودی دارد و چرخش آن را از دولتی دینی و مذهبی به سمت مخالف آن هدایت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چقدر مناسب بود که نویسنده در گزارش تحلیلی خود از امر به معروف و نهی از منکر در میان وهابیت که به‌عنوان تجربه نوپیدا برای اولین‌بار عقیده‌ای غیرسازمانی در قالب نگاهی اداری و سیاسی جلوه‌گر شده بود و در نهایت به شکست انجامید و افول کرد، علل این افول را بیان می‌کرد و تا حدودی برای خواننده روشن می‌ساخت که آیا اشکال در اصل اندیشه امر به معروف و نهی از منکر است؟ دراین‌صورت، موجب ناامیدی خواننده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خواننده‌ای که از اول کتاب امیدوار شده است تا همراه با مایکل کوک از یک تجربه اسلامی </w:t>
      </w:r>
    </w:p>
    <w:p>
      <w:pPr>
        <w:pStyle w:val="BookText"/>
        <w:rPr/>
      </w:pPr>
      <w:r>
        <w:rPr>
          <w:rFonts w:ascii="IRNazanin" w:hAnsi="IRNazanin" w:eastAsia="IRNazanin"/>
          <w:color w:val="111111"/>
          <w:sz w:val="28"/>
          <w:sz w:val="28"/>
          <w:szCs w:val="28"/>
          <w:rtl w:val="true"/>
          <w:lang w:bidi="fa-IR"/>
        </w:rPr>
        <w:t>بهره ببرد و مشکلات اجتماعی را که دنیای غرب با آن مواجه است، در پرتو این آموزه وحیانی اسلامی راه حلی برای آن پیدا کند و الآن به ورطه ناامیدی درغلطیده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 در اجرا بود؟ آن اشکالات چه بوده و اکنون راه حل آن چیست؟ آیا مشکل در اساس اندیشه سلفی‌گری و تندروی‌های وهابیت بود؟ به نظر می‌رسد کتاب مایکل کوک انتظاراتی را که در ابتدا برای خواننده پدید آورده، نتوانسته است برای آن پاسخی درخور ارائه دهد، به‌گونه‌ای که باعث آرامش خاطر شود، بلکه خواننده این کتاب، خود را در دنیایی از یأس و تسلیم‌شدن در برابر مشکل بی‌مسئولیتی اجتماعی در برابر رفتار ناشایست دیگران، تنها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نویسنده محترم هم مأیوس شده است و با این ناامیدی می‌خواهد خواننده را هم با خود همراه کند که برای ناهنجاری‌های اجتماعی و مفاسد ریز و درشت جوامع به ظاهر مدرن، راه حلی نمی‌توان یافت و امیدی به نهی از منکر اسلامی نیز نمی‌توان بست؟</w:t>
      </w:r>
    </w:p>
    <w:p>
      <w:pPr>
        <w:pStyle w:val="BookText"/>
        <w:rPr/>
      </w:pPr>
      <w:r>
        <w:rPr>
          <w:rFonts w:ascii="IRNazanin" w:hAnsi="IRNazanin" w:eastAsia="IRNazanin"/>
          <w:color w:val="111111"/>
          <w:sz w:val="28"/>
          <w:sz w:val="28"/>
          <w:szCs w:val="28"/>
          <w:rtl w:val="true"/>
          <w:lang w:bidi="fa-IR"/>
        </w:rPr>
        <w:t>آیا وابستگی وهابیت و سیاست‌های ایشان به سیاست‌های جهانی و دست‌های مرموز و ناپیدا در این جهت مؤثر بود؟ آیا طمع‌ورزی و دنیاطلبی حاکمان و صادق‌نبودن در ادعا و روش، موجب افول گردید؟ آیا فقدان خردورزی و ضعف تحلیل عقلانی در برنامه‌ریزی به این عاقبت منفی منجر گردید؟ و ده‌ها پرسش دیگر که پاسخ هر یک نیازمند تحقیق و پژوهش میدانی و بررسی اسناد و کتب بر جای مانده از این دوره است، ولی مناسب بود حداقل در حدّ پرسش و احتمال در کتاب مایکل کوک به آن پرداخته و یا اشاره می‌شد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حدود سی‌بار برای انجام فریضه حج و مناسک عمره و زیارت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حجاز سفر کرده‌ام و با چشمان خود و با تمام وجود شاهد رفتارهای ناشایست و غیرانسانی و خلاف اسلامی دولت سعودی و وهابیان و مأموران هیئت‌های امر به معروف و نهی از منکر بودم و می‌توانم شهادت دهم که این گروه سلفی و متحجّر و متعصّب چه ظلم‌ها که بر زائران و مسلمانان مهمان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ضیوف‌الرحمن روا نداشته و نمی‌دارند و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لایبقی مع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بخش‌هایی از خاطرات این سفرها را در ضمن بیان خاطرات سال حج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آورده‌ام</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بیان فجایع مصیبت‌بار دولت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اسم اسلام و توحید و امر به معروف و نهی از منکر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پژوهش‌های مفصل است؛ از فجایع انسانی و کشتارها و تشکیل گروه‌های ارهابی و جنگ‌هایی که از اول در نجد و جزیرة‌العرب به راه انداخته‌اند و اکنون هم در این سال‌های اخیر در یمن به وجود آورده‌اند تا ده‌ها میلیارد دلاری که به جنگ صدام و بعثیان علیه ایران کمک کردند و صدها میلیارد دلاری که به قول ترامپ رئیس جمهور آمریکا، به‌عنوان گاو شیرده به حلقوم مستکبران و شیاطین عالم ریختند، به‌قدری فجایع زیاد است که قلم از بیان آن شرم دارد و این مسئولیت بر عهده مایکل کوک بوده است که اگر واقعاً به نهی از منکر اسلامی اعتقاد داشت، این حقایق را برای خواننده روشن می‌کرد و به‌طورعلمی بیان می‌داشت که میان آن حقیقت و آنچه در تجربه عملی وهابی‌های سعودی رخ داده است، فاصله از زمین تا آسمان است</w:t>
      </w:r>
      <w:r>
        <w:rPr>
          <w:rFonts w:eastAsia="IRNazanin" w:cs="IRNazanin"/>
          <w:color w:val="111111"/>
          <w:sz w:val="28"/>
          <w:szCs w:val="28"/>
          <w:rtl w:val="true"/>
          <w:lang w:bidi="fa-IR"/>
        </w:rPr>
        <w:t xml:space="preserve">. </w:t>
      </w:r>
      <w:bookmarkStart w:id="254" w:name="pg8666_122392"/>
    </w:p>
    <w:p>
      <w:pPr>
        <w:pStyle w:val="Heading2"/>
        <w:numPr>
          <w:ilvl w:val="1"/>
          <w:numId w:val="1"/>
        </w:numPr>
        <w:rPr/>
      </w:pPr>
      <w:bookmarkStart w:id="255" w:name="__RefHeading___Toc2419638_653776707"/>
      <w:bookmarkStart w:id="256" w:name="_Toc99"/>
      <w:bookmarkEnd w:id="254"/>
      <w:bookmarkEnd w:id="255"/>
      <w:r>
        <w:rPr>
          <w:rtl w:val="true"/>
        </w:rPr>
        <w:t>بخش سوم</w:t>
      </w:r>
      <w:r>
        <w:rPr>
          <w:rtl w:val="true"/>
        </w:rPr>
        <w:t xml:space="preserve">: </w:t>
      </w:r>
      <w:r>
        <w:rPr>
          <w:rtl w:val="true"/>
        </w:rPr>
        <w:t>معتزلیان و شیعیان</w:t>
      </w:r>
      <w:bookmarkEnd w:id="25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2419640_653776707"/>
      <w:bookmarkStart w:id="258" w:name="_Toc100"/>
      <w:bookmarkEnd w:id="257"/>
      <w:r>
        <w:rPr>
          <w:rtl w:val="true"/>
        </w:rPr>
        <w:t>اشاره</w:t>
      </w:r>
      <w:bookmarkEnd w:id="2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8666_122396"/>
      <w:bookmarkStart w:id="260" w:name="pg8666_122396"/>
      <w:bookmarkEnd w:id="260"/>
    </w:p>
    <w:p>
      <w:pPr>
        <w:pStyle w:val="Heading3"/>
        <w:numPr>
          <w:ilvl w:val="2"/>
          <w:numId w:val="1"/>
        </w:numPr>
        <w:rPr/>
      </w:pPr>
      <w:bookmarkStart w:id="261" w:name="pg8666_122396"/>
      <w:bookmarkStart w:id="262" w:name="__RefHeading___Toc2419642_653776707"/>
      <w:bookmarkStart w:id="263" w:name="_Toc101"/>
      <w:bookmarkEnd w:id="261"/>
      <w:bookmarkEnd w:id="262"/>
      <w:r>
        <w:rPr>
          <w:rtl w:val="true"/>
        </w:rPr>
        <w:t>گزارش و ارزیابی فصل نهم</w:t>
      </w:r>
      <w:r>
        <w:rPr>
          <w:rtl w:val="true"/>
        </w:rPr>
        <w:t xml:space="preserve">: </w:t>
      </w:r>
      <w:r>
        <w:rPr>
          <w:rtl w:val="true"/>
        </w:rPr>
        <w:t>معتزلیان</w:t>
      </w:r>
      <w:bookmarkEnd w:id="263"/>
    </w:p>
    <w:p>
      <w:pPr>
        <w:pStyle w:val="Heading4"/>
        <w:numPr>
          <w:ilvl w:val="3"/>
          <w:numId w:val="1"/>
        </w:numPr>
        <w:rPr/>
      </w:pPr>
      <w:bookmarkStart w:id="264" w:name="__RefHeading___Toc2419644_653776707"/>
      <w:bookmarkStart w:id="265" w:name="_Toc10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گزارش و ارزیابی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w:t>
      </w:r>
      <w:r>
        <w:rPr>
          <w:rStyle w:val="FootnoteAnchor"/>
          <w:rtl w:val="true"/>
        </w:rPr>
        <w:footnoteReference w:id="60"/>
      </w:r>
    </w:p>
    <w:p>
      <w:pPr>
        <w:pStyle w:val="Heading4"/>
        <w:numPr>
          <w:ilvl w:val="3"/>
          <w:numId w:val="1"/>
        </w:numPr>
        <w:rPr/>
      </w:pPr>
      <w:bookmarkStart w:id="266" w:name="__RefHeading___Toc2419646_653776707"/>
      <w:bookmarkStart w:id="267" w:name="_Toc103"/>
      <w:bookmarkEnd w:id="266"/>
      <w:r>
        <w:rPr>
          <w:rtl w:val="true"/>
        </w:rPr>
        <w:t>الف</w:t>
      </w:r>
      <w:r>
        <w:rPr>
          <w:rtl w:val="true"/>
        </w:rPr>
        <w:t xml:space="preserve">) </w:t>
      </w:r>
      <w:r>
        <w:rPr>
          <w:rtl w:val="true"/>
        </w:rPr>
        <w:t>گزارش</w:t>
      </w:r>
      <w:bookmarkEnd w:id="267"/>
    </w:p>
    <w:p>
      <w:pPr>
        <w:pStyle w:val="Heading5"/>
        <w:numPr>
          <w:ilvl w:val="4"/>
          <w:numId w:val="1"/>
        </w:numPr>
        <w:rPr/>
      </w:pPr>
      <w:bookmarkStart w:id="268" w:name="__RefHeading___Toc2419648_653776707"/>
      <w:bookmarkStart w:id="269" w:name="_Toc104"/>
      <w:bookmarkEnd w:id="268"/>
      <w:r>
        <w:rPr/>
        <w:t>1</w:t>
      </w:r>
      <w:r>
        <w:rPr>
          <w:rtl w:val="true"/>
        </w:rPr>
        <w:t xml:space="preserve">. </w:t>
      </w:r>
      <w:r>
        <w:rPr>
          <w:rtl w:val="true"/>
        </w:rPr>
        <w:t>مقدمه</w:t>
      </w:r>
      <w:bookmarkEnd w:id="269"/>
    </w:p>
    <w:p>
      <w:pPr>
        <w:pStyle w:val="BookText"/>
        <w:rPr/>
      </w:pPr>
      <w:r>
        <w:rPr>
          <w:rFonts w:ascii="IRNazanin" w:hAnsi="IRNazanin" w:eastAsia="IRNazanin"/>
          <w:color w:val="111111"/>
          <w:sz w:val="28"/>
          <w:sz w:val="28"/>
          <w:szCs w:val="28"/>
          <w:rtl w:val="true"/>
          <w:lang w:bidi="fa-IR"/>
        </w:rPr>
        <w:t>به عقیدۀ مایکل حنبلیان عینی‌گرا و معتزلیان ذهنی‌گرا بودند که این دوگونه نگرش، پیامدهای مختلف برای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هرچه بود تا قرن چهارم ثابت کرد که نمی‌تواند بیانگر عقیده اسلامی باشد و در عوض، به‌صورت جزئی با پاره‌ای از باورهای دیگر درآمیخت و کسی می‌توانست معتزلی حنفی، زیدی، امامی و حتی معتزلی یهودی باشد؛ ولی آنها توانستند مجموعه‌ای از آموزه‌های جزمی و یک روش عقلانی را ارائه کنند</w:t>
      </w:r>
      <w:r>
        <w:rPr>
          <w:rFonts w:eastAsia="IRNazanin" w:cs="IRNazanin"/>
          <w:color w:val="111111"/>
          <w:sz w:val="28"/>
          <w:szCs w:val="28"/>
          <w:rtl w:val="true"/>
          <w:lang w:bidi="fa-IR"/>
        </w:rPr>
        <w:t>.</w:t>
      </w:r>
    </w:p>
    <w:p>
      <w:pPr>
        <w:pStyle w:val="Heading5"/>
        <w:numPr>
          <w:ilvl w:val="4"/>
          <w:numId w:val="1"/>
        </w:numPr>
        <w:rPr/>
      </w:pPr>
      <w:bookmarkStart w:id="270" w:name="__RefHeading___Toc2419650_653776707"/>
      <w:bookmarkStart w:id="271" w:name="_Toc105"/>
      <w:bookmarkEnd w:id="270"/>
      <w:r>
        <w:rPr/>
        <w:t>2</w:t>
      </w:r>
      <w:r>
        <w:rPr>
          <w:rtl w:val="true"/>
        </w:rPr>
        <w:t xml:space="preserve">. </w:t>
      </w:r>
      <w:r>
        <w:rPr>
          <w:rtl w:val="true"/>
        </w:rPr>
        <w:t>آرای اعتزالی در امر به معروف و نهی از منکر</w:t>
      </w:r>
      <w:bookmarkEnd w:id="2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اعتزال توسط واصل‌بن‌عطاء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عمرو‌بن‌عبید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دوم پایه‌گذاری شد و مانکدیم زیدی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معتزلی است که اثری روشمند و اساسی درباره نهی از منکر باقی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معتزلی‌ها قائل به اصول خمسه‌اند که یکی از اصول آنها همین نهی از منکر است</w:t>
      </w:r>
      <w:r>
        <w:rPr>
          <w:rStyle w:val="FootnoteAnchor"/>
          <w:rtl w:val="true"/>
        </w:rPr>
        <w:footnoteReference w:id="61"/>
      </w:r>
      <w:r>
        <w:rPr>
          <w:rFonts w:ascii="IRNazanin" w:hAnsi="IRNazanin" w:eastAsia="IRNazanin"/>
          <w:color w:val="111111"/>
          <w:sz w:val="28"/>
          <w:sz w:val="28"/>
          <w:szCs w:val="28"/>
          <w:rtl w:val="true"/>
          <w:lang w:bidi="fa-IR"/>
        </w:rPr>
        <w:t>و این وظیفه با جنبش‌های محلی استقلال‌طلبانه و با شورش‌های ضد حاکم ستمگر ارتباط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عمرو‌بن‌عبید نقل شده است که مکتب‌هایی چون اهل حدیث و حشویه باعث نابودی و از بین رفتن دین شده است و مردم را از قیام به عدل و امر به معروف بازداشته‌اند؛ ازاین‌رو، عمرو به ابن‌شُبرُمه نامه می‌نویسد و ایشان را به نهی از منکر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ابن‌شُبرُمه این نکته را یادآور می‌شود که نهی از منکر آن نیست که شمشیر برداریم و با حاکمان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معتزلیان دیگری که می‌شود از آنها نام برد، ابوبکر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جعفر‌بن‌مبشِّر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دیدگاه آنها خیلی در اختیار ما نیست که آیا قیام به سیف را تأیید می‌کردند؟ اما در اواخر قرن سوم و اوائل قرن چهارم کسی به نام خیاط ظهور کرده است که مطالبی درباره نهی از منکر دارد و مسعودی نیز نهی از منکر را از اصول پنج‌گانۀ اعتقادات معتزلی‌ها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به رأی ابوالقاسم بلخی معروف به کعبی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که معتقد است توسل به سلاح در صورت غیبت امام یا نمایندۀ امام برای مردمان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ابوالقاسم این بوده که به معتزلیان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معتزلیان بصره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داشته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قرن چهارم دونفر دیگر از معتزلیان به نام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هاشم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معتقد به عقلی و سمعی بودن نهی از منکر بود؛ اما </w:t>
      </w:r>
      <w:bookmarkStart w:id="272" w:name="pg8666_122399"/>
    </w:p>
    <w:p>
      <w:pPr>
        <w:pStyle w:val="BookText"/>
        <w:rPr/>
      </w:pPr>
      <w:bookmarkEnd w:id="272"/>
      <w:r>
        <w:rPr>
          <w:rFonts w:ascii="IRNazanin" w:hAnsi="IRNazanin" w:eastAsia="IRNazanin"/>
          <w:color w:val="111111"/>
          <w:sz w:val="28"/>
          <w:sz w:val="28"/>
          <w:szCs w:val="28"/>
          <w:rtl w:val="true"/>
          <w:lang w:bidi="fa-IR"/>
        </w:rPr>
        <w:t>پسرش هاشم تنها به سمعی بودن نهی از منکر معتقد بود و می‌گفت امر به معروف واجب داریم و امر به معروف مستحب؛ امر به واجب، واجب و امر به نافله،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جالب‌تر این است که ابوعلی به وجوب عینی‌بودن نهی از منکر قائل است نه کفایی‌بودن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جبائی به برخی آرای 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قرآن و صاحب‌بن‌عباد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وزیران مشهور آل بویه در قرن چهارم، دسترسی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که متعلق به اعتزال بغداد است، معتقد بود تا حد مرگ جایز است که قیام به سلاح شود و صاحب‌بن‌عبّاد از مکتب بصره اسلحه را می‌پذیرد به شرط استطاعت و امکان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ادامه می‌توان به دو نکتۀ مهم درباره معتزلی‌ها اشاره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تدریجی اندیشه معتزلی، ولی بدون تفاوت روشن و محسوس میان معتزلیان قدیم و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معتزلی‌ها عمل‌گرا بودند، چون برخلاف حنبلیان، قیام بر ضد ستمگر را جایز می‌دانستند و تأکید به دست‌بردن به شمشیر داشتند به‌گونه‌ای که صدایش بلند است؛ اما نه به آن حد که گوش‌ها را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نهی از منکر اشاره شده است</w:t>
      </w:r>
      <w:r>
        <w:rPr>
          <w:rFonts w:eastAsia="IRNazanin" w:cs="IRNazanin"/>
          <w:color w:val="111111"/>
          <w:sz w:val="28"/>
          <w:szCs w:val="28"/>
          <w:rtl w:val="true"/>
          <w:lang w:bidi="fa-IR"/>
        </w:rPr>
        <w:t>.</w:t>
      </w:r>
    </w:p>
    <w:p>
      <w:pPr>
        <w:pStyle w:val="Heading5"/>
        <w:numPr>
          <w:ilvl w:val="4"/>
          <w:numId w:val="1"/>
        </w:numPr>
        <w:rPr/>
      </w:pPr>
      <w:bookmarkStart w:id="273" w:name="__RefHeading___Toc2419652_653776707"/>
      <w:bookmarkStart w:id="274" w:name="_Toc106"/>
      <w:bookmarkEnd w:id="273"/>
      <w:r>
        <w:rPr/>
        <w:t>3</w:t>
      </w:r>
      <w:r>
        <w:rPr>
          <w:rtl w:val="true"/>
        </w:rPr>
        <w:t xml:space="preserve">. </w:t>
      </w:r>
      <w:r>
        <w:rPr>
          <w:rtl w:val="true"/>
        </w:rPr>
        <w:t>مکتب معتزلی کهن</w:t>
      </w:r>
      <w:r>
        <w:rPr>
          <w:rtl w:val="true"/>
        </w:rPr>
        <w:t xml:space="preserve">: </w:t>
      </w:r>
      <w:r>
        <w:rPr>
          <w:rtl w:val="true"/>
        </w:rPr>
        <w:t>آرای مانکدیم</w:t>
      </w:r>
      <w:bookmarkEnd w:id="274"/>
    </w:p>
    <w:p>
      <w:pPr>
        <w:pStyle w:val="BookText"/>
        <w:rPr/>
      </w:pPr>
      <w:r>
        <w:rPr>
          <w:rFonts w:ascii="IRNazanin" w:hAnsi="IRNazanin" w:eastAsia="IRNazanin"/>
          <w:color w:val="111111"/>
          <w:sz w:val="28"/>
          <w:sz w:val="28"/>
          <w:szCs w:val="28"/>
          <w:rtl w:val="true"/>
          <w:lang w:bidi="fa-IR"/>
        </w:rPr>
        <w:t xml:space="preserve">آرا و عقاید سه تن از معتزلیان کهن به نام‌های مانکدیم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جِشُومی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بصری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ما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مانکدیم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معروف و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گفتن به كسی كه در رتبه‌ای پايين‌تر قرار دارد تا كاری را انجام دهد، درصورتی‌كه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گفتن اينكه </w:t>
      </w:r>
    </w:p>
    <w:p>
      <w:pPr>
        <w:pStyle w:val="BookText"/>
        <w:rPr/>
      </w:pPr>
      <w:r>
        <w:rPr>
          <w:rFonts w:ascii="IRNazanin" w:hAnsi="IRNazanin" w:eastAsia="IRNazanin"/>
          <w:color w:val="111111"/>
          <w:sz w:val="28"/>
          <w:sz w:val="28"/>
          <w:szCs w:val="28"/>
          <w:rtl w:val="true"/>
          <w:lang w:bidi="fa-IR"/>
        </w:rPr>
        <w:t>كاری انجام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چيزی است كه فاعل آن را خوب و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يا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چيزی است كه آن را بد و قبیح می‌داند و يا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ظاهراً منشأ این تعبیر مایکل کوک آن بوده است که کتابی با عنوان شرح الاصول الخمسة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عبدالکریم عثمانی در قاهره به چاپ رسیده است و محقق به اشتباه اسم مؤلف را قاضی عبدالجبار معتزلی معرفی کرده است، ولی به گفته اهل تحقیق نگارنده این کتاب قوام‌الدین مانکدیم احمدبن ابی‌الحسن‌بن ابی‌هاشم زیدی است که وفاتش بعد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راشدی‌نیا، نشریه معارف عقلی،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مایکل کوک کتاب مانکدیم را تعلیق بر شرح الاصول الخمسة می‌نامد و در پاورقی ش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نام شرح الاصول الخمسة عبدالجبار به چاپ رسیده است، درحالی‌که مانکدیم لقب عامّ است و باید به نام خاص نویسنده اشاره می‌شد، تا خلطی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 مایکل کوک شخصیت‌هایی را در عداد معتزلیان ذکر می‌کند که خود آنها یا دوستان و اصحاب و پیروان ایشان چندان راضی به این عنوان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در مورد بزرگان امامیه همچون صاحب‌بن‌عباد و سدیدالدین حمصی و هم در مورد بزرگان زیدیه و یا دیگران،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را واجب عقلی و سمعی از راه قرآن، سنت و اجماع می‌داند و آیاتی را نیز در این زمینه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آن‌گاه به شرایط امر به معروف و نهی از منکر می‌پردازد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رابطه با امر به معروف و نهی از منکر این شرایط درنظر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بداند که این کار معروف است و این کار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غلبة‌الظن به اینکه این کار منکر است،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که فعل منکر انجام شده و یا درحال انجام شدن است، مثلاً آلات قمار یا شراب در مجلس استفاده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اثرات جنبی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بداند که این کارش موجب مضرات بزرگ‌تر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قانع کننده برای تأثیر داشته باشد تا آن لغو و بی‌فایده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خطر برای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شرط توضیح می‌دهد که اگر برای اعزاز دین باشد، شاید لازم باشد جانش را به خطر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 در سلسله مراتب امر به معروف و نهی از منکر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قول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بعد با تندی و خشونت سخن می‌گوییم و اگر به کارش ادامه داد، از ضرب و شتم استفاده می‌کنیم و مرحله آخر مبارزه و مقاتله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عدم تحقق شرایط، آیا وظیفه‌ای دیگری داریم یا نه؟ تفصیل می‌دهد که اگر انسانی محترم است که در صورت انجام منکر احتمال تأیید از طرف او نمی‌رود، اشکال ندارد، اما اگر انسانی است که متهم به همکاری با منکرات می‌شود، باید اظهار ناراحتی و برائت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انواع منکرات، منکر را در یک تقسیم‌بندی به دو نوع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منکراتی که شخصی است و قابل سرایت به دیگران نیست و تنها برای خودش تأثیر می‌گذارد؛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تعدی است و سرایت به دیگران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نهی از منکر، با هم فرق دارد و می‌توان آنها را از لحاظ اهمیت به دو قسم تقسیم کرد، مثلاً برداشتن یک درهم از جیب انسان ثروتمند و برداشتن یک درهم از جیب انسان فقیر که تمام دارایی‌اش همان است، در صورت اول از لحاظ عقلی خیلی قابل سرزنش نیست، هرچند که از لحاظ سمعی و وحی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منکر را بر حسب اهمیت می‌توان به دو قسم دیگر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مایقع به الاعتداد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لایقع به الاعتداد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مربوط به خود شخص می‌شود و از روی اجبار و اکراه صورت گرفته مانند اکراه به گفتن کفر که باید بر زبان جاری کرد و در دل مسلمان بود و منکری که برای کشتن مسلمان و تهمت‌زدن زنا به کسی اجبار نماید، اینجا دیگر قابل اغماض نیست و کسی حق ارتکاب آن را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نبود شرایط آیا نهی از منکر حسن است یا نه؟ می‌گوید در صورت نبود سه شرط اول، یعنی علم به حکم، علم به موضوع و نداشتن اثر بدتر، وجوب نهی از منکر منتفی </w:t>
      </w:r>
      <w:bookmarkStart w:id="275" w:name="pg8666_122406"/>
    </w:p>
    <w:p>
      <w:pPr>
        <w:pStyle w:val="BookText"/>
        <w:rPr/>
      </w:pPr>
      <w:bookmarkEnd w:id="275"/>
      <w:r>
        <w:rPr>
          <w:rFonts w:ascii="IRNazanin" w:hAnsi="IRNazanin" w:eastAsia="IRNazanin"/>
          <w:color w:val="111111"/>
          <w:sz w:val="28"/>
          <w:sz w:val="28"/>
          <w:szCs w:val="28"/>
          <w:rtl w:val="true"/>
          <w:lang w:bidi="fa-IR"/>
        </w:rPr>
        <w:t>است و حسن هم ندارد؛ امّا اگر دو شرط دیگر یعنی تأثیر نداشتن یا خطر داشتن، منتفی باشد، بستگی دارد و اگر موجب اعزاز دین شود شجاعت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وجوب و مستحب، امر به واجب واجب و امر به مستحب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امر واجب و مأموربه مستحب باشد یا امر مستحب و مأموربه واجب باشد، پسوجوب نمی‌تواند متعلق امر مستحب باشد، ولی نهی از منکر یک قسم بیشتر ندارد، گناه صغیره یا کبیره باشد</w:t>
      </w:r>
      <w:r>
        <w:rPr>
          <w:rFonts w:eastAsia="IRNazanin" w:cs="IRNazanin"/>
          <w:color w:val="111111"/>
          <w:sz w:val="28"/>
          <w:szCs w:val="28"/>
          <w:rtl w:val="true"/>
          <w:lang w:bidi="fa-IR"/>
        </w:rPr>
        <w:t>.</w:t>
      </w:r>
    </w:p>
    <w:p>
      <w:pPr>
        <w:pStyle w:val="Heading5"/>
        <w:numPr>
          <w:ilvl w:val="4"/>
          <w:numId w:val="1"/>
        </w:numPr>
        <w:rPr/>
      </w:pPr>
      <w:bookmarkStart w:id="276" w:name="__RefHeading___Toc2419654_653776707"/>
      <w:bookmarkStart w:id="277" w:name="_Toc107"/>
      <w:bookmarkEnd w:id="276"/>
      <w:r>
        <w:rPr/>
        <w:t>4</w:t>
      </w:r>
      <w:r>
        <w:rPr>
          <w:rtl w:val="true"/>
        </w:rPr>
        <w:t xml:space="preserve">. </w:t>
      </w:r>
      <w:r>
        <w:rPr>
          <w:rtl w:val="true"/>
        </w:rPr>
        <w:t>پیوستگی مکتب‌های فقهی</w:t>
      </w:r>
      <w:bookmarkEnd w:id="277"/>
    </w:p>
    <w:p>
      <w:pPr>
        <w:pStyle w:val="BookText"/>
        <w:rPr/>
      </w:pPr>
      <w:r>
        <w:rPr>
          <w:rFonts w:ascii="IRNazanin" w:hAnsi="IRNazanin" w:eastAsia="IRNazanin"/>
          <w:color w:val="111111"/>
          <w:sz w:val="28"/>
          <w:sz w:val="28"/>
          <w:szCs w:val="28"/>
          <w:rtl w:val="true"/>
          <w:lang w:bidi="fa-IR"/>
        </w:rPr>
        <w:t>در ادامه مایکل عنوانی دارد به نام پیوستگی مکتب‌های فقهی که تحت این عنوان مطالبی را از مانکدیم در تقسیم بندی دوباره از منکر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در یک تقسیم‌بندی دیگر به دو قسم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نظر عقل منکر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نظر شرع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نوع اول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دروغ‌گفتن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منکرات نهی شود هرکس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خود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و غیر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 دزدی، زنا و شرب خمر که واجب است از آنها نهی شود، ولی دومی که مورد اختلاف است، مانند کم شدن دو سوم آب انگور که برخی آن را پاک و برخی آن را نجس می‌دانند، در این‌گونه موارد باید به فتوای مکتب فقهی و مذهب مورد نظر نگاه شود</w:t>
      </w:r>
      <w:r>
        <w:rPr>
          <w:rFonts w:eastAsia="IRNazanin" w:cs="IRNazanin"/>
          <w:color w:val="111111"/>
          <w:sz w:val="28"/>
          <w:szCs w:val="28"/>
          <w:rtl w:val="true"/>
          <w:lang w:bidi="fa-IR"/>
        </w:rPr>
        <w:t>.</w:t>
      </w:r>
    </w:p>
    <w:p>
      <w:pPr>
        <w:pStyle w:val="Heading5"/>
        <w:numPr>
          <w:ilvl w:val="4"/>
          <w:numId w:val="1"/>
        </w:numPr>
        <w:rPr/>
      </w:pPr>
      <w:bookmarkStart w:id="278" w:name="__RefHeading___Toc2419656_653776707"/>
      <w:bookmarkStart w:id="279" w:name="_Toc108"/>
      <w:bookmarkEnd w:id="278"/>
      <w:r>
        <w:rPr/>
        <w:t>5</w:t>
      </w:r>
      <w:r>
        <w:rPr>
          <w:rtl w:val="true"/>
        </w:rPr>
        <w:t xml:space="preserve">. </w:t>
      </w:r>
      <w:r>
        <w:rPr>
          <w:rtl w:val="true"/>
        </w:rPr>
        <w:t xml:space="preserve">نقش حاکم </w:t>
      </w:r>
      <w:r>
        <w:rPr>
          <w:rtl w:val="true"/>
        </w:rPr>
        <w:t>(</w:t>
      </w:r>
      <w:r>
        <w:rPr>
          <w:rtl w:val="true"/>
        </w:rPr>
        <w:t>امام</w:t>
      </w:r>
      <w:r>
        <w:rPr>
          <w:rtl w:val="true"/>
        </w:rPr>
        <w:t>)</w:t>
      </w:r>
      <w:bookmarkEnd w:id="279"/>
    </w:p>
    <w:p>
      <w:pPr>
        <w:pStyle w:val="BookText"/>
        <w:rPr/>
      </w:pPr>
      <w:r>
        <w:rPr>
          <w:rFonts w:ascii="IRNazanin" w:hAnsi="IRNazanin" w:eastAsia="IRNazanin"/>
          <w:color w:val="111111"/>
          <w:sz w:val="28"/>
          <w:sz w:val="28"/>
          <w:szCs w:val="28"/>
          <w:rtl w:val="true"/>
          <w:lang w:bidi="fa-IR"/>
        </w:rPr>
        <w:t>مانکدیم نقش حاکم را در مورد امر به معروف و نهی از منکر برجسته می‌داند و وظایفی مانند اجرای حدود، دفاع از مرزها، اعزام سپاه، نصب قاضی و فرماندار را وظیفۀ حاکم می‌داند؛ اما نوع دوم نهی از منکری است که کافه مردم هم می‌توانند، انجام دهند، مانند زنا، سرقت و گناهان متفرقۀ دیگر که می‌توان جلو آن را گرفت و اگر امام عادلی باشد باید به او کمک کرد تا اقدام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مانکدیم وجوب امر به معروف و نهی از منکر را وجوب کفایی می‌داند که با انجام عده‌ای، از عهده دیگران ساقط می‌شود</w:t>
      </w:r>
      <w:r>
        <w:rPr>
          <w:rFonts w:eastAsia="IRNazanin" w:cs="IRNazanin"/>
          <w:color w:val="111111"/>
          <w:sz w:val="28"/>
          <w:szCs w:val="28"/>
          <w:rtl w:val="true"/>
          <w:lang w:bidi="fa-IR"/>
        </w:rPr>
        <w:t xml:space="preserve">. </w:t>
      </w:r>
      <w:bookmarkStart w:id="280" w:name="pg8666_122408"/>
    </w:p>
    <w:p>
      <w:pPr>
        <w:pStyle w:val="BookText"/>
        <w:rPr/>
      </w:pPr>
      <w:bookmarkEnd w:id="280"/>
      <w:r>
        <w:rPr>
          <w:rFonts w:ascii="IRNazanin" w:hAnsi="IRNazanin" w:eastAsia="IRNazanin"/>
          <w:color w:val="111111"/>
          <w:sz w:val="28"/>
          <w:sz w:val="28"/>
          <w:szCs w:val="28"/>
          <w:rtl w:val="true"/>
          <w:lang w:bidi="fa-IR"/>
        </w:rPr>
        <w:t>آیا در اعتقادات قلبی نیز نهی از منکر وجود دارد یا تنها مربوط به افعال جوارحی می‌شود؟ مانکدیم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اعتقادی نیز وجود دارد و اگر عقیدۀ باطل بروز کرد، می‌توان از بروز آن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اینکه عقاید مانکدیم بر چه مذهبی استوار است، آیا شیعه زیدی است یا از باب اعتزال سخن می‌راند؟ مایکل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معتقدات ایشان بر اساس عقاید و اصولپنج‌گانه معتزلی استوار است، حتی وقتی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می‌زند، از موضع اعتزالی سخن می‌گوید و آرای او معرّف اعتزالی قدیم است</w:t>
      </w:r>
      <w:r>
        <w:rPr>
          <w:rFonts w:eastAsia="IRNazanin" w:cs="IRNazanin"/>
          <w:color w:val="111111"/>
          <w:sz w:val="28"/>
          <w:szCs w:val="28"/>
          <w:rtl w:val="true"/>
          <w:lang w:bidi="fa-IR"/>
        </w:rPr>
        <w:t>.</w:t>
      </w:r>
    </w:p>
    <w:p>
      <w:pPr>
        <w:pStyle w:val="Heading5"/>
        <w:numPr>
          <w:ilvl w:val="4"/>
          <w:numId w:val="1"/>
        </w:numPr>
        <w:rPr/>
      </w:pPr>
      <w:bookmarkStart w:id="281" w:name="__RefHeading___Toc2419658_653776707"/>
      <w:bookmarkStart w:id="282" w:name="_Toc109"/>
      <w:bookmarkEnd w:id="281"/>
      <w:r>
        <w:rPr/>
        <w:t>6</w:t>
      </w:r>
      <w:r>
        <w:rPr>
          <w:rtl w:val="true"/>
        </w:rPr>
        <w:t xml:space="preserve">. </w:t>
      </w:r>
      <w:r>
        <w:rPr>
          <w:rtl w:val="true"/>
        </w:rPr>
        <w:t xml:space="preserve">معتزلیان کهن </w:t>
      </w:r>
      <w:r>
        <w:rPr>
          <w:rtl w:val="true"/>
        </w:rPr>
        <w:t xml:space="preserve">- </w:t>
      </w:r>
      <w:r>
        <w:rPr>
          <w:rtl w:val="true"/>
        </w:rPr>
        <w:t>آموزه‌های رقیب</w:t>
      </w:r>
      <w:bookmarkEnd w:id="282"/>
    </w:p>
    <w:p>
      <w:pPr>
        <w:pStyle w:val="BookText"/>
        <w:rPr/>
      </w:pPr>
      <w:r>
        <w:rPr>
          <w:rFonts w:ascii="IRNazanin" w:hAnsi="IRNazanin" w:eastAsia="IRNazanin"/>
          <w:color w:val="111111"/>
          <w:sz w:val="28"/>
          <w:sz w:val="28"/>
          <w:szCs w:val="28"/>
          <w:rtl w:val="true"/>
          <w:lang w:bidi="fa-IR"/>
        </w:rPr>
        <w:t>مایکل کوک عنوانی را به نام معتزلیان کهن و آموزه‌هایی رقیب ذکر می‌کند و تحت این عنوان آرای مانکدیم را با ابوالحسین بصری و جِشُومی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ابوالحسین بصری حنفی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عبدالجبّار که آرای مستقلی در باب نهی از منکر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مستقل از او در دست نیست، اما آرای ایشان را از کسانی که وابسته به مکتب او بودند، مانند ملاحمی، زمخشری، حِمّصی،</w:t>
      </w:r>
      <w:r>
        <w:rPr>
          <w:rStyle w:val="FootnoteAnchor"/>
          <w:rtl w:val="true"/>
        </w:rPr>
        <w:footnoteReference w:id="64"/>
      </w:r>
      <w:r>
        <w:rPr>
          <w:rFonts w:ascii="IRNazanin" w:hAnsi="IRNazanin" w:eastAsia="IRNazanin"/>
          <w:color w:val="111111"/>
          <w:sz w:val="28"/>
          <w:sz w:val="28"/>
          <w:szCs w:val="28"/>
          <w:rtl w:val="true"/>
          <w:lang w:bidi="fa-IR"/>
        </w:rPr>
        <w:t>و ابن‌ابی‌الحدید معتزلی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دیدگاه مشترک این پنج نفر، می‌توان چنین برداشت کرد که منکرات برخی ذاتی‌اند مانند ستم؛ ولی برخی ممکن است از جهت خود یا از جهت مکتب فقهی دیگر منکر باشد یا نباشد، مانند کمانداری که یا برای آمادگی نظامی و یا کاری لغو و بی‌فایده است و مواردی هم هست که به شخص بازمی‌گردد، مانند شطرنج که برخی حلال و برخی حرام می‌دانند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کسانی مکلف به نهی از منکر هستند؟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وظیفه هر مسلمانی است که با وجود شرایط بر انجام آن توانا باشد و شاید هم کافران به‌طور کلی؛ اما </w:t>
      </w:r>
      <w:bookmarkStart w:id="283" w:name="pg8666_122410"/>
    </w:p>
    <w:p>
      <w:pPr>
        <w:pStyle w:val="BookText"/>
        <w:rPr/>
      </w:pPr>
      <w:bookmarkEnd w:id="283"/>
      <w:r>
        <w:rPr>
          <w:rFonts w:ascii="IRNazanin" w:hAnsi="IRNazanin" w:eastAsia="IRNazanin"/>
          <w:color w:val="111111"/>
          <w:sz w:val="28"/>
          <w:sz w:val="28"/>
          <w:szCs w:val="28"/>
          <w:rtl w:val="true"/>
          <w:lang w:bidi="fa-IR"/>
        </w:rPr>
        <w:t>درصورتی‌که جنگی پیش آید، امام و نائبان او در جایگاه برتری قرار دارند که اقدام نمایند و وظیفه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چه کسانی را باید نهی از منکر نمود؟ جواب می‌دهد همه باید نهی از منکر شوند حتی مجانین و کودکان نیز از ضرر رساندن آنها به دیگران جلوگیری شود و کودکان نیز قبل از بلوغ به نماز و تمرین عبادات وادار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شرایط، تفاوت ابوالحسین با مانکدیم در این است که مانکدیم در صورت خطر اگر اعزاز دین باشد اقدام را جایز می‌شمارد و معتقد است در صورت نداشتن مفسده باید نهیاز منکر نمود؛ اما ابوالحسین بی‌پرواتر می‌گوید کجاست که اعزاز دین نیست در هرجا خطر است اعزاز دین هم وجود دارد که یک نوع شجاعت وی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سومین نفر حاکم جِشُومی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قرن پنجم می‌زیسته و یک حنفی معتزلی پیرو مکتب عبدالجبار و یک علوی بود که امامان زیدی را تأیید می‌کرد و از نظری، زیدی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به نام رسالة الابلیس الی اخوانه المناحیس که در آن دیدگاهش با مانکدیم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سخن از روح پلیدی به میان می‌آورد که برای فاسدکردن امامت، نهی از منکر و قیام بر ضدّ حکومت ستمگر، بذر تسلیم و رضا نسبت به ستمکار را در میان مردم پاشیده و تعدادی هم در تأیید آن می‌کوشند، ولی معتزلیان این سخن را نپذیرفته‌اند و معتقدند نهی از منکر با استقامت در برابر سلطان جائر معنا پیدا می‌کند و این دقیقاً در مقابل اهل حدیث و حشویه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قرار می‌گیرد</w:t>
      </w:r>
      <w:r>
        <w:rPr>
          <w:rFonts w:eastAsia="IRNazanin" w:cs="IRNazanin"/>
          <w:color w:val="111111"/>
          <w:sz w:val="28"/>
          <w:szCs w:val="28"/>
          <w:rtl w:val="true"/>
          <w:lang w:bidi="fa-IR"/>
        </w:rPr>
        <w:t>.</w:t>
      </w:r>
    </w:p>
    <w:p>
      <w:pPr>
        <w:pStyle w:val="Heading5"/>
        <w:numPr>
          <w:ilvl w:val="4"/>
          <w:numId w:val="1"/>
        </w:numPr>
        <w:rPr/>
      </w:pPr>
      <w:bookmarkStart w:id="284" w:name="__RefHeading___Toc2419660_653776707"/>
      <w:bookmarkStart w:id="285" w:name="_Toc110"/>
      <w:bookmarkEnd w:id="284"/>
      <w:r>
        <w:rPr/>
        <w:t>7</w:t>
      </w:r>
      <w:r>
        <w:rPr>
          <w:rtl w:val="true"/>
        </w:rPr>
        <w:t xml:space="preserve">. </w:t>
      </w:r>
      <w:r>
        <w:rPr>
          <w:rtl w:val="true"/>
        </w:rPr>
        <w:t>خاتمه</w:t>
      </w:r>
      <w:bookmarkEnd w:id="285"/>
    </w:p>
    <w:p>
      <w:pPr>
        <w:pStyle w:val="BookText"/>
        <w:rPr/>
      </w:pPr>
      <w:r>
        <w:rPr>
          <w:rFonts w:ascii="IRNazanin" w:hAnsi="IRNazanin" w:eastAsia="IRNazanin"/>
          <w:color w:val="111111"/>
          <w:sz w:val="28"/>
          <w:sz w:val="28"/>
          <w:szCs w:val="28"/>
          <w:rtl w:val="true"/>
          <w:lang w:bidi="fa-IR"/>
        </w:rPr>
        <w:t>مایکل در خاتمه فصل نهم سه ویژگی مهم را درباره معتزلیان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معتزلیان روش تحلیلی و عقلانی است، برخلاف حنبلیان به جز ابویعلی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معتزلی دارای همگونی اساسی در طول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ابوالحسین با مکتب عبدالجبار در دو ویژگی تفاوت داشت؛ یکی نظم‌بخشیدن به شرایط وجوب و دیگری کاربرد وسیع این اصل برای اعزاز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به‌شدت عمل‌گرا هستند و برای اعزاز دین حاضرند از جان مایه بگذارند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کرده‌اند، ولی همگی شجاعتی را که موجب اعزاز دین می‌شود، </w:t>
      </w:r>
      <w:bookmarkStart w:id="286" w:name="pg8666_122412"/>
    </w:p>
    <w:p>
      <w:pPr>
        <w:pStyle w:val="BookText"/>
        <w:rPr/>
      </w:pPr>
      <w:bookmarkEnd w:id="286"/>
      <w:r>
        <w:rPr>
          <w:rFonts w:ascii="IRNazanin" w:hAnsi="IRNazanin" w:eastAsia="IRNazanin"/>
          <w:color w:val="111111"/>
          <w:sz w:val="28"/>
          <w:sz w:val="28"/>
          <w:szCs w:val="28"/>
          <w:rtl w:val="true"/>
          <w:lang w:bidi="fa-IR"/>
        </w:rPr>
        <w:t>تأیید می‌کنند و از جنگی وحشتناک که وظیفه ایجاب کند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اشاره‌ای روشن به اسلحه ندارند، ولی جِشُمی چنین وسواسی را درباره اشاره به شمشیر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نهی از منکر را مساوی با قیام بر ضدّ حکومت ستمگر می‌داند</w:t>
      </w:r>
      <w:r>
        <w:rPr>
          <w:rFonts w:eastAsia="IRNazanin" w:cs="IRNazanin"/>
          <w:color w:val="111111"/>
          <w:sz w:val="28"/>
          <w:szCs w:val="28"/>
          <w:rtl w:val="true"/>
          <w:lang w:bidi="fa-IR"/>
        </w:rPr>
        <w:t>.</w:t>
      </w:r>
    </w:p>
    <w:p>
      <w:pPr>
        <w:pStyle w:val="Heading4"/>
        <w:numPr>
          <w:ilvl w:val="3"/>
          <w:numId w:val="1"/>
        </w:numPr>
        <w:rPr/>
      </w:pPr>
      <w:bookmarkStart w:id="287" w:name="__RefHeading___Toc2419662_653776707"/>
      <w:bookmarkStart w:id="288" w:name="_Toc111"/>
      <w:bookmarkEnd w:id="287"/>
      <w:r>
        <w:rPr>
          <w:rtl w:val="true"/>
        </w:rPr>
        <w:t>ب</w:t>
      </w:r>
      <w:r>
        <w:rPr>
          <w:rtl w:val="true"/>
        </w:rPr>
        <w:t xml:space="preserve">) </w:t>
      </w:r>
      <w:r>
        <w:rPr>
          <w:rtl w:val="true"/>
        </w:rPr>
        <w:t>ارزیابی</w:t>
      </w:r>
      <w:bookmarkEnd w:id="288"/>
    </w:p>
    <w:p>
      <w:pPr>
        <w:pStyle w:val="BookText"/>
        <w:rPr/>
      </w:pPr>
      <w:r>
        <w:rPr>
          <w:rFonts w:ascii="IRNazanin" w:hAnsi="IRNazanin" w:eastAsia="IRNazanin"/>
          <w:color w:val="111111"/>
          <w:sz w:val="28"/>
          <w:sz w:val="28"/>
          <w:szCs w:val="28"/>
          <w:rtl w:val="true"/>
          <w:lang w:bidi="fa-IR"/>
        </w:rPr>
        <w:t>در مورد مطالب بخش سوم به‌طور کلی و فصل نهم کتاب امر به معروف و نهی از منکر در اندیشه اسلامی نوشته مایکل کوک به‌طور خاص، یک نکتۀ قابل تأمل در مورد ترتیب بخش‌ها و فصل‌بندی کتاب وجود دارد که لازم است عنوان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ارزیابی بخش دوم نیز گذشت، تقسیم‌بندی بخش‌ها و فصول کتاب، از یک نظم استوار و منسجمی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مبنای تقسیم‌بندی مباحث کلامی و اعتقادی است یا مباحث فقهی و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از نظر گذشتۀ تاریخی نیز ترتیب مباحث، گسست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ملاک کار کتاب مایکل مباحث اعتقادی و نظریات و گرایش‌های مختلف کلامی است، لازم بود، بر اساس مذاهب کلامی اعتزالی و اشعری و مانند آن بحث دنبال می‌شد و درنتیجه، شروع کار با حنبلیان و سپس معتزلیان قابل توجیه نیست، چون مذهب حنبلیان در برابر معتزله قرار نمی‌گیرد، حنبلی مذهب فقهی است، درحالی‌که اعتزال مذهبی کلامی است؛ ازاین‌رو، به‌حسب ظاهر، خود کتاب مایکل کوک با نوعی سرگردانی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این است که به اعتراف خود نویسنده، معتزلی حنبلی و معتزلی غیرحنبلی هر دو امکان دارد، چنان‌که حنبلی معتزلی و حنبلی غیرمعتزلی نیز محتمل است؛ چون رابطۀ منطقی اعتزال و حنبلی عموم و خصوص من وجه است و در برابر هم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ساده‌تر، فصول و بخش‌های کتاب مایکل تداخل دارند و نویسنده مقسمی برای کتاب خود ارائه نکرده است که جمیع اقسام آن را شامل شود، به‌گونه‌ای که هر قسمی از قسم دیگر کاملاً متباین باشد و تداخل میان آنها پدیدار نگردد؛ چنان‌که می‌بینیم در بخش دوم از حنبلیان و در بخش سوم از معتزلیان بحث می‌کند و بخش چهارم کتاب به‌عنوان </w:t>
      </w:r>
    </w:p>
    <w:p>
      <w:pPr>
        <w:pStyle w:val="BookText"/>
        <w:rPr/>
      </w:pPr>
      <w:r>
        <w:rPr>
          <w:rFonts w:ascii="IRNazanin" w:hAnsi="IRNazanin" w:eastAsia="IRNazanin"/>
          <w:color w:val="111111"/>
          <w:sz w:val="28"/>
          <w:sz w:val="28"/>
          <w:szCs w:val="28"/>
          <w:rtl w:val="true"/>
          <w:lang w:bidi="fa-IR"/>
        </w:rPr>
        <w:t>فرقه‌های دیگر اسلامی نامیده شده است، درحالی‌که اگر مقسم کتاب مذاهب کلامی است، مذاهب کلامی در مکاتبی مشخص منحصر است و فرقه‌های دیگر برای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ملاک کتاب خود را بر اساس مذاهب فقهی قرار می‌داد و می‌خواست رعایت ترتیب تاریخی را هم داشته باشد، لازم بود از مذاهب فقهی چهارگانه معروف اهل سنت به ترتیب تاریخ پیدایش پیشوایان آنها یعنی حنفیان، مالکیان، شافعیان و حنبلیان شروع کند و آن‌گاه مذاهب غیرمعروف اهل سنت مثل ظاهریه و مذهب سفیان ثوری و اوزاعی و بصری را عنوان نماید و در ادامه به مذاهب غیراهل سنت همچون شیعیان زیدیه و امامیه و اسماعیلیه بپردازد و در ادامه از اباضیه و خوارج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هم انسجام مباحث و هم نظم منطقی و ترتیب تاریخ مباحث مشهود بود، ولی متأسفانه این نظام منطقی رعایت نشده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قابل تأمّل دیگر آنکه چنانچه در پاورقی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نویسنده، شخصیت‌هایی همچون صاحب‌بن‌عبّاد و سدیدالدین حمصی را به مکتب اعتزال نسبت می‌دهد که مسلّماً خطایی فاحش و نسبتی نادرست است؛ درحالی‌که مایکل کوک در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از جلد اول کتاب خود، گرایش فکری حنبلیان را متوجه عینیات و گرایش معتزلیان را به ذهنیّات معرفی می‌کند، ولی در این قسمت در خاتمه فصل نهم، معتزلیان را عمل‌گرا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میان ذهن‌گرایی و عملگرایی معتزلیان می‌توان جمع کرد؟ نویسنده توضیحی را ارائه نکرده است</w:t>
      </w:r>
      <w:r>
        <w:rPr>
          <w:rFonts w:eastAsia="IRNazanin" w:cs="IRNazanin"/>
          <w:color w:val="111111"/>
          <w:sz w:val="28"/>
          <w:szCs w:val="28"/>
          <w:rtl w:val="true"/>
          <w:lang w:bidi="fa-IR"/>
        </w:rPr>
        <w:t xml:space="preserve">. </w:t>
      </w:r>
      <w:bookmarkStart w:id="289" w:name="pg8666_122416"/>
    </w:p>
    <w:p>
      <w:pPr>
        <w:pStyle w:val="Heading3"/>
        <w:numPr>
          <w:ilvl w:val="2"/>
          <w:numId w:val="1"/>
        </w:numPr>
        <w:rPr/>
      </w:pPr>
      <w:bookmarkStart w:id="290" w:name="__RefHeading___Toc2419664_653776707"/>
      <w:bookmarkStart w:id="291" w:name="_Toc112"/>
      <w:bookmarkEnd w:id="289"/>
      <w:bookmarkEnd w:id="290"/>
      <w:r>
        <w:rPr>
          <w:rtl w:val="true"/>
        </w:rPr>
        <w:t>گزارش و ارزیابی فصل دهم</w:t>
      </w:r>
      <w:r>
        <w:rPr>
          <w:rtl w:val="true"/>
        </w:rPr>
        <w:t xml:space="preserve">: </w:t>
      </w:r>
      <w:r>
        <w:rPr>
          <w:rtl w:val="true"/>
        </w:rPr>
        <w:t>زیدیه</w:t>
      </w:r>
      <w:bookmarkEnd w:id="291"/>
    </w:p>
    <w:p>
      <w:pPr>
        <w:pStyle w:val="Heading4"/>
        <w:numPr>
          <w:ilvl w:val="3"/>
          <w:numId w:val="1"/>
        </w:numPr>
        <w:rPr/>
      </w:pPr>
      <w:bookmarkStart w:id="292" w:name="__RefHeading___Toc2419666_653776707"/>
      <w:bookmarkStart w:id="293" w:name="_Toc113"/>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گزارش و ارزیابی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Style w:val="FootnoteAnchor"/>
          <w:rtl w:val="true"/>
        </w:rPr>
        <w:footnoteReference w:id="65"/>
      </w:r>
    </w:p>
    <w:p>
      <w:pPr>
        <w:pStyle w:val="Heading4"/>
        <w:numPr>
          <w:ilvl w:val="3"/>
          <w:numId w:val="1"/>
        </w:numPr>
        <w:rPr/>
      </w:pPr>
      <w:bookmarkStart w:id="294" w:name="__RefHeading___Toc2419668_653776707"/>
      <w:bookmarkStart w:id="295" w:name="_Toc114"/>
      <w:bookmarkEnd w:id="294"/>
      <w:r>
        <w:rPr>
          <w:rtl w:val="true"/>
        </w:rPr>
        <w:t>الف</w:t>
      </w:r>
      <w:r>
        <w:rPr>
          <w:rtl w:val="true"/>
        </w:rPr>
        <w:t xml:space="preserve">) </w:t>
      </w:r>
      <w:r>
        <w:rPr>
          <w:rtl w:val="true"/>
        </w:rPr>
        <w:t>گزارش</w:t>
      </w:r>
      <w:bookmarkEnd w:id="295"/>
    </w:p>
    <w:p>
      <w:pPr>
        <w:pStyle w:val="Heading5"/>
        <w:numPr>
          <w:ilvl w:val="4"/>
          <w:numId w:val="1"/>
        </w:numPr>
        <w:rPr/>
      </w:pPr>
      <w:bookmarkStart w:id="296" w:name="__RefHeading___Toc2419670_653776707"/>
      <w:bookmarkStart w:id="297" w:name="_Toc115"/>
      <w:bookmarkEnd w:id="296"/>
      <w:r>
        <w:rPr/>
        <w:t>1</w:t>
      </w:r>
      <w:r>
        <w:rPr>
          <w:rtl w:val="true"/>
        </w:rPr>
        <w:t xml:space="preserve">. </w:t>
      </w:r>
      <w:r>
        <w:rPr>
          <w:rtl w:val="true"/>
        </w:rPr>
        <w:t>زیدیه و امر به معروف و نهی از منکر</w:t>
      </w:r>
      <w:bookmarkEnd w:id="29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 دو گروه از شیعیان را به دلیل اینکه آموزه‌های آنان برای تحقیق جدّی در دسترس است و همیشه ارتباطی نسبتاً با آرای اهل سنت داشته‌اند و بحث جدّی نسبت به امر به معروف و نهی از منکر دارند، از میان فرقه‌های موجود، زیدیه و اثنا عشریه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بقیه فرقه‌ها از جمله اسماعیلیه به مناسبت و خیلی گذرا، مطالبی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 زیدیه و اثناعشریه را دارای نقاط مشترک زیاد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طایفه در گسترش احادیث و سنن فقهی کوشیده‌اند و هر دو کلام معتزلی را پذیرفته‌اند؛ اما در عین نقاط مشترک، اختلاف جدی هم نسبت به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اختلاف اساسی آنها را این گونه بیان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298" w:name="pg8666_122417"/>
    </w:p>
    <w:p>
      <w:pPr>
        <w:pStyle w:val="BookText"/>
        <w:rPr/>
      </w:pPr>
      <w:bookmarkEnd w:id="2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زیدیه امامت را چون رود جاری دانسته و منحصر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نمی‌دانند و معتقدند هرکه قیام به سیف نمود و از نسل سادات علوی بود، امام است و لذا امامت ادامه دارد؛ درحالی‌که اثنا عشریه امامان معصوم را منحصر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به غیبت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از نسل سادات علوی امامت نکرد چه باید کرد؟ زیدیه به شدّت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به دنبال حکومت‌اند، برخلاف اثناعشریه که معتقد به تسلیم و رضا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در درک هر یک از آنها، از نهی از منکر به شدّت مؤثر است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299" w:name="__RefHeading___Toc2419672_653776707"/>
      <w:bookmarkStart w:id="300" w:name="_Toc116"/>
      <w:bookmarkEnd w:id="299"/>
      <w:r>
        <w:rPr/>
        <w:t>2</w:t>
      </w:r>
      <w:r>
        <w:rPr>
          <w:rtl w:val="true"/>
        </w:rPr>
        <w:t xml:space="preserve">. </w:t>
      </w:r>
      <w:r>
        <w:rPr>
          <w:rtl w:val="true"/>
        </w:rPr>
        <w:t>باورهای زیدیۀ نخستین</w:t>
      </w:r>
      <w:bookmarkEnd w:id="300"/>
    </w:p>
    <w:p>
      <w:pPr>
        <w:pStyle w:val="BookText"/>
        <w:rPr/>
      </w:pPr>
      <w:r>
        <w:rPr>
          <w:rFonts w:ascii="IRNazanin" w:hAnsi="IRNazanin" w:eastAsia="IRNazanin"/>
          <w:color w:val="111111"/>
          <w:sz w:val="28"/>
          <w:sz w:val="28"/>
          <w:szCs w:val="28"/>
          <w:rtl w:val="true"/>
          <w:lang w:bidi="fa-IR"/>
        </w:rPr>
        <w:t>به دلیل اینکه خیلی از کتاب‌های مخطوط زیدی چاپ نشده است کار تحقیق و پژوهش در آثار آنها به مشکل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عقیده شیعه زیدی درباره امر به معروف و نهی از منکر در مجموعۀ حدیثی که به نام زیدبن‌علی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در دسترس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کتاب‌های سنّی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زیدبن‌علی دو گروه از احادیث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مرتبط با اهمیت امر به معروف و نهی از منکر که زیدیه طبق آنها معتقدند نهی از منکر از نظر فضیلت هم‌پایه جهاد است و کسی که در این راه جانش را از دست دهد، شهید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دوم روایاتی که آثار سوء ترک نهی از منکر را مورد بررسی قرار می‌دهد، مثلاً ترک امر به معروف و نهی از منکر نتیجه‌اش غلبه اشرار بر امت است و تارک نهی از منکر موجب بی‌حرمتی امت خواهد شد و هرکه آن را ترک کند محترم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 سپس از نویسندگان زیدیه نام می‌برد که یکی از آنها قاسم‌بن‌ابراهیم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 را مرد صلح‌جو معرفی و سه استفتاء را از زبان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اطاعت از خداوند و منکر را معصیت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دوم این است که انسان وظیفه دارد همسایگان خود را امر به معروف و نهی از منکر کند ولو اینکه دشمن اوگردند مگر اینکه ترس وجود داشته باشد و از او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سوم خیلی روشن نیست بعید نیست که بگوییم امام از طریق نهی از منکر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کوک سپس پنج اصلی را که زیدیه قبول کرده‌اند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اول همان سه اصل معتزلی است اما دو اصل بعدی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مشروعیت زندگی در حکومت سلطان ستمگر جایگزین نهی از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نویسندگان دیگر زیدی که کوک از او نام می‌برد، ناصر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ابن‌مرتضی در کتاب فقه مقارنش از او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اطروش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خانه‌ای یقین پیدا شود که منکر در حال انجام است، می‌توان وارد شد و نهی از منکر کرد، ظرف شراب را می‌شود، بدون ضمان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اطروش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ابتدا با زبان و اگر تأثیر نکرد با تازیانه و اگر آن هم مؤثر واقع نشد و مقدور باشد با شمشیر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ناهی از منکر مانند طبیب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کوک زیدیه را نسبت به نهی از منکر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عقیده زیدیه با قیام‌هایی مواجه هستیم که علیه حاکم ستمگر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مورخ شهیر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حادثه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هركسی حاكم ستمگری را ببيند كه حرام خدا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پيمان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شكند و به خلاف سنّت پيامبر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بندگان خدا 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كند و به كردار يا به گفتار عيب او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يغير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خدا فرض است كه او را به جایی كه بايد ببرد،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bookmarkStart w:id="301" w:name="pg8666_122421"/>
    </w:p>
    <w:p>
      <w:pPr>
        <w:pStyle w:val="BookText"/>
        <w:rPr/>
      </w:pPr>
      <w:bookmarkEnd w:id="301"/>
      <w:r>
        <w:rPr>
          <w:rFonts w:ascii="IRNazanin" w:hAnsi="IRNazanin" w:eastAsia="IRNazanin"/>
          <w:color w:val="111111"/>
          <w:sz w:val="28"/>
          <w:sz w:val="28"/>
          <w:szCs w:val="28"/>
          <w:rtl w:val="true"/>
          <w:lang w:bidi="fa-IR"/>
        </w:rPr>
        <w:t>نویسنده سپس از ابوالفرج اصفهانی زیدی یاد می‌کند که از نویسندگان بزرگ حوادث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زمرۀ کسانی می‌داند که از قیام برای نهی از منکر سخن می‌گوید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فخّ قیام معروف و برای نهی از منکر بوده است و توسط شهید فخّ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علی‌بن 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302" w:name="__RefHeading___Toc2419674_653776707"/>
      <w:bookmarkStart w:id="303" w:name="_Toc117"/>
      <w:bookmarkEnd w:id="302"/>
      <w:r>
        <w:rPr/>
        <w:t>3</w:t>
      </w:r>
      <w:r>
        <w:rPr>
          <w:rtl w:val="true"/>
        </w:rPr>
        <w:t xml:space="preserve">. </w:t>
      </w:r>
      <w:r>
        <w:rPr>
          <w:rtl w:val="true"/>
        </w:rPr>
        <w:t>عمل‌گرایی زیدیه</w:t>
      </w:r>
      <w:bookmarkEnd w:id="303"/>
    </w:p>
    <w:p>
      <w:pPr>
        <w:pStyle w:val="BookText"/>
        <w:rPr/>
      </w:pPr>
      <w:r>
        <w:rPr>
          <w:rFonts w:ascii="IRNazanin" w:hAnsi="IRNazanin" w:eastAsia="IRNazanin"/>
          <w:color w:val="111111"/>
          <w:sz w:val="28"/>
          <w:sz w:val="28"/>
          <w:szCs w:val="28"/>
          <w:rtl w:val="true"/>
          <w:lang w:bidi="fa-IR"/>
        </w:rPr>
        <w:t xml:space="preserve">حسن‌بن‌زید در طبرستان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دولت زیدیّه را تأسیس نمود که شامل گیلان، مازندران و گلستان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ادعای امامت نداشت و شرط بیعت با او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اینرفتار در زمان اطروش که قبلاً ذکرش رفت، نیز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ایشان نیز اساس کارخودش را نهی از منکر گذاشت و طبق آن به تشکیل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البته تشکیل حکومت این وظیفه را از دوش مردم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مردم همچنان وظیفه دارند که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معتقد است زیدیه با معتزله تطابق عقیدتی دارند و مانند هم بر اساس عقل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پیوند، نهی از منکر با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سیاسی است و نخستین شخصیت ممتاز این تطابق فکری هادی الی الحق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اولین دولت زیدی یمن را تشکیل داد، هادی الی الحق، شرط امام را برخلاف امامیه، قیام به سیف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خانه خود نشسته، فقط امام حلال و حرام است نه امام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ذریّۀ من هر کسی که قیام کند برای امر به معروف و نهی از منکر، خلیفه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 به چنین امامی که برای نهی از منکر قیام کرده،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علوی وقتی شمشیر را برهنه و امامت را آشکار کرد با غذایی ساده، نان و نمک و بیعت بر اساس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والنهی عن التظالم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وظیفه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در تأسیس دولت زیدیان متأخر هم وجود دارد، مثل امام احمد‌بن‌حسین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ابوطالب الناطق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به نام‌های الهادی الحقینی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ابوالرضا کیسُمی یکی در دیلمان و دیگری در گیلان، حکومت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سدۀ بعد هم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bookmarkStart w:id="304" w:name="pg8666_122423"/>
    </w:p>
    <w:p>
      <w:pPr>
        <w:pStyle w:val="BookText"/>
        <w:rPr/>
      </w:pPr>
      <w:bookmarkEnd w:id="304"/>
      <w:r>
        <w:rPr>
          <w:rFonts w:ascii="IRNazanin" w:hAnsi="IRNazanin" w:eastAsia="IRNazanin"/>
          <w:color w:val="111111"/>
          <w:sz w:val="28"/>
          <w:sz w:val="28"/>
          <w:szCs w:val="28"/>
          <w:rtl w:val="true"/>
          <w:lang w:bidi="fa-IR"/>
        </w:rPr>
        <w:t>علی‌بن‌محمد غزنوی در گیلان به حکومت رسیده و بر ضد منکرات قیام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نیمه دوم سده هشتم یکی از احفاد محمد غزنوی امیرکیا ملاطی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امام کامل زیدی به حکومت رسید و کاری که کرد تغییر مذهب اجباری اسماعیلی به زیدی بود، شبیه همین جریان نسبت به زیدیان یمن نیز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سده بعد منصور قاسم‌بن‌علی عیانی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مردم نوشت و از آنان دعوت نمود که با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گذشت قرن‌ها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سنت نهی از منکر زیدیان، برنامۀ عینی و عملی برای اصلاحات اخلاقی جامعه ندارد و برخلاف دولت اخیر سعودی، بیش از افراشتن پرچم و تأسیس دولت و کسب قدرت چیزی نمی‌بینیم</w:t>
      </w:r>
      <w:r>
        <w:rPr>
          <w:rFonts w:eastAsia="IRNazanin" w:cs="IRNazanin"/>
          <w:color w:val="111111"/>
          <w:sz w:val="28"/>
          <w:szCs w:val="28"/>
          <w:rtl w:val="true"/>
          <w:lang w:bidi="fa-IR"/>
        </w:rPr>
        <w:t>.</w:t>
      </w:r>
    </w:p>
    <w:p>
      <w:pPr>
        <w:pStyle w:val="Heading4"/>
        <w:numPr>
          <w:ilvl w:val="3"/>
          <w:numId w:val="1"/>
        </w:numPr>
        <w:rPr/>
      </w:pPr>
      <w:bookmarkStart w:id="305" w:name="__RefHeading___Toc2419676_653776707"/>
      <w:bookmarkStart w:id="306" w:name="_Toc118"/>
      <w:bookmarkEnd w:id="305"/>
      <w:r>
        <w:rPr>
          <w:rtl w:val="true"/>
        </w:rPr>
        <w:t>ب</w:t>
      </w:r>
      <w:r>
        <w:rPr>
          <w:rtl w:val="true"/>
        </w:rPr>
        <w:t xml:space="preserve">) </w:t>
      </w:r>
      <w:r>
        <w:rPr>
          <w:rtl w:val="true"/>
        </w:rPr>
        <w:t>ارزیابی</w:t>
      </w:r>
      <w:bookmarkEnd w:id="306"/>
    </w:p>
    <w:p>
      <w:pPr>
        <w:pStyle w:val="BookText"/>
        <w:rPr/>
      </w:pPr>
      <w:r>
        <w:rPr>
          <w:rFonts w:ascii="IRNazanin" w:hAnsi="IRNazanin" w:eastAsia="IRNazanin"/>
          <w:color w:val="111111"/>
          <w:sz w:val="28"/>
          <w:sz w:val="28"/>
          <w:szCs w:val="28"/>
          <w:rtl w:val="true"/>
          <w:lang w:bidi="fa-IR"/>
        </w:rPr>
        <w:t>آنچه به‌عنوان جمع‌بندی بحث از عمل‌گرایی زید در کلام مایکل کوک منعکس شده است،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در برنامه عملی نهی از منکر زیدیه، احساس اصلاح اخلاقی نمی‌شود، بر خلاف حرکت دولت اخیر سعودی و بدین‌صورت، دولت سعودی را در مورد اصلاح اخلاقی گویا موفق‌تر ارزیابی می‌کند، به نظر می‌رسد در آن، جای تحلیل و بررسی عمیق است؛ به‌ویژه آنکه این موضوع به بحث هدف از اقامۀ تشکیل دولت و نظام سیاسی و نقش نهی از منکر دراین‌باره نیز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با دو پدیدۀ مربوط به قدرت و نظام سیاسی، با مبانی متفاوت مواجهیم؛ یکی دولت سعودی بر اساس آموزه‌های وهابیت و ابن‌تیمیه و تا حدودی حنبلیان و اهل سنت و دیگری دولت‌های زیدی با آموزه‌های عقل‌گرایی سیاسی و امامت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پدیدۀ نخست، اما در مورد دولت سعودی می‌توان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قیام علیه سلطان ستمگر و اقدام برای تشکیل حکومت و دست‌بردن به سلاح برخلاف آموزه‌های پیشوای حنبلیان و آموزه‌های قاطبۀ اهل سنت است که خروج بر حاکم را نمی‌پذیرند؛ بنابراین نفس تشکیل دولت سعودی، گذشته از زوایای پنهان و نقش دولت‌های خارجی در آن، اصل تشکیل چنین دولتی برخلاف مبانی و ادله و روایات اهل سنت و </w:t>
      </w:r>
    </w:p>
    <w:p>
      <w:pPr>
        <w:pStyle w:val="BookText"/>
        <w:rPr/>
      </w:pPr>
      <w:r>
        <w:rPr>
          <w:rFonts w:ascii="IRNazanin" w:hAnsi="IRNazanin" w:eastAsia="IRNazanin"/>
          <w:color w:val="111111"/>
          <w:sz w:val="28"/>
          <w:sz w:val="28"/>
          <w:szCs w:val="28"/>
          <w:rtl w:val="true"/>
          <w:lang w:bidi="fa-IR"/>
        </w:rPr>
        <w:t>آموزه‌های ابن‌حنبل است که ثوره و انقلاب علیه دولت مستقر را نامشروع می‌شمرند و لازم بود مایکل کوک در کتاب خود، به این زاویه از بحث از دولت سعودی و مقایسه آن با دولت زیدیه می‌پرداخت؛ چراکه به‌طور کلی از نگاه حنابله و قاطبۀ اهل تسنن، برخلاف زیدیه، امنیت همواره بر عدالت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دولت اول و تا حدودی دوم سعودی برای مبارزه با شرک و کفر تشکیل شد و آن را جزء نهی از منکر می‌دانستند و لذا کاری با اصلاح اخلاقی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سوم اگرچه نهی از منکر را در داخل حجاز، وجهۀ همت خویش قرار داد و سازماندهی مفصلی تا حدّ وزارت و ورود دستگاه قضا برای نهی از منکر ایجاد کرد و بدین‌صورت، دست به اقدامات و اصلاحات اخلاقی و اجتماعی زد، ولی چنانچه در مواردی، مایکل کوک هم به آن اشاره می‌کند، نتایج و ثمرات آن تلاش‌ها برای اصلاح اخلاق جامعه در نهایت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 را کهواقعاً منکر شرعی و عقلی محسوب نمی‌شد، مثل استعمال دخانیات و رانندگی زنان و یا امری جزئی و غیرمهم و غیرمؤثر بود، مثل نماز اول وقت در مسجد به‌شدت و در حد منکرات بزرگ با آن برخورد شد و بی‌جهت حساسیت نسبت به آنها بیش از حدّ لازم بالا برده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بسیار خشن و اعمال مجازات‌های سنگین توسط افرادی بیابانی و قبیله‌ای و غیرمتمدن و غیر شهرنشین که در همان زمان عامه مردم به مقابله با آنها می‌نشستند و علیه آنها به اقدام دست می‌زدند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فرصت‌طلبی حاکمان و اینکه دین را وسیلۀ اهداف و مطامع خود قرار دادند و عدم‌تحلیل درست و ضعف قدرت فکری و عقلانیت و تعمق اجتماعی عالمان دینی موجب آسیب‌های غیرقابل جبران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پشت پردۀ ظاهر و پنهان بالاخره عوامل مختلف دست به دست هم داد تا آنکه آن حرکت به گفتۀ مایکل کوک با افول مواجه شد و اکنون پس از گذشتن دو دهه با روی‌کارآمدن مسئولان جدید دولت سعودی و اقدامات و تغییرات پدید آمده توسط آنها از نوشتۀ مایکل کوک، شکست آن اصلاحات اخلاقی اجتماعی تقریباً مبرهن و مسلّم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پدیده دوم، نسبت به دولت‌های زیدیه است که با صرف نظر از فرصت‌طلبی و اهداف و اغراض خاص برخی از قیام‌ها، ولی به‌طور کلی، طبق مبانی کلامی و اعتقادی و </w:t>
      </w:r>
    </w:p>
    <w:p>
      <w:pPr>
        <w:pStyle w:val="BookText"/>
        <w:rPr/>
      </w:pPr>
      <w:r>
        <w:rPr>
          <w:rFonts w:ascii="IRNazanin" w:hAnsi="IRNazanin" w:eastAsia="IRNazanin"/>
          <w:color w:val="111111"/>
          <w:sz w:val="28"/>
          <w:sz w:val="28"/>
          <w:szCs w:val="28"/>
          <w:rtl w:val="true"/>
          <w:lang w:bidi="fa-IR"/>
        </w:rPr>
        <w:t>فقهی زیدیه، تشکیل دولت‌های زیدیه در طول تاریخ، برخلاف دولت سعودی، با بحران مشروعیت مواجه نیست، چون آنها قیام به سیف علیه ستمگر و حاکمان فاسد را به‌عنوان نهی از منکر لازم می‌شمرده‌اند و ازاین‌رو با پارادوکس و تناقضی که در نظام فکری اهل سنت مواجهیم، در جریان زیدیه با آن مواجه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تشکیل دولت توسط علوی خارج بالسیف برای مبارزه با فساد و ستم و اقامه معروف مشروعیت مبنایی زیدی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اصلاحات اخلاقی اجتماعی توسط دولت زیدیه و اینکه آیا زیدیه تشکیلاتی ایجاد کرده یا نکرده‌اند، باید تتبع و بررسی شود؛ ولی این ادّعا که به‌طور کلی در کارنامه آنها، رفتارهایی در برابر منکرات و اقداماتی برای اصلاحات اخلاقی نبوده است، این را به‌طور صد در صد نمی‌توان پاسخ منفی داد و در گزارش‌های خود کتاب کوک نیز اشاراتی دیده می‌شود، ضمن آنکه در فتاوای فقهی آنها، این نهی از منکر به‌روشنی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دراین قسمت شاید بتوان دولت‌های زیدی را فاقد برنامه در جهت گسترش نهی از منکر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 اساس مبانی فکری زیدیه، تشکیل دولت، چیزی از بار مسئولیت اجتماعی مردم کم نمی‌کند تا به مقابله با مفاسد و زشتی‌های اجتماعی اقدام نکنند و در مقام اصلاح اخلاقی برنیایند، به‌خصوص چهرۀ دیگر و مهم از نهی از منکر نظارت اجتماعی مردم بر حاکمان و مطالبه از آنها برای اقدامات و اصلاحات اجتماعی و اخلاقی است که نباید مورد غفلت قرار 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به نظر می‌رسد مایکل کوک اصلاح اخلاقی جامعه را هدف اصلی امر به معروف و نهی از منکر می‌پندارد و لذا دولت سعودی را در این قسمت با برنامه می‌بیند، درحالی‌که هدف از این فریضه منحصر به نهی از منکر مردم توسط دولت و حاکمیت نیست، بلکه برعکس بخش اعظم و مهم‌تر این فریضه مربوط می‌شود به نظارت و نهی از منکر دولت 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نهی از منکر آن است که مردم بر رفتار دولتمردان نظارت کنند و آنها را از منکر و فساد بازدارند</w:t>
      </w:r>
      <w:r>
        <w:rPr>
          <w:rFonts w:eastAsia="IRNazanin" w:cs="IRNazanin"/>
          <w:color w:val="111111"/>
          <w:sz w:val="28"/>
          <w:szCs w:val="28"/>
          <w:rtl w:val="true"/>
          <w:lang w:bidi="fa-IR"/>
        </w:rPr>
        <w:t xml:space="preserve">. </w:t>
      </w:r>
      <w:bookmarkStart w:id="307" w:name="pg8666_122429"/>
    </w:p>
    <w:p>
      <w:pPr>
        <w:pStyle w:val="BookText"/>
        <w:rPr/>
      </w:pPr>
      <w:bookmarkEnd w:id="307"/>
      <w:r>
        <w:rPr>
          <w:rFonts w:ascii="IRNazanin" w:hAnsi="IRNazanin" w:eastAsia="IRNazanin"/>
          <w:color w:val="111111"/>
          <w:sz w:val="28"/>
          <w:sz w:val="28"/>
          <w:szCs w:val="28"/>
          <w:rtl w:val="true"/>
          <w:lang w:bidi="fa-IR"/>
        </w:rPr>
        <w:t>به‌هرحال، این مشکل و حساسیت نهی از منکر است که در آن سه حلقۀ مهم در یک فرایند باید همزمان پدید آید تا به نتیجۀ موردنظر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مردم برای تشکیل دولت صالح و عادل و برکناری دولت فاسد ظالم؛</w:t>
      </w:r>
    </w:p>
    <w:p>
      <w:pPr>
        <w:pStyle w:val="BookText"/>
        <w:rPr/>
      </w:pPr>
      <w:r>
        <w:rPr>
          <w:rFonts w:ascii="IRNazanin" w:hAnsi="IRNazanin" w:eastAsia="IRNazanin"/>
          <w:color w:val="111111"/>
          <w:sz w:val="28"/>
          <w:sz w:val="28"/>
          <w:szCs w:val="28"/>
          <w:rtl w:val="true"/>
          <w:lang w:bidi="fa-IR"/>
        </w:rPr>
        <w:t>حلقه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دولت صالح و عادل برای پاکسازی و اصلاح خود در مرتبه اول و گسترش اصلاحات اخلاقی اجتماعی در مرتبه دوم؛</w:t>
      </w:r>
    </w:p>
    <w:p>
      <w:pPr>
        <w:pStyle w:val="BookText"/>
        <w:rPr/>
      </w:pPr>
      <w:r>
        <w:rPr>
          <w:rFonts w:ascii="IRNazanin" w:hAnsi="IRNazanin" w:eastAsia="IRNazanin"/>
          <w:color w:val="111111"/>
          <w:sz w:val="28"/>
          <w:sz w:val="28"/>
          <w:szCs w:val="28"/>
          <w:rtl w:val="true"/>
          <w:lang w:bidi="fa-IR"/>
        </w:rPr>
        <w:t>حلقه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مردم بر گسترش نظارت اجتماعی خود، هم بر رفتار حاکمان و هم بر رفتار شهروندان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سه حلقه اگر مفقود یا ضعیف بود، فرایند نهی از منکر با خلل مواجه خواهد بود، اگرچه همواره، حتی یک نهی از منکر اگرچه زبانی و یا در دل، اثر خود را خواهد داشت</w:t>
      </w:r>
      <w:r>
        <w:rPr>
          <w:rFonts w:eastAsia="IRNazanin" w:cs="IRNazanin"/>
          <w:color w:val="111111"/>
          <w:sz w:val="28"/>
          <w:szCs w:val="28"/>
          <w:rtl w:val="true"/>
          <w:lang w:bidi="fa-IR"/>
        </w:rPr>
        <w:t>.</w:t>
      </w:r>
    </w:p>
    <w:p>
      <w:pPr>
        <w:pStyle w:val="Heading4"/>
        <w:numPr>
          <w:ilvl w:val="3"/>
          <w:numId w:val="1"/>
        </w:numPr>
        <w:rPr/>
      </w:pPr>
      <w:bookmarkStart w:id="308" w:name="__RefHeading___Toc2419678_653776707"/>
      <w:bookmarkStart w:id="309" w:name="_Toc119"/>
      <w:bookmarkEnd w:id="308"/>
      <w:r>
        <w:rPr>
          <w:rtl w:val="true"/>
        </w:rPr>
        <w:t>الف</w:t>
      </w:r>
      <w:r>
        <w:rPr>
          <w:rtl w:val="true"/>
        </w:rPr>
        <w:t xml:space="preserve">) </w:t>
      </w:r>
      <w:r>
        <w:rPr>
          <w:rtl w:val="true"/>
        </w:rPr>
        <w:t>گزارش</w:t>
      </w:r>
      <w:bookmarkEnd w:id="309"/>
    </w:p>
    <w:p>
      <w:pPr>
        <w:pStyle w:val="Heading5"/>
        <w:numPr>
          <w:ilvl w:val="4"/>
          <w:numId w:val="1"/>
        </w:numPr>
        <w:rPr/>
      </w:pPr>
      <w:bookmarkStart w:id="310" w:name="__RefHeading___Toc2419680_653776707"/>
      <w:bookmarkStart w:id="311" w:name="_Toc120"/>
      <w:bookmarkEnd w:id="310"/>
      <w:r>
        <w:rPr/>
        <w:t>4</w:t>
      </w:r>
      <w:r>
        <w:rPr>
          <w:rtl w:val="true"/>
        </w:rPr>
        <w:t xml:space="preserve">. </w:t>
      </w:r>
      <w:r>
        <w:rPr>
          <w:rtl w:val="true"/>
        </w:rPr>
        <w:t>سنت فقهی زیدیه</w:t>
      </w:r>
      <w:bookmarkEnd w:id="311"/>
    </w:p>
    <w:p>
      <w:pPr>
        <w:pStyle w:val="BookText"/>
        <w:rPr/>
      </w:pPr>
      <w:r>
        <w:rPr>
          <w:rFonts w:ascii="IRNazanin" w:hAnsi="IRNazanin" w:eastAsia="IRNazanin"/>
          <w:color w:val="111111"/>
          <w:sz w:val="28"/>
          <w:sz w:val="28"/>
          <w:szCs w:val="28"/>
          <w:rtl w:val="true"/>
          <w:lang w:bidi="fa-IR"/>
        </w:rPr>
        <w:t>سنت فقهی زیدیّه به تناسب مباحث کلامی آنها، در کتب فقهی‌شان یکسان آمده است و امر به معروف و نهی از منکر را وظیفۀ هر فرد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نظر آنها با شیعه اثناعشری این است که زیدیّه نهی از منکر را در کتاب السیر آخر کتب فقهی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در آن جهاد و امامت با هم‌اند؛ اما شیعه بحث امر به معروف و نهی از منکر را در کتاب جهاد می‌آورند که معمولاً بعد از حج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 فقهی زیدیه در کتاب المؤید احمدبن‌الحسن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شاگردی دارد به نام ابوالقاسم هَوسَمی که مباحث مربوط به امر به معروف و نهی از منکر احمدبن‌الحسن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مراتب آن را اول با زبان سپس با مشت می‌داند و بر این باور است که اگر تأثیرگذار نشد به حسب موقعیت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فراتر رفت و غرض این است که به هرحال جلو منکر گرفته شود</w:t>
      </w:r>
      <w:r>
        <w:rPr>
          <w:rFonts w:eastAsia="IRNazanin" w:cs="IRNazanin"/>
          <w:color w:val="111111"/>
          <w:sz w:val="28"/>
          <w:szCs w:val="28"/>
          <w:rtl w:val="true"/>
          <w:lang w:bidi="fa-IR"/>
        </w:rPr>
        <w:t xml:space="preserve">. </w:t>
      </w:r>
      <w:bookmarkStart w:id="312" w:name="pg8666_122431"/>
    </w:p>
    <w:p>
      <w:pPr>
        <w:pStyle w:val="Heading5"/>
        <w:numPr>
          <w:ilvl w:val="4"/>
          <w:numId w:val="1"/>
        </w:numPr>
        <w:rPr/>
      </w:pPr>
      <w:bookmarkStart w:id="313" w:name="__RefHeading___Toc2419682_653776707"/>
      <w:bookmarkStart w:id="314" w:name="_Toc121"/>
      <w:bookmarkEnd w:id="312"/>
      <w:bookmarkEnd w:id="313"/>
      <w:r>
        <w:rPr/>
        <w:t>5</w:t>
      </w:r>
      <w:r>
        <w:rPr>
          <w:rtl w:val="true"/>
        </w:rPr>
        <w:t xml:space="preserve">. </w:t>
      </w:r>
      <w:r>
        <w:rPr>
          <w:rtl w:val="true"/>
        </w:rPr>
        <w:t>مصادیق نهی از منکر در عقیده زیدیه</w:t>
      </w:r>
      <w:bookmarkEnd w:id="314"/>
    </w:p>
    <w:p>
      <w:pPr>
        <w:pStyle w:val="BookText"/>
        <w:rPr/>
      </w:pPr>
      <w:r>
        <w:rPr>
          <w:rFonts w:ascii="IRNazanin" w:hAnsi="IRNazanin" w:eastAsia="IRNazanin"/>
          <w:color w:val="111111"/>
          <w:sz w:val="28"/>
          <w:sz w:val="28"/>
          <w:szCs w:val="28"/>
          <w:rtl w:val="true"/>
          <w:lang w:bidi="fa-IR"/>
        </w:rPr>
        <w:t>به گفتۀ مایکل کوک پس از مراتب، زیدیه مصادیق منکر در جامعه را این‌گونه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معمولاً برای کارهای نامشروع به کار می‌رود، مانند تنبور، می‌شود آن را شکست؛ اما شکستن چیزی که برای نامشروع و مشروع، هر دو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ریخت یا با عذرات و شن و سرگین بی‌مصرف نمود و یا آن را از کوزه ریخت و اگر چاره نبود با دادن غرامت، کوزه را باید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متوجه آلات لهو و موسیقی یا نوشیدن شراب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داخل منزل شده، آلات لهو را بشکنید و شراب را به زمین 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دادن شخص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را نباید به حاکم تحویل داد بلکه باید او را پند و اندرز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سلطانی اگر مردم را برای نهی از منکر فراخواند، می‌توان سرباز زد؛ ولی می‌توان برای از بین‌بردن منکر از او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سلطان ستمگر باید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ستمگر است و خراج را صرف مصلحت مسلمین می‌کند با سلطانی که چنین نیست، در رویارویی با ستمگرتر، از او می‌توان کمک گرفت و بین بد و بدتر، بد را انتخاب نماییم و چه بسا در موقعی این کار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باپسران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آنان را از پوشیدن حریر، طلا، خلخال و گوشواره و اشیایی که طلا در آنها به کار رفته است، منع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اشتباهی در قرآن توسط کسی انجام گرفت، باید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اگر کسی واردتر پیدا شود باید به دست او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آوازخوانی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نغمۀ آهنگین تبدیل نشده، اشکالی ندارد؛ چون در صدر اسلام زنان حرف می‌زدند و معاملاتی می‌کردند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درصورتی‌که اشعاری بخوانند و تبدیل به آهنگ شود، منع می‌شود</w:t>
      </w:r>
      <w:r>
        <w:rPr>
          <w:rFonts w:eastAsia="IRNazanin" w:cs="IRNazanin"/>
          <w:color w:val="111111"/>
          <w:sz w:val="28"/>
          <w:szCs w:val="28"/>
          <w:rtl w:val="true"/>
          <w:lang w:bidi="fa-IR"/>
        </w:rPr>
        <w:t xml:space="preserve">. </w:t>
      </w:r>
      <w:bookmarkStart w:id="315" w:name="pg8666_122433"/>
    </w:p>
    <w:p>
      <w:pPr>
        <w:pStyle w:val="BookText"/>
        <w:rPr/>
      </w:pPr>
      <w:bookmarkEnd w:id="315"/>
      <w:r>
        <w:rPr>
          <w:rFonts w:ascii="IRNazanin" w:hAnsi="IRNazanin" w:eastAsia="IRNazanin"/>
          <w:color w:val="111111"/>
          <w:sz w:val="28"/>
          <w:sz w:val="28"/>
          <w:szCs w:val="28"/>
          <w:rtl w:val="true"/>
          <w:lang w:bidi="fa-IR"/>
        </w:rPr>
        <w:t>کار خنیاگران و کسانی که با خواندن اشعار، مردم مسلمان پارسا را به وسوسه می‌اندازند، گناه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از منزلی صدای زن و مرد خنیاگر می‌آید که مطالب معاشقه‌آمیز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بیرون، مردم به وسوسه می‌افتند، باید از آن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زیدی در برخی موارد از نظرگاه عملی به معتزلی و از نظر مصادیق در ریختن شراب و شکستن آلات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حنبلی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زیدی از دو بخش سنت فقهی و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سیاسی تشکیل شده است و هر دو نسبت به هم ارتباط ذاتی کمتری دارند</w:t>
      </w:r>
      <w:r>
        <w:rPr>
          <w:rFonts w:eastAsia="IRNazanin" w:cs="IRNazanin"/>
          <w:color w:val="111111"/>
          <w:sz w:val="28"/>
          <w:szCs w:val="28"/>
          <w:rtl w:val="true"/>
          <w:lang w:bidi="fa-IR"/>
        </w:rPr>
        <w:t>.</w:t>
      </w:r>
    </w:p>
    <w:p>
      <w:pPr>
        <w:pStyle w:val="Heading5"/>
        <w:numPr>
          <w:ilvl w:val="4"/>
          <w:numId w:val="1"/>
        </w:numPr>
        <w:rPr/>
      </w:pPr>
      <w:bookmarkStart w:id="316" w:name="__RefHeading___Toc2419684_653776707"/>
      <w:bookmarkStart w:id="317" w:name="_Toc122"/>
      <w:bookmarkEnd w:id="316"/>
      <w:r>
        <w:rPr/>
        <w:t>6</w:t>
      </w:r>
      <w:r>
        <w:rPr>
          <w:rtl w:val="true"/>
        </w:rPr>
        <w:t xml:space="preserve">. </w:t>
      </w:r>
      <w:r>
        <w:rPr>
          <w:rtl w:val="true"/>
        </w:rPr>
        <w:t xml:space="preserve">همزیستی زیدی </w:t>
      </w:r>
      <w:r>
        <w:rPr>
          <w:rtl w:val="true"/>
        </w:rPr>
        <w:t xml:space="preserve">- </w:t>
      </w:r>
      <w:r>
        <w:rPr>
          <w:rtl w:val="true"/>
        </w:rPr>
        <w:t>معتزلی</w:t>
      </w:r>
      <w:bookmarkEnd w:id="317"/>
    </w:p>
    <w:p>
      <w:pPr>
        <w:pStyle w:val="BookText"/>
        <w:rPr/>
      </w:pPr>
      <w:r>
        <w:rPr>
          <w:rFonts w:ascii="IRNazanin" w:hAnsi="IRNazanin" w:eastAsia="IRNazanin"/>
          <w:color w:val="111111"/>
          <w:sz w:val="28"/>
          <w:sz w:val="28"/>
          <w:szCs w:val="28"/>
          <w:rtl w:val="true"/>
          <w:lang w:bidi="fa-IR"/>
        </w:rPr>
        <w:t>به نظر کوک اندیشه معتزلی بر زیدیه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شخصیت زیدی معتزلی شخصی است به نام مرتضی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کتابش به‌صورت معیار درآمده و مورد توجه خیلی از شارحان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ابن‌مرتضی امر به معروف و نهی از منکر را هم در علم کلام و هم در علم فقه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علم کلام از نهی از منکرسخن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همان اصول خمسه معتزلی را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بُعد فقهی، کلام معتزلی را هم با آن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همزیستی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ابن‌مرتضی به سبب امامت ناموفقش، در زندان بود و شرح مختصر و فشرده‌ای درباره نهی از منکر نوشت و آن را در پایان کتاب وجیزه‌ای در فقه زیدی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درباره امربه معروف و نهی از منکر مطالبی را آورده است و از لحاظ وجوب و شرایط امر به معروف و نهی از منکر مانند بقیه سخن گفته است؛ اما مراتب آن را تاحد کشتن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مفصل‌تر، این سلسله مراتب، شامل مطالب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ملامت، توهین، شکستن آلات موسیقی، شلاق‌زدن مردم و برخورد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جمع‌آوری جیش، وی معتقد است که باتوجه‌به مصلحت، این کار بر عهده امام المسلمین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ابن‌مرتضی ورود به خانه‌ای را که در آن منکر انجام می‌شود،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ریختن شراب محتمل را به شرط غرامت، اجازه می‌دهد؛ ولی درصورتی‌که شراب نبود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دینی اگر انحرافی به وجود بیاید، معتقد به اصلاح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w:t>
      </w:r>
      <w:bookmarkStart w:id="318" w:name="pg8666_122435"/>
    </w:p>
    <w:p>
      <w:pPr>
        <w:pStyle w:val="BookText"/>
        <w:rPr/>
      </w:pPr>
      <w:bookmarkEnd w:id="318"/>
      <w:r>
        <w:rPr>
          <w:rFonts w:ascii="IRNazanin" w:hAnsi="IRNazanin" w:eastAsia="IRNazanin"/>
          <w:color w:val="111111"/>
          <w:sz w:val="28"/>
          <w:sz w:val="28"/>
          <w:szCs w:val="28"/>
          <w:rtl w:val="true"/>
          <w:lang w:bidi="fa-IR"/>
        </w:rPr>
        <w:t>مخصوص موسیقی را می‌توان شکست و ریزشده‌اش را به‌صورت مفید برگرداند، مگر اینکه از باب تنبیه نزد خود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کمک به سلطان ستمگر، اگر برای اقامه معروف و نهی از منکر باشد، به شرط اینکه موجب تقویت او نشود، واجب است و در مورد کمک به سلطان ستمگر در مقابل سلطان ستمگرتر برای تقویت ستمگر همکاری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مصلحت و به مقدار ضرورت می‌توان با فاسق مراوده دوستانه داشت،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کمتر مطالب جدید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مورد است که رویارویی با اندیشه غزالی در بحث سلسله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المؤید یحیی‌بن‌حمزه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غزالی از طریق شافعیان یمن آشنا شده و از اندیشه‌های او نیز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 اندکی، با غزالی درگیر شده و با او به مخالفت پرداخته است، مثلاً آنجایی که گردآوری حامیان مسلح را غزالی وظیفه عوام می‌داند، ولی یحیی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که به نظر امامان زیدی و معتزلی، این کار امام است نه مردم، بدین‌وسیله نظر دانشمند سنّی، توسط یک زیدی اهل مبارزه،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که یحیی به آن اشاره دارد، استثنا کردن زنان و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به دلیل ناتوانی جسمی وعدم‌ولایت‌شان و بردگان را هم به دلیل اینکه از طبقه پایین رتبه هستند و ولایت‌شان محرز نیست، استثنا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تأثیر غزالی بر اندیشه‌های زیدی خیلی زیاد است</w:t>
      </w:r>
      <w:r>
        <w:rPr>
          <w:rFonts w:eastAsia="IRNazanin" w:cs="IRNazanin"/>
          <w:color w:val="111111"/>
          <w:sz w:val="28"/>
          <w:szCs w:val="28"/>
          <w:rtl w:val="true"/>
          <w:lang w:bidi="fa-IR"/>
        </w:rPr>
        <w:t>.</w:t>
      </w:r>
    </w:p>
    <w:p>
      <w:pPr>
        <w:pStyle w:val="Heading5"/>
        <w:numPr>
          <w:ilvl w:val="4"/>
          <w:numId w:val="1"/>
        </w:numPr>
        <w:rPr/>
      </w:pPr>
      <w:bookmarkStart w:id="319" w:name="__RefHeading___Toc2419686_653776707"/>
      <w:bookmarkStart w:id="320" w:name="_Toc123"/>
      <w:bookmarkEnd w:id="319"/>
      <w:r>
        <w:rPr/>
        <w:t>7</w:t>
      </w:r>
      <w:r>
        <w:rPr>
          <w:rtl w:val="true"/>
        </w:rPr>
        <w:t xml:space="preserve">. </w:t>
      </w:r>
      <w:r>
        <w:rPr>
          <w:rtl w:val="true"/>
        </w:rPr>
        <w:t>سنّی‌گرایی زیدیه</w:t>
      </w:r>
      <w:bookmarkEnd w:id="3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بخش از بررسی‌های کوک به سنّی‌گرایی زیدیه اختصاص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اندیشه‌های غزالی وارد تفکر زیدی شده و این تأثیر به‌تدریج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شده تا اینکه به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مطلب به‌خوبی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نظریه ادای وظیفه نهی از منکر در 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سلاح در هنگام ضرورت، با این اختلاف که آیا مختص به امام است یا بقیه مردم هم حق دارند؟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تفکر اعتزال با زیدیه تناسب دارد؛ اما بعد از آن یک زاویه جدید پیدا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حرکات اخیر زیدی دو پدیده هم‌عرض در زیدیّۀ یمن دیده می‌شود که با زیدیان قدیم تفاوت دارد؛ یکی کاهش سنت معتزلی و دیگری نفوذ سنت‌گرایی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کاهش عقل‌گرایی، معمولاً اندیشه ظاهرگرایی در میان زیدیه رشد کرده است و نمونه‌هایی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آن برشمرد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چشمگیر و بها دادن به نهی از منکر قلبی درحالی‌که قبلاً عملی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قیام در برابر سلطان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ریشه‌های گرایش زیدیه به اهل سنت به بهران صعدی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روایاتی را درباره نهی از منکر از اهل سنت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یحیی فقه مقارن نوشته و بهران صعدی برای اینکه آن را مستند کند، روایات اهل سنت را روایت می‌کند و در همان‌جا نهی از منکر با دل را مرقوم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مَقبَلی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اهل سنت گرایش بیشتر داشت، در مورد نهی از منکر بحثش را به هفتاد روایت نبوی که فقط در منابع اهل سنت دیده می‌شود، مستند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مَقبَلی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از اذان و اقامه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یکی دیگر از علمای زیدی، امیر صنعانی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گرایش به وهابی‌ها دارد و خیلی به حنبلیه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رساله‌ای دارد به نام تطهیر الاعتقاد عن ادرانالالحاد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انجام در دل را مسلّم گرفته و می‌نویسد که اجماع بر سکوت موجب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مدارای با شرک جایز باشد، پس می‌تواند در دل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اجماع بر ماندن یهود در یمن را با نهی از منکر قلبی، موجه می‌سازد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شاخص سنّی‌گرایی زیدی، 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تفسیر مختصری بر رساله مختصر فقه زیدی ابن‌مرتضی دارد و در بحث نهی از منکر حدیث سه مرحله‌ای را به‌طور جدّی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اینکه ادای در دل کار ذهنی و غیرمرئی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پاسخ هیئت سعودی که چرا از امام حمایت نکرده‌اند، شاگرد شوکانی حجّاف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در دل از امام عادل را، نیز جزو پیروی می‌داند و به همین جهت به اهل سنت خیلی نزدیک می‌شود</w:t>
      </w:r>
      <w:r>
        <w:rPr>
          <w:rFonts w:eastAsia="IRNazanin" w:cs="IRNazanin"/>
          <w:color w:val="111111"/>
          <w:sz w:val="28"/>
          <w:szCs w:val="28"/>
          <w:rtl w:val="true"/>
          <w:lang w:bidi="fa-IR"/>
        </w:rPr>
        <w:t xml:space="preserve">. </w:t>
      </w:r>
      <w:bookmarkStart w:id="321" w:name="pg8666_122439"/>
    </w:p>
    <w:p>
      <w:pPr>
        <w:pStyle w:val="BookText"/>
        <w:rPr/>
      </w:pPr>
      <w:bookmarkEnd w:id="321"/>
      <w:r>
        <w:rPr>
          <w:rFonts w:ascii="IRNazanin" w:hAnsi="IRNazanin" w:eastAsia="IRNazanin"/>
          <w:color w:val="111111"/>
          <w:sz w:val="28"/>
          <w:sz w:val="28"/>
          <w:szCs w:val="28"/>
          <w:rtl w:val="true"/>
          <w:lang w:bidi="fa-IR"/>
        </w:rPr>
        <w:t>شوکانی قیام علیه سلطان ستمگر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این وظیفه را به‌ویژه برای جامعه یمن مهم می‌دانست، ولی از عالمی به نام لطف الباری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در صنعا سربازی شهوت‌ران را از زنی جدا می‌کند، ولی از حکومت کمک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شوکانی به حشویه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ادای در دل با وجود مناسبت آن با اهل تسلیم و رضا، مانع التزام فعّال به نهی از منکر نمی‌شود؛ لذا او معتقد است اگر انجام با دست منجر به جنگ و مقاتله شود، تعمیم می‌یابد و اگر کشته شود شهید است</w:t>
      </w:r>
      <w:r>
        <w:rPr>
          <w:rFonts w:eastAsia="IRNazanin" w:cs="IRNazanin"/>
          <w:color w:val="111111"/>
          <w:sz w:val="28"/>
          <w:szCs w:val="28"/>
          <w:rtl w:val="true"/>
          <w:lang w:bidi="fa-IR"/>
        </w:rPr>
        <w:t>.</w:t>
      </w:r>
    </w:p>
    <w:p>
      <w:pPr>
        <w:pStyle w:val="Heading4"/>
        <w:numPr>
          <w:ilvl w:val="3"/>
          <w:numId w:val="1"/>
        </w:numPr>
        <w:rPr/>
      </w:pPr>
      <w:bookmarkStart w:id="322" w:name="__RefHeading___Toc2419688_653776707"/>
      <w:bookmarkStart w:id="323" w:name="_Toc124"/>
      <w:bookmarkEnd w:id="322"/>
      <w:r>
        <w:rPr>
          <w:rtl w:val="true"/>
        </w:rPr>
        <w:t>ب</w:t>
      </w:r>
      <w:r>
        <w:rPr>
          <w:rtl w:val="true"/>
        </w:rPr>
        <w:t xml:space="preserve">) </w:t>
      </w:r>
      <w:r>
        <w:rPr>
          <w:rtl w:val="true"/>
        </w:rPr>
        <w:t>ارزیابی</w:t>
      </w:r>
      <w:bookmarkEnd w:id="323"/>
    </w:p>
    <w:p>
      <w:pPr>
        <w:pStyle w:val="BookText"/>
        <w:rPr/>
      </w:pPr>
      <w:r>
        <w:rPr>
          <w:rFonts w:ascii="IRNazanin" w:hAnsi="IRNazanin" w:eastAsia="IRNazanin"/>
          <w:color w:val="111111"/>
          <w:sz w:val="28"/>
          <w:sz w:val="28"/>
          <w:szCs w:val="28"/>
          <w:rtl w:val="true"/>
          <w:lang w:bidi="fa-IR"/>
        </w:rPr>
        <w:t>تحولات فکری زیدیه و چرخش آنها از عقل‌گرایی به ظاهرگرایی و از آموزه‌های شیعی و علوی به اندیشه‌های سنّی‌گرایانه که در کتاب مایکل کوک هم منعکس شده است، اوّلاً به‌طور مستقیم با موضوع امر به معروف و نهی از منکر مرتبط نیست و ثانیاً نیازمند تحلیل جدّی است که مناسب بود مایکل کوک به آن پرداخته و به‌طور مفصّل، دقیق و علمی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برخی شخصیت‌های مؤثر در این چرخش، نام‌برده شده است، ولی زوایای پنهان آن و اسنادی احتمالی که دراین‌باره وجود دارد، نیز باید ملاحظه می‌شد؛ به‌ویژه آنکه یمن در جزیرة‌العرب و در همسایگی دولت وهابی سعودی قرار داشته و همواره مورد طمع این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تأثیرات عوامل بیرونی را نمی‌توان از نظر دور داشت و نیازمند پژوهشیعمیق در این رابطه است؛ ولی مع الأسف آقای مایکل کوک در تحلیل این تغییرات و تحولات فکری نگاهی شامل و همه‌جانبه به تمامی عوامل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اگرچه چرخش به سمت ظاهر و سنّی‌گرایی در تراث زیدی یمن در سده‌های اخیر قابل مشاهده است، ولی حرکت‌های اخیر زیدیه علیه دولت سعودی در جنگ یمن در سال‌های اخیر، به‌ویژه از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اقدامات ائتلاف‌های آمریکایی و اسرائیلی و سعودی علیه آنها، و بر روی دست‌گرفتن شعارهای اساسی زیدیه و به جهاد روی‌آوردن و مصائب آن را بر دوش‌کشیدن، آیا نشانگر آن نیست که حرکت بازگشت به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اولیه در آنها شروع شده است؟ آیا این امور، نشان نمی‌دهد که آن چرخشی که مایکل کوک از آن یاد کرده است، چرخشی فرهنگی و فکری و در عمق نبوده است و اثرش پس از مدتی به صفر نزدیک گردیده است؟ </w:t>
      </w:r>
      <w:bookmarkStart w:id="324" w:name="pg8666_122443"/>
    </w:p>
    <w:p>
      <w:pPr>
        <w:pStyle w:val="Heading3"/>
        <w:numPr>
          <w:ilvl w:val="2"/>
          <w:numId w:val="1"/>
        </w:numPr>
        <w:rPr/>
      </w:pPr>
      <w:bookmarkStart w:id="325" w:name="__RefHeading___Toc2419690_653776707"/>
      <w:bookmarkStart w:id="326" w:name="_Toc125"/>
      <w:bookmarkEnd w:id="324"/>
      <w:bookmarkEnd w:id="325"/>
      <w:r>
        <w:rPr>
          <w:rtl w:val="true"/>
        </w:rPr>
        <w:t>گزارش و ارزیابی فصل یازدهم</w:t>
      </w:r>
      <w:r>
        <w:rPr>
          <w:rtl w:val="true"/>
        </w:rPr>
        <w:t xml:space="preserve">: </w:t>
      </w:r>
      <w:r>
        <w:rPr>
          <w:rtl w:val="true"/>
        </w:rPr>
        <w:t>امامیه</w:t>
      </w:r>
      <w:bookmarkEnd w:id="326"/>
    </w:p>
    <w:p>
      <w:pPr>
        <w:pStyle w:val="Heading4"/>
        <w:numPr>
          <w:ilvl w:val="3"/>
          <w:numId w:val="1"/>
        </w:numPr>
        <w:rPr/>
      </w:pPr>
      <w:bookmarkStart w:id="327" w:name="__RefHeading___Toc2419692_653776707"/>
      <w:bookmarkStart w:id="328" w:name="_Toc126"/>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گزارش و ارزیابی 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w:t>
      </w:r>
      <w:r>
        <w:rPr>
          <w:rStyle w:val="FootnoteAnchor"/>
          <w:rtl w:val="true"/>
        </w:rPr>
        <w:footnoteReference w:id="67"/>
      </w:r>
    </w:p>
    <w:p>
      <w:pPr>
        <w:pStyle w:val="Heading4"/>
        <w:numPr>
          <w:ilvl w:val="3"/>
          <w:numId w:val="1"/>
        </w:numPr>
        <w:rPr/>
      </w:pPr>
      <w:bookmarkStart w:id="329" w:name="__RefHeading___Toc2419694_653776707"/>
      <w:bookmarkStart w:id="330" w:name="_Toc127"/>
      <w:bookmarkEnd w:id="329"/>
      <w:r>
        <w:rPr/>
        <w:t>1</w:t>
      </w:r>
      <w:r>
        <w:rPr>
          <w:rtl w:val="true"/>
        </w:rPr>
        <w:t xml:space="preserve">. </w:t>
      </w:r>
      <w:r>
        <w:rPr>
          <w:rtl w:val="true"/>
        </w:rPr>
        <w:t>تراث امامیه</w:t>
      </w:r>
      <w:bookmarkEnd w:id="330"/>
    </w:p>
    <w:p>
      <w:pPr>
        <w:pStyle w:val="Heading5"/>
        <w:numPr>
          <w:ilvl w:val="4"/>
          <w:numId w:val="1"/>
        </w:numPr>
        <w:rPr/>
      </w:pPr>
      <w:bookmarkStart w:id="331" w:name="__RefHeading___Toc2419696_653776707"/>
      <w:bookmarkStart w:id="332" w:name="_Toc128"/>
      <w:bookmarkEnd w:id="331"/>
      <w:r>
        <w:rPr>
          <w:rtl w:val="true"/>
        </w:rPr>
        <w:t>الف</w:t>
      </w:r>
      <w:r>
        <w:rPr>
          <w:rtl w:val="true"/>
        </w:rPr>
        <w:t xml:space="preserve">) </w:t>
      </w:r>
      <w:r>
        <w:rPr>
          <w:rtl w:val="true"/>
        </w:rPr>
        <w:t>گزارش</w:t>
      </w:r>
      <w:bookmarkEnd w:id="332"/>
    </w:p>
    <w:p>
      <w:pPr>
        <w:pStyle w:val="BookText"/>
        <w:rPr/>
      </w:pPr>
      <w:r>
        <w:rPr>
          <w:rFonts w:ascii="IRNazanin" w:hAnsi="IRNazanin" w:eastAsia="IRNazanin"/>
          <w:color w:val="111111"/>
          <w:sz w:val="28"/>
          <w:sz w:val="28"/>
          <w:szCs w:val="28"/>
          <w:rtl w:val="true"/>
          <w:lang w:bidi="fa-IR"/>
        </w:rPr>
        <w:t>به تصریح مایکل کوک از میان سایر فرق و مکتب‌ها، امامیه پربارترین و پیوسته‌ترین اسناد و مدارک را در نهی از منکر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وی اگرچه کتاب‌های اولیه امامیه، به اندازه احادیث اهل سنت و کتب فقهی حنفیان نیست، ولی بسیار بیشتر از آثار معتزله و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امامیه از سده پنجم تاکنون به‌طور متوالی وجود دارد</w:t>
      </w:r>
      <w:r>
        <w:rPr>
          <w:rFonts w:eastAsia="IRNazanin" w:cs="IRNazanin"/>
          <w:color w:val="111111"/>
          <w:sz w:val="28"/>
          <w:szCs w:val="28"/>
          <w:rtl w:val="true"/>
          <w:lang w:bidi="fa-IR"/>
        </w:rPr>
        <w:t>.</w:t>
      </w:r>
    </w:p>
    <w:p>
      <w:pPr>
        <w:pStyle w:val="Heading5"/>
        <w:numPr>
          <w:ilvl w:val="4"/>
          <w:numId w:val="1"/>
        </w:numPr>
        <w:rPr/>
      </w:pPr>
      <w:bookmarkStart w:id="333" w:name="__RefHeading___Toc2419698_653776707"/>
      <w:bookmarkStart w:id="334" w:name="_Toc129"/>
      <w:bookmarkEnd w:id="333"/>
      <w:r>
        <w:rPr>
          <w:rtl w:val="true"/>
        </w:rPr>
        <w:t>ب</w:t>
      </w:r>
      <w:r>
        <w:rPr>
          <w:rtl w:val="true"/>
        </w:rPr>
        <w:t xml:space="preserve">) </w:t>
      </w:r>
      <w:r>
        <w:rPr>
          <w:rtl w:val="true"/>
        </w:rPr>
        <w:t>ارزیابی</w:t>
      </w:r>
      <w:bookmarkEnd w:id="33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فصل پنجم از کتاب امر به معروف جناب مایکل کوک که از ابن‌حنبل سخن می‌رفت، ملاحظه شد که نویسنده به بسیاری از زوایای زندگی خصوصی ابن‌حنبل اشاره کرد مانند منزل او، همسایگان، کوچه‌ای که منزل او در آن واقع شده بود و سایر ارتباطات او در پایتخت، گویا بیان این مطالب را برای آشنایی با نهی از منکر در اندیشه احمد‌بن‌حنبل لازم می‌شمرد</w:t>
      </w:r>
      <w:r>
        <w:rPr>
          <w:rFonts w:eastAsia="IRNazanin" w:cs="IRNazanin"/>
          <w:color w:val="111111"/>
          <w:sz w:val="28"/>
          <w:szCs w:val="28"/>
          <w:rtl w:val="true"/>
          <w:lang w:bidi="fa-IR"/>
        </w:rPr>
        <w:t xml:space="preserve">. </w:t>
      </w:r>
      <w:bookmarkStart w:id="335" w:name="pg8666_122445"/>
    </w:p>
    <w:p>
      <w:pPr>
        <w:pStyle w:val="BookText"/>
        <w:rPr/>
      </w:pPr>
      <w:bookmarkEnd w:id="335"/>
      <w:r>
        <w:rPr>
          <w:rFonts w:ascii="IRNazanin" w:hAnsi="IRNazanin" w:eastAsia="IRNazanin"/>
          <w:color w:val="111111"/>
          <w:sz w:val="28"/>
          <w:sz w:val="28"/>
          <w:szCs w:val="28"/>
          <w:rtl w:val="true"/>
          <w:lang w:bidi="fa-IR"/>
        </w:rPr>
        <w:t xml:space="preserve">این مقدمه برای این بیان شد که تأسف و تعجب است که در فصل مربوط به امامیه یعنی 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انتظار می‌رفت برای آشنایی با عمق اندیشه امامیه در امر به معروف و نهی از منکر زوایایی از سیره و زندگی امامان شیعه که در منابع تاریخی معتبر و به‌طور مستند گزارش شده است، به تصویر کشیده می‌شد تا جایگاه این فریضه در عینیت و واقع حیات امامان شیعه، برای</w:t>
      </w:r>
    </w:p>
    <w:p>
      <w:pPr>
        <w:pStyle w:val="BookText"/>
        <w:rPr/>
      </w:pPr>
      <w:r>
        <w:rPr>
          <w:rFonts w:ascii="IRNazanin" w:hAnsi="IRNazanin" w:eastAsia="IRNazanin"/>
          <w:color w:val="111111"/>
          <w:sz w:val="28"/>
          <w:sz w:val="28"/>
          <w:szCs w:val="28"/>
          <w:rtl w:val="true"/>
          <w:lang w:bidi="fa-IR"/>
        </w:rPr>
        <w:t>خواننده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نه تنها جزئیات، بلکه رفتارها و اقدامات و قیام‌های اساسی امامان شیعه و پیروان آنها در این راستا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و بیانات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 و نامه‌ها، تا قیام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فدکیه آن حضرت در ارتباط با امر به معروف که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مَصْلَحَةً لِلْعَامَّة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تا سیره و سیرت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و بالاتر از همه نهضت عاشورای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قیامی بر اساس امر به معروف و نهی از منکر بود، به‌طور کلی جایشان در کتاب آقای کوک خالی است و شگفتا که حتی روایتی را که مترجم محترم در سخن خویش در همان ابتدای کتاب از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آمر بالمعروف و انهی عن المنکر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متن کتاب توسط نویسنده مطرح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بالا بیان شد، تنها جرقه‌ای بود برای آشنایی با پاره‌ای از نکات قابل تأمّل مربوط به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انشاءالله به آنها اشاره می‌شود</w:t>
      </w:r>
      <w:r>
        <w:rPr>
          <w:rFonts w:eastAsia="IRNazanin" w:cs="IRNazanin"/>
          <w:color w:val="111111"/>
          <w:sz w:val="28"/>
          <w:szCs w:val="28"/>
          <w:rtl w:val="true"/>
          <w:lang w:bidi="fa-IR"/>
        </w:rPr>
        <w:t>.</w:t>
      </w:r>
    </w:p>
    <w:p>
      <w:pPr>
        <w:pStyle w:val="Heading5"/>
        <w:numPr>
          <w:ilvl w:val="4"/>
          <w:numId w:val="1"/>
        </w:numPr>
        <w:rPr/>
      </w:pPr>
      <w:bookmarkStart w:id="336" w:name="__RefHeading___Toc2419700_653776707"/>
      <w:bookmarkStart w:id="337" w:name="_Toc130"/>
      <w:bookmarkEnd w:id="336"/>
      <w:r>
        <w:rPr>
          <w:rtl w:val="true"/>
        </w:rPr>
        <w:t>الف</w:t>
      </w:r>
      <w:r>
        <w:rPr>
          <w:rtl w:val="true"/>
        </w:rPr>
        <w:t xml:space="preserve">) </w:t>
      </w:r>
      <w:r>
        <w:rPr>
          <w:rtl w:val="true"/>
        </w:rPr>
        <w:t>گزارش</w:t>
      </w:r>
      <w:bookmarkEnd w:id="337"/>
    </w:p>
    <w:p>
      <w:pPr>
        <w:pStyle w:val="Heading6"/>
        <w:numPr>
          <w:ilvl w:val="5"/>
          <w:numId w:val="1"/>
        </w:numPr>
        <w:rPr/>
      </w:pPr>
      <w:bookmarkStart w:id="338" w:name="__RefHeading___Toc2419702_653776707"/>
      <w:bookmarkStart w:id="339" w:name="_Toc131"/>
      <w:bookmarkEnd w:id="338"/>
      <w:r>
        <w:rPr>
          <w:rtl w:val="true"/>
        </w:rPr>
        <w:t>کثرت تراث امامیه</w:t>
      </w:r>
      <w:bookmarkEnd w:id="339"/>
    </w:p>
    <w:p>
      <w:pPr>
        <w:pStyle w:val="BookText"/>
        <w:rPr/>
      </w:pPr>
      <w:r>
        <w:rPr>
          <w:rFonts w:ascii="IRNazanin" w:hAnsi="IRNazanin" w:eastAsia="IRNazanin"/>
          <w:color w:val="111111"/>
          <w:sz w:val="28"/>
          <w:sz w:val="28"/>
          <w:szCs w:val="28"/>
          <w:rtl w:val="true"/>
          <w:lang w:bidi="fa-IR"/>
        </w:rPr>
        <w:t>کثرت تراث امامیه مدیون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بابی به‌عنوان نهی از منکر در متون فقهی؛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برخلاف زیدیه، باتوجه‌به کثرتشان در طول تاریخی میراث علمی گسترده و فراوان آفریدند؛ </w:t>
      </w:r>
      <w:bookmarkStart w:id="340" w:name="pg8666_122447"/>
    </w:p>
    <w:p>
      <w:pPr>
        <w:pStyle w:val="BookText"/>
        <w:rPr/>
      </w:pPr>
      <w:bookmarkEnd w:id="3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پیشرفت‌های اخیر در ایران کمک کرد تا میراث امامیه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مایکل کوک مطالب امامیه از جهت محتوا، همان مطالب تکراری سنت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اندک درباره ارتباط با جهان خارج دارد و از سنت فقهی زیدیه بیشتر است، ولی از استفتائات ابن‌حنبل محدودتر است</w:t>
      </w:r>
      <w:r>
        <w:rPr>
          <w:rFonts w:eastAsia="IRNazanin" w:cs="IRNazanin"/>
          <w:color w:val="111111"/>
          <w:sz w:val="28"/>
          <w:szCs w:val="28"/>
          <w:rtl w:val="true"/>
          <w:lang w:bidi="fa-IR"/>
        </w:rPr>
        <w:t>.</w:t>
      </w:r>
    </w:p>
    <w:p>
      <w:pPr>
        <w:pStyle w:val="Heading5"/>
        <w:numPr>
          <w:ilvl w:val="4"/>
          <w:numId w:val="1"/>
        </w:numPr>
        <w:rPr/>
      </w:pPr>
      <w:bookmarkStart w:id="341" w:name="__RefHeading___Toc2419704_653776707"/>
      <w:bookmarkStart w:id="342" w:name="_Toc132"/>
      <w:bookmarkEnd w:id="341"/>
      <w:r>
        <w:rPr>
          <w:rtl w:val="true"/>
        </w:rPr>
        <w:t>ب</w:t>
      </w:r>
      <w:r>
        <w:rPr>
          <w:rtl w:val="true"/>
        </w:rPr>
        <w:t xml:space="preserve">) </w:t>
      </w:r>
      <w:r>
        <w:rPr>
          <w:rtl w:val="true"/>
        </w:rPr>
        <w:t>ارزیابی</w:t>
      </w:r>
      <w:bookmarkEnd w:id="342"/>
    </w:p>
    <w:p>
      <w:pPr>
        <w:pStyle w:val="BookText"/>
        <w:rPr/>
      </w:pPr>
      <w:r>
        <w:rPr>
          <w:rFonts w:ascii="IRNazanin" w:hAnsi="IRNazanin" w:eastAsia="IRNazanin"/>
          <w:color w:val="111111"/>
          <w:sz w:val="28"/>
          <w:sz w:val="28"/>
          <w:szCs w:val="28"/>
          <w:rtl w:val="true"/>
          <w:lang w:bidi="fa-IR"/>
        </w:rPr>
        <w:t>باتوجه‌به جایگاهی که امامت در اندیشه امامیه دارد که با هیچ‌کدام از فرق و مذاهب اسلامی قابل مقایسه نیست و بر اساس آن باید عقاید، احادیث و احکام امامیه را گزارش و مورد استناد قرار داد، لازم بود به این امر اگرچه به‌صورت اشاره، پرداخته شود تا خواننده به تفاوت ائمه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امامان سایر مذاهب مثل ابن‌حنبل، ابوحنیفه، شافعی و مانند آنها از نگاه امامیه واقف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کلید حل بسیاری از تأملات و ابهامات موجود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امامیه، امام خلیفة‌الله، حجت‌الله فی ارضه، بقیةالله، معصوم از خطا و گناه و سهو، دارای علم لدنّی و مراتب بالای ولایت است که برای هدایت و ارشاد جامعه منصوب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ولایقاس بآل محمد احد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شأن منازل و مناقب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آیه همچون آیه تطهیر و آیه ولایت و روایت متواتر و ثابت نزد فریقین همچون حدیث غدیر و منزلت و غیره وارد شده است که از جمله آنها روایت متواتر ثقلین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شیعه چنانچه در کتب کلام و تفسیر و حدیث امامیه از جمله کتاب الحجة کافی کلینی به اثبات رسیده است، هم عِدل قرآن و مفسران آن و آگاه به بطون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مالک، شافعی، ابوحنیفه و احمد‌بن‌حنبل، سایر پیشوایان مذاهب سنی هرچند عالم و مجتهد و در نوع خود نابغه محسوب می‌شوند، ولی آنها با امامان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از خطا و گناه و منصوب الهی می‌باشند به هیچ‌وجه قابل قیاس نیستند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غفلت از این نکته موجب تبعات گسترده‌ای شده است که در نکات بعدی به آن اشارت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ازآنجاکه نویسنده کتاب جنجالی و پر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w:t>
      </w:r>
      <w:bookmarkStart w:id="343" w:name="pg8666_122449"/>
    </w:p>
    <w:p>
      <w:pPr>
        <w:pStyle w:val="BookText"/>
        <w:rPr/>
      </w:pPr>
      <w:bookmarkEnd w:id="343"/>
      <w:r>
        <w:rPr>
          <w:rFonts w:ascii="IRNazanin" w:hAnsi="IRNazanin" w:eastAsia="IRNazanin"/>
          <w:color w:val="111111"/>
          <w:sz w:val="28"/>
          <w:sz w:val="28"/>
          <w:szCs w:val="28"/>
          <w:rtl w:val="true"/>
          <w:lang w:bidi="fa-IR"/>
        </w:rPr>
        <w:t>در فرایند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دانشگاهی و مشاور مهمی برای نویسنده محترم کتاب امر به معروف بوده است،</w:t>
      </w:r>
      <w:r>
        <w:rPr>
          <w:rStyle w:val="FootnoteAnchor"/>
          <w:rtl w:val="true"/>
        </w:rPr>
        <w:footnoteReference w:id="71"/>
      </w:r>
      <w:r>
        <w:rPr>
          <w:rFonts w:ascii="IRNazanin" w:hAnsi="IRNazanin" w:eastAsia="IRNazanin"/>
          <w:color w:val="111111"/>
          <w:sz w:val="28"/>
          <w:sz w:val="28"/>
          <w:szCs w:val="28"/>
          <w:rtl w:val="true"/>
          <w:lang w:bidi="fa-IR"/>
        </w:rPr>
        <w:t>پاره‌ای از افکار و آراء ایشان که جزء آراء شاذّ امامیه محسوب می‌شود، به‌نوعی در نگارش کتاب تأثیر داشته است، به‌گونه‌ای که با تأثر از آن اندیشه‌ها که جایگاه امامت امامانامامیه را طور دیگر و برخلاف نظریۀ مورد قبول امامیه تفسیر می‌کند، بر مباحث کتاب سایه افکنده است</w:t>
      </w:r>
      <w:r>
        <w:rPr>
          <w:rFonts w:eastAsia="IRNazanin" w:cs="IRNazanin"/>
          <w:color w:val="111111"/>
          <w:sz w:val="28"/>
          <w:szCs w:val="28"/>
          <w:rtl w:val="true"/>
          <w:lang w:bidi="fa-IR"/>
        </w:rPr>
        <w:t>.</w:t>
      </w:r>
    </w:p>
    <w:p>
      <w:pPr>
        <w:pStyle w:val="Heading4"/>
        <w:numPr>
          <w:ilvl w:val="3"/>
          <w:numId w:val="1"/>
        </w:numPr>
        <w:rPr/>
      </w:pPr>
      <w:bookmarkStart w:id="344" w:name="__RefHeading___Toc2419706_653776707"/>
      <w:bookmarkStart w:id="345" w:name="_Toc133"/>
      <w:bookmarkEnd w:id="344"/>
      <w:r>
        <w:rPr/>
        <w:t>2</w:t>
      </w:r>
      <w:r>
        <w:rPr>
          <w:rtl w:val="true"/>
        </w:rPr>
        <w:t xml:space="preserve">. </w:t>
      </w:r>
      <w:r>
        <w:rPr>
          <w:rtl w:val="true"/>
        </w:rPr>
        <w:t>دوره‌های مورد بحث امامیه از نظر مایکل کوک</w:t>
      </w:r>
      <w:bookmarkEnd w:id="345"/>
    </w:p>
    <w:p>
      <w:pPr>
        <w:pStyle w:val="Heading5"/>
        <w:numPr>
          <w:ilvl w:val="4"/>
          <w:numId w:val="1"/>
        </w:numPr>
        <w:rPr/>
      </w:pPr>
      <w:bookmarkStart w:id="346" w:name="__RefHeading___Toc2419708_653776707"/>
      <w:bookmarkStart w:id="347" w:name="_Toc134"/>
      <w:bookmarkEnd w:id="346"/>
      <w:r>
        <w:rPr>
          <w:rtl w:val="true"/>
        </w:rPr>
        <w:t>الف</w:t>
      </w:r>
      <w:r>
        <w:rPr>
          <w:rtl w:val="true"/>
        </w:rPr>
        <w:t xml:space="preserve">) </w:t>
      </w:r>
      <w:r>
        <w:rPr>
          <w:rtl w:val="true"/>
        </w:rPr>
        <w:t>گزارش</w:t>
      </w:r>
      <w:bookmarkEnd w:id="347"/>
    </w:p>
    <w:p>
      <w:pPr>
        <w:pStyle w:val="BookText"/>
        <w:rPr/>
      </w:pPr>
      <w:r>
        <w:rPr>
          <w:rFonts w:ascii="IRNazanin" w:hAnsi="IRNazanin" w:eastAsia="IRNazanin"/>
          <w:color w:val="111111"/>
          <w:sz w:val="28"/>
          <w:sz w:val="28"/>
          <w:szCs w:val="28"/>
          <w:rtl w:val="true"/>
          <w:lang w:bidi="fa-IR"/>
        </w:rPr>
        <w:t>مایکل کوک تاریخ اندیشۀ امامیّه را در سه مرحله تنظیم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حضور،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دوره اول امامی را که از سده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غیبت صغری حدوداً بعد از کلینی و شیخ مفید تا زمان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دوره متأخر که از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دوره اول نویسنده بر این باور است که از میان کتب اربعه، مرحوم 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و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در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مورد امر به معروف و نهی از منکر آورده‌اند؛ اما شیخ طوسی در استبصار و شیخ صدوق در من لایحضره الفقیه روایتی درباره امر به معروف و نهی از منکر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ازاین‌روایات حدود نیمی پند و اندرز است و بر نتیجۀ هولناک غفلت از امر به معروف و نهی از منکر تأکید می‌کند که در روایات اهل سنت هم آمده است، لذا نیازی به بحث و بررسی ندارد</w:t>
      </w:r>
      <w:r>
        <w:rPr>
          <w:rFonts w:eastAsia="IRNazanin" w:cs="IRNazanin"/>
          <w:color w:val="111111"/>
          <w:sz w:val="28"/>
          <w:szCs w:val="28"/>
          <w:rtl w:val="true"/>
          <w:lang w:bidi="fa-IR"/>
        </w:rPr>
        <w:t>.</w:t>
      </w:r>
    </w:p>
    <w:p>
      <w:pPr>
        <w:pStyle w:val="Heading5"/>
        <w:numPr>
          <w:ilvl w:val="4"/>
          <w:numId w:val="1"/>
        </w:numPr>
        <w:rPr/>
      </w:pPr>
      <w:bookmarkStart w:id="348" w:name="__RefHeading___Toc2419710_653776707"/>
      <w:bookmarkStart w:id="349" w:name="_Toc135"/>
      <w:bookmarkEnd w:id="348"/>
      <w:r>
        <w:rPr>
          <w:rtl w:val="true"/>
        </w:rPr>
        <w:t>ب</w:t>
      </w:r>
      <w:r>
        <w:rPr>
          <w:rtl w:val="true"/>
        </w:rPr>
        <w:t xml:space="preserve">) </w:t>
      </w:r>
      <w:r>
        <w:rPr>
          <w:rtl w:val="true"/>
        </w:rPr>
        <w:t>ارزیابی</w:t>
      </w:r>
      <w:bookmarkEnd w:id="34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در ارزیابی قبلی گذشت، روایات امامیه با روایات اهل سنت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روایات امامیه از زمان خود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و میراث مکتوب شیعه از نخستین سال‌های هجرت شروع می‌شود، برخلاف میراث مکتوب اهل سنت که </w:t>
      </w:r>
      <w:bookmarkStart w:id="350" w:name="pg8666_122451"/>
    </w:p>
    <w:p>
      <w:pPr>
        <w:pStyle w:val="BookText"/>
        <w:rPr/>
      </w:pPr>
      <w:bookmarkEnd w:id="350"/>
      <w:r>
        <w:rPr>
          <w:rFonts w:ascii="IRNazanin" w:hAnsi="IRNazanin" w:eastAsia="IRNazanin"/>
          <w:color w:val="111111"/>
          <w:sz w:val="28"/>
          <w:sz w:val="28"/>
          <w:szCs w:val="28"/>
          <w:rtl w:val="true"/>
          <w:lang w:bidi="fa-IR"/>
        </w:rPr>
        <w:t>سال‌های سال بر اساس تحریم کتابت حدیث، تدوین نشده بود و از اواسط قرن دوم به بعد نگارش آن آغاز شد؛</w:t>
      </w:r>
      <w:r>
        <w:rPr>
          <w:rStyle w:val="FootnoteAnchor"/>
          <w:rtl w:val="true"/>
        </w:rPr>
        <w:footnoteReference w:id="72"/>
      </w:r>
      <w:r>
        <w:rPr>
          <w:rFonts w:ascii="IRNazanin" w:hAnsi="IRNazanin" w:eastAsia="IRNazanin"/>
          <w:color w:val="111111"/>
          <w:sz w:val="28"/>
          <w:sz w:val="28"/>
          <w:szCs w:val="28"/>
          <w:rtl w:val="true"/>
          <w:lang w:bidi="fa-IR"/>
        </w:rPr>
        <w:t>ازاین‌رو سنت امامیه به دستور خود ائمه نگاشته شده و پالایش گردیده است و اینکه در کتاب کوک اشاره می‌شود که احادیث امامیه از احادیث اهل سنت اخذ شده و متأثر از سنتآنها است و برخی از راویان غیرامامی هستند، این مطلب نیازمند توضیح است که منابع روایی شیعه کاملاً مستقل از اهل سنت می‌باشد و قبل از ایشان تدوین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نقل روایات در امامیه آن نیست که در سلسله سند، فردی غیرامامی نباشد، نقل از غیرامامی که ثقه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حدیث امامیه به‌عنوان منبعی مستقل، از آغاز و با اشراف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ایشان تنظیم و تبویب شده است و اگر در موردی از اهل سنت نقل کنند، آن را به‌طور واضح بیان می‌کند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مطلب دیگر در این ارتباط آن است که از جهت کثرت و تنوع مطالب مربوط به امر به معروف در تراث حدیثی امامیه، ما حجم بسیاری از احادیث را داریم که پیش از این هم در ارزیابی فصل سوم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کتاب وسائل الشیعه ده‌ها باب دراین‌باره موجود است و لذا اکتفا به کتب اربعه و تعدادی محدود از مصادر حدیثی شیعه در کتاب مایکل بسیار تنگ‌نظرانه بوده و جای تأمل جدّی دارد</w:t>
      </w:r>
      <w:r>
        <w:rPr>
          <w:rFonts w:eastAsia="IRNazanin" w:cs="IRNazanin"/>
          <w:color w:val="111111"/>
          <w:sz w:val="28"/>
          <w:szCs w:val="28"/>
          <w:rtl w:val="true"/>
          <w:lang w:bidi="fa-IR"/>
        </w:rPr>
        <w:t>.</w:t>
      </w:r>
    </w:p>
    <w:p>
      <w:pPr>
        <w:pStyle w:val="Heading5"/>
        <w:numPr>
          <w:ilvl w:val="4"/>
          <w:numId w:val="1"/>
        </w:numPr>
        <w:rPr/>
      </w:pPr>
      <w:bookmarkStart w:id="351" w:name="__RefHeading___Toc2419712_653776707"/>
      <w:bookmarkStart w:id="352" w:name="_Toc136"/>
      <w:bookmarkEnd w:id="351"/>
      <w:r>
        <w:rPr>
          <w:rtl w:val="true"/>
        </w:rPr>
        <w:t>الف</w:t>
      </w:r>
      <w:r>
        <w:rPr>
          <w:rtl w:val="true"/>
        </w:rPr>
        <w:t xml:space="preserve">) </w:t>
      </w:r>
      <w:r>
        <w:rPr>
          <w:rtl w:val="true"/>
        </w:rPr>
        <w:t>گزارش</w:t>
      </w:r>
      <w:bookmarkEnd w:id="352"/>
    </w:p>
    <w:p>
      <w:pPr>
        <w:pStyle w:val="Heading6"/>
        <w:numPr>
          <w:ilvl w:val="5"/>
          <w:numId w:val="1"/>
        </w:numPr>
        <w:rPr/>
      </w:pPr>
      <w:bookmarkStart w:id="353" w:name="__RefHeading___Toc2419714_653776707"/>
      <w:bookmarkStart w:id="354" w:name="_Toc137"/>
      <w:bookmarkEnd w:id="353"/>
      <w:r>
        <w:rPr>
          <w:rtl w:val="true"/>
        </w:rPr>
        <w:t>تحلیل روایات امر به معروف در کافی و تهذیب</w:t>
      </w:r>
      <w:bookmarkEnd w:id="354"/>
    </w:p>
    <w:p>
      <w:pPr>
        <w:pStyle w:val="BookText"/>
        <w:rPr/>
      </w:pPr>
      <w:r>
        <w:rPr>
          <w:rFonts w:ascii="IRNazanin" w:hAnsi="IRNazanin" w:eastAsia="IRNazanin"/>
          <w:color w:val="111111"/>
          <w:sz w:val="28"/>
          <w:sz w:val="28"/>
          <w:szCs w:val="28"/>
          <w:rtl w:val="true"/>
          <w:lang w:bidi="fa-IR"/>
        </w:rPr>
        <w:t>به عقیدۀ کوک ده روایت از این روایات بین اهل سنت و شیعه مشترک است و بیشتر این روایات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راویان صد در صد امامی نقل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کوک معتقد است به‌سادگی می‌توان از لحن احادیث به تسلیم و رضا پی ببریم که زیبنده سرشت امامیه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امر به </w:t>
      </w:r>
      <w:bookmarkStart w:id="355" w:name="pg8666_122453"/>
    </w:p>
    <w:p>
      <w:pPr>
        <w:pStyle w:val="BookText"/>
        <w:rPr/>
      </w:pPr>
      <w:bookmarkEnd w:id="355"/>
      <w:r>
        <w:rPr>
          <w:rFonts w:ascii="IRNazanin" w:hAnsi="IRNazanin" w:eastAsia="IRNazanin"/>
          <w:color w:val="111111"/>
          <w:sz w:val="28"/>
          <w:sz w:val="28"/>
          <w:szCs w:val="28"/>
          <w:rtl w:val="true"/>
          <w:lang w:bidi="fa-IR"/>
        </w:rPr>
        <w:t>معروف مربوط به پند مؤمن و تعلیم جاهل است، نه برای مقابله با فرد مسلح به شلاق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 از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درباره قیام بر ضد حاکم ستمگر پرسیده می‌شود و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صورتی است که حاکم نصیحت را بپذیرد</w:t>
      </w:r>
      <w:r>
        <w:rPr>
          <w:rFonts w:eastAsia="IRNazanin" w:cs="IRNazanin"/>
          <w:color w:val="111111"/>
          <w:sz w:val="28"/>
          <w:szCs w:val="28"/>
          <w:rtl w:val="true"/>
          <w:lang w:bidi="fa-IR"/>
        </w:rPr>
        <w:t>.</w:t>
      </w:r>
    </w:p>
    <w:p>
      <w:pPr>
        <w:pStyle w:val="Heading5"/>
        <w:numPr>
          <w:ilvl w:val="4"/>
          <w:numId w:val="1"/>
        </w:numPr>
        <w:rPr/>
      </w:pPr>
      <w:bookmarkStart w:id="356" w:name="__RefHeading___Toc2419716_653776707"/>
      <w:bookmarkStart w:id="357" w:name="_Toc138"/>
      <w:bookmarkEnd w:id="356"/>
      <w:r>
        <w:rPr>
          <w:rtl w:val="true"/>
        </w:rPr>
        <w:t>ب</w:t>
      </w:r>
      <w:r>
        <w:rPr>
          <w:rtl w:val="true"/>
        </w:rPr>
        <w:t xml:space="preserve">) </w:t>
      </w:r>
      <w:r>
        <w:rPr>
          <w:rtl w:val="true"/>
        </w:rPr>
        <w:t>ارزیابی</w:t>
      </w:r>
      <w:bookmarkEnd w:id="357"/>
    </w:p>
    <w:p>
      <w:pPr>
        <w:pStyle w:val="BookText"/>
        <w:rPr/>
      </w:pPr>
      <w:r>
        <w:rPr>
          <w:rFonts w:ascii="IRNazanin" w:hAnsi="IRNazanin" w:eastAsia="IRNazanin"/>
          <w:color w:val="111111"/>
          <w:sz w:val="28"/>
          <w:sz w:val="28"/>
          <w:szCs w:val="28"/>
          <w:rtl w:val="true"/>
          <w:lang w:bidi="fa-IR"/>
        </w:rPr>
        <w:t>سخن مایکل کوک اشاره به این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مسعدة و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عن الحدیث الذی جاء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الجهاد کلمة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أن یأمره بعد معرفته وهو مع ذلک یقبل منه والّا فلا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درحالی‌که برداشت مایکل کوک از روایت یا ترجمه آن نادرست است، سؤال از قیام ضد حاکم ستمگر نیست، پرسش از معنای این جمله است که برترین جهاد سخن عدل نزد امام جور است و در پاسخ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بعد از معرفتش قبول کند، ولی نویسنده تنها یک شرط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نمونه‌ای است که نشان می‌دهد نمی‌توان به نقل‌های نویسنده یا مترجم کتاب امر به معروف و نهی از منکر در اندیشه اسلامی اعتماد کامل داشت و به قول اصولیان شیعه برای آدمی علم اجمالی پدید می‌آید که پاره‌ای نقل قول‌های کتاب قابل اعتماد نیست</w:t>
      </w:r>
      <w:r>
        <w:rPr>
          <w:rFonts w:eastAsia="IRNazanin" w:cs="IRNazanin"/>
          <w:color w:val="111111"/>
          <w:sz w:val="28"/>
          <w:szCs w:val="28"/>
          <w:rtl w:val="true"/>
          <w:lang w:bidi="fa-IR"/>
        </w:rPr>
        <w:t>.</w:t>
      </w:r>
    </w:p>
    <w:p>
      <w:pPr>
        <w:pStyle w:val="Heading5"/>
        <w:numPr>
          <w:ilvl w:val="4"/>
          <w:numId w:val="1"/>
        </w:numPr>
        <w:rPr/>
      </w:pPr>
      <w:bookmarkStart w:id="358" w:name="__RefHeading___Toc2419718_653776707"/>
      <w:bookmarkStart w:id="359" w:name="_Toc139"/>
      <w:bookmarkEnd w:id="358"/>
      <w:r>
        <w:rPr>
          <w:rtl w:val="true"/>
        </w:rPr>
        <w:t>الف</w:t>
      </w:r>
      <w:r>
        <w:rPr>
          <w:rtl w:val="true"/>
        </w:rPr>
        <w:t xml:space="preserve">) </w:t>
      </w:r>
      <w:r>
        <w:rPr>
          <w:rtl w:val="true"/>
        </w:rPr>
        <w:t>گزارش</w:t>
      </w:r>
      <w:bookmarkEnd w:id="3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روایتی شایسته نیست مؤمن خود را خوار کند و در روایتی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خداوند بداند مؤمن، عملی را در دل انکار می‌کند، مایکل کوک حدیث سه مرحله‌ای را بدون ذکر سلسله سند از زبان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به‌صورت منظم به سه مرحله دل، دست و زبان اشاره دارد و حدیث دیگری که حداقل انکار را نشان دادن چهرۀ عبوس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حدیثی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مضمون نسبتاً جدی روایت می‌کند، این روایت در مذمت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تارک نهی از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مضمون آن را با </w:t>
      </w:r>
      <w:bookmarkStart w:id="360" w:name="pg8666_122455"/>
    </w:p>
    <w:p>
      <w:pPr>
        <w:pStyle w:val="BookText"/>
        <w:rPr/>
      </w:pPr>
      <w:bookmarkEnd w:id="360"/>
      <w:r>
        <w:rPr>
          <w:rFonts w:ascii="IRNazanin" w:hAnsi="IRNazanin" w:eastAsia="IRNazanin"/>
          <w:color w:val="111111"/>
          <w:sz w:val="28"/>
          <w:sz w:val="28"/>
          <w:szCs w:val="28"/>
          <w:rtl w:val="true"/>
          <w:lang w:bidi="fa-IR"/>
        </w:rPr>
        <w:t>بقیه احادیثی که از شیعه با مضمون تسلیم و رضا روایت شده ناسازگار دانسته و لذا احتمال می‌دهد که این روایت از طریق غیرامامی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نویسنده چون به لحاظ سندی اشکال داشته احتمال می‌رود این‌گونه روایت از اهل سنت وارد شیعه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حدیث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حضرت درباره مسئله عقیدتی سؤال می‌شود که آیا امر به معروف بر همه واجب است یا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برهمه واجب نیست، بلکه بر انسان قوی و مطاع و عالم به امر به معروف و نهی از منکر واجب است نه بر ضعیف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رویارویی با سلطان جائر اگر گرفتار بلیّه شدید، پاداش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رفتار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که وقتی از میان گروهی متخاصم عبور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غیرامامی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دایرۀ منابع روایی امامیه را گسترش هم دهیم با مطالب زیادی روبه‌رو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سه مرحله‌ای و واژه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وارد حدیث امامیه شده است و کمتر مطلبی وجود دارد که مربوط به خود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مطالب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61" w:name="__RefHeading___Toc2419720_653776707"/>
      <w:bookmarkStart w:id="362" w:name="_Toc140"/>
      <w:bookmarkEnd w:id="361"/>
      <w:r>
        <w:rPr>
          <w:rtl w:val="true"/>
        </w:rPr>
        <w:t>ب</w:t>
      </w:r>
      <w:r>
        <w:rPr>
          <w:rtl w:val="true"/>
        </w:rPr>
        <w:t xml:space="preserve">) </w:t>
      </w:r>
      <w:r>
        <w:rPr>
          <w:rtl w:val="true"/>
        </w:rPr>
        <w:t>ارزیابی</w:t>
      </w:r>
      <w:bookmarkEnd w:id="362"/>
    </w:p>
    <w:p>
      <w:pPr>
        <w:pStyle w:val="BookText"/>
        <w:rPr/>
      </w:pPr>
      <w:r>
        <w:rPr>
          <w:rFonts w:ascii="IRNazanin" w:hAnsi="IRNazanin" w:eastAsia="IRNazanin"/>
          <w:color w:val="111111"/>
          <w:sz w:val="28"/>
          <w:sz w:val="28"/>
          <w:szCs w:val="28"/>
          <w:rtl w:val="true"/>
          <w:lang w:bidi="fa-IR"/>
        </w:rPr>
        <w:t>متأسفانه فرصت مراجعه به تک‌تک این احادیث که مایکل کوک مضمون آنها را گزارش کرده است، برای این قلم فراهم نبود تا بتواند به‌طور علمی نسبت به گزارش مایکل کوک اظهار نظر دقیق داشته باشد</w:t>
      </w:r>
      <w:r>
        <w:rPr>
          <w:rFonts w:eastAsia="IRNazanin" w:cs="IRNazanin"/>
          <w:color w:val="111111"/>
          <w:sz w:val="28"/>
          <w:szCs w:val="28"/>
          <w:rtl w:val="true"/>
          <w:lang w:bidi="fa-IR"/>
        </w:rPr>
        <w:t>.</w:t>
      </w:r>
    </w:p>
    <w:p>
      <w:pPr>
        <w:pStyle w:val="Heading5"/>
        <w:numPr>
          <w:ilvl w:val="4"/>
          <w:numId w:val="1"/>
        </w:numPr>
        <w:rPr/>
      </w:pPr>
      <w:bookmarkStart w:id="363" w:name="__RefHeading___Toc2419722_653776707"/>
      <w:bookmarkStart w:id="364" w:name="_Toc141"/>
      <w:bookmarkEnd w:id="363"/>
      <w:r>
        <w:rPr>
          <w:rtl w:val="true"/>
        </w:rPr>
        <w:t>الف</w:t>
      </w:r>
      <w:r>
        <w:rPr>
          <w:rtl w:val="true"/>
        </w:rPr>
        <w:t xml:space="preserve">) </w:t>
      </w:r>
      <w:r>
        <w:rPr>
          <w:rtl w:val="true"/>
        </w:rPr>
        <w:t>گزارش</w:t>
      </w:r>
      <w:bookmarkEnd w:id="364"/>
    </w:p>
    <w:p>
      <w:pPr>
        <w:pStyle w:val="Heading6"/>
        <w:numPr>
          <w:ilvl w:val="5"/>
          <w:numId w:val="1"/>
        </w:numPr>
        <w:rPr/>
      </w:pPr>
      <w:bookmarkStart w:id="365" w:name="__RefHeading___Toc2419724_653776707"/>
      <w:bookmarkStart w:id="366" w:name="_Toc142"/>
      <w:bookmarkEnd w:id="365"/>
      <w:r>
        <w:rPr>
          <w:rtl w:val="true"/>
        </w:rPr>
        <w:t>سایر احادیث</w:t>
      </w:r>
      <w:bookmarkEnd w:id="36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گفته شده که این وظیفه درصورتی‌که ممکن باشد و بیمی بر جان شخص نباشد، واجب است و در جایی دیگر آن حضرت سرزنش خطاکاران را </w:t>
      </w:r>
      <w:bookmarkStart w:id="367" w:name="pg8666_122458"/>
    </w:p>
    <w:p>
      <w:pPr>
        <w:pStyle w:val="BookText"/>
        <w:rPr/>
      </w:pPr>
      <w:bookmarkEnd w:id="367"/>
      <w:r>
        <w:rPr>
          <w:rFonts w:ascii="IRNazanin" w:hAnsi="IRNazanin" w:eastAsia="IRNazanin"/>
          <w:color w:val="111111"/>
          <w:sz w:val="28"/>
          <w:sz w:val="28"/>
          <w:szCs w:val="28"/>
          <w:rtl w:val="true"/>
          <w:lang w:bidi="fa-IR"/>
        </w:rPr>
        <w:t>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 تضادّ با نگرش منفی روایات گذشته، نگرش مثبت به مخالفت با سلطان ستمگر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که او امر به معروف و نهی از منکر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 دیگر است که پیوند نهی از منکر را با امامت بیان می‌دارد؛ یکی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پایان نمی‌رسد مگر اینکه شخصی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تمام منکرات را برمی‌دارد و برضد منکرات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زبان پیامبر در روز غدیر خم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جز در پرتو حضور امام معصوم انجام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مایکل کوک در مورد تفسیر قرآن کریم، امامیه در یک تفسیر فرقه‌گرایانه از نهی از منکر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ائمه تفسیر شده و این تفسیر در کتاب علی‌بن‌ابراهیم قمی و تفسیر عیاشی آمده است و در برخی موارد از تفسیر فراتر رفته و مفسران به تصحیح خود قرآن پرداخته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خیر أمة صحیح است؛ البته در تفسیر شیخ طوسی این تفسیر امّت به ائمه نیامده که شاید دلیل بر فقدان اعتبار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مورد نهی از منکر در کتب قدیم امامیه کمبودی وجود ندارد؛ با‌این‌حال نهی از منکر برخلاف تقیه جایگاهی استوار و مشخص در اندیشه امامیه ندارد و در بیشتر جاها که سخن از نهی از منکر به میان می‌آید، شبیه پند و اندرز است؛ ولی راجع به تقیّه مطلب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بازگویی از اهل سنت یا برگرفته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تفسیرهای قرآنی قدیم نهی از منکر به‌گونه‌ای به امامت پیوند می‌خورد که قابل مقایسه با اهل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جای این پیوند می‌توان حالت تسلیم و رضای امامیه را در این احادیث مشاهده کرد</w:t>
      </w:r>
      <w:r>
        <w:rPr>
          <w:rFonts w:eastAsia="IRNazanin" w:cs="IRNazanin"/>
          <w:color w:val="111111"/>
          <w:sz w:val="28"/>
          <w:szCs w:val="28"/>
          <w:rtl w:val="true"/>
          <w:lang w:bidi="fa-IR"/>
        </w:rPr>
        <w:t>.</w:t>
      </w:r>
    </w:p>
    <w:p>
      <w:pPr>
        <w:pStyle w:val="Heading5"/>
        <w:numPr>
          <w:ilvl w:val="4"/>
          <w:numId w:val="1"/>
        </w:numPr>
        <w:rPr/>
      </w:pPr>
      <w:bookmarkStart w:id="368" w:name="__RefHeading___Toc2419726_653776707"/>
      <w:bookmarkStart w:id="369" w:name="_Toc143"/>
      <w:bookmarkEnd w:id="368"/>
      <w:r>
        <w:rPr>
          <w:rtl w:val="true"/>
        </w:rPr>
        <w:t>ب</w:t>
      </w:r>
      <w:r>
        <w:rPr>
          <w:rtl w:val="true"/>
        </w:rPr>
        <w:t xml:space="preserve">) </w:t>
      </w:r>
      <w:r>
        <w:rPr>
          <w:rtl w:val="true"/>
        </w:rPr>
        <w:t>ارزیابی</w:t>
      </w:r>
      <w:bookmarkEnd w:id="3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اگرچه فرصت پرداختن به تک‌تک روایات مورد ادّعای مایکل کوک برای اعتبارسنجی گزارش او فراهم نیست، ولی این را نباید فراموش کرد که ادله تقیّه و روایات و اخبار آن اگرچه گسترده است، لکن هرگز از جهت کمیت و کیفیت و جایگاه به فریضه امر به معروف </w:t>
      </w:r>
      <w:bookmarkStart w:id="370" w:name="pg8666_122460"/>
    </w:p>
    <w:p>
      <w:pPr>
        <w:pStyle w:val="BookText"/>
        <w:rPr/>
      </w:pPr>
      <w:bookmarkEnd w:id="370"/>
      <w:r>
        <w:rPr>
          <w:rFonts w:ascii="IRNazanin" w:hAnsi="IRNazanin" w:eastAsia="IRNazanin"/>
          <w:color w:val="111111"/>
          <w:sz w:val="28"/>
          <w:sz w:val="28"/>
          <w:szCs w:val="28"/>
          <w:rtl w:val="true"/>
          <w:lang w:bidi="fa-IR"/>
        </w:rPr>
        <w:t>و نهی از منکر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یک قاعدۀ فقهی است، ولی امر به معروف و نهی از منکر از ارکان و فروع دین است که ضمانت اجرایی تمامی اسلام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سخن غیرعلمی که بسیاری از روایات امامیه بازگویی از اهل سنت است، یک سخنی کاملاً ناصواب و غیرمبرهن و بدون دلیل است، درحالی‌که کمترین آشنایی با تراث علمی امامیه نشان می‌دهد آنان نسبت به استقلال تراث خود، همواره حریص بوده‌اند و نه تنهانیازی به دست‌درازی به تراث دیگران نداشته، بلکه تراث دیگران را بدون تأیید ائمه فاقد اعتبار و حجیت می‌دانسته‌اند</w:t>
      </w:r>
      <w:r>
        <w:rPr>
          <w:rFonts w:eastAsia="IRNazanin" w:cs="IRNazanin"/>
          <w:color w:val="111111"/>
          <w:sz w:val="28"/>
          <w:szCs w:val="28"/>
          <w:rtl w:val="true"/>
          <w:lang w:bidi="fa-IR"/>
        </w:rPr>
        <w:t>.</w:t>
      </w:r>
    </w:p>
    <w:p>
      <w:pPr>
        <w:pStyle w:val="Heading4"/>
        <w:numPr>
          <w:ilvl w:val="3"/>
          <w:numId w:val="1"/>
        </w:numPr>
        <w:rPr/>
      </w:pPr>
      <w:bookmarkStart w:id="371" w:name="__RefHeading___Toc2419728_653776707"/>
      <w:bookmarkStart w:id="372" w:name="_Toc144"/>
      <w:bookmarkEnd w:id="371"/>
      <w:r>
        <w:rPr/>
        <w:t>3</w:t>
      </w:r>
      <w:r>
        <w:rPr>
          <w:rtl w:val="true"/>
        </w:rPr>
        <w:t xml:space="preserve">. </w:t>
      </w:r>
      <w:r>
        <w:rPr>
          <w:rtl w:val="true"/>
        </w:rPr>
        <w:t>دانشمندان متقدم امامی</w:t>
      </w:r>
      <w:bookmarkEnd w:id="372"/>
    </w:p>
    <w:p>
      <w:pPr>
        <w:pStyle w:val="Heading5"/>
        <w:numPr>
          <w:ilvl w:val="4"/>
          <w:numId w:val="1"/>
        </w:numPr>
        <w:rPr/>
      </w:pPr>
      <w:bookmarkStart w:id="373" w:name="__RefHeading___Toc2419730_653776707"/>
      <w:bookmarkStart w:id="374" w:name="_Toc145"/>
      <w:bookmarkEnd w:id="373"/>
      <w:r>
        <w:rPr>
          <w:rtl w:val="true"/>
        </w:rPr>
        <w:t>الف</w:t>
      </w:r>
      <w:r>
        <w:rPr>
          <w:rtl w:val="true"/>
        </w:rPr>
        <w:t xml:space="preserve">) </w:t>
      </w:r>
      <w:r>
        <w:rPr>
          <w:rtl w:val="true"/>
        </w:rPr>
        <w:t>گزارش</w:t>
      </w:r>
      <w:bookmarkEnd w:id="374"/>
    </w:p>
    <w:p>
      <w:pPr>
        <w:pStyle w:val="BookText"/>
        <w:rPr/>
      </w:pPr>
      <w:r>
        <w:rPr>
          <w:rFonts w:ascii="IRNazanin" w:hAnsi="IRNazanin" w:eastAsia="IRNazanin"/>
          <w:color w:val="111111"/>
          <w:sz w:val="28"/>
          <w:sz w:val="28"/>
          <w:szCs w:val="28"/>
          <w:rtl w:val="true"/>
          <w:lang w:bidi="fa-IR"/>
        </w:rPr>
        <w:t xml:space="preserve">در این بخش نظریه دانشمندان متقدم امامیّه از زمان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قرن هشتم می‌رسد مورد بحث قرار گرفته و نظریه امامیه در شش عنوان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سه مرحله‌ای، در دو عنوان با سنت معتزله هماهنگ نیست و در سه مورد با زیدیّه هماهنگ است و در یک مورد نیز در شرایط با هم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نظریه سه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محقق در شرایع سه مرحله از دل بعد زبان و بعد عمل حکایت شده است و علامه نیز به پیروی از ایشان به این ترتیب پایبند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مانند مفید، سلار، ابن‌براج، شیخ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نزولی معتقدند که اول با دست و زبان انجام دهد و اگر قادر نبود به مرحله با دل می‌رسد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کوک در فرازی دیگر از سخن خود معتقد است، شیخ طوسی روی برگرداندن از شخص گنهکار را مرحله عمل می‌داند که ترش کردن و اعمال شبیه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سید مرتضی و شیخ مفید مرحله دل را اصلاً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کوک اولین کسی که سه مرحله‌بودن را مطرح نموده، شیخ صدوق است؛ ولی در آرای سید مرتضی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سرچشمۀ آن حدیث اهل سنت باشد و امامیه در فاصلۀ پس از تأسیس تا صدوق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اظهار نظر غیردقیق معتقد است، به علت </w:t>
      </w:r>
      <w:bookmarkStart w:id="375" w:name="pg8666_122462"/>
    </w:p>
    <w:p>
      <w:pPr>
        <w:pStyle w:val="BookText"/>
        <w:rPr/>
      </w:pPr>
      <w:bookmarkEnd w:id="375"/>
      <w:r>
        <w:rPr>
          <w:rFonts w:ascii="IRNazanin" w:hAnsi="IRNazanin" w:eastAsia="IRNazanin"/>
          <w:color w:val="111111"/>
          <w:sz w:val="28"/>
          <w:sz w:val="28"/>
          <w:szCs w:val="28"/>
          <w:rtl w:val="true"/>
          <w:lang w:bidi="fa-IR"/>
        </w:rPr>
        <w:t>سادگی طرح و نبودن ضابطه‌ای قدرتمند در حدیث امامیه، حکایت از این واقعیت دارد که امامیه نتوانستند همانند زیدیه به‌طور کامل خود را با آرای معتزله هماهنگ سازند</w:t>
      </w:r>
      <w:r>
        <w:rPr>
          <w:rFonts w:eastAsia="IRNazanin" w:cs="IRNazanin"/>
          <w:color w:val="111111"/>
          <w:sz w:val="28"/>
          <w:szCs w:val="28"/>
          <w:rtl w:val="true"/>
          <w:lang w:bidi="fa-IR"/>
        </w:rPr>
        <w:t>.</w:t>
      </w:r>
    </w:p>
    <w:p>
      <w:pPr>
        <w:pStyle w:val="Heading5"/>
        <w:numPr>
          <w:ilvl w:val="4"/>
          <w:numId w:val="1"/>
        </w:numPr>
        <w:rPr/>
      </w:pPr>
      <w:bookmarkStart w:id="376" w:name="__RefHeading___Toc2419732_653776707"/>
      <w:bookmarkStart w:id="377" w:name="_Toc146"/>
      <w:bookmarkEnd w:id="376"/>
      <w:r>
        <w:rPr>
          <w:rtl w:val="true"/>
        </w:rPr>
        <w:t>ب</w:t>
      </w:r>
      <w:r>
        <w:rPr>
          <w:rtl w:val="true"/>
        </w:rPr>
        <w:t xml:space="preserve">) </w:t>
      </w:r>
      <w:r>
        <w:rPr>
          <w:rtl w:val="true"/>
        </w:rPr>
        <w:t>ارزیابی</w:t>
      </w:r>
      <w:bookmarkEnd w:id="377"/>
    </w:p>
    <w:p>
      <w:pPr>
        <w:pStyle w:val="BookText"/>
        <w:rPr/>
      </w:pPr>
      <w:r>
        <w:rPr>
          <w:rFonts w:ascii="IRNazanin" w:hAnsi="IRNazanin" w:eastAsia="IRNazanin"/>
          <w:color w:val="111111"/>
          <w:sz w:val="28"/>
          <w:sz w:val="28"/>
          <w:szCs w:val="28"/>
          <w:rtl w:val="true"/>
          <w:lang w:bidi="fa-IR"/>
        </w:rPr>
        <w:t>درحالی‌که مایکل کوک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امانت‌داری در نقل منابع است، ولی به تحلیل‌ها و اظهار نظرهایی شگفت‌آور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اولیه و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مکتوب گردیده است، اما مایکل کوک به ناگاه پذیرش روایت را به عصرهای بعدینسبت می‌دهد و شگفت‌آورتر آنکه دلیل پذیرش آن را یکی سادگی طرح سه مرحله‌ای و دیگری نبودن ضابطه در مذهب امامیه معرفی می‌کند و در اظهار نظری شگفت‌آورتر از باب خطا اندر خطا،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نتوانسته است خود را با آرای معتزله هماهنگ سازد؛ درحالی‌که اولاً امامیه خود را از اندیشه‌های معتزله مبرّا دانسته‌اند و ثانیاً مبانی معارف و اندیشه‌های امامیه متصل به علوم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تحلیل‌های ظاهرگرایانه و غیر علمی</w:t>
      </w:r>
      <w:r>
        <w:rPr>
          <w:rFonts w:eastAsia="IRNazanin" w:cs="IRNazanin"/>
          <w:color w:val="111111"/>
          <w:sz w:val="28"/>
          <w:szCs w:val="28"/>
          <w:rtl w:val="true"/>
          <w:lang w:bidi="fa-IR"/>
        </w:rPr>
        <w:t>.</w:t>
      </w:r>
    </w:p>
    <w:p>
      <w:pPr>
        <w:pStyle w:val="Heading4"/>
        <w:numPr>
          <w:ilvl w:val="3"/>
          <w:numId w:val="1"/>
        </w:numPr>
        <w:rPr/>
      </w:pPr>
      <w:bookmarkStart w:id="378" w:name="__RefHeading___Toc2419734_653776707"/>
      <w:bookmarkStart w:id="379" w:name="_Toc147"/>
      <w:bookmarkEnd w:id="378"/>
      <w:r>
        <w:rPr/>
        <w:t>4</w:t>
      </w:r>
      <w:r>
        <w:rPr>
          <w:rtl w:val="true"/>
        </w:rPr>
        <w:t xml:space="preserve">. </w:t>
      </w:r>
      <w:r>
        <w:rPr>
          <w:rtl w:val="true"/>
        </w:rPr>
        <w:t>اذن امام</w:t>
      </w:r>
      <w:bookmarkEnd w:id="379"/>
    </w:p>
    <w:p>
      <w:pPr>
        <w:pStyle w:val="Heading5"/>
        <w:numPr>
          <w:ilvl w:val="4"/>
          <w:numId w:val="1"/>
        </w:numPr>
        <w:rPr/>
      </w:pPr>
      <w:bookmarkStart w:id="380" w:name="__RefHeading___Toc2419736_653776707"/>
      <w:bookmarkStart w:id="381" w:name="_Toc148"/>
      <w:bookmarkEnd w:id="380"/>
      <w:r>
        <w:rPr>
          <w:rtl w:val="true"/>
        </w:rPr>
        <w:t>الف</w:t>
      </w:r>
      <w:r>
        <w:rPr>
          <w:rtl w:val="true"/>
        </w:rPr>
        <w:t xml:space="preserve">) </w:t>
      </w:r>
      <w:r>
        <w:rPr>
          <w:rtl w:val="true"/>
        </w:rPr>
        <w:t>گزارش</w:t>
      </w:r>
      <w:bookmarkEnd w:id="381"/>
    </w:p>
    <w:p>
      <w:pPr>
        <w:pStyle w:val="BookText"/>
        <w:rPr/>
      </w:pPr>
      <w:r>
        <w:rPr>
          <w:rFonts w:ascii="IRNazanin" w:hAnsi="IRNazanin" w:eastAsia="IRNazanin"/>
          <w:color w:val="111111"/>
          <w:sz w:val="28"/>
          <w:sz w:val="28"/>
          <w:szCs w:val="28"/>
          <w:rtl w:val="true"/>
          <w:lang w:bidi="fa-IR"/>
        </w:rPr>
        <w:t>یکی از عناوین مطرح شده در کتاب کوک در مورد امر به معروف و نهی از منکر امامیه،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نظریۀ سه مرحله‌ای گذشت، در مرحله سوم یا همان مرحله یدی که قتل و جرح را در پی دارد، نیاز به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البته در اذن امام نظریۀ یکسانی وجود ندارد؛ برخی همه انواع خشونت را گفته‌اند و برخی اذن نائب امام را هم کافی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مایکل، سید مرتضی و ابن‌ادریس و علامه اذن امام را لازم ندانسته و برخی اذن امام را اصلاً ذکر نکرده‌اند، مانند ابی‌صلاح حلبی و ابن‌بابویه و ابن‌ابی‌المجد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نهی از منکر، شیعه اذن امام را مطرح کرده است؟ علت این است که امام در پرده غیبت به سر می‌برد و بعد از نواب خاص، نائبی هم برای خود در این کار تعیین نکرده است؛ </w:t>
      </w:r>
      <w:bookmarkStart w:id="382" w:name="pg8666_122464"/>
    </w:p>
    <w:p>
      <w:pPr>
        <w:pStyle w:val="BookText"/>
        <w:rPr/>
      </w:pPr>
      <w:bookmarkEnd w:id="382"/>
      <w:r>
        <w:rPr>
          <w:rFonts w:ascii="IRNazanin" w:hAnsi="IRNazanin" w:eastAsia="IRNazanin"/>
          <w:color w:val="111111"/>
          <w:sz w:val="28"/>
          <w:sz w:val="28"/>
          <w:szCs w:val="28"/>
          <w:rtl w:val="true"/>
          <w:lang w:bidi="fa-IR"/>
        </w:rPr>
        <w:t>لذا با احتیاط رفتار می‌کنند و می‌توان این عقیده را نمونه‌ای از گرایش به تسلیم و رضا در امامیه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عقیده به اذن امام از چه زمانی سرچشمه می‌گیرد، در سنت امامیه و در صدوق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مفید آمده ولی سید مرتضی آن را ردّ می‌کند، مفید معتزلی بغدادی و سید، معتزلی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تفسیر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سلاح برای مردم در صورتی جایز است که امام یا نایب او نباشد و در غیر این صورت به جز در مورد ضرورت، جایز نیست؛ ولی در این سخن، بخش اول کلام شیخ خارج از شرایط امامیه است، چون امام خواه حاضر، خواه غایب،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دوم می‌تواند معرّف نظر امامیه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تا چه حدّ از طریق مفید نظریۀ اذن امام به آثار راه یافته است،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امامیه غالباً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اجرای نهی از منکر را در غیبت امام انکار می‌کنند، ولی ممکن است این برداشت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پیش از مفید این عقیده در منابع امامیه نیست</w:t>
      </w:r>
      <w:r>
        <w:rPr>
          <w:rFonts w:eastAsia="IRNazanin" w:cs="IRNazanin"/>
          <w:color w:val="111111"/>
          <w:sz w:val="28"/>
          <w:szCs w:val="28"/>
          <w:rtl w:val="true"/>
          <w:lang w:bidi="fa-IR"/>
        </w:rPr>
        <w:t>.</w:t>
      </w:r>
    </w:p>
    <w:p>
      <w:pPr>
        <w:pStyle w:val="Heading5"/>
        <w:numPr>
          <w:ilvl w:val="4"/>
          <w:numId w:val="1"/>
        </w:numPr>
        <w:rPr/>
      </w:pPr>
      <w:bookmarkStart w:id="383" w:name="__RefHeading___Toc2419738_653776707"/>
      <w:bookmarkStart w:id="384" w:name="_Toc149"/>
      <w:bookmarkEnd w:id="383"/>
      <w:r>
        <w:rPr>
          <w:rtl w:val="true"/>
        </w:rPr>
        <w:t>ب</w:t>
      </w:r>
      <w:r>
        <w:rPr>
          <w:rtl w:val="true"/>
        </w:rPr>
        <w:t xml:space="preserve">) </w:t>
      </w:r>
      <w:r>
        <w:rPr>
          <w:rtl w:val="true"/>
        </w:rPr>
        <w:t>ارزیابی</w:t>
      </w:r>
      <w:bookmarkEnd w:id="3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که عقیده به اذن امام در سنت امامیه نبوده، شاید ناشی از بی‌اطلاعی از عمق نظریۀ امامیه در مورد شأن و جایگاه امام است وگرنه امامت از ضروریات و اصول اندیشه امامیه است و طبق آن تمامی مناصب حکومتی از جمله قضاوت و اجرای حدود و نهی از منکر عملی در حدّ قتل و جرح جزء شئون امام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ادّعا که امامیه نهی از منکر را در عصر غیبت انکار کرده‌اند، اتهامی واهی و خلاف واقع است، همان‌گونه که این سخن که بعد از نوّاب خاص، امام نائبی برای خود تعیین نکرده است، نادرست و ناشی از جهل یا افتراء است، چراکه نیابت عامّۀ فقیهان جامع‌الشرائط از مسلّمات فقه امامیه است، اگرچه در حدود و اختیارات آنها تفاوت دیدگاه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آشکار می‌گردد آن اتهام تسلیم و رضایی را هم که نسبت به امامیه، بر اساس آن ادعاهای واهی بالا مطرح می‌کنند، تمامی برخلاف صواب و حقیقت است</w:t>
      </w:r>
      <w:r>
        <w:rPr>
          <w:rFonts w:eastAsia="IRNazanin" w:cs="IRNazanin"/>
          <w:color w:val="111111"/>
          <w:sz w:val="28"/>
          <w:szCs w:val="28"/>
          <w:rtl w:val="true"/>
          <w:lang w:bidi="fa-IR"/>
        </w:rPr>
        <w:t xml:space="preserve">. </w:t>
      </w:r>
      <w:bookmarkStart w:id="385" w:name="pg8666_122466"/>
    </w:p>
    <w:p>
      <w:pPr>
        <w:pStyle w:val="Heading4"/>
        <w:numPr>
          <w:ilvl w:val="3"/>
          <w:numId w:val="1"/>
        </w:numPr>
        <w:rPr/>
      </w:pPr>
      <w:bookmarkStart w:id="386" w:name="__RefHeading___Toc2419740_653776707"/>
      <w:bookmarkStart w:id="387" w:name="_Toc150"/>
      <w:bookmarkEnd w:id="385"/>
      <w:bookmarkEnd w:id="386"/>
      <w:r>
        <w:rPr/>
        <w:t>5</w:t>
      </w:r>
      <w:r>
        <w:rPr>
          <w:rtl w:val="true"/>
        </w:rPr>
        <w:t xml:space="preserve">. </w:t>
      </w:r>
      <w:r>
        <w:rPr>
          <w:rtl w:val="true"/>
        </w:rPr>
        <w:t>عقل و وحی</w:t>
      </w:r>
      <w:bookmarkEnd w:id="387"/>
    </w:p>
    <w:p>
      <w:pPr>
        <w:pStyle w:val="Heading5"/>
        <w:numPr>
          <w:ilvl w:val="4"/>
          <w:numId w:val="1"/>
        </w:numPr>
        <w:rPr/>
      </w:pPr>
      <w:bookmarkStart w:id="388" w:name="__RefHeading___Toc2419742_653776707"/>
      <w:bookmarkStart w:id="389" w:name="_Toc151"/>
      <w:bookmarkEnd w:id="388"/>
      <w:r>
        <w:rPr>
          <w:rtl w:val="true"/>
        </w:rPr>
        <w:t>الف</w:t>
      </w:r>
      <w:r>
        <w:rPr>
          <w:rtl w:val="true"/>
        </w:rPr>
        <w:t xml:space="preserve">) </w:t>
      </w:r>
      <w:r>
        <w:rPr>
          <w:rtl w:val="true"/>
        </w:rPr>
        <w:t>گزارش</w:t>
      </w:r>
      <w:bookmarkEnd w:id="389"/>
    </w:p>
    <w:p>
      <w:pPr>
        <w:pStyle w:val="BookText"/>
        <w:rPr/>
      </w:pPr>
      <w:r>
        <w:rPr>
          <w:rFonts w:ascii="IRNazanin" w:hAnsi="IRNazanin" w:eastAsia="IRNazanin"/>
          <w:color w:val="111111"/>
          <w:sz w:val="28"/>
          <w:sz w:val="28"/>
          <w:szCs w:val="28"/>
          <w:rtl w:val="true"/>
          <w:lang w:bidi="fa-IR"/>
        </w:rPr>
        <w:t>در بخش بعدی مایکل کوک به این سؤال می‌پردازد که آیا نهی از منکر عقلی و وحیانی است یا فقط وحیانی است؟ اساس تکلیف به نهی از منکر چیست؟ این بحث میراث معتزلیان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بغدادی‌ها عقلی و بصری‌ها وحیانی می‌دانند و شیعه به هر دو، هم وحیانی و نقلی و هم عقلی بودن آن معتقد است و این عقیده از شیخ، خواجه نصیر، ابی‌صلاح، ابن‌ادریس،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و علامه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پایۀ عقلانی دارد</w:t>
      </w:r>
      <w:r>
        <w:rPr>
          <w:rFonts w:eastAsia="IRNazanin" w:cs="IRNazanin"/>
          <w:color w:val="111111"/>
          <w:sz w:val="28"/>
          <w:szCs w:val="28"/>
          <w:rtl w:val="true"/>
          <w:lang w:bidi="fa-IR"/>
        </w:rPr>
        <w:t>.</w:t>
      </w:r>
    </w:p>
    <w:p>
      <w:pPr>
        <w:pStyle w:val="Heading4"/>
        <w:numPr>
          <w:ilvl w:val="3"/>
          <w:numId w:val="1"/>
        </w:numPr>
        <w:rPr/>
      </w:pPr>
      <w:bookmarkStart w:id="390" w:name="__RefHeading___Toc2419744_653776707"/>
      <w:bookmarkStart w:id="391" w:name="_Toc152"/>
      <w:bookmarkEnd w:id="390"/>
      <w:r>
        <w:rPr/>
        <w:t>6</w:t>
      </w:r>
      <w:r>
        <w:rPr>
          <w:rtl w:val="true"/>
        </w:rPr>
        <w:t xml:space="preserve">. </w:t>
      </w:r>
      <w:r>
        <w:rPr>
          <w:rtl w:val="true"/>
        </w:rPr>
        <w:t>تقسیم‌پذیری</w:t>
      </w:r>
      <w:bookmarkEnd w:id="391"/>
    </w:p>
    <w:p>
      <w:pPr>
        <w:pStyle w:val="BookText"/>
        <w:rPr/>
      </w:pPr>
      <w:r>
        <w:rPr>
          <w:rFonts w:ascii="IRNazanin" w:hAnsi="IRNazanin" w:eastAsia="IRNazanin"/>
          <w:color w:val="111111"/>
          <w:sz w:val="28"/>
          <w:sz w:val="28"/>
          <w:szCs w:val="28"/>
          <w:rtl w:val="true"/>
          <w:lang w:bidi="fa-IR"/>
        </w:rPr>
        <w:t>به نقل کوک، یکی از تقسیم‌بندی‌هایی که مطرح شده است، تقسیم امر به معروف به واجب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نهی از منکر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تقسیم‌بندی را با اختلاف علما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ابن‌حمزه منکر این تقسیم‌بندی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تقسیم‌بندی میراث معتزلیان بصری خصوصاً ابوعلی جبائی است</w:t>
      </w:r>
      <w:r>
        <w:rPr>
          <w:rFonts w:eastAsia="IRNazanin" w:cs="IRNazanin"/>
          <w:color w:val="111111"/>
          <w:sz w:val="28"/>
          <w:szCs w:val="28"/>
          <w:rtl w:val="true"/>
          <w:lang w:bidi="fa-IR"/>
        </w:rPr>
        <w:t>.</w:t>
      </w:r>
    </w:p>
    <w:p>
      <w:pPr>
        <w:pStyle w:val="Heading4"/>
        <w:numPr>
          <w:ilvl w:val="3"/>
          <w:numId w:val="1"/>
        </w:numPr>
        <w:rPr/>
      </w:pPr>
      <w:bookmarkStart w:id="392" w:name="__RefHeading___Toc2419746_653776707"/>
      <w:bookmarkStart w:id="393" w:name="_Toc153"/>
      <w:bookmarkEnd w:id="392"/>
      <w:r>
        <w:rPr/>
        <w:t>7</w:t>
      </w:r>
      <w:r>
        <w:rPr>
          <w:rtl w:val="true"/>
        </w:rPr>
        <w:t xml:space="preserve">. </w:t>
      </w:r>
      <w:r>
        <w:rPr>
          <w:rtl w:val="true"/>
        </w:rPr>
        <w:t>عینی یا کفایی</w:t>
      </w:r>
      <w:bookmarkEnd w:id="393"/>
    </w:p>
    <w:p>
      <w:pPr>
        <w:pStyle w:val="Heading5"/>
        <w:numPr>
          <w:ilvl w:val="4"/>
          <w:numId w:val="1"/>
        </w:numPr>
        <w:rPr/>
      </w:pPr>
      <w:bookmarkStart w:id="394" w:name="__RefHeading___Toc2419748_653776707"/>
      <w:bookmarkStart w:id="395" w:name="_Toc154"/>
      <w:bookmarkEnd w:id="394"/>
      <w:r>
        <w:rPr>
          <w:rtl w:val="true"/>
        </w:rPr>
        <w:t>اشاره</w:t>
      </w:r>
      <w:bookmarkEnd w:id="3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مایکل بحث عینی و کفایی بودن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ممکن است این بحث را از معتزله بصری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اکثراً و نوعاً به کفایی بودن تصریح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سید مرتضی، ابوصلاح، ابن‌ادریس و علامه معتقد به کفایی بودن نهی از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ظاهراً به عینی بودن نهی از منکر معتقد شده و ابن‌حمزه و محقق از او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ابن‌براج بینابین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مانکدیم نیز این مسئله آمده است که نهی از منکر یک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دیگر 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فرض کرد که امامیه بخشی از استدلال‌های معتزله بصره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نزاع را لفظی دانسته و فرموده‌اند که نهی از منکر را اگر کسی انجام ندهد واجب عینی است؛ اما وقتی که تکلیف </w:t>
      </w:r>
      <w:bookmarkStart w:id="396" w:name="pg8666_122468"/>
    </w:p>
    <w:p>
      <w:pPr>
        <w:pStyle w:val="BookText"/>
        <w:rPr/>
      </w:pPr>
      <w:bookmarkEnd w:id="396"/>
      <w:r>
        <w:rPr>
          <w:rFonts w:ascii="IRNazanin" w:hAnsi="IRNazanin" w:eastAsia="IRNazanin"/>
          <w:color w:val="111111"/>
          <w:sz w:val="28"/>
          <w:sz w:val="28"/>
          <w:szCs w:val="28"/>
          <w:rtl w:val="true"/>
          <w:lang w:bidi="fa-IR"/>
        </w:rPr>
        <w:t>انجام شد، دیگر وظیفه‌ای نیست تا معتقد به وجوب عینی آن شویم و خلاصه اینکه مراد، انجام کار در خارج است که در صورت وقوع، بقیه تکلیف ندارند</w:t>
      </w:r>
      <w:r>
        <w:rPr>
          <w:rFonts w:eastAsia="IRNazanin" w:cs="IRNazanin"/>
          <w:color w:val="111111"/>
          <w:sz w:val="28"/>
          <w:szCs w:val="28"/>
          <w:rtl w:val="true"/>
          <w:lang w:bidi="fa-IR"/>
        </w:rPr>
        <w:t>.</w:t>
      </w:r>
    </w:p>
    <w:p>
      <w:pPr>
        <w:pStyle w:val="Heading5"/>
        <w:numPr>
          <w:ilvl w:val="4"/>
          <w:numId w:val="1"/>
        </w:numPr>
        <w:rPr/>
      </w:pPr>
      <w:bookmarkStart w:id="397" w:name="__RefHeading___Toc2419750_653776707"/>
      <w:bookmarkStart w:id="398" w:name="_Toc155"/>
      <w:bookmarkEnd w:id="397"/>
      <w:r>
        <w:rPr>
          <w:rtl w:val="true"/>
        </w:rPr>
        <w:t>ب</w:t>
      </w:r>
      <w:r>
        <w:rPr>
          <w:rtl w:val="true"/>
        </w:rPr>
        <w:t xml:space="preserve">) </w:t>
      </w:r>
      <w:r>
        <w:rPr>
          <w:rtl w:val="true"/>
        </w:rPr>
        <w:t>ارزیابی</w:t>
      </w:r>
      <w:bookmarkEnd w:id="398"/>
    </w:p>
    <w:p>
      <w:pPr>
        <w:pStyle w:val="BookText"/>
        <w:rPr/>
      </w:pPr>
      <w:r>
        <w:rPr>
          <w:rFonts w:ascii="IRNazanin" w:hAnsi="IRNazanin" w:eastAsia="IRNazanin"/>
          <w:color w:val="111111"/>
          <w:sz w:val="28"/>
          <w:sz w:val="28"/>
          <w:szCs w:val="28"/>
          <w:rtl w:val="true"/>
          <w:lang w:bidi="fa-IR"/>
        </w:rPr>
        <w:t>طبق مطالبی که قبلاً گذشت، امامیه به‌عنوان گروهی مستقل، بر اساس آیات و روایات متواتر از جمله حدیث غدیر و حدیث ثقلین و بر اساس براهین عقلی، به وجوب امامت شخص معصوم و منصوب از طرف خداوند که عالم به تمامی زوایای دین است، ایمان دارد و طبق آن ائمۀ امامیه، برای پیروان این مذهب هم مرجعیت علمی و هم مرجعیت سیاسی دارند و تمامی گفتار، رفتار و تقریر ایشان به‌عنوان سنت، حجت و معتبر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سنت روایی امامیه مستقل است و وامدار اهل سنت نیست، در بحث عقاید نیز امامیه را نمی‌توان از طائفۀ معتزلیان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عزیمت و تفاوت اساسی امامیه بااعتزال همان مفهوم و تفسیر امامت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چنانچه در مناظرۀ هشام‌بن‌حکم و عمر‌بن‌عبید از سران معتزله در اصول کافی منعکس است،</w:t>
      </w:r>
      <w:r>
        <w:rPr>
          <w:rStyle w:val="FootnoteAnchor"/>
          <w:rtl w:val="true"/>
        </w:rPr>
        <w:footnoteReference w:id="75"/>
      </w:r>
      <w:r>
        <w:rPr>
          <w:rFonts w:ascii="IRNazanin" w:hAnsi="IRNazanin" w:eastAsia="IRNazanin"/>
          <w:color w:val="111111"/>
          <w:sz w:val="28"/>
          <w:sz w:val="28"/>
          <w:szCs w:val="28"/>
          <w:rtl w:val="true"/>
          <w:lang w:bidi="fa-IR"/>
        </w:rPr>
        <w:t>به‌عنوان قلب عالم هستی معرفی شده است، ولی حرکت اعتزال نمی‌تواند با این مفهوم موافقت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جای جای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چشمگیری به عمل آمده تا متکلمان برجستۀ شیعه همچون شیخ مفید و سید مرتضی و شیخ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حرکت اعتزال قرار گیرند و بر اساس آن گفته شود که برخی اعتزال بغدادی و برخی اعتزال بصری بوده‌اند، اینها تفسیرهایی است که با متن واقعیت امامیه،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مستقلاً در پرتو ارشاد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کلامی و فقهی خود را تنظیم و تأسیس کرده است، نه اینکه وامدار معتزله باشد و مثلاً آراء و اندیشه‌های کلامی و اعتقادی خود را از معتزلیان اخذ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معتزلیان و امامیه در برخی عقاید مثل عقیده به عدل الهی و یا نفی جبر و به‌طور کلی از ناحیۀ عقل‌گرایی با هم اشتراکاتی دارند، ولی این به معنای آن نیست که امامیه بخشی از معتزله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امامت برای امامیه، به اصطلاح دانش منطق، همچون فصل ممیزی است که این طایفه را از </w:t>
      </w:r>
      <w:bookmarkStart w:id="399" w:name="pg8666_122470"/>
    </w:p>
    <w:p>
      <w:pPr>
        <w:pStyle w:val="BookText"/>
        <w:rPr/>
      </w:pPr>
      <w:bookmarkEnd w:id="399"/>
      <w:r>
        <w:rPr>
          <w:rFonts w:ascii="IRNazanin" w:hAnsi="IRNazanin" w:eastAsia="IRNazanin"/>
          <w:color w:val="111111"/>
          <w:sz w:val="28"/>
          <w:sz w:val="28"/>
          <w:szCs w:val="28"/>
          <w:rtl w:val="true"/>
          <w:lang w:bidi="fa-IR"/>
        </w:rPr>
        <w:t>سایر طوائف متمایز می‌کند و تمامی مباحث اندیشۀ اسلامی از جمله امر به معروف و نهی از منکر، باید بر محور این فصل ممیز تبیین شود و این ربطی به اعتزال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مایکل کوک علی‌رغم آنکه در ابتدای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اعتزال تا قرن چهارم نتوانست توصیفی از یک عقیدۀ اسلامی باشد و در عوض به‌صورت جزئی از مجموعه‌ای درآمد و نقش سنتی از اندیشه‌های جزئی انتزاعی را برعهده گرفت که می‌توانست با پاره‌ای از باورهای دیگر درآمیزد، مثل معتزله حنفی و معتزله امامی ولی در اظهار نظر شگفت‌انگیز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اندیشۀ امامیه، آراء معتزله تا قرن چهارم که زمان حضور امامان بوده است، به امامیه راه نیافته بود، ولی بعداً راه یافته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گویا پس از اینکه مدرسۀ امامیه کاملاً تشکیل گردیده و بنیان آن ریخته شد و بعد از اینکه حرکت معتزلی مندمج در سایر فرق شد، اعتزال وارد عقیدۀ امامیه شد و آن را بخشی از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بسی غریب می‌ماند و نویسنده هم جز ادّعا،قرائن و شواهدی برای اثبات آن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 نظر می‌رسد حق آن است که گفته شود امامیه بر اساس محوریت امامان خود، مذهبی بود که کاملاً بنیان‌های خود را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کرده بود و دیگر جایی برای اخذ از معتزلیان برای او باقی نبود</w:t>
      </w:r>
      <w:r>
        <w:rPr>
          <w:rFonts w:eastAsia="IRNazanin" w:cs="IRNazanin"/>
          <w:color w:val="111111"/>
          <w:sz w:val="28"/>
          <w:szCs w:val="28"/>
          <w:rtl w:val="true"/>
          <w:lang w:bidi="fa-IR"/>
        </w:rPr>
        <w:t>.</w:t>
      </w:r>
    </w:p>
    <w:p>
      <w:pPr>
        <w:pStyle w:val="Heading5"/>
        <w:numPr>
          <w:ilvl w:val="4"/>
          <w:numId w:val="1"/>
        </w:numPr>
        <w:rPr/>
      </w:pPr>
      <w:bookmarkStart w:id="400" w:name="__RefHeading___Toc2419752_653776707"/>
      <w:bookmarkStart w:id="401" w:name="_Toc156"/>
      <w:bookmarkEnd w:id="400"/>
      <w:r>
        <w:rPr>
          <w:rtl w:val="true"/>
        </w:rPr>
        <w:t>الف</w:t>
      </w:r>
      <w:r>
        <w:rPr>
          <w:rtl w:val="true"/>
        </w:rPr>
        <w:t xml:space="preserve">) </w:t>
      </w:r>
      <w:r>
        <w:rPr>
          <w:rtl w:val="true"/>
        </w:rPr>
        <w:t>گزارش</w:t>
      </w:r>
      <w:bookmarkEnd w:id="401"/>
    </w:p>
    <w:p>
      <w:pPr>
        <w:pStyle w:val="Heading4"/>
        <w:numPr>
          <w:ilvl w:val="3"/>
          <w:numId w:val="1"/>
        </w:numPr>
        <w:rPr/>
      </w:pPr>
      <w:bookmarkStart w:id="402" w:name="__RefHeading___Toc2419754_653776707"/>
      <w:bookmarkStart w:id="403" w:name="_Toc157"/>
      <w:bookmarkEnd w:id="402"/>
      <w:r>
        <w:rPr/>
        <w:t>8</w:t>
      </w:r>
      <w:r>
        <w:rPr>
          <w:rtl w:val="true"/>
        </w:rPr>
        <w:t xml:space="preserve">. </w:t>
      </w:r>
      <w:r>
        <w:rPr>
          <w:rtl w:val="true"/>
        </w:rPr>
        <w:t>شرایط تکلیف</w:t>
      </w:r>
      <w:bookmarkEnd w:id="403"/>
    </w:p>
    <w:p>
      <w:pPr>
        <w:pStyle w:val="BookText"/>
        <w:rPr/>
      </w:pPr>
      <w:r>
        <w:rPr>
          <w:rFonts w:ascii="IRNazanin" w:hAnsi="IRNazanin" w:eastAsia="IRNazanin"/>
          <w:color w:val="111111"/>
          <w:sz w:val="28"/>
          <w:sz w:val="28"/>
          <w:szCs w:val="28"/>
          <w:rtl w:val="true"/>
          <w:lang w:bidi="fa-IR"/>
        </w:rPr>
        <w:t>مایکل به نقل از گفتار سید مرتضی، شش مورد از شروط نهی از منکر را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داشتن؛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المنکر بکونه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علم به حکم نامید؛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منکر؛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هناک امارة الاستمرار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تأثیر؛ یعنی نهی از منکر توسط ناهی از منکر بر شخص گنهکار و مرتکب منکر تأثیرگذار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خود را در معرض خطر جدّی قرار دهد؛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اموال خود را به خطر بيندازد؛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او به نهی از منكر، پيامد منفی و مفسده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برخی شروط را با هم مندرج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برخی شروط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می‌آید، همه این شروط و اندراج‌ها برگرفته از معتزلیان بصری هستند که سید مرتضی به آنها گرایش داشت و شباهت با حرف‌های مانکدیم هم دارد، شرطی که همه آن را قبول دارند، توان انجام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ابی‌صلاح حلبی و یحیی‌بن‌سعید شرایطشان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خوف و خطر، امکان انجام را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که در آینده نیز خطر نداشته باشند؛ این قول شیخ مفید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از روایت گرفته شده و یا از معتزلیان بغداد است و شاید هم به سبب جابه‌جایی معتزلیان بصری و بغدادی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فقدان شرایط مذکور برای نهی از منکر، وظیفه چیست؟ آنچه در سنت معتزلی بصری و مانکدیم و ابوالحسین بصری و برخی اهل سنت وجود دارد، این است که هرچند خطر وجود داشته باشد، شجاعت برای اعزاز دین،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را در بین امامیهنمی‌بینیم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معتقد است که اگر در راه اعزاز دین سبّ شود و خسارت مالی ببیند، پاداش الهی را دریافت می‌دارد؛ اما سید مرتضی خلاف آن را می‌گوید و پذیرفتن خطر را در امر اعزاز دین، غیرموجه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عقیدتی‌اش نظر سید را تأیید می‌کند که انحرافی در اندیشۀ ریشه‌دار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است که اگر کسی خود را در معرض رنج ستمگر قرار دهد پاداش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دیدگاه معتزلی خطرپذیری امری شایسته بود، ولی این تفکر در امامیه از ملاحظات عملی نشأت گرفته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کوک جدای از شش موضوع پیشین آنکه برخی با تعریف واژه‌ها شروع و سپس به ادای سنت معتزلی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گنهکار مکلف به نهی از منکر است یانه؟ در امامیه به‌ندرت مطرح شده است، ولی در بقیه مذاهب مطرح گشته است</w:t>
      </w:r>
      <w:r>
        <w:rPr>
          <w:rFonts w:eastAsia="IRNazanin" w:cs="IRNazanin"/>
          <w:color w:val="111111"/>
          <w:sz w:val="28"/>
          <w:szCs w:val="28"/>
          <w:rtl w:val="true"/>
          <w:lang w:bidi="fa-IR"/>
        </w:rPr>
        <w:t xml:space="preserve">. </w:t>
      </w:r>
      <w:bookmarkStart w:id="404" w:name="pg8666_122475"/>
    </w:p>
    <w:p>
      <w:pPr>
        <w:pStyle w:val="Heading4"/>
        <w:numPr>
          <w:ilvl w:val="3"/>
          <w:numId w:val="1"/>
        </w:numPr>
        <w:rPr/>
      </w:pPr>
      <w:bookmarkStart w:id="405" w:name="__RefHeading___Toc2419756_653776707"/>
      <w:bookmarkStart w:id="406" w:name="_Toc158"/>
      <w:bookmarkEnd w:id="404"/>
      <w:bookmarkEnd w:id="405"/>
      <w:r>
        <w:rPr/>
        <w:t>9</w:t>
      </w:r>
      <w:r>
        <w:rPr>
          <w:rtl w:val="true"/>
        </w:rPr>
        <w:t xml:space="preserve">. </w:t>
      </w:r>
      <w:r>
        <w:rPr>
          <w:rtl w:val="true"/>
        </w:rPr>
        <w:t>جمع‌بندی دانشمندان متقدم امامی</w:t>
      </w:r>
      <w:bookmarkEnd w:id="406"/>
    </w:p>
    <w:p>
      <w:pPr>
        <w:pStyle w:val="Heading5"/>
        <w:numPr>
          <w:ilvl w:val="4"/>
          <w:numId w:val="1"/>
        </w:numPr>
        <w:rPr/>
      </w:pPr>
      <w:bookmarkStart w:id="407" w:name="__RefHeading___Toc2419758_653776707"/>
      <w:bookmarkStart w:id="408" w:name="_Toc159"/>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در میان شیعه امامیه از قرن چهارم تا هشتم بیشتر مباحث علمی نهی از منکر و در جلسات درس فقیهان مطرح شده است نه اینکه مطابق با واقعیت‌های کوچه و بازار باشد؛ اما در این میان دو استثنا وجود دارد؛ یکی عقیده به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هماهنگ با معتزلیان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تخطئه شجاعت است که گرایش درخور توجه با معتزلیان بغداد و جدایی آن از گرایش معتزلیان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نکته و استثنا شالوده این عقیده حکایت از اهل تسلیم و رضا بودن دارد که با زیدیه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مایکل، با وجود فراوانی احادیث امامیه در موضوع نهی از منکر، آرای فقیهان سنتی، وابستگی کمتری به آرای علمای قدیم دارد و در عوض عناصری به هم می‌آمیزد که می‌توان آن را نشان از سنت‌گرایی اهل سنت در معتزلیان بغداد و بصره دانست؛ درحالی‌که سنت‌گرایی باقی است، شیوۀ بغدادی اعتزال جای خود را به رقیب بصری می‌دهد، ولی در اذن امام شکل موجّه بغداد در آن بر جای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تلفیق اندیشۀ اعتزال و سنّت‌گرایی، آرای امامیه را از زیدیه متمایز می‌سازد</w:t>
      </w:r>
      <w:r>
        <w:rPr>
          <w:rFonts w:eastAsia="IRNazanin" w:cs="IRNazanin"/>
          <w:color w:val="111111"/>
          <w:sz w:val="28"/>
          <w:szCs w:val="28"/>
          <w:rtl w:val="true"/>
          <w:lang w:bidi="fa-IR"/>
        </w:rPr>
        <w:t>.</w:t>
      </w:r>
    </w:p>
    <w:p>
      <w:pPr>
        <w:pStyle w:val="Heading5"/>
        <w:numPr>
          <w:ilvl w:val="4"/>
          <w:numId w:val="1"/>
        </w:numPr>
        <w:rPr/>
      </w:pPr>
      <w:bookmarkStart w:id="409" w:name="__RefHeading___Toc2419760_653776707"/>
      <w:bookmarkStart w:id="410" w:name="_Toc160"/>
      <w:bookmarkEnd w:id="409"/>
      <w:r>
        <w:rPr>
          <w:rtl w:val="true"/>
        </w:rPr>
        <w:t>ب</w:t>
      </w:r>
      <w:r>
        <w:rPr>
          <w:rtl w:val="true"/>
        </w:rPr>
        <w:t xml:space="preserve">) </w:t>
      </w:r>
      <w:r>
        <w:rPr>
          <w:rtl w:val="true"/>
        </w:rPr>
        <w:t>ارزیابی</w:t>
      </w:r>
      <w:bookmarkEnd w:id="410"/>
    </w:p>
    <w:p>
      <w:pPr>
        <w:pStyle w:val="BookText"/>
        <w:rPr/>
      </w:pPr>
      <w:r>
        <w:rPr>
          <w:rFonts w:ascii="IRNazanin" w:hAnsi="IRNazanin" w:eastAsia="IRNazanin"/>
          <w:color w:val="111111"/>
          <w:sz w:val="28"/>
          <w:sz w:val="28"/>
          <w:szCs w:val="28"/>
          <w:rtl w:val="true"/>
          <w:lang w:bidi="fa-IR"/>
        </w:rPr>
        <w:t xml:space="preserve">همچنان که در ارزیابی‌های فصل یازدهم و فصل نهم گذشت، از اشتباهات فاحش کتاب آقای مایکل کوک با نام امر به معروف و نهی از منکر در اندیشۀ اسلامی، آن است که امامیه را در ذیل مکتب اعتزالی و متکلمان معتزلی تعریف می‌کند و ایشان را ذیل سنّت معتزلیان بغدادی یا بصری به شمار می‌آورد؛ درحالی‌که امامیه هم در کلام و هم در فقه، مذهبی کاملاً مستقل از سایر مذاهب کلامی و فقهی بوده و بر اساس آموزه‌های وحیانی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 از آنکه هیچ مذهب کلامی یا فقهی در عالم اسلام تشکیل شده باشد، پدید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به گوشه‌هایی از تفاوت‌های امامیه با سایر مذاهب از جهت مسئلۀ مهم امامت و مرجعیت عملی و رهبری سیاسی امامان شیعه و همچنین از جهت استقلال در </w:t>
      </w:r>
    </w:p>
    <w:p>
      <w:pPr>
        <w:pStyle w:val="BookText"/>
        <w:rPr/>
      </w:pPr>
      <w:r>
        <w:rPr>
          <w:rFonts w:ascii="IRNazanin" w:hAnsi="IRNazanin" w:eastAsia="IRNazanin"/>
          <w:color w:val="111111"/>
          <w:sz w:val="28"/>
          <w:sz w:val="28"/>
          <w:szCs w:val="28"/>
          <w:rtl w:val="true"/>
          <w:lang w:bidi="fa-IR"/>
        </w:rPr>
        <w:t>حدیث و منابع روایی، نکاتی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مناسب است پاره‌ای از زوایای تفاوت امامیه با معتزلیان در مباحث عمیق و جنجالی کلامی ارائه شود تا مشخص گردد چگونه متقدمان امامیه از آراء مکتب اعتزالی تبرّی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پرآوازه و مورد وثوق امامیه در قرن چهارم و پنجم و از شاگردان شیخ مفید و شیخ طوسی در بغداد در کتاب مشهور خود با عنوان کنز الفوائد، به موردی از موارد اختلاف اساسی و تعارض میان معتزله و امامیه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ظنّت المعتزلة ان الشیعة هم المرجئة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نرجو من الله تعالی العفو عن المؤمن اذا ارتکب معصیة و مات قبل التوبة و هذا غلط منهم فی التسمیة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خلاصۀ کلام مرحوم کراجکی در مقابله با پندار معتزله آن است که معتزله با پندار غلط خویش، شیعه را از گروه مرجئه پنداشته‌اند، به این استدلال که آنها برای مؤمن مرتکب معصیت که پیش از توبه از دنیا رفته است، امید عفو و بخشش از خداوند دارند؛ درحالی‌که این عقیده ربطی به نظریه مرجئه ندارد، نام مرجئه از واژۀ ارجاء به معنای تأخیر اشتقاق یافته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مُرْجَوْنَ لِأَمْرِ اللهِ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مؤخرون لمشیته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رجاء به معنایامید است،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و أنا راج،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شیعه از راجیه و از امیدواران است نه از مرجئه که اعمال را به تأخیر می‌اندازند و اعتقادی به اعمال و فرائض ندارند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آنان را لعن و نفرین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کراجکی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المعتزلة لها من الزّلات الفظیعة ما یکثره تعداده و قد صنّف ابن‌الراوندی کتاب فضائحهم فأورد فیه جملاً من اعتقادهم و آراء شیوخهم ممّا ینافر العقول و یضادّ شریعة الرسول و قد وردت الأخبار بذمّهم عن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لعنهم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المعتزلة ارادت ان توحّدت فألحدت و رامت أن ترفع التشبیه فأثبتت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معتزلیان به‌قدری لغزش‌های وحشتناک و مفتضحی دارند که شمارش آنها بسیار </w:t>
      </w:r>
    </w:p>
    <w:p>
      <w:pPr>
        <w:pStyle w:val="BookText"/>
        <w:rPr/>
      </w:pPr>
      <w:r>
        <w:rPr>
          <w:rFonts w:ascii="IRNazanin" w:hAnsi="IRNazanin" w:eastAsia="IRNazanin"/>
          <w:color w:val="111111"/>
          <w:sz w:val="28"/>
          <w:sz w:val="28"/>
          <w:szCs w:val="28"/>
          <w:rtl w:val="true"/>
          <w:lang w:bidi="fa-IR"/>
        </w:rPr>
        <w:t>زیاد و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زمانی متعزلی بوده و توبه کرده است، در کتاب فضیحة المعتزلة که در پاسخ کتاب جاحظ با نام فضیلة المعتزلة، نگاشته است، مجموعه‌ای از فضیحت‌ها و گمراهی‌های هولناک عقاید معتزله و آراء مشایخ و بزرگان ایشان را گردآوری کرده است، آرایی که خردها و عقول از آنها متنفر و گریزان است و ضد شریعت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مورد مذمّت و نکوهش قرار گرفته‌اند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معتزله را لعنت کند که به انگیزۀ توحید گرفتار الحاد گشت و می‌خواست ساحت الهی را از تشبیه مبرّا کند، خودش گرفتار تشبیه در ذات الهی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طبق آنچه در گزارش محقق کراجکی به‌خوبی آشکار است، امامیه بر اساس آموزه‌های امامان شیعه متعزله را مستحق لعن دانسته‌اند و عقاید آنها را مطابق توحید ندانسته و آنها را ملحد و از مشبهه شمرده‌اند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عقاید انحرافی متعزله آن است که ایشان در نزاع مشهور جبر و تفویض، قائل به تفویض بودند و برای نفی جبر، چنین باور داشتند که افعال انسان مخلوق خود آدمی است و تنها قوای انجام فعل و ابزار آن از خداوند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این عقیده به‌شدت مورد انکار مذهب امامیه و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طبق روایات متواتر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کسانی را که همچون معتزله به تفویض اعتقاد داشتند، قدریّه می‌دانستند و به آنها مجوس هذه الأمّة می‌گفتند، چون آنها همچون مجوس ثنوی بودند و همچنان‌که ثنویه به دو مبدء خیر و شر قائل بودند، آنها نیز افعال انسان را مستقلاً به خود انسان نسبت می‌دهند و برای خداوند نسبت به آن هیچ نقشی قائل نیستند</w:t>
      </w:r>
      <w:r>
        <w:rPr>
          <w:rFonts w:eastAsia="IRNazanin" w:cs="IRNazanin"/>
          <w:color w:val="111111"/>
          <w:sz w:val="28"/>
          <w:szCs w:val="28"/>
          <w:rtl w:val="true"/>
          <w:lang w:bidi="fa-IR"/>
        </w:rPr>
        <w:t>.</w:t>
      </w:r>
      <w:r>
        <w:rPr>
          <w:rStyle w:val="FootnoteAnchor"/>
          <w:rtl w:val="true"/>
        </w:rPr>
        <w:footnoteReference w:id="81"/>
      </w:r>
      <w:bookmarkStart w:id="411" w:name="pg8666_122481"/>
    </w:p>
    <w:p>
      <w:pPr>
        <w:pStyle w:val="BookText"/>
        <w:rPr/>
      </w:pPr>
      <w:bookmarkEnd w:id="411"/>
      <w:r>
        <w:rPr>
          <w:rFonts w:ascii="IRNazanin" w:hAnsi="IRNazanin" w:eastAsia="IRNazanin"/>
          <w:color w:val="111111"/>
          <w:sz w:val="28"/>
          <w:sz w:val="28"/>
          <w:szCs w:val="28"/>
          <w:rtl w:val="true"/>
          <w:lang w:bidi="fa-IR"/>
        </w:rPr>
        <w:t>از دیگر انحرافات عقیدتی فاحش معتزله که به‌شدت مورد انکار روایات امامیه است، موضوع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علامه طباطبایی در تعلیقات بحارالانوار، معتزله به استطاعت باور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القول بالاستطاعة و هو استناد الفعل الی قدرة العبد و استطاعته من غیر أن یکون للَّه سبحانه فیه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عقیدۀ معتزلیان در باب استطاعت، افعال آدمی به توان و قدرت خود بندگان و استطاعت ایشان وابسته است و خداوند سبحان هیچ نقشی در آن ندارد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موضوع از مباحثی است که در طول تاریخ، بیش از ده قرن است مورد گفت‌وگو قرار گرفته است و سابقه‌ای بس دیرینه دارد و نشان می‌دهد چقدر فاصله‌ای عمیق میان معتزله و امامیه وجود دارد و امامیه به‌طور کلی معتزله را غیر موحّد می‌دانند و ساحت خود را از لکۀ ننگ این نام به شدّت پاکیزه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متأسفانه آقای مایکل کوک همواره در کتاب خویش، به‌ویژه در فصل نهم و یازدهم تلاش عمیقی دارد تا امامیه را پیرو مکتب اعتزالی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چه انگیزه‌ای این کار را انجام داده، مشخص نیست؛ ولی کاملاً آشکار است که چنین اتهام و نسبتی، واهی و برخلاف تاریخ علم و پژوهش‌های درست و عالمانه است و این موجب می‌شود که خوانندۀ کتاب امر به معروف و نهی از منکر در اندیشۀ اسلامی نوشتۀ مایکل کوک، نتواند به محتوای آن اعتماد کند و آن را به‌عنوان یک منبع علمی بی‌طرف مورد مراجعۀ خویش قرار دهد</w:t>
      </w:r>
      <w:r>
        <w:rPr>
          <w:rFonts w:eastAsia="IRNazanin" w:cs="IRNazanin"/>
          <w:color w:val="111111"/>
          <w:sz w:val="28"/>
          <w:szCs w:val="28"/>
          <w:rtl w:val="true"/>
          <w:lang w:bidi="fa-IR"/>
        </w:rPr>
        <w:t>.</w:t>
      </w:r>
    </w:p>
    <w:p>
      <w:pPr>
        <w:pStyle w:val="Heading4"/>
        <w:numPr>
          <w:ilvl w:val="3"/>
          <w:numId w:val="1"/>
        </w:numPr>
        <w:rPr/>
      </w:pPr>
      <w:bookmarkStart w:id="412" w:name="__RefHeading___Toc2419762_653776707"/>
      <w:bookmarkStart w:id="413" w:name="_Toc161"/>
      <w:bookmarkEnd w:id="412"/>
      <w:r>
        <w:rPr/>
        <w:t>10</w:t>
      </w:r>
      <w:r>
        <w:rPr>
          <w:rtl w:val="true"/>
        </w:rPr>
        <w:t xml:space="preserve">. </w:t>
      </w:r>
      <w:r>
        <w:rPr>
          <w:rtl w:val="true"/>
        </w:rPr>
        <w:t>علمای امامیه در دوره‌های اخیر</w:t>
      </w:r>
      <w:bookmarkEnd w:id="413"/>
    </w:p>
    <w:p>
      <w:pPr>
        <w:pStyle w:val="Heading5"/>
        <w:numPr>
          <w:ilvl w:val="4"/>
          <w:numId w:val="1"/>
        </w:numPr>
        <w:rPr/>
      </w:pPr>
      <w:bookmarkStart w:id="414" w:name="__RefHeading___Toc2419764_653776707"/>
      <w:bookmarkStart w:id="415" w:name="_Toc162"/>
      <w:bookmarkEnd w:id="414"/>
      <w:r>
        <w:rPr>
          <w:rtl w:val="true"/>
        </w:rPr>
        <w:t>الف</w:t>
      </w:r>
      <w:r>
        <w:rPr>
          <w:rtl w:val="true"/>
        </w:rPr>
        <w:t xml:space="preserve">) </w:t>
      </w:r>
      <w:r>
        <w:rPr>
          <w:rtl w:val="true"/>
        </w:rPr>
        <w:t>گزارش</w:t>
      </w:r>
      <w:bookmarkEnd w:id="41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 مایکل آراء علمای امامی دوره‌های اخیر از سده هشتم تا چهاردهم را بحث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وی تاریخ این دوره از بعضی جهات عمیقاً محافظه‌کارانه است؛ ولی نوآوری‌هایی هم دارد که مکتب شیعه را از سایر فرقه‌ها و مکاتب متمایز می‌سازد و این </w:t>
      </w:r>
      <w:bookmarkStart w:id="416" w:name="pg8666_122483"/>
    </w:p>
    <w:p>
      <w:pPr>
        <w:pStyle w:val="BookText"/>
        <w:rPr/>
      </w:pPr>
      <w:bookmarkEnd w:id="416"/>
      <w:r>
        <w:rPr>
          <w:rFonts w:ascii="IRNazanin" w:hAnsi="IRNazanin" w:eastAsia="IRNazanin"/>
          <w:color w:val="111111"/>
          <w:sz w:val="28"/>
          <w:sz w:val="28"/>
          <w:szCs w:val="28"/>
          <w:rtl w:val="true"/>
          <w:lang w:bidi="fa-IR"/>
        </w:rPr>
        <w:t>آثار معمولاً حاشیه بر اندیشۀ پیشینیان و محترمانه است، لکن اغلب لطیف‌تر و فرهیخته‌تر است و در بیان اندیشۀ خود تردید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براندازی عقیدۀ قدیم امامیه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نهی از منکر این تناقض مشاهده می‌شود</w:t>
      </w:r>
      <w:r>
        <w:rPr>
          <w:rFonts w:eastAsia="IRNazanin" w:cs="IRNazanin"/>
          <w:color w:val="111111"/>
          <w:sz w:val="28"/>
          <w:szCs w:val="28"/>
          <w:rtl w:val="true"/>
          <w:lang w:bidi="fa-IR"/>
        </w:rPr>
        <w:t>.</w:t>
      </w:r>
    </w:p>
    <w:p>
      <w:pPr>
        <w:pStyle w:val="Heading5"/>
        <w:numPr>
          <w:ilvl w:val="4"/>
          <w:numId w:val="1"/>
        </w:numPr>
        <w:rPr/>
      </w:pPr>
      <w:bookmarkStart w:id="417" w:name="__RefHeading___Toc2419766_653776707"/>
      <w:bookmarkStart w:id="418" w:name="_Toc163"/>
      <w:bookmarkEnd w:id="417"/>
      <w:r>
        <w:rPr>
          <w:rtl w:val="true"/>
        </w:rPr>
        <w:t>ب</w:t>
      </w:r>
      <w:r>
        <w:rPr>
          <w:rtl w:val="true"/>
        </w:rPr>
        <w:t xml:space="preserve">) </w:t>
      </w:r>
      <w:r>
        <w:rPr>
          <w:rtl w:val="true"/>
        </w:rPr>
        <w:t>ارزیابی</w:t>
      </w:r>
      <w:bookmarkEnd w:id="41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در مباحث بالا گذشت، تنها منبع معتبر برای امامیه و آراء، فتاوا و افکار ایشان براهین عقلی و ادلۀ روشن، ظهور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معتبر منقول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میزان برهان عقلی و مدلول عرفی سنجیده می‌شود و بر اساس آن انظار و فتاوای فقهی شکل می‌گیرد؛ اما در غیر این منابعی که اعتبار و حجیت آن به اثبات رسیده و منشأ و سرچشمه علوم و معارف امامیه است، هیچ عالم امامی خود را وامدار کسی و سخنی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طائفۀ امامیه، از معصومان که بگذریم، مسیر اجتهاد مفتوح است و خط قرمزی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حرکت فقهی و فکری امامیه در طول تاریخ، شاهد نقد و ارزیابی پیشینیان هستیم و همواره آرایی نو مشاهده می‌کنیم و پویایی را در حرکت اجتهاد امامیه می‌بینیم، ناشی از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امامیه سدّ اجتهاد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امامیه رأی و فکر هیچ فردی عادی و بشری خط قرمز محسوب نمی‌شود و جای نقد و بررسی همواره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انظاری که در مورد اذن امام و مراتب امر به معروف و شرایط آن و کفایی و عینی بودن آن و دیگر مباحث شاهدیم، ناشی از این حقیقت است و این برخلاف مذاهب فقهی اهل سنت است که وقتی به رأی پیشوای مذاهبی همچون ابن‌حنبل یا ابوحنیفه می‌رسند، نظر او را خط قرمز تلقی می‌کنند و عبور از آن را غیرممکن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امامیه، برخلافمذاهب اهل سنت که به حصر اجتهاد در مذاهب اربعه گرویدند و اجتهاد را در غیر از این چهار مذهب، معروف مسدود و محصور شمرده‌اند، قائل به حصر اجتهاد نیست</w:t>
      </w:r>
      <w:r>
        <w:rPr>
          <w:rFonts w:eastAsia="IRNazanin" w:cs="IRNazanin"/>
          <w:color w:val="111111"/>
          <w:sz w:val="28"/>
          <w:szCs w:val="28"/>
          <w:rtl w:val="true"/>
          <w:lang w:bidi="fa-IR"/>
        </w:rPr>
        <w:t>.</w:t>
      </w:r>
      <w:r>
        <w:rPr>
          <w:rStyle w:val="FootnoteAnchor"/>
          <w:rtl w:val="true"/>
        </w:rPr>
        <w:footnoteReference w:id="83"/>
      </w:r>
      <w:bookmarkStart w:id="419" w:name="pg8666_122485"/>
    </w:p>
    <w:p>
      <w:pPr>
        <w:pStyle w:val="BookText"/>
        <w:rPr/>
      </w:pPr>
      <w:bookmarkEnd w:id="419"/>
      <w:r>
        <w:rPr>
          <w:rFonts w:ascii="IRNazanin" w:hAnsi="IRNazanin" w:eastAsia="IRNazanin"/>
          <w:color w:val="111111"/>
          <w:sz w:val="28"/>
          <w:sz w:val="28"/>
          <w:szCs w:val="28"/>
          <w:rtl w:val="true"/>
          <w:lang w:bidi="fa-IR"/>
        </w:rPr>
        <w:t>بنابراین حرّیّت و آزادی فردی و زمینه برای ارائۀ آراء جدید و نوآوری، در ذات اندیشۀ امامیه نهفته است؛ ازاین‌رو در طول تاریخ دائماً در حال کمال و رشد علمی بوده است</w:t>
      </w:r>
      <w:r>
        <w:rPr>
          <w:rFonts w:eastAsia="IRNazanin" w:cs="IRNazanin"/>
          <w:color w:val="111111"/>
          <w:sz w:val="28"/>
          <w:szCs w:val="28"/>
          <w:rtl w:val="true"/>
          <w:lang w:bidi="fa-IR"/>
        </w:rPr>
        <w:t>.</w:t>
      </w:r>
    </w:p>
    <w:p>
      <w:pPr>
        <w:pStyle w:val="Heading4"/>
        <w:numPr>
          <w:ilvl w:val="3"/>
          <w:numId w:val="1"/>
        </w:numPr>
        <w:rPr/>
      </w:pPr>
      <w:bookmarkStart w:id="420" w:name="__RefHeading___Toc2419768_653776707"/>
      <w:bookmarkStart w:id="421" w:name="_Toc164"/>
      <w:bookmarkEnd w:id="420"/>
      <w:r>
        <w:rPr/>
        <w:t>11</w:t>
      </w:r>
      <w:r>
        <w:rPr>
          <w:rtl w:val="true"/>
        </w:rPr>
        <w:t xml:space="preserve">. </w:t>
      </w:r>
      <w:r>
        <w:rPr>
          <w:rtl w:val="true"/>
        </w:rPr>
        <w:t>عناوین شش‌گانه و علمای امامی دوره‌های اخیر</w:t>
      </w:r>
      <w:bookmarkEnd w:id="421"/>
    </w:p>
    <w:p>
      <w:pPr>
        <w:pStyle w:val="Heading5"/>
        <w:numPr>
          <w:ilvl w:val="4"/>
          <w:numId w:val="1"/>
        </w:numPr>
        <w:rPr/>
      </w:pPr>
      <w:bookmarkStart w:id="422" w:name="__RefHeading___Toc2419770_653776707"/>
      <w:bookmarkStart w:id="423" w:name="_Toc165"/>
      <w:bookmarkEnd w:id="422"/>
      <w:r>
        <w:rPr>
          <w:rtl w:val="true"/>
        </w:rPr>
        <w:t>الف</w:t>
      </w:r>
      <w:r>
        <w:rPr>
          <w:rtl w:val="true"/>
        </w:rPr>
        <w:t xml:space="preserve">) </w:t>
      </w:r>
      <w:r>
        <w:rPr>
          <w:rtl w:val="true"/>
        </w:rPr>
        <w:t>گزارش</w:t>
      </w:r>
      <w:bookmarkEnd w:id="423"/>
    </w:p>
    <w:p>
      <w:pPr>
        <w:pStyle w:val="Heading6"/>
        <w:numPr>
          <w:ilvl w:val="5"/>
          <w:numId w:val="1"/>
        </w:numPr>
        <w:rPr/>
      </w:pPr>
      <w:bookmarkStart w:id="424" w:name="__RefHeading___Toc2419772_653776707"/>
      <w:bookmarkStart w:id="425" w:name="_Toc166"/>
      <w:bookmarkEnd w:id="424"/>
      <w:r>
        <w:rPr/>
        <w:t>1</w:t>
      </w:r>
      <w:r>
        <w:rPr>
          <w:rtl w:val="true"/>
        </w:rPr>
        <w:t xml:space="preserve">. </w:t>
      </w:r>
      <w:r>
        <w:rPr>
          <w:rtl w:val="true"/>
        </w:rPr>
        <w:t>نظریۀ سه مرحله‌ای</w:t>
      </w:r>
      <w:bookmarkEnd w:id="425"/>
    </w:p>
    <w:p>
      <w:pPr>
        <w:pStyle w:val="BookText"/>
        <w:rPr/>
      </w:pPr>
      <w:r>
        <w:rPr>
          <w:rFonts w:ascii="IRNazanin" w:hAnsi="IRNazanin" w:eastAsia="IRNazanin"/>
          <w:color w:val="111111"/>
          <w:sz w:val="28"/>
          <w:sz w:val="28"/>
          <w:szCs w:val="28"/>
          <w:rtl w:val="true"/>
          <w:lang w:bidi="fa-IR"/>
        </w:rPr>
        <w:t xml:space="preserve">به گفتۀ کوک مراحل سه‌گانۀ دل، زبان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صعودی و گاهی نزولی عمل، زبان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همه می‌پذیرند و در این مسیر اصطلاح گوشمالی را هم برخی به آن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نهی از منکر در دل مورد بحث علما است که آیا نهی از منکر در دل همان نفرت درونی بدون اظهار نمودن است یا همراه با ابراز ناخوشنودی است؟ و اینکه اگر اصلاً اظهاری صورت نگیرد، نهی از منکر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اظهار همچون روی گرداندن از کسی باشد چه بسا خشن‌تر از نصیحت زبانی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دل و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دیگر آن مرحله‌بندی که قبلاً داشتیم به هم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در تعریف امر، امر را به لفظ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محقق اردبیلی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ربطی به عمل ندارد و اگر اجماع نبود جواز هر نوع خشونتی برای ادای این وظیفه مشکل‌آفرین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امر و نهی به جز چند مورد لفظی، منطقی نیست، اما می‌پذیرد که انجام دادن آن یک عرف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صاحب‌جواهر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چنین شبهه‌هایی را سودمند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قمی از علمای معاصر و از شاگردان آیت‌الله خویی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استادش بر این نظر استکه مرحله اول و سوم را نمی‌توان زیرمجموعۀ امر به معروف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نیز دلیلی برای وعظ مردم نیست</w:t>
      </w:r>
      <w:r>
        <w:rPr>
          <w:rFonts w:eastAsia="IRNazanin" w:cs="IRNazanin"/>
          <w:color w:val="111111"/>
          <w:sz w:val="28"/>
          <w:szCs w:val="28"/>
          <w:rtl w:val="true"/>
          <w:lang w:bidi="fa-IR"/>
        </w:rPr>
        <w:t>.</w:t>
      </w:r>
    </w:p>
    <w:p>
      <w:pPr>
        <w:pStyle w:val="Heading6"/>
        <w:numPr>
          <w:ilvl w:val="5"/>
          <w:numId w:val="1"/>
        </w:numPr>
        <w:rPr/>
      </w:pPr>
      <w:bookmarkStart w:id="426" w:name="__RefHeading___Toc2419774_653776707"/>
      <w:bookmarkStart w:id="427" w:name="_Toc167"/>
      <w:bookmarkEnd w:id="426"/>
      <w:r>
        <w:rPr/>
        <w:t>2</w:t>
      </w:r>
      <w:r>
        <w:rPr>
          <w:rtl w:val="true"/>
        </w:rPr>
        <w:t xml:space="preserve">. </w:t>
      </w:r>
      <w:r>
        <w:rPr>
          <w:rtl w:val="true"/>
        </w:rPr>
        <w:t>اذن امام</w:t>
      </w:r>
      <w:bookmarkEnd w:id="4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 جمع‌بندی کوک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صورت ابراز خشونت آیا اذن امام لازم است یا نه؟ اکثراً معتقد به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جزتعداد اندکی که می‌گفتند نیاز به اذن امام </w:t>
      </w:r>
      <w:bookmarkStart w:id="428" w:name="pg8666_122487"/>
    </w:p>
    <w:p>
      <w:pPr>
        <w:pStyle w:val="BookText"/>
        <w:rPr/>
      </w:pPr>
      <w:bookmarkEnd w:id="428"/>
      <w:r>
        <w:rPr>
          <w:rFonts w:ascii="IRNazanin" w:hAnsi="IRNazanin" w:eastAsia="IRNazanin"/>
          <w:color w:val="111111"/>
          <w:sz w:val="28"/>
          <w:sz w:val="28"/>
          <w:szCs w:val="28"/>
          <w:rtl w:val="true"/>
          <w:lang w:bidi="fa-IR"/>
        </w:rPr>
        <w:t>نیست، مانند علامه در برخی اقوالش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جالبی که برای تبیین این نظریه آمده، این است که در صورت فقدان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واجد شرایط می‌تواند جای آن را بگیرد که این نظریه در دوران صفویه پایه‌گذاری شد و دوباره به شکل اصلاح‌شده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دیگری که صورت گرفته، مسئله تفصیل در جرح و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اولین کسی است که این تفصیل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کردن به‌تنهایی را نیازمند اذن امام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در اندیشۀ او موضوعاً از مسئله نهی از منکر خارج است، چون نهی از منکر یعنی کسی را بازداشتن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طرف منهی کشته شود که سالبه به انتفای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معتقد است که کشتن و جرح اصلاً از مقوله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این‌گونه مباحث را در مورد امر به معروف و نهی از منکر کم فایده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شرایط امر به معروف و نهی از منکر موجود شد ناهی از منکر خود تشخیص می‌دهد که چگونه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 احتمالاً می‌خواهد نهی از منکر را به بحث حدود وارد کند</w:t>
      </w:r>
      <w:r>
        <w:rPr>
          <w:rFonts w:eastAsia="IRNazanin" w:cs="IRNazanin"/>
          <w:color w:val="111111"/>
          <w:sz w:val="28"/>
          <w:szCs w:val="28"/>
          <w:rtl w:val="true"/>
          <w:lang w:bidi="fa-IR"/>
        </w:rPr>
        <w:t>.</w:t>
      </w:r>
    </w:p>
    <w:p>
      <w:pPr>
        <w:pStyle w:val="Heading5"/>
        <w:numPr>
          <w:ilvl w:val="4"/>
          <w:numId w:val="1"/>
        </w:numPr>
        <w:rPr/>
      </w:pPr>
      <w:bookmarkStart w:id="429" w:name="__RefHeading___Toc2419776_653776707"/>
      <w:bookmarkStart w:id="430" w:name="_Toc168"/>
      <w:bookmarkEnd w:id="429"/>
      <w:r>
        <w:rPr>
          <w:rtl w:val="true"/>
        </w:rPr>
        <w:t>ب</w:t>
      </w:r>
      <w:r>
        <w:rPr>
          <w:rtl w:val="true"/>
        </w:rPr>
        <w:t xml:space="preserve">) </w:t>
      </w:r>
      <w:r>
        <w:rPr>
          <w:rtl w:val="true"/>
        </w:rPr>
        <w:t>ارزیابی</w:t>
      </w:r>
      <w:bookmarkEnd w:id="43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جانشینی فقیه جامع‌الشرایط در صورت غیبت امام و عدم‌دسترسی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نیست که در دوره صفویه پایه‌گذاری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از عصر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شده و ساختار سیستم وکالت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غیبت صغری و پس از آن در دورۀ غیبت کبری ادامه یافته است و فقهای بزرگی همچون شیخ مفید در مقنعه با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تمام مناصب امام و سلطان معصوم را متصدی می‌شود و ایشان‌اند کهدر عصر غیبت برای اجراء حدود و قضاوت و اقامۀ نماز عید و غیره منصوب می‌باشند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مسئله ولایت فقیه همزاد با فقه امامیه است و برخلاف زعم آقای مایکل کوک نمی‌توان پیشینۀ آن را به عصر صفویّه بازگرداند</w:t>
      </w:r>
      <w:r>
        <w:rPr>
          <w:rFonts w:eastAsia="IRNazanin" w:cs="IRNazanin"/>
          <w:color w:val="111111"/>
          <w:sz w:val="28"/>
          <w:szCs w:val="28"/>
          <w:rtl w:val="true"/>
          <w:lang w:bidi="fa-IR"/>
        </w:rPr>
        <w:t>.</w:t>
      </w:r>
      <w:r>
        <w:rPr>
          <w:rStyle w:val="FootnoteAnchor"/>
          <w:rtl w:val="true"/>
        </w:rPr>
        <w:footnoteReference w:id="85"/>
      </w:r>
      <w:bookmarkStart w:id="431" w:name="pg8666_122489"/>
    </w:p>
    <w:p>
      <w:pPr>
        <w:pStyle w:val="Heading5"/>
        <w:numPr>
          <w:ilvl w:val="4"/>
          <w:numId w:val="1"/>
        </w:numPr>
        <w:rPr/>
      </w:pPr>
      <w:bookmarkStart w:id="432" w:name="__RefHeading___Toc2419778_653776707"/>
      <w:bookmarkStart w:id="433" w:name="_Toc169"/>
      <w:bookmarkEnd w:id="431"/>
      <w:bookmarkEnd w:id="432"/>
      <w:r>
        <w:rPr>
          <w:rtl w:val="true"/>
        </w:rPr>
        <w:t>الف</w:t>
      </w:r>
      <w:r>
        <w:rPr>
          <w:rtl w:val="true"/>
        </w:rPr>
        <w:t xml:space="preserve">) </w:t>
      </w:r>
      <w:r>
        <w:rPr>
          <w:rtl w:val="true"/>
        </w:rPr>
        <w:t>گزارش</w:t>
      </w:r>
      <w:bookmarkEnd w:id="433"/>
    </w:p>
    <w:p>
      <w:pPr>
        <w:pStyle w:val="Heading6"/>
        <w:numPr>
          <w:ilvl w:val="5"/>
          <w:numId w:val="1"/>
        </w:numPr>
        <w:rPr/>
      </w:pPr>
      <w:bookmarkStart w:id="434" w:name="__RefHeading___Toc2419780_653776707"/>
      <w:bookmarkStart w:id="435" w:name="_Toc170"/>
      <w:bookmarkEnd w:id="434"/>
      <w:r>
        <w:rPr/>
        <w:t>3</w:t>
      </w:r>
      <w:r>
        <w:rPr>
          <w:rtl w:val="true"/>
        </w:rPr>
        <w:t xml:space="preserve">. </w:t>
      </w:r>
      <w:r>
        <w:rPr>
          <w:rtl w:val="true"/>
        </w:rPr>
        <w:t>عقل و وحی</w:t>
      </w:r>
      <w:bookmarkEnd w:id="435"/>
    </w:p>
    <w:p>
      <w:pPr>
        <w:pStyle w:val="BookText"/>
        <w:rPr/>
      </w:pPr>
      <w:r>
        <w:rPr>
          <w:rFonts w:ascii="IRNazanin" w:hAnsi="IRNazanin" w:eastAsia="IRNazanin"/>
          <w:color w:val="111111"/>
          <w:sz w:val="28"/>
          <w:sz w:val="28"/>
          <w:szCs w:val="28"/>
          <w:rtl w:val="true"/>
          <w:lang w:bidi="fa-IR"/>
        </w:rPr>
        <w:t>محور سوم بحث مایکل این است که آیا نهی از منکر واجب سمعی است یا عقلی؟ نظر قدمایی از علما بر وحیانی و سمعی‌بودن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اثر فشار‌ها، محافظه‌کارانه بحث شده است؛ اما تا زمان و دوره صفویه عقل‌گرایی هم طرف‌دارانی داشته است و می‌توان از شهید اول، شهید ثانی و مقداد سیوری نام‌برد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قائل به عقلی بودن این وظیفه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اردبیلی قائل به وجوب سمعی مسئله شده و بحث از عقلی و یا سمعی‌بودن آن را بی‌نتیجه می‌داند</w:t>
      </w:r>
      <w:r>
        <w:rPr>
          <w:rFonts w:eastAsia="IRNazanin" w:cs="IRNazanin"/>
          <w:color w:val="111111"/>
          <w:sz w:val="28"/>
          <w:szCs w:val="28"/>
          <w:rtl w:val="true"/>
          <w:lang w:bidi="fa-IR"/>
        </w:rPr>
        <w:t>.</w:t>
      </w:r>
    </w:p>
    <w:p>
      <w:pPr>
        <w:pStyle w:val="Heading6"/>
        <w:numPr>
          <w:ilvl w:val="5"/>
          <w:numId w:val="1"/>
        </w:numPr>
        <w:rPr/>
      </w:pPr>
      <w:bookmarkStart w:id="436" w:name="__RefHeading___Toc2419782_653776707"/>
      <w:bookmarkStart w:id="437" w:name="_Toc171"/>
      <w:bookmarkEnd w:id="436"/>
      <w:r>
        <w:rPr/>
        <w:t>4</w:t>
      </w:r>
      <w:r>
        <w:rPr>
          <w:rtl w:val="true"/>
        </w:rPr>
        <w:t xml:space="preserve">. </w:t>
      </w:r>
      <w:r>
        <w:rPr>
          <w:rtl w:val="true"/>
        </w:rPr>
        <w:t>تقسیم‌پذیری</w:t>
      </w:r>
      <w:bookmarkEnd w:id="437"/>
    </w:p>
    <w:p>
      <w:pPr>
        <w:pStyle w:val="BookText"/>
        <w:rPr/>
      </w:pPr>
      <w:r>
        <w:rPr>
          <w:rFonts w:ascii="IRNazanin" w:hAnsi="IRNazanin" w:eastAsia="IRNazanin"/>
          <w:color w:val="111111"/>
          <w:sz w:val="28"/>
          <w:sz w:val="28"/>
          <w:szCs w:val="28"/>
          <w:rtl w:val="true"/>
          <w:lang w:bidi="fa-IR"/>
        </w:rPr>
        <w:t>محور چهارم بحث کوک، تقسیم‌پذیری نهی از منکر به واجب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واجب و مستحب داریم و می‌شود معروف را به دو دسته تقسیم و نهی از منکر نیز دو قسم شود؟ علمای قدیم به‌روشنی بیان نکرده‌اند و مشکل در واژۀ این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معروف چون دایرۀ وسیع‌تری داشته شامل مستحب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از منکر از محدودیت برخوردار است و تنها شامل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دوره متأخرین تا مقداری بحث روشن شده و تقسیم‌بندی میان حرام و مکروه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باب اینکه نهی از مکروه، از باب امر به مستحب است و برخی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مکروه را داخل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آراء نبود، امر به مستحب و نهی از مکروه به‌رغم مرتبۀ استحباب یا کراهت رفتار، ممکن بود واجب باشد</w:t>
      </w:r>
      <w:r>
        <w:rPr>
          <w:rFonts w:eastAsia="IRNazanin" w:cs="IRNazanin"/>
          <w:color w:val="111111"/>
          <w:sz w:val="28"/>
          <w:szCs w:val="28"/>
          <w:rtl w:val="true"/>
          <w:lang w:bidi="fa-IR"/>
        </w:rPr>
        <w:t>.</w:t>
      </w:r>
    </w:p>
    <w:p>
      <w:pPr>
        <w:pStyle w:val="Heading6"/>
        <w:numPr>
          <w:ilvl w:val="5"/>
          <w:numId w:val="1"/>
        </w:numPr>
        <w:rPr/>
      </w:pPr>
      <w:bookmarkStart w:id="438" w:name="__RefHeading___Toc2419784_653776707"/>
      <w:bookmarkStart w:id="439" w:name="_Toc172"/>
      <w:bookmarkEnd w:id="438"/>
      <w:r>
        <w:rPr/>
        <w:t>5</w:t>
      </w:r>
      <w:r>
        <w:rPr>
          <w:rtl w:val="true"/>
        </w:rPr>
        <w:t xml:space="preserve">. </w:t>
      </w:r>
      <w:r>
        <w:rPr>
          <w:rtl w:val="true"/>
        </w:rPr>
        <w:t>وجوب عینی یا کفایی؟</w:t>
      </w:r>
      <w:bookmarkEnd w:id="43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پنجم مایکل کوک، بحث از وجوب عینی و کفایی‌بودن نهی از منکر است که در عصر قدما بوده و در عصر متأخرین نیز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علمایی که قائل به عینیت نهی از منکر بود، شیخ طوسی و محقق کرکی را گزارش می‌کند و از بهاءالدین عاملی یک نوآوری را در قالب مثال نقل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قضیه خیلی فرقی ندارد که نهی از منکر را </w:t>
      </w:r>
      <w:bookmarkStart w:id="440" w:name="pg8666_122491"/>
    </w:p>
    <w:p>
      <w:pPr>
        <w:pStyle w:val="BookText"/>
        <w:rPr/>
      </w:pPr>
      <w:bookmarkEnd w:id="440"/>
      <w:r>
        <w:rPr>
          <w:rFonts w:ascii="IRNazanin" w:hAnsi="IRNazanin" w:eastAsia="IRNazanin"/>
          <w:color w:val="111111"/>
          <w:sz w:val="28"/>
          <w:sz w:val="28"/>
          <w:szCs w:val="28"/>
          <w:rtl w:val="true"/>
          <w:lang w:bidi="fa-IR"/>
        </w:rPr>
        <w:t>واجب عینی یا کفایی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منکری اتفاق افتاده درصورتی‌که شرایط موجود باشد، همه باید اقدام کنند چه قائلین به عینی یا کفایی و اگر منکری وجود دارد و برای نهی از منکر کسی اقدام کرد و امید موفقیت موجود بود، دراین‌صورت یک ثمرۀ کوچک پیدا می‌کند تا آن منکر برداشته نشده قائلین به عینیت چون همه را مکلف می‌دانند، لذا مکلف‌اند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کفایی تکلیف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منکری است که شرایط آن برای ناهیان از منکر فراهم نیست، در این مورد فرقی بین واجب کفایی و عینی نیست و نتیجه اینکه ثمرۀ بسیار کوچکی از نظر بهاءالدین عاملی، در صورت دوم وجود داشت که خیلی مهم نبود</w:t>
      </w:r>
      <w:r>
        <w:rPr>
          <w:rFonts w:eastAsia="IRNazanin" w:cs="IRNazanin"/>
          <w:color w:val="111111"/>
          <w:sz w:val="28"/>
          <w:szCs w:val="28"/>
          <w:rtl w:val="true"/>
          <w:lang w:bidi="fa-IR"/>
        </w:rPr>
        <w:t>.</w:t>
      </w:r>
    </w:p>
    <w:p>
      <w:pPr>
        <w:pStyle w:val="Heading6"/>
        <w:numPr>
          <w:ilvl w:val="5"/>
          <w:numId w:val="1"/>
        </w:numPr>
        <w:rPr/>
      </w:pPr>
      <w:bookmarkStart w:id="441" w:name="__RefHeading___Toc2419786_653776707"/>
      <w:bookmarkStart w:id="442" w:name="_Toc173"/>
      <w:bookmarkEnd w:id="441"/>
      <w:r>
        <w:rPr/>
        <w:t>6</w:t>
      </w:r>
      <w:r>
        <w:rPr>
          <w:rtl w:val="true"/>
        </w:rPr>
        <w:t xml:space="preserve">. </w:t>
      </w:r>
      <w:r>
        <w:rPr>
          <w:rtl w:val="true"/>
        </w:rPr>
        <w:t>شرایط وجوب</w:t>
      </w:r>
      <w:bookmarkEnd w:id="442"/>
    </w:p>
    <w:p>
      <w:pPr>
        <w:pStyle w:val="BookText"/>
        <w:rPr/>
      </w:pPr>
      <w:r>
        <w:rPr>
          <w:rFonts w:ascii="IRNazanin" w:hAnsi="IRNazanin" w:eastAsia="IRNazanin"/>
          <w:color w:val="111111"/>
          <w:sz w:val="28"/>
          <w:sz w:val="28"/>
          <w:szCs w:val="28"/>
          <w:rtl w:val="true"/>
          <w:lang w:bidi="fa-IR"/>
        </w:rPr>
        <w:t>محور ششم در مورد شرایط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نیز برخی متأخرین به پیروی از قدما شرایطی چون علم و تأثیر و عدم‌خطر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چهار شرط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دو شرط افزوده و مرحوم خویی نیز شرط دیگری را می‌افزاید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گنهکار برای گناهش عذر نداشته باشد و تکلیف در حق او منجز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الغطاء از سنت قدیم دور شده و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برای امر به معروف و نهی از منکر ذکر می‌کند که تغییر زیادی در جریان شروط اصلی به وجود نیامده و البته در دوران و عصر صفوی که جزو متأخرین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شرط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جان و مال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شرط‌های مختلف مسئله اول اینکه آیا اطمینان لازم است یا ظن کفایت می‌کند؟ مسئله دوم اینکه بر فرض عدم‌تحقق شرایط آیا باز هم اقدام جایز است یا نه؟در مورد اول و شرط تأثیر، اطمینان لازم نیست، بلکه احتمال تأثیر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وجود خطر، احتمال خطر برای ناهی از منکر را برای لغو آن کافی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علم داشته باشد که خطر موجود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خطر و خطرپذیری نیز کلمات علما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تناقض‌هایی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تحمل خطر مالی را پذیرفته‌اند و احتمال خطر را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با اعتراض </w:t>
      </w:r>
    </w:p>
    <w:p>
      <w:pPr>
        <w:pStyle w:val="BookText"/>
        <w:rPr/>
      </w:pPr>
      <w:r>
        <w:rPr>
          <w:rFonts w:ascii="IRNazanin" w:hAnsi="IRNazanin" w:eastAsia="IRNazanin"/>
          <w:color w:val="111111"/>
          <w:sz w:val="28"/>
          <w:sz w:val="28"/>
          <w:szCs w:val="28"/>
          <w:rtl w:val="true"/>
          <w:lang w:bidi="fa-IR"/>
        </w:rPr>
        <w:t>نسبت به ضعف اهل سنت، جانی تازه به شجاعت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نظر قرافی مالکی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خطر خریدن به جان را ردّ کرده‌اند،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نیز سخنان غزالی درباره درشت گفتن با سلطان را ناروا دانسته و آن را رد می‌کند و همین طور قصه‌هایی را که کسی به‌خاطر شهرت جانش را در معرض خطر قرار می‌دهد،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دوران جدید عمیقاً به راه دیگری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جدید بیشتر جنبۀ سیاسی داشت نه فکری و از این جهت به بحث ما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مایکل، در مورد شرایط پس از این کمتر طرح تازه‌ای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قمی علم و خطر را ردّ می‌کند و دربارۀ شرط تأثیر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تعریف واژه‌های امر به معروف و نهی از منکر فاضل مقداد به تحولی در تعریف پی می‌برد که از ویژگی‌های ابوالحسین بصری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نبیذ و فقاع و عصیر عنبی، که دو سوم آن تبخیر نشده است،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زدن دایره و مسائلی از این نوع که چه چیزی منکر و چه چیزی منکر نیست و آیا گنهکار مکلّف است؟ شرح و بسط علما نشان‌دهنده این است که از اهل سنت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کاربرد اصطلاح غزالی در مورد حسبه به‌عنوان مترادف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سپس از پیشرفت در رفتار موافق با سنت امامیه سخن به میان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قدیم امامیه فقط به روایت بسنده می‌کردند و تحلیل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بود که به صحت روایات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صفویه به این منوال بود و فقط ذکر روایات صورت می‌گرفت؛ اما از آن به بعد مقدس اردبیلی ضمن ذکر روایات، از آنها بحث و گفت‌وگو می‌کندو از دلالت روایات که این وظیفه را برای قدرتمند می‌داند و شرایط امر به معروف و نهی از منکر و مباحث مشابه را از آنها استخراج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مجلسی در مرآة العقول، اخبار نهی از منکر را ذکر و نقادی و سندش را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صاحب‌جواهر برای تفسیر احادیث غریب، وقعی ننهاده ولی به جای کنار گذاشتن، سعی در توجیه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سید احمد خوانساری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مسائل مربوط </w:t>
      </w:r>
      <w:bookmarkStart w:id="443" w:name="pg8666_122495"/>
    </w:p>
    <w:p>
      <w:pPr>
        <w:pStyle w:val="BookText"/>
        <w:rPr/>
      </w:pPr>
      <w:bookmarkEnd w:id="443"/>
      <w:r>
        <w:rPr>
          <w:rFonts w:ascii="IRNazanin" w:hAnsi="IRNazanin" w:eastAsia="IRNazanin"/>
          <w:color w:val="111111"/>
          <w:sz w:val="28"/>
          <w:sz w:val="28"/>
          <w:szCs w:val="28"/>
          <w:rtl w:val="true"/>
          <w:lang w:bidi="fa-IR"/>
        </w:rPr>
        <w:t>به سند احادیث، آگاهی دارد، اما علاقه‌ای به استفاده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محمدتقی قمی، با بررسی سندی به نقد احادیث می‌پردازد و برخی علما معاصر هم که جهت سیاسی به آن دادند در جای دیگر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بسیاری از این تغییرات به سبب مناقشات با اخباریه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جمع‌بندی که دارد این است که از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پژوهش‌های امامیه رخ داده، پختگی بیشتر همراه با ویراستن بدون تماس با معتزلیان است که در قالب ساده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رابطه با امر به معروف و نهی از منکر در دوران اخیر و معاصر مورد بحث قرار گرفته از وجوب سمعی یا عقلی، عینی یا کفایی و نحوۀ اجرای آن به سه مرحلۀ یدی، لسانی و دلی یا برعکس و توجه به ویژگی‌های متن و اعتبار سند و نظم جدیدی که برای نهی از منکر داده شده است، اگرچه همگی درخور توجه است، ولی همه مربوط به کرسی درس و محافل علمی است؛ اما اینکه چه مقدار به مردم کوچه و بازار مربوط می‌شود، پیشرفت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مایکل کوک نظریۀ عدم‌احتیاج به اذن امام در اواخر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صفویه رنگ‌باخت و بعد از آن فقیه جامع‌الشرایط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از زمان محقق کرکی مطرح شد که یک تغییر نظری در مقامات روحانی 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بعد از آن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دیگری غیر از این دیده نمی‌شود که در مقایسه با پیشرفت امامیه این نوآوری دستاوردی ناچیز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از قول مرحوم خویی شروط را به شرط وجوب برمی‌گرداند نه واجب</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444" w:name="__RefHeading___Toc2419788_653776707"/>
      <w:bookmarkStart w:id="445" w:name="_Toc174"/>
      <w:bookmarkEnd w:id="444"/>
      <w:r>
        <w:rPr>
          <w:rtl w:val="true"/>
        </w:rPr>
        <w:t>ب</w:t>
      </w:r>
      <w:r>
        <w:rPr>
          <w:rtl w:val="true"/>
        </w:rPr>
        <w:t xml:space="preserve">) </w:t>
      </w:r>
      <w:r>
        <w:rPr>
          <w:rtl w:val="true"/>
        </w:rPr>
        <w:t>ارزیابی</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لزوم اذن امام در مرتبۀ فعل و حرج و به‌طور کلی اقدام عملی در نهی از منکر در میان امامیه مطرح شده است، ناشی از همان عقیده به امامت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مرجعیت سیاسی جامعه را بر عهده دارد، لیکن ازآنجاکه تنها در صورت بسط ید امام است که می‌توان از او اذن گرفت و در صورت قبض ید و در زمان غیبت که دسترسی به او به طریق معمولی میسر نیست، مسئلۀ اذن از نایب عام او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تناقضی در اندیشۀ امامیه نیست که اقدام عملی در نهی از منکر را موکول به اذن امام کنند، ولی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از امام امکان ندارد، چون اگرچه امام معصوم همواره وجود دارد و مرجعیت بین خلق و خالق است، ولی در صورت قبض ید یا در صورت غیبت، مناصب ظاهری و اجرایی و سیاسی او که قابل‌تفویض و نیابت‌پذیر است، به نایبان خاص یا عام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مسئلۀ ولایت فقیه جامع‌الشرایط و نیابت عامه و نصب عام او برای تولی امور ولایی در امور حسبه در عصر غیبت و عصر عدم‌بسط ید امامان، برخلاف مدعای مایکل اختصاص به زمان محقق کرکی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از زمان خود ائمه مثل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است و سیستم وکالت فقهای شیعه در عصر امامان متأخر و بر اساس همین شکل گرفته است</w:t>
      </w:r>
      <w:r>
        <w:rPr>
          <w:rStyle w:val="FootnoteAnchor"/>
          <w:rtl w:val="true"/>
        </w:rPr>
        <w:footnoteReference w:id="87"/>
      </w:r>
      <w:r>
        <w:rPr>
          <w:rFonts w:ascii="IRNazanin" w:hAnsi="IRNazanin" w:eastAsia="IRNazanin"/>
          <w:color w:val="111111"/>
          <w:sz w:val="28"/>
          <w:sz w:val="28"/>
          <w:szCs w:val="28"/>
          <w:rtl w:val="true"/>
          <w:lang w:bidi="fa-IR"/>
        </w:rPr>
        <w:t xml:space="preserve">و در ادامه پس از نصب خاص بحث نصب عام در اندیشۀ شیعه از شیخ مفید تا محقق کرکی و سپس تا صاحب‌جواهر و نراقی و کاشف الغطاء و سایر فقهای شیعه تا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مستمر ادامه یافته است، نه محقق کرکی آغازگر این راه است و نه بعد از کرکی تا زمان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فراموشی سپرده شده است، بلکه حرکتی مستمر در طول تاریخ دراین‌باره وجود داشته و تداوم یافته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مایکل کوک نظریۀ علمای جدید را به بنیادگرایی که بیشتر جنبۀ سیاسی دارد و نه فکری، متهم می‌کند، جای شگفتی است که چگونه یک بحث کاملاً علمی و مدرسی را این‌گونه متهم به سیاسی‌بودن می‌کند و آن را می‌خواهد از حیّز انتفاع ساقط گرداند، بدون اینکه دلیل و قرینه‌ای برای ادّعای خود ارائه دهد</w:t>
      </w:r>
      <w:r>
        <w:rPr>
          <w:rFonts w:eastAsia="IRNazanin" w:cs="IRNazanin"/>
          <w:color w:val="111111"/>
          <w:sz w:val="28"/>
          <w:szCs w:val="28"/>
          <w:rtl w:val="true"/>
          <w:lang w:bidi="fa-IR"/>
        </w:rPr>
        <w:t>.</w:t>
      </w:r>
      <w:bookmarkStart w:id="446" w:name="pg8666_122499"/>
    </w:p>
    <w:p>
      <w:pPr>
        <w:pStyle w:val="BookText"/>
        <w:rPr/>
      </w:pPr>
      <w:bookmarkEnd w:id="4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علمای قدیم را که به بحث سندی نمی‌پرداختند، مایکل کوک متّهم به بی‌توجهی به صحت روایت می‌کند، ناشی از بی‌خبری و جهل نسبت به اتقان کار امامیه در بررسی اسناد روایات است و اینکه اصولاً صحت روایت نزد قدما به معنای وثوق به صدور بوده است و آنها به روایت غیرصحیحه و غیر موثق‌الصدور اعتبار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معنای روایت صحیح پس از عصر قدما با اصطلاح جدیدی مواجه شد که در تاریخ علم حدیث و درایه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نکتۀ قابل‌توجه در مطالب مایکل کوک در این قسمت قابل ارزیابی است</w:t>
      </w:r>
      <w:r>
        <w:rPr>
          <w:rFonts w:eastAsia="IRNazanin" w:cs="IRNazanin"/>
          <w:color w:val="111111"/>
          <w:sz w:val="28"/>
          <w:szCs w:val="28"/>
          <w:rtl w:val="true"/>
          <w:lang w:bidi="fa-IR"/>
        </w:rPr>
        <w:t>.</w:t>
      </w:r>
    </w:p>
    <w:p>
      <w:pPr>
        <w:pStyle w:val="Heading5"/>
        <w:numPr>
          <w:ilvl w:val="4"/>
          <w:numId w:val="1"/>
        </w:numPr>
        <w:rPr/>
      </w:pPr>
      <w:bookmarkStart w:id="447" w:name="__RefHeading___Toc2419790_653776707"/>
      <w:bookmarkStart w:id="448" w:name="_Toc175"/>
      <w:bookmarkEnd w:id="447"/>
      <w:r>
        <w:rPr>
          <w:rtl w:val="true"/>
        </w:rPr>
        <w:t>الف</w:t>
      </w:r>
      <w:r>
        <w:rPr>
          <w:rtl w:val="true"/>
        </w:rPr>
        <w:t xml:space="preserve">) </w:t>
      </w:r>
      <w:r>
        <w:rPr>
          <w:rtl w:val="true"/>
        </w:rPr>
        <w:t>گزارش</w:t>
      </w:r>
      <w:bookmarkEnd w:id="448"/>
    </w:p>
    <w:p>
      <w:pPr>
        <w:pStyle w:val="BookText"/>
        <w:rPr/>
      </w:pPr>
      <w:r>
        <w:rPr>
          <w:rFonts w:ascii="IRNazanin" w:hAnsi="IRNazanin" w:eastAsia="IRNazanin"/>
          <w:color w:val="111111"/>
          <w:sz w:val="28"/>
          <w:sz w:val="28"/>
          <w:szCs w:val="28"/>
          <w:rtl w:val="true"/>
          <w:lang w:bidi="fa-IR"/>
        </w:rPr>
        <w:t>آنچه تاکنون گزارش شد، عقیده شیعه در رابطه با امر به معروف و مطالب مربوط به کلاس درس و مباحثات علمی و نظری است نه عمل‌گرایی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حساس ویژه‌ای که در روابط متقابل فقه شیعه با واقعیت‌های سیاسی اجتماعی نیست؛ ولی برخلاف این سابقه، شاهد تغییرات عمده‌ای در دهه‌های اخیر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پدیده، نظر محمدتقی قمی است که در این اواخر، روایات امر به معروف و نهی از منکر را از لحاظ سندی مورد مداقه قرار داده و مرتبۀ اول و سوم را از نهی از منکر ردّ کرده است و در مورد شرایط امر به معروف و نهی از منکر در یک شرط تردید و دو شرط را هم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سابقه هزار ساله شیعه را وقتی نگاه کنیم آنچه در آن مشهود است فاقد شرح عینی و زنده است و در درون جامعه رسوخ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امامی مانند هر جای دیگر بیشتر به نهی از منکر می‌پرداختند تا به آرای خشک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استفتاهایی که از 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نگاهی هست که از طرف علمای امامی خیلی به آن توجه نشده است، مانند این سؤالات که آیا مرد می‌تواند همسرش را نهی از منکر کند یا نه؟ آیا در مقام نهی ازمنکر کسی با پدرش به تندی می‌تواند سخن بگوید؟ غناء حرام کدام است؟ آیا لرزیدن صدا موجب حرمت می‌شود یانه؟ شکستن ظرف شراب حکمش چیست؟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صفوی نیز نسبت به اجرای این وظیفه استنباط خاصی از منکرات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تهرانی در الذریعة شرح احوال علمایی را از سدۀ چهارم ذکر می‌کند که در نهی از </w:t>
      </w:r>
      <w:bookmarkStart w:id="449" w:name="pg8666_122501"/>
    </w:p>
    <w:p>
      <w:pPr>
        <w:pStyle w:val="BookText"/>
        <w:rPr/>
      </w:pPr>
      <w:bookmarkEnd w:id="449"/>
      <w:r>
        <w:rPr>
          <w:rFonts w:ascii="IRNazanin" w:hAnsi="IRNazanin" w:eastAsia="IRNazanin"/>
          <w:color w:val="111111"/>
          <w:sz w:val="28"/>
          <w:sz w:val="28"/>
          <w:szCs w:val="28"/>
          <w:rtl w:val="true"/>
          <w:lang w:bidi="fa-IR"/>
        </w:rPr>
        <w:t>منکر صلابت و شجاعت داشته‌اند و رویارویی آنها با خطر و تحمل مصیبت در این جهت فضیلت شمرده می‌شود؛ ولی این موضوع در ردیف بحث‌های علمی سنتی قرار نگرفت و به سبب گرایش کتب امامیه در پیش از تجددگرایی به حذف موضوع جهاد از کتب فقهی، بحث امر به معروف هم اهمیت خود را از دست داد و نهی از منکر که بخشی از جهاد بود، قربانی این حذف شد</w:t>
      </w:r>
      <w:r>
        <w:rPr>
          <w:rFonts w:eastAsia="IRNazanin" w:cs="IRNazanin"/>
          <w:color w:val="111111"/>
          <w:sz w:val="28"/>
          <w:szCs w:val="28"/>
          <w:rtl w:val="true"/>
          <w:lang w:bidi="fa-IR"/>
        </w:rPr>
        <w:t>.</w:t>
      </w:r>
    </w:p>
    <w:p>
      <w:pPr>
        <w:pStyle w:val="Heading5"/>
        <w:numPr>
          <w:ilvl w:val="4"/>
          <w:numId w:val="1"/>
        </w:numPr>
        <w:rPr/>
      </w:pPr>
      <w:bookmarkStart w:id="450" w:name="__RefHeading___Toc2419792_653776707"/>
      <w:bookmarkStart w:id="451" w:name="_Toc176"/>
      <w:bookmarkEnd w:id="450"/>
      <w:r>
        <w:rPr>
          <w:rtl w:val="true"/>
        </w:rPr>
        <w:t>ب</w:t>
      </w:r>
      <w:r>
        <w:rPr>
          <w:rtl w:val="true"/>
        </w:rPr>
        <w:t xml:space="preserve">) </w:t>
      </w:r>
      <w:r>
        <w:rPr>
          <w:rtl w:val="true"/>
        </w:rPr>
        <w:t>ارزیابی</w:t>
      </w:r>
      <w:bookmarkEnd w:id="451"/>
    </w:p>
    <w:p>
      <w:pPr>
        <w:pStyle w:val="BookText"/>
        <w:rPr/>
      </w:pPr>
      <w:r>
        <w:rPr>
          <w:rFonts w:ascii="IRNazanin" w:hAnsi="IRNazanin" w:eastAsia="IRNazanin"/>
          <w:color w:val="111111"/>
          <w:sz w:val="28"/>
          <w:sz w:val="28"/>
          <w:szCs w:val="28"/>
          <w:rtl w:val="true"/>
          <w:lang w:bidi="fa-IR"/>
        </w:rPr>
        <w:t xml:space="preserve">احیاناً واژه‌هایی در عبارت کتاب امر به معروف مایکل کوک به‌ویژه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چندان مفهومی روشن در فضا و محیط جوامع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تجددگرایی</w:t>
      </w:r>
      <w:r>
        <w:rPr>
          <w:rStyle w:val="FootnoteAnchor"/>
          <w:rtl w:val="true"/>
        </w:rPr>
        <w:footnoteReference w:id="89"/>
      </w:r>
      <w:r>
        <w:rPr>
          <w:rFonts w:ascii="IRNazanin" w:hAnsi="IRNazanin" w:eastAsia="IRNazanin"/>
          <w:color w:val="111111"/>
          <w:sz w:val="28"/>
          <w:sz w:val="28"/>
          <w:szCs w:val="28"/>
          <w:rtl w:val="true"/>
          <w:lang w:bidi="fa-IR"/>
        </w:rPr>
        <w:t>که قبل و بعد آن مشخص نیست، منظور دقیقاً چیست و به چه مطلبی اشاره می‌کند؟ آیا منظور انقلاب اسلامی ایران است یا منظور مشروطیت است؟ آیا منظور تحوّلات عراق و یا سایر جهان است؟ آیا این مفهوم یک مفهومی سیاسی است یا اجتماعی و یا علمی؟ این ابهام برای خواننده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کسی که در غرب زندگی می‌کند، مفهوم تجدّدگرایی مفهومی روشن و اصطلاحی ویژه باشد، ولی برای اهالی غرب آسیا و ملل اسلامی مطلب روشن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مفهوم محافظه‌کارانه که مایکل کوک در بحث از علمای سده هشتم تا چهاردهم پژوهش‌های علمی آن را عمیقاً محافظه‌کارانه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هم مثل مفهوم تجددگرایی دقیقاً معلوم نیست که به چه مدلول و معنایی اشاره دارد؟ آیا این مفهوم که در ظاهر مفهومی سیاسی است، در امور علمی نیز کاربرد دارد؟ منظور از آن چیست؟ اصولاً در روش ومنهج اجتهادی امامیه که خط قرمزی جز آموزه‌های وحیانی قرآن و عترت وجود ندارد، محافظه‌کاری به چه معناست؟ آیا این فقط ویژگی قرن هشتم تا چهاردهم است یا اینکه در طول حیات علمی علمای امامیه چنین بوده است؟ این هم برای خواننده شرقی و اسلامی روشن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اصطلاحی سومی که در سخن مایکل در فصل امامیه مشاهده می‌شود، عبارت بنیادگرایی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علمای دوران جدید، عمیقاً به راه دیگری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بنیادگرایی جدید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بیشتر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سیاسی داشت نه فکری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سخن هم ادّعایی بسیار مهم است که به‌صورت مبهم و بدون تبیین و تفسیر و ذکر قرائن و شواهد، از آن عبور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جدید کدام است؟ منظور چه کسانی هستند؟ منظور از بنیادگرایی چیست؟ قدیم و جدید آن کدام است؟ اصولاً آیا امامیۀ غیربنیادگرا هم معنا دارد؟ بنیادگرایی سیاسی یعنی چه؟ تفاوت آن با بنیادگرایی فکری در کجاست؟ چرا سیاسی است نه فکری؟ تمامی سؤالات بی‌پاسخ می‌ماند؛ درحالی‌که ادّعای بسیار بزرگ و تأثیرگذار در حرکت علمی امامیه در طول تاریخ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چهارمی را که بارها و بارها مایکل در مورد امامیه در سراسر کتاب به کار می‌برد، ولی توضیح نداده است، عبارت تسلیم و رضای امامیه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تسلیم و رضا یعنی چه؟ تسلیم نسبت به چه؟ و رضا از چه؟ حاکمیت، گناه، ظلم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بحث علمی، لازم است، این قبیل ادّعاهای گزاف و دهان‌پرکن، اوّلاً به‌خوبی تفسیر و تبیین شود و ثانیاً ادلۀ آن را به وضوح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اینکه برداشتی از نظریۀ امامیه باشد، قابل‌اسناد به ایشان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نظریۀ اهل سنت دراین‌باره در مقایسه با نظریۀ امامیه به‌خوبی آشکار می‌شد و بیان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و احادیث اهل سنت در صحیح بخاری و مسلم و سیرۀ نبوی از صحابه مثل عبدالله‌بن‌عمر تأیید می‌کند و در نهایت، جزء فتاوای مورد قبول عامۀ مذاهب فقهیاهل سنت قرار گرفته، آن است که ایشان مشروعیت با تغلّب و از روی شمشیر را می‌پذیرند و خروج و انقلاب علیه دولتی را که مستقر شده اگرچه حاکم ستمگر و فاسق و فاسد باشد، جایز نمی‌شمرند و ازاین‌رو ثوره را که موجب هرج و مرج و فتنه و خونریزی و </w:t>
      </w:r>
    </w:p>
    <w:p>
      <w:pPr>
        <w:pStyle w:val="BookText"/>
        <w:rPr/>
      </w:pPr>
      <w:r>
        <w:rPr>
          <w:rFonts w:ascii="IRNazanin" w:hAnsi="IRNazanin" w:eastAsia="IRNazanin"/>
          <w:color w:val="111111"/>
          <w:sz w:val="28"/>
          <w:sz w:val="28"/>
          <w:szCs w:val="28"/>
          <w:rtl w:val="true"/>
          <w:lang w:bidi="fa-IR"/>
        </w:rPr>
        <w:t>آشوب می‌شود، امری ناروا و حرام می‌دانند و اطاعت محض از سلطان جائر را نیز به‌عنوان اینکه اولواالامر است، طبق آیۀ قرآن واجب می‌دانند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به‌نظر می‌رسد، برای این عقیده، کاربرد واژۀ تسلیم و رضا نسبت به حاکمیت سلطان جور صحیح و قابل انطباق باشد و صرفاً یک تحلیل محسوب نمی‌شود؛ چون سخنی است که به‌روشنی در اندیشۀ ایشان بدون نیاز به تحلیل منعکس است و ادلۀ آن هم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هم در فصول پیش، آن را از قول ابن‌حنبل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نظر اهل تسنن امنیت بر عدالت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نظریۀ امامیه قصّه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که شرط امامت را نصب و عصمت و اذن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حاکمیت‌هایی را که در این معیار قرار نگیرند، سلطان جور و نامشروع و غاصب می‌شمارند و اطاعت از او را جایز نمی‌دانند؛ ازاین‌رو در طول تاریخ در برابر نظام‌های ستمگر، جائر و طاغوت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قیام و براندازی درصورتی‌که شرایط تقیه حاکم بود و قدرت و تمکن برای انقلاب و براندازی نبود، قیام واجب نمی‌شود و یا حتی در مواردی حرام می‌شود، ولی این نه به معنای تسلیم و رضا در برابر حاکمیت و اثبات مشروعیت آن است، بلکه حتی در این صورت هم، تصرفات سلطان جائر غیرمشروع است و اطاعت از او نیز حتی‌الامکان مجاز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و رضا در صورت عدم‌تمکن از براندازی و وجود تقیه، نامفهوم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امکان قیام و قطع ید غاصبان و برقراری عدالت، اقدام برای خلع ید غاصب، جایز و یا حتی واجب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تسلیم و رضا نزد امامیه را باید شرح و بسط داد که چه معنا و مفهومی اراده شده است؟ اینکه در طول تاریخ از امویان تا دوره عباسیان و سایر حاکمیت‌های جور،همواره قیام‌های شیعی و امامی وجود داشته است،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هم که سلاطین شیعی حاکمیت یافته‌اند مثل صفویه و قاجاریه و پهلوی در ایران، این عقیده </w:t>
      </w:r>
    </w:p>
    <w:p>
      <w:pPr>
        <w:pStyle w:val="BookText"/>
        <w:rPr/>
      </w:pPr>
      <w:r>
        <w:rPr>
          <w:rFonts w:ascii="IRNazanin" w:hAnsi="IRNazanin" w:eastAsia="IRNazanin"/>
          <w:color w:val="111111"/>
          <w:sz w:val="28"/>
          <w:sz w:val="28"/>
          <w:szCs w:val="28"/>
          <w:rtl w:val="true"/>
          <w:lang w:bidi="fa-IR"/>
        </w:rPr>
        <w:t>وجود داشته است و مبارزات علمای شیعه در کشورهای مختلف ایران، عراق، لبنان، حجاز،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استوار بوده است، مگر اینکه شرایط تقیۀ سختی برقرار باشد که امکان هیچ حرکتی علیه جور و فساد و فسق وجود نداشته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میان امامیۀ شناسنامه‌ای، نظریه‌ای شاذّ مثل نظریۀ نفی مهدویت، غلوّ در امامت، نفی مبارزه با گناه و فساد و یا تحریف در مهدویت مطرح گردد و برای نمونه اقدام علیه جور و فسق و گناه را جایز یا واجب نداند، ولی در مقام بیان عقاید یک طائفه، باید عقیدۀ قاطبۀ آن طائفه را که مرکز مغناطیس اندیشه‌های آنها محسوب می‌شود و از ناحیۀ غالب آنها حجیت و اعتبار دارد، محور قرار داد و آنچه دور از کانون مرکزی اندیشه‌های آنها است و جزء نظرات شاذ و ضعیف و به‌عنوان خروج از آن مذهب محسوب می‌شود، آن را نمی‌توان معیار عقیدۀ یک مذهب و طائفه قرار داد، چون همواره در هر مذهب و گروه و طائفه و حزبی، نظرات شاذّ و بیرون از عقاید پذیرفته شده نیز وجود دارد، ولی آنها معیار برای استناد محسوب نمی‌شوند</w:t>
      </w:r>
      <w:r>
        <w:rPr>
          <w:rFonts w:eastAsia="IRNazanin" w:cs="IRNazanin"/>
          <w:color w:val="111111"/>
          <w:sz w:val="28"/>
          <w:szCs w:val="28"/>
          <w:rtl w:val="true"/>
          <w:lang w:bidi="fa-IR"/>
        </w:rPr>
        <w:t xml:space="preserve">. </w:t>
      </w:r>
      <w:bookmarkStart w:id="452" w:name="pg8666_122509"/>
    </w:p>
    <w:p>
      <w:pPr>
        <w:pStyle w:val="Heading3"/>
        <w:numPr>
          <w:ilvl w:val="2"/>
          <w:numId w:val="1"/>
        </w:numPr>
        <w:rPr/>
      </w:pPr>
      <w:bookmarkStart w:id="453" w:name="__RefHeading___Toc2419794_653776707"/>
      <w:bookmarkStart w:id="454" w:name="_Toc177"/>
      <w:bookmarkEnd w:id="452"/>
      <w:bookmarkEnd w:id="453"/>
      <w:r>
        <w:rPr>
          <w:rtl w:val="true"/>
        </w:rPr>
        <w:t>گزارش و ارزیابی پیوست فصل یازدهم</w:t>
      </w:r>
      <w:r>
        <w:rPr>
          <w:rtl w:val="true"/>
        </w:rPr>
        <w:t xml:space="preserve">: </w:t>
      </w:r>
      <w:r>
        <w:rPr>
          <w:rtl w:val="true"/>
        </w:rPr>
        <w:t>اسماعیلیه</w:t>
      </w:r>
      <w:bookmarkEnd w:id="454"/>
    </w:p>
    <w:p>
      <w:pPr>
        <w:pStyle w:val="Heading4"/>
        <w:numPr>
          <w:ilvl w:val="3"/>
          <w:numId w:val="1"/>
        </w:numPr>
        <w:rPr/>
      </w:pPr>
      <w:bookmarkStart w:id="455" w:name="__RefHeading___Toc2419796_653776707"/>
      <w:bookmarkStart w:id="456" w:name="_Toc178"/>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گزارش و ارزیابی پیوست 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w:t>
      </w:r>
      <w:r>
        <w:rPr>
          <w:rStyle w:val="FootnoteAnchor"/>
          <w:rtl w:val="true"/>
        </w:rPr>
        <w:footnoteReference w:id="93"/>
      </w:r>
    </w:p>
    <w:p>
      <w:pPr>
        <w:pStyle w:val="Heading4"/>
        <w:numPr>
          <w:ilvl w:val="3"/>
          <w:numId w:val="1"/>
        </w:numPr>
        <w:rPr/>
      </w:pPr>
      <w:bookmarkStart w:id="457" w:name="__RefHeading___Toc2419798_653776707"/>
      <w:bookmarkStart w:id="458" w:name="_Toc179"/>
      <w:bookmarkEnd w:id="457"/>
      <w:r>
        <w:rPr>
          <w:rtl w:val="true"/>
        </w:rPr>
        <w:t>مبحث پیوست اسماعلیه</w:t>
      </w:r>
      <w:bookmarkEnd w:id="458"/>
    </w:p>
    <w:p>
      <w:pPr>
        <w:pStyle w:val="Heading5"/>
        <w:numPr>
          <w:ilvl w:val="4"/>
          <w:numId w:val="1"/>
        </w:numPr>
        <w:rPr/>
      </w:pPr>
      <w:bookmarkStart w:id="459" w:name="__RefHeading___Toc2419800_653776707"/>
      <w:bookmarkStart w:id="460" w:name="_Toc180"/>
      <w:bookmarkEnd w:id="459"/>
      <w:r>
        <w:rPr>
          <w:rtl w:val="true"/>
        </w:rPr>
        <w:t>الف</w:t>
      </w:r>
      <w:r>
        <w:rPr>
          <w:rtl w:val="true"/>
        </w:rPr>
        <w:t xml:space="preserve">) </w:t>
      </w:r>
      <w:r>
        <w:rPr>
          <w:rtl w:val="true"/>
        </w:rPr>
        <w:t>گزارش</w:t>
      </w:r>
      <w:bookmarkEnd w:id="460"/>
    </w:p>
    <w:p>
      <w:pPr>
        <w:pStyle w:val="BookText"/>
        <w:rPr/>
      </w:pPr>
      <w:r>
        <w:rPr>
          <w:rFonts w:ascii="IRNazanin" w:hAnsi="IRNazanin" w:eastAsia="IRNazanin"/>
          <w:color w:val="111111"/>
          <w:sz w:val="28"/>
          <w:sz w:val="28"/>
          <w:szCs w:val="28"/>
          <w:rtl w:val="true"/>
          <w:lang w:bidi="fa-IR"/>
        </w:rPr>
        <w:t>مایکل کوک مبحث عقاید اسماعیلیه و رویکرد آنها را در مورد نهی از منکر به‌عنوان پیوست مبحث امامیه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اسماعیلیه فرقه‌ای باطنی با آمیزه‌ای از سیاست مذهبی اسلامی و تفکر عارفانۀ کیهان‌شناختی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عارفانه و باطنی آن چندان تناسبی با مفهوم نهی از منکر نداشت؛ ازاین‌رو اسماعیلیه قائل به نهی از منکر به‌عنوان اصلی از اصول اساسی‌شان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برای مشروعیت پیشوای سیاسی و امام‌شان از همین زمینۀ سیاسی و از نهی از منکر کمک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عرفان پیش از اسلام نیازی به آن نداشت</w:t>
      </w:r>
      <w:r>
        <w:rPr>
          <w:rFonts w:eastAsia="IRNazanin" w:cs="IRNazanin"/>
          <w:color w:val="111111"/>
          <w:sz w:val="28"/>
          <w:szCs w:val="28"/>
          <w:rtl w:val="true"/>
          <w:lang w:bidi="fa-IR"/>
        </w:rPr>
        <w:t>.</w:t>
      </w:r>
    </w:p>
    <w:p>
      <w:pPr>
        <w:pStyle w:val="Heading5"/>
        <w:numPr>
          <w:ilvl w:val="4"/>
          <w:numId w:val="1"/>
        </w:numPr>
        <w:rPr/>
      </w:pPr>
      <w:bookmarkStart w:id="461" w:name="__RefHeading___Toc2419802_653776707"/>
      <w:bookmarkStart w:id="462" w:name="_Toc181"/>
      <w:bookmarkEnd w:id="461"/>
      <w:r>
        <w:rPr>
          <w:rtl w:val="true"/>
        </w:rPr>
        <w:t>ب</w:t>
      </w:r>
      <w:r>
        <w:rPr>
          <w:rtl w:val="true"/>
        </w:rPr>
        <w:t xml:space="preserve">) </w:t>
      </w:r>
      <w:r>
        <w:rPr>
          <w:rtl w:val="true"/>
        </w:rPr>
        <w:t>ارزیابی</w:t>
      </w:r>
      <w:bookmarkEnd w:id="4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ادّعای ابتدای پیوست مایکل که از اسماعیلیه به نام تفکر عارفانۀ کیهان‌شناختی یاد می‌کند و به نوعی می‌خواهد آن را به عرفان پیش از اسلام ربط دهد، به اندازۀ کافی شاهدی برای آن ارائه نشده است</w:t>
      </w:r>
      <w:r>
        <w:rPr>
          <w:rFonts w:eastAsia="IRNazanin" w:cs="IRNazanin"/>
          <w:color w:val="111111"/>
          <w:sz w:val="28"/>
          <w:szCs w:val="28"/>
          <w:rtl w:val="true"/>
          <w:lang w:bidi="fa-IR"/>
        </w:rPr>
        <w:t xml:space="preserve">. </w:t>
      </w:r>
      <w:bookmarkStart w:id="463" w:name="pg8666_122511"/>
    </w:p>
    <w:p>
      <w:pPr>
        <w:pStyle w:val="BookText"/>
        <w:rPr/>
      </w:pPr>
      <w:bookmarkEnd w:id="463"/>
      <w:r>
        <w:rPr>
          <w:rFonts w:ascii="IRNazanin" w:hAnsi="IRNazanin" w:eastAsia="IRNazanin"/>
          <w:color w:val="111111"/>
          <w:sz w:val="28"/>
          <w:sz w:val="28"/>
          <w:szCs w:val="28"/>
          <w:rtl w:val="true"/>
          <w:lang w:bidi="fa-IR"/>
        </w:rPr>
        <w:t>ثانیاً طرح این گروه در پیوست بحث امامیه قابل توجیه نیست؛ چون موجب ابهام می‌شود که به نوعی آنها ملحق به امامیه باشند، چنانچه طرح اسماعیلیه در ادامۀ متعزلیان نیز توجیه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چرا پیوست زیدیه نباشد؟</w:t>
      </w:r>
    </w:p>
    <w:p>
      <w:pPr>
        <w:pStyle w:val="Heading5"/>
        <w:numPr>
          <w:ilvl w:val="4"/>
          <w:numId w:val="1"/>
        </w:numPr>
        <w:rPr/>
      </w:pPr>
      <w:bookmarkStart w:id="464" w:name="__RefHeading___Toc2419804_653776707"/>
      <w:bookmarkStart w:id="465" w:name="_Toc182"/>
      <w:bookmarkEnd w:id="464"/>
      <w:r>
        <w:rPr>
          <w:rtl w:val="true"/>
        </w:rPr>
        <w:t>الف</w:t>
      </w:r>
      <w:r>
        <w:rPr>
          <w:rtl w:val="true"/>
        </w:rPr>
        <w:t xml:space="preserve">) </w:t>
      </w:r>
      <w:r>
        <w:rPr>
          <w:rtl w:val="true"/>
        </w:rPr>
        <w:t>گزارش</w:t>
      </w:r>
      <w:bookmarkEnd w:id="465"/>
    </w:p>
    <w:p>
      <w:pPr>
        <w:pStyle w:val="BookText"/>
        <w:rPr/>
      </w:pPr>
      <w:r>
        <w:rPr>
          <w:rFonts w:ascii="IRNazanin" w:hAnsi="IRNazanin" w:eastAsia="IRNazanin"/>
          <w:color w:val="111111"/>
          <w:sz w:val="28"/>
          <w:sz w:val="28"/>
          <w:szCs w:val="28"/>
          <w:rtl w:val="true"/>
          <w:lang w:bidi="fa-IR"/>
        </w:rPr>
        <w:t>طبق نظریۀ اسماعیلیه نهی از منکر مربوط به امام و پیشوای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جوهرۀ باطنی این مذهب در هماهنگی محیط اسلامی به‌صورت ظاهری درآمد و عنصر نهی از منکر هرچند محور نبود، ولی اهمیت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حملۀ فاطمیان در مصر اتفاق افتاد، شخصی به نام قائم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 را در فساد اخلاق حاکمان مطرح کرد و اعلان کرد تا ظهور عبیدالله مهدی که دوران حکومتش از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هیچ‌کس نهی از منکر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معز یکی دیگر از خلفای فاطمی که در سال‌های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کرده، از وظیفه‌ای که خداوند به عهدۀ پیشوایان گذاشته که نهی از منکر کنند و از خوردن شراب، نواختن موسیقی و شهوات جنسی نهی کنند،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رهبران اسماعیلیه به نام احمدبن‌ابراهیم نیشابوری که از داعیان اسماعیلیه است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اشاره به امام می‌داند و وظیفۀ نهی از منکر را از وظایف آنها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تلاش را حاکم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تحمیل اصول اخلاقی در سایۀ نهی از منکر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توسط نمایندۀ امام یعنی داعیان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شخصی به نام ابوعبدالله شیعی در زمان حکومت</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 به شرب خمر و منکرات قیام می‌کند و به دولت‌های همسایه نامه می‌نویسد و به حکام اسلامی یادآوری می‌کند که کار ما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آیۀ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به داعیان توسعه می‌دهد و تأکید می‌کند خود داعیان باید اهل عمل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حاکمان اسماعیلی حسن صباح است که در اَلَموت در سال‌های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بوده، به‌ویژه نسبت به جلوگیری از شراب و موسیقی اهتمام داشته و نهی از منکر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ابراهیم‌بن‌حسین حامدی یمنی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نهی از منکر می‌کرده است</w:t>
      </w:r>
      <w:r>
        <w:rPr>
          <w:rFonts w:eastAsia="IRNazanin" w:cs="IRNazanin"/>
          <w:color w:val="111111"/>
          <w:sz w:val="28"/>
          <w:szCs w:val="28"/>
          <w:rtl w:val="true"/>
          <w:lang w:bidi="fa-IR"/>
        </w:rPr>
        <w:t xml:space="preserve">. </w:t>
      </w:r>
      <w:bookmarkStart w:id="466" w:name="pg8666_122513"/>
    </w:p>
    <w:p>
      <w:pPr>
        <w:pStyle w:val="BookText"/>
        <w:rPr/>
      </w:pPr>
      <w:bookmarkEnd w:id="466"/>
      <w:r>
        <w:rPr>
          <w:rFonts w:ascii="IRNazanin" w:hAnsi="IRNazanin" w:eastAsia="IRNazanin"/>
          <w:color w:val="111111"/>
          <w:sz w:val="28"/>
          <w:sz w:val="28"/>
          <w:szCs w:val="28"/>
          <w:rtl w:val="true"/>
          <w:lang w:bidi="fa-IR"/>
        </w:rPr>
        <w:t>مایکل معتقد است که نهی از منکر در سیاست اسماعیلیه اگرچه رسوخ کرده، ولی تفاوت آن با زیدیه به دلیل اینکه اسماعیلیه یک فرقه باطنیه به حساب می‌آید، خیلی روشن نیست و جز اشارات چیز قابل‌توجهی از خود بر جای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نمونۀ گویا و مشروح در کتاب قاضی نعمان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اسماعیلی در اختیار داریم، ولی به جز آنچه به آن اشاره شد در موردنهی از منکر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اسماعیلیه فقط یک روایت دیده می‌شود که داعی یمنی علی‌بن محمد‌بن‌ولید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آیات قرآن آورده و آن حدیث معروف نهی از منکر سه مرحله‌ای است و معتقد است که اگر شخصی توانایی نهی از منکر را نداشته باشد، از عهده‌اش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تقیه به‌عنوان دلیل انجام ندادن نام می‌برد و این کار را مختص علما می‌داند نه غیرآنها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مطلب را بعداً به متن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مایکل کوک، بعضی از مطالب پیوست می‌تواند به علت تأثیر متقابل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نامه و خطابۀ عبدالله شیعی در مقابل حکام اهل سنت است، ولی این گفته نمی‌تواند در مورد حسن صباح صادق باشد؛ چون در الموت که از توابع قزوین است، سنی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بدون مفهوم امر به معروف، عاملی معتبر در سنت اسماعیلیه است، ولی آنچه کم داریم نشانه‌ای از این مطلب است که تا چه حدّ به اندیشۀ اسماعیلیه ربط دارد؟ آیا با تعبیری رمزآمیز از این بحث خارج شده بود؟</w:t>
      </w:r>
    </w:p>
    <w:p>
      <w:pPr>
        <w:pStyle w:val="BookText"/>
        <w:rPr/>
      </w:pPr>
      <w:r>
        <w:rPr>
          <w:rFonts w:ascii="IRNazanin" w:hAnsi="IRNazanin" w:eastAsia="IRNazanin"/>
          <w:color w:val="111111"/>
          <w:sz w:val="28"/>
          <w:sz w:val="28"/>
          <w:szCs w:val="28"/>
          <w:rtl w:val="true"/>
          <w:lang w:bidi="fa-IR"/>
        </w:rPr>
        <w:t>ابن‌ابی‌الحدید معتقد است که اسماعیلیه وقتی حاکمان را می‌کشتند، براساس نهی از منکر کار خود را توجیه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معتقد است که من برای سخن ابن‌ابی‌الحدید مستندی که بتواند آن را ثابت کند، نیافتم</w:t>
      </w:r>
      <w:r>
        <w:rPr>
          <w:rFonts w:eastAsia="IRNazanin" w:cs="IRNazanin"/>
          <w:color w:val="111111"/>
          <w:sz w:val="28"/>
          <w:szCs w:val="28"/>
          <w:rtl w:val="true"/>
          <w:lang w:bidi="fa-IR"/>
        </w:rPr>
        <w:t>.</w:t>
      </w:r>
    </w:p>
    <w:p>
      <w:pPr>
        <w:pStyle w:val="Heading5"/>
        <w:numPr>
          <w:ilvl w:val="4"/>
          <w:numId w:val="1"/>
        </w:numPr>
        <w:rPr/>
      </w:pPr>
      <w:bookmarkStart w:id="467" w:name="__RefHeading___Toc2419806_653776707"/>
      <w:bookmarkStart w:id="468" w:name="_Toc183"/>
      <w:bookmarkEnd w:id="467"/>
      <w:r>
        <w:rPr>
          <w:rtl w:val="true"/>
        </w:rPr>
        <w:t>ب</w:t>
      </w:r>
      <w:r>
        <w:rPr>
          <w:rtl w:val="true"/>
        </w:rPr>
        <w:t xml:space="preserve">) </w:t>
      </w:r>
      <w:r>
        <w:rPr>
          <w:rtl w:val="true"/>
        </w:rPr>
        <w:t>ارزیابی</w:t>
      </w:r>
      <w:bookmarkEnd w:id="46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مایکل کوک در پاورقی پیوست اسماعیلیه، به بعضی مصادر قاضی نعمان و کتاب دعائم الاسلام اشاره می‌کند، ولی به این بحث نمی‌پردازد که در این کتاب قاضی نعمان که اکنون در اختیار علمای شیعه است و از مصادر اصلی کتاب مستدرک الوسائل مرحوم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ده‌ها روایت در کتاب الامر بالمعروف و النهی عن المنکر از مستدرک الوسائل از دعائم الاسلام قاضی نعمان نقل می‌کند که بسیاری از آنها همان مضامین روایات موجود در مصادر شیعه است؛</w:t>
      </w:r>
      <w:r>
        <w:rPr>
          <w:rStyle w:val="FootnoteAnchor"/>
          <w:rtl w:val="true"/>
        </w:rPr>
        <w:footnoteReference w:id="94"/>
      </w:r>
      <w:r>
        <w:rPr>
          <w:rFonts w:ascii="IRNazanin" w:hAnsi="IRNazanin" w:eastAsia="IRNazanin"/>
          <w:color w:val="111111"/>
          <w:sz w:val="28"/>
          <w:sz w:val="28"/>
          <w:szCs w:val="28"/>
          <w:rtl w:val="true"/>
          <w:lang w:bidi="fa-IR"/>
        </w:rPr>
        <w:t>از جمله روایت معروف، انجام این فریضه با دست و بالسان و با قلب</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ازآنجاکه قاضی ابوحنیفه نعمان‌بن ابی‌عبدالله در دولت فاطمیون مصر در قرن سوم و چهارم، قاضیِ سه سلطان از سلاطین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بامرالله، منصور بالله و معزّ لدین‌الله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قاضی‌القضاة بوده است و کتاب او قانون رسمی دولت فاطمیان بوده و روایاتش را از کتاب 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مؤلفش ساکن مصر بوده، اخذ کرده است، بررسی و تحلیل این کتاب و این روایات، در این بحث لازم بوده است و در کتاب مایکل کوک گویا به غفلت از آن عبور شده است</w:t>
      </w:r>
      <w:r>
        <w:rPr>
          <w:rFonts w:eastAsia="IRNazanin" w:cs="IRNazanin"/>
          <w:color w:val="111111"/>
          <w:sz w:val="28"/>
          <w:szCs w:val="28"/>
          <w:rtl w:val="true"/>
          <w:lang w:bidi="fa-IR"/>
        </w:rPr>
        <w:t>.</w:t>
      </w:r>
      <w:r>
        <w:rPr>
          <w:rStyle w:val="FootnoteAnchor"/>
          <w:rtl w:val="true"/>
        </w:rPr>
        <w:footnoteReference w:id="96"/>
      </w:r>
      <w:bookmarkStart w:id="469" w:name="pg8666_122517"/>
    </w:p>
    <w:p>
      <w:pPr>
        <w:pStyle w:val="Heading2"/>
        <w:numPr>
          <w:ilvl w:val="1"/>
          <w:numId w:val="1"/>
        </w:numPr>
        <w:rPr/>
      </w:pPr>
      <w:bookmarkStart w:id="470" w:name="__RefHeading___Toc2419808_653776707"/>
      <w:bookmarkStart w:id="471" w:name="_Toc184"/>
      <w:bookmarkEnd w:id="469"/>
      <w:bookmarkEnd w:id="470"/>
      <w:r>
        <w:rPr>
          <w:rtl w:val="true"/>
        </w:rPr>
        <w:t>بخش چهارم</w:t>
      </w:r>
      <w:r>
        <w:rPr>
          <w:rtl w:val="true"/>
        </w:rPr>
        <w:t xml:space="preserve">: </w:t>
      </w:r>
      <w:r>
        <w:rPr>
          <w:rtl w:val="true"/>
        </w:rPr>
        <w:t>دیگر فرقه‌های اسلامی</w:t>
      </w:r>
      <w:bookmarkEnd w:id="47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2419810_653776707"/>
      <w:bookmarkStart w:id="473" w:name="_Toc185"/>
      <w:bookmarkEnd w:id="472"/>
      <w:r>
        <w:rPr>
          <w:rtl w:val="true"/>
        </w:rPr>
        <w:t>اشاره</w:t>
      </w:r>
      <w:bookmarkEnd w:id="47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8666_122521"/>
      <w:bookmarkStart w:id="475" w:name="pg8666_122521"/>
      <w:bookmarkEnd w:id="475"/>
    </w:p>
    <w:p>
      <w:pPr>
        <w:pStyle w:val="Heading3"/>
        <w:numPr>
          <w:ilvl w:val="2"/>
          <w:numId w:val="1"/>
        </w:numPr>
        <w:rPr/>
      </w:pPr>
      <w:bookmarkStart w:id="476" w:name="pg8666_122521"/>
      <w:bookmarkStart w:id="477" w:name="__RefHeading___Toc2419812_653776707"/>
      <w:bookmarkStart w:id="478" w:name="_Toc186"/>
      <w:bookmarkEnd w:id="476"/>
      <w:bookmarkEnd w:id="477"/>
      <w:r>
        <w:rPr>
          <w:rtl w:val="true"/>
        </w:rPr>
        <w:t>گزارش و ارزیابی فصل دوازدهم</w:t>
      </w:r>
      <w:r>
        <w:rPr>
          <w:rtl w:val="true"/>
        </w:rPr>
        <w:t xml:space="preserve">: </w:t>
      </w:r>
      <w:r>
        <w:rPr>
          <w:rtl w:val="true"/>
        </w:rPr>
        <w:t>حنفیان</w:t>
      </w:r>
      <w:bookmarkEnd w:id="478"/>
    </w:p>
    <w:p>
      <w:pPr>
        <w:pStyle w:val="Heading4"/>
        <w:numPr>
          <w:ilvl w:val="3"/>
          <w:numId w:val="1"/>
        </w:numPr>
        <w:rPr/>
      </w:pPr>
      <w:bookmarkStart w:id="479" w:name="__RefHeading___Toc2419814_653776707"/>
      <w:bookmarkStart w:id="480" w:name="_Toc187"/>
      <w:bookmarkEnd w:id="479"/>
      <w:r>
        <w:rPr/>
        <w:t>1</w:t>
      </w:r>
      <w:r>
        <w:rPr>
          <w:rtl w:val="true"/>
        </w:rPr>
        <w:t xml:space="preserve">. </w:t>
      </w:r>
      <w:r>
        <w:rPr>
          <w:rtl w:val="true"/>
        </w:rPr>
        <w:t>عقاید حنفی‌ها و نهی از منکر</w:t>
      </w:r>
      <w:bookmarkEnd w:id="480"/>
    </w:p>
    <w:p>
      <w:pPr>
        <w:pStyle w:val="Heading5"/>
        <w:numPr>
          <w:ilvl w:val="4"/>
          <w:numId w:val="1"/>
        </w:numPr>
        <w:rPr/>
      </w:pPr>
      <w:bookmarkStart w:id="481" w:name="__RefHeading___Toc2419816_653776707"/>
      <w:bookmarkStart w:id="482" w:name="_Toc188"/>
      <w:bookmarkEnd w:id="481"/>
      <w:r>
        <w:rPr>
          <w:rtl w:val="true"/>
        </w:rPr>
        <w:t>الف</w:t>
      </w:r>
      <w:r>
        <w:rPr>
          <w:rtl w:val="true"/>
        </w:rPr>
        <w:t xml:space="preserve">) </w:t>
      </w:r>
      <w:r>
        <w:rPr>
          <w:rtl w:val="true"/>
        </w:rPr>
        <w:t>گزارش</w:t>
      </w:r>
      <w:bookmarkEnd w:id="482"/>
    </w:p>
    <w:p>
      <w:pPr>
        <w:pStyle w:val="BookText"/>
        <w:rPr/>
      </w:pPr>
      <w:r>
        <w:rPr>
          <w:rFonts w:ascii="IRNazanin" w:hAnsi="IRNazanin" w:eastAsia="IRNazanin"/>
          <w:color w:val="111111"/>
          <w:sz w:val="28"/>
          <w:sz w:val="28"/>
          <w:szCs w:val="28"/>
          <w:rtl w:val="true"/>
          <w:lang w:bidi="fa-IR"/>
        </w:rPr>
        <w:t>به گفتۀ مایکل کوک حنفیه از نظر فقهی قدیمی‌ترین مذهب فقهی است، ولی هویت کلامی حنفیه به‌تدریج و کندی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ابوحنیفه سخنان کلامی پراکنده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پراکنده، بعدها در سمرقند توسط ابومنصور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یک مجموعه کلامی درآمده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کلامی عقاید حنفیه در قرن پنجم در میان ترکان یا سلجوقی‌ها به مذهب ماتریدیه شهرت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نیز مانند دیگر فرقه‌ها به دسته‌های مختلف مثل اهل حدیث حنفی، معتزلی حنفی و نجاریّه تقسیم می‌شود که وجه غالب آنان همان مذهب ماتریدیه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حمله ترکان در قرن پنجم، اختلاف کلامی حنفیه به‌طور کلی ازبین رفت و در قالب ماتریدیه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میراث نهی از منکر حنفی را از قرائت ماتریدیه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آثار معتزلی حنفی، از جمله تفسیر زمخشری باقی مانده است؛ ولی از نظر اهل حدیث حنفی آگاهی موثق نداریم و از نجاریّه بی‌خبریم</w:t>
      </w:r>
      <w:r>
        <w:rPr>
          <w:rFonts w:eastAsia="IRNazanin" w:cs="IRNazanin"/>
          <w:color w:val="111111"/>
          <w:sz w:val="28"/>
          <w:szCs w:val="28"/>
          <w:rtl w:val="true"/>
          <w:lang w:bidi="fa-IR"/>
        </w:rPr>
        <w:t xml:space="preserve">. </w:t>
      </w:r>
      <w:bookmarkStart w:id="483" w:name="pg8666_122523"/>
    </w:p>
    <w:p>
      <w:pPr>
        <w:pStyle w:val="Heading5"/>
        <w:numPr>
          <w:ilvl w:val="4"/>
          <w:numId w:val="1"/>
        </w:numPr>
        <w:rPr/>
      </w:pPr>
      <w:bookmarkStart w:id="484" w:name="__RefHeading___Toc2419818_653776707"/>
      <w:bookmarkStart w:id="485" w:name="_Toc189"/>
      <w:bookmarkEnd w:id="483"/>
      <w:bookmarkEnd w:id="484"/>
      <w:r>
        <w:rPr>
          <w:rtl w:val="true"/>
        </w:rPr>
        <w:t>ب</w:t>
      </w:r>
      <w:r>
        <w:rPr>
          <w:rtl w:val="true"/>
        </w:rPr>
        <w:t xml:space="preserve">) </w:t>
      </w:r>
      <w:r>
        <w:rPr>
          <w:rtl w:val="true"/>
        </w:rPr>
        <w:t>ارزیابی</w:t>
      </w:r>
      <w:bookmarkEnd w:id="485"/>
    </w:p>
    <w:p>
      <w:pPr>
        <w:pStyle w:val="BookText"/>
        <w:rPr/>
      </w:pPr>
      <w:r>
        <w:rPr>
          <w:rFonts w:ascii="IRNazanin" w:hAnsi="IRNazanin" w:eastAsia="IRNazanin"/>
          <w:color w:val="111111"/>
          <w:sz w:val="28"/>
          <w:sz w:val="28"/>
          <w:szCs w:val="28"/>
          <w:rtl w:val="true"/>
          <w:lang w:bidi="fa-IR"/>
        </w:rPr>
        <w:t>مایکل در بخش چهارم و فصل دوازدهم، نکاتی را یادآور می‌شود که به پاره‌ای از آنها پیش از این اشاره شد و اکنون با تفصیل یا با تقریب و شرحی متفاوت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عنوان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فرقه‌های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می‌کنیم که عنوانی نامأنوس است و ضربه به وزانت کار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فرق اسلامی یادآور عنوانی است که از آن چند مورد اندک استثنا می‌شود وگرنه در جایی که هنوز به اکثریت فرق پرداخته نشده است، این عنوان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مهم‌ترین فرق همان حنبلیان و معتزلیان و شیعیان بوده است و تعداد اندکی می‌ماند که مایکل می‌خواهد در عنوان دیگر فرق اسلامی از آنها بحث کند؛ درحالی‌که واقعیت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حنفیان، شافعیان، مالکیان، اباضیه، مذاهبی هستند که باید از آنها بحث شود؛ درحالی‌که خود حنفیان به‌تنهایی اکثریت مسلمانان را تشکیل می‌دهند و در طول تاریخ می‌توان آنها را مؤثرترین و پرپیروترین مذهب در جهان اسلام برشمرد؛ چنان‌که از هندوستان، پاکستان، افغانستان و سیستان گرفته، تا عراق، ترکیه و مناطق مسلمان‌نشین اروپا و بخش‌هایی از آفریقا همگی پیرو این 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بعد هم شافعیان در مناطق کردنشین و در فلسطین و مناطقی از آفریقا منتشرند و مالکیان نیز عمدتاً آفریقا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حنبلیان اقلیتی ضعیف از اهل سنّت‌اند، زیدیه و امامیه نیز در برابر اکثریت اهل سنت اقلیت محسوب می‌شوند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نتیجه آنکه کتاب مایکل تناسب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را جزء ستون فقرات کار خود قرار داده و اکثریت را با نام دیگر فرق یاد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مشکلی که در بالا به آن اشارت رفت، سرّش کجاست؟ احتمالاً مشکل از آنجا ناشی می‌شود که مبنای کار کتاب مایکل کوک میان کلام و فقه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 آن است که طبق کلام کار دنبال شود باید فصول کار به‌صورت مذاهب کلامی حشویه، جبریه، </w:t>
      </w:r>
      <w:bookmarkStart w:id="486" w:name="pg8666_122524"/>
    </w:p>
    <w:p>
      <w:pPr>
        <w:pStyle w:val="BookText"/>
        <w:rPr/>
      </w:pPr>
      <w:bookmarkEnd w:id="486"/>
      <w:r>
        <w:rPr>
          <w:rFonts w:ascii="IRNazanin" w:hAnsi="IRNazanin" w:eastAsia="IRNazanin"/>
          <w:color w:val="111111"/>
          <w:sz w:val="28"/>
          <w:sz w:val="28"/>
          <w:szCs w:val="28"/>
          <w:rtl w:val="true"/>
          <w:lang w:bidi="fa-IR"/>
        </w:rPr>
        <w:t>اشاعره، معتزله، عدلیه، امامیه، مرجئه، ماتریدیه و مانند آن تقسیم می‌شد و اگر مبنای کار مذاهب فقهی بود، باید به ترتیب تاریخی، اوّل از حنفیان و مالکیان و شافعیان و حنبلیان بحث می‌شد، سپس به مذاهب شیعه می‌پرداخت و در بخشی هم از اباضیه و سایر مذاهب منقرض شده مثل ظاهریه و اوزاعی و ثوری و مانند آن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صواب همان روش دوم است، چون محور بحث مایکل کوک، امر به معروف در اندیشۀ اسلامی است و در اندیشۀ اسلامی اولاً باید به کتاب و سنت و مباحث امر به معروف و نهی از منکر در آنها مراجعه کرد؛ ثانیاً بیش از</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درصد مباحث در مورد امر به معروف مباحث فقهی است، از نوع وجوب عینی یا کفایی، تا مراتب، اقسام، شرایط، قلمرو و غیره همگی مباحث فقهی‌اند؛ چون موضوع فقه فعل مکلّف است که متعلق یکی از احکام تکلیفی قرار گرفته است و امر به معروف هم یکی از تکالیفی است که به فعل مکلّف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آن‌طور که نویسنده انتظار دارد،</w:t>
      </w:r>
      <w:r>
        <w:rPr>
          <w:rStyle w:val="FootnoteAnchor"/>
          <w:rtl w:val="true"/>
        </w:rPr>
        <w:footnoteReference w:id="98"/>
      </w:r>
      <w:r>
        <w:rPr>
          <w:rFonts w:ascii="IRNazanin" w:hAnsi="IRNazanin" w:eastAsia="IRNazanin"/>
          <w:color w:val="111111"/>
          <w:sz w:val="28"/>
          <w:sz w:val="28"/>
          <w:szCs w:val="28"/>
          <w:rtl w:val="true"/>
          <w:lang w:bidi="fa-IR"/>
        </w:rPr>
        <w:t>نباید از حنفیان انتظار داشت که هویت کلامی مستقلی داشته باشند و همچنین در مورد سایر مذاهب فقهی نباید به دنبال مذهب کلامی آنها گشت؛ چیزی که اصلاً مبنای کار آنها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امامیه با سایر مذاهب تفاوت اساسی دارد، چون امامیه همان‌طور که فقه مستقل دارند، کلام آنان نیز مستقل و متفاوت از دیگران است؛ ازاین‌رو امامیه هم بر مبنای تقسیم کلامی و هم بر مبنای تقسیم فقهی فرق اسلامی، جای خود را مستقلاً محفوظ خواهد داشت</w:t>
      </w:r>
      <w:r>
        <w:rPr>
          <w:rFonts w:eastAsia="IRNazanin" w:cs="IRNazanin"/>
          <w:color w:val="111111"/>
          <w:sz w:val="28"/>
          <w:szCs w:val="28"/>
          <w:rtl w:val="true"/>
          <w:lang w:bidi="fa-IR"/>
        </w:rPr>
        <w:t>.</w:t>
      </w:r>
    </w:p>
    <w:p>
      <w:pPr>
        <w:pStyle w:val="Heading4"/>
        <w:numPr>
          <w:ilvl w:val="3"/>
          <w:numId w:val="1"/>
        </w:numPr>
        <w:rPr/>
      </w:pPr>
      <w:bookmarkStart w:id="487" w:name="__RefHeading___Toc2419820_653776707"/>
      <w:bookmarkStart w:id="488" w:name="_Toc190"/>
      <w:bookmarkEnd w:id="487"/>
      <w:r>
        <w:rPr/>
        <w:t>2</w:t>
      </w:r>
      <w:r>
        <w:rPr>
          <w:rtl w:val="true"/>
        </w:rPr>
        <w:t xml:space="preserve">. </w:t>
      </w:r>
      <w:r>
        <w:rPr>
          <w:rtl w:val="true"/>
        </w:rPr>
        <w:t>حنفیه پیش از دولت عثمانی</w:t>
      </w:r>
      <w:bookmarkEnd w:id="488"/>
    </w:p>
    <w:p>
      <w:pPr>
        <w:pStyle w:val="Heading5"/>
        <w:numPr>
          <w:ilvl w:val="4"/>
          <w:numId w:val="1"/>
        </w:numPr>
        <w:rPr/>
      </w:pPr>
      <w:bookmarkStart w:id="489" w:name="__RefHeading___Toc2419822_653776707"/>
      <w:bookmarkStart w:id="490" w:name="_Toc191"/>
      <w:bookmarkEnd w:id="489"/>
      <w:r>
        <w:rPr>
          <w:rtl w:val="true"/>
        </w:rPr>
        <w:t>الف</w:t>
      </w:r>
      <w:r>
        <w:rPr>
          <w:rtl w:val="true"/>
        </w:rPr>
        <w:t xml:space="preserve">) </w:t>
      </w:r>
      <w:r>
        <w:rPr>
          <w:rtl w:val="true"/>
        </w:rPr>
        <w:t>گزارش</w:t>
      </w:r>
      <w:bookmarkEnd w:id="4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معتقد است که حنفیه ثمرۀ محیط اجتماعی مرجئه کوفه در سده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دست آوردن عقیده مرجئه کار مشکلی است، اما می‌توان از طریق آرای فقهی ابوحنیفه، چیزهایی را از عقیدۀ مرجئۀ پیش از ابوحنیفه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اعتقادی ابوحنیفه، امر </w:t>
      </w:r>
      <w:bookmarkStart w:id="491" w:name="pg8666_122527"/>
    </w:p>
    <w:p>
      <w:pPr>
        <w:pStyle w:val="BookText"/>
        <w:rPr/>
      </w:pPr>
      <w:bookmarkEnd w:id="491"/>
      <w:r>
        <w:rPr>
          <w:rFonts w:ascii="IRNazanin" w:hAnsi="IRNazanin" w:eastAsia="IRNazanin"/>
          <w:color w:val="111111"/>
          <w:sz w:val="28"/>
          <w:sz w:val="28"/>
          <w:szCs w:val="28"/>
          <w:rtl w:val="true"/>
          <w:lang w:bidi="fa-IR"/>
        </w:rPr>
        <w:t>به معروف و نهی از منکر به‌عنوان دومین اصل اعتقادی،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خروج برحاکم ستمگر در کنف نهی از منکر او زیر فشار قرار می‌گیرد و انکار نمی‌کند که نهی از منکر می‌تواند چنین عملی را تجویز کند، ولی در عمل تشویق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 عقیده حنفی‌ها، نهی از منکر فریضه‌ای بیش از سایر فرایض الهی است و به‌تنهایی نمی‌شود آن را انجام داد، حتی اگر یک پیشوا و پیروانش آن را بر عهده بگیرند، مفسده‌اش بیش از فایده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ابوحنیفه اعتقاد دارد که با زبان و شمشیر واجب است، ولی در عمل چیز خاصی از طرف ایشان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کسیکه جانش را در برابر سلطان ستمگر از دست دهد، دو روایت نبوی نقل می‌کند و قائل به مهاجرت از محیط گنه‌آلود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مبتکر مراحل سه‌گانۀ نهی از منکر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احادیثی که منشأ مکتوب درباره نهی از منکر از حنفیه باشد، نداریم و در کلام هم مطالب قابل‌توجهی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ابوحنیفه درباره نهی از منکر خیلی مستمر نیست، بلکه پراکنده و مبهم است</w:t>
      </w:r>
      <w:r>
        <w:rPr>
          <w:rFonts w:eastAsia="IRNazanin" w:cs="IRNazanin"/>
          <w:color w:val="111111"/>
          <w:sz w:val="28"/>
          <w:szCs w:val="28"/>
          <w:rtl w:val="true"/>
          <w:lang w:bidi="fa-IR"/>
        </w:rPr>
        <w:t>.</w:t>
      </w:r>
    </w:p>
    <w:p>
      <w:pPr>
        <w:pStyle w:val="Heading5"/>
        <w:numPr>
          <w:ilvl w:val="4"/>
          <w:numId w:val="1"/>
        </w:numPr>
        <w:rPr/>
      </w:pPr>
      <w:bookmarkStart w:id="492" w:name="__RefHeading___Toc2419824_653776707"/>
      <w:bookmarkStart w:id="493" w:name="_Toc192"/>
      <w:bookmarkEnd w:id="492"/>
      <w:r>
        <w:rPr>
          <w:rtl w:val="true"/>
        </w:rPr>
        <w:t>ب</w:t>
      </w:r>
      <w:r>
        <w:rPr>
          <w:rtl w:val="true"/>
        </w:rPr>
        <w:t xml:space="preserve">) </w:t>
      </w:r>
      <w:r>
        <w:rPr>
          <w:rtl w:val="true"/>
        </w:rPr>
        <w:t>ارزیابی</w:t>
      </w:r>
      <w:bookmarkEnd w:id="493"/>
    </w:p>
    <w:p>
      <w:pPr>
        <w:pStyle w:val="BookText"/>
        <w:rPr/>
      </w:pPr>
      <w:r>
        <w:rPr>
          <w:rFonts w:ascii="IRNazanin" w:hAnsi="IRNazanin" w:eastAsia="IRNazanin"/>
          <w:color w:val="111111"/>
          <w:sz w:val="28"/>
          <w:sz w:val="28"/>
          <w:szCs w:val="28"/>
          <w:rtl w:val="true"/>
          <w:lang w:bidi="fa-IR"/>
        </w:rPr>
        <w:t>با آنکه خود نویسنده تصریح دارد که مکتب حنفی فقهی است</w:t>
      </w:r>
      <w:r>
        <w:rPr>
          <w:rStyle w:val="FootnoteAnchor"/>
          <w:rtl w:val="true"/>
        </w:rPr>
        <w:footnoteReference w:id="99"/>
      </w:r>
      <w:r>
        <w:rPr>
          <w:rFonts w:ascii="IRNazanin" w:hAnsi="IRNazanin" w:eastAsia="IRNazanin"/>
          <w:color w:val="111111"/>
          <w:sz w:val="28"/>
          <w:sz w:val="28"/>
          <w:szCs w:val="28"/>
          <w:rtl w:val="true"/>
          <w:lang w:bidi="fa-IR"/>
        </w:rPr>
        <w:t>و حنفیان را مذهبی فقهی معرفی می‌کند، ولی شگفتا که حنفیان را ثمرۀ مرجئۀ کوفه می‌شمرد و در یک سخن دورگونه که به امری غیرممکن می‌انجامد،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کمک ابوحنیفه، بنیانگذار این مکتب فقهی، می‌توانیم آگاهی‌های بیشتری دراین‌باره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شناخت افکار مرجئه متوقف بر نظرات ابوحنیفه است و شناخت ابوحنیفه متوقف بر شناخت مرجئه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اصولاً و از اساس بحث فقه ابوحنیفه و نقطه تمایز و فصل ممیزۀ مذهب فقهی او بحث مرجئه نیست، بلکه بحث اجتهاد به رأی و قیاس است و در اینجا یک مبحث کلامی با مبحث فقهی درآمیخته و جریان کار پژوهش کتاب، به سرگردانی انجامیده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مرجئه بحث کلامی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طبق یک تفسیر، چنانچه پیش از این نیز در بحث از امامیه، گذشت، کسانی بودند که عمل را از عقیده و ایمان متأخر می‌شمردند و با وجود ایمان، عمل را مضر نمی‌دانستند و طبق تفسیر دیگر،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مرتکب کبیره تا قیامت به تأخیر می‌افتد و طبق تفسیر سوم، امر ابوبکر و عمر را مقدّم و امر عثمان را تا قیامت به تأخیر می‌اندازند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آنها حضرت امیرالمؤمنین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درجۀ اول به درجۀ چهارم تنزّل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طبق هر تفسیری که به مرجئه بنگریم، بحث آنها کلامی بوده است؛ امّا بحث ابوحنیفه بحث روش استنباط فقهی و منهج و شیوۀ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پیرو و ادامه مذهباجتهاد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شیوۀ استنباط فقهی، نخستین انشعابی که در میان اهل سنت رخ داد، پیدا شدن مذهب و مدرسۀ اهل حدیث در حجاز و مذهب و مدرسۀ اهل رأی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سعید‌بن‌مسیب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نفر دیگر در رأس فقهای اهل حدیث بودند که در منطقۀ حجاز به این شیوه گرایش داشتند، ولی در عراق و کوفه، مذهب و مدرسه رأی و اجتهاد به رأی، رواج یافت که در رأس آنها ابراهیم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حماد‌بن‌سلیمان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بعد از وی، ابوحنیفه زعامت و پیشوایی اهل رأی را بر عهده گرفت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بنابراین چگونه نویسنده محترم، یک مبحث را که کاملاً ریشۀ فقهی دارد، به جایی می‌کشاند که به آن ربطی ندارد و باعث سوء تفاهم و خروج قطار از ریل اصلی خود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ماتریدیه، اعتزال، اشعری، مرجئه، مجبّره و معتزله، بحث‌های کلامی است و بحث مدرسه اجتهاد به رأی و مدرسۀ حدیث، مبحث فقهی است که مایکل کوک این امور را با هم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حدیث در مسائل فقهی به کتاب الله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می‌کردند و در صورت فقدان این دو، آثار صحابه معیار کارشان بود و در مرتبۀ سوم، اگر نص یا اجماع یافت نمی‌شد، به رأی شخصی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برخلاف </w:t>
      </w:r>
      <w:bookmarkStart w:id="494" w:name="pg8666_122531"/>
    </w:p>
    <w:p>
      <w:pPr>
        <w:pStyle w:val="BookText"/>
        <w:rPr/>
      </w:pPr>
      <w:bookmarkEnd w:id="494"/>
      <w:r>
        <w:rPr>
          <w:rFonts w:ascii="IRNazanin" w:hAnsi="IRNazanin" w:eastAsia="IRNazanin"/>
          <w:color w:val="111111"/>
          <w:sz w:val="28"/>
          <w:sz w:val="28"/>
          <w:szCs w:val="28"/>
          <w:rtl w:val="true"/>
          <w:lang w:bidi="fa-IR"/>
        </w:rPr>
        <w:t>مدرسۀ رأی، سنّت مستقلاً می‌تواند مشرّع احکام باشد اگرچه آیه‌ای از قرآن هم در میان نباشد و خبر واحد می‌تواند مخصص قرآن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پذیرش خبر واحد، شرایط سختی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مدرسۀ رأی که سخت‌گیری خاص داشتند و به‌شدّت از روایت هراسناک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معتقد بودند شریعت پیش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شده و فلسفۀ احکام نیز روشن و قابل‌فهم است، ازاین‌رو از علل و ملاک احکام بحث می‌کردند و به جای خبر واحد، به تفکر و رأی شخصی و قیاس موارد به یکدیگر اهتمام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تفاوت مدرسه اهلحدیث و مدرسۀ اهل رأی، در توسعه و ضیق و شعاع دائرۀ استفاده از خبر واحد و یا استفاده از قیاس و رأی و استحسان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به‌هرحال دو مکتب و مدرسه اجتهادی فقهی اهل حدیث و اهل رأی که در اواخر قرن اول در میان مدرسۀ صحابه تشکیل شده بود، در ادامه، در قرن دوم انشعاباتی یافت؛ حنفیه استمرار حرکت اجتهاد به رأی بودند و مالکیه استمرار حرکت اهل حدیث</w:t>
      </w:r>
      <w:r>
        <w:rPr>
          <w:rFonts w:eastAsia="IRNazanin" w:cs="IRNazanin"/>
          <w:color w:val="111111"/>
          <w:sz w:val="28"/>
          <w:szCs w:val="28"/>
          <w:rtl w:val="true"/>
          <w:lang w:bidi="fa-IR"/>
        </w:rPr>
        <w:t>.</w:t>
      </w:r>
    </w:p>
    <w:p>
      <w:pPr>
        <w:pStyle w:val="Heading4"/>
        <w:numPr>
          <w:ilvl w:val="3"/>
          <w:numId w:val="1"/>
        </w:numPr>
        <w:rPr/>
      </w:pPr>
      <w:bookmarkStart w:id="495" w:name="__RefHeading___Toc2419826_653776707"/>
      <w:bookmarkStart w:id="496" w:name="_Toc193"/>
      <w:bookmarkEnd w:id="495"/>
      <w:r>
        <w:rPr/>
        <w:t>3</w:t>
      </w:r>
      <w:r>
        <w:rPr>
          <w:rtl w:val="true"/>
        </w:rPr>
        <w:t xml:space="preserve">. </w:t>
      </w:r>
      <w:r>
        <w:rPr>
          <w:rtl w:val="true"/>
        </w:rPr>
        <w:t>حنفیه و ماتریدیه</w:t>
      </w:r>
      <w:bookmarkEnd w:id="496"/>
    </w:p>
    <w:p>
      <w:pPr>
        <w:pStyle w:val="Heading5"/>
        <w:numPr>
          <w:ilvl w:val="4"/>
          <w:numId w:val="1"/>
        </w:numPr>
        <w:rPr/>
      </w:pPr>
      <w:bookmarkStart w:id="497" w:name="__RefHeading___Toc2419828_653776707"/>
      <w:bookmarkStart w:id="498" w:name="_Toc194"/>
      <w:bookmarkEnd w:id="497"/>
      <w:r>
        <w:rPr>
          <w:rtl w:val="true"/>
        </w:rPr>
        <w:t>الف</w:t>
      </w:r>
      <w:r>
        <w:rPr>
          <w:rtl w:val="true"/>
        </w:rPr>
        <w:t xml:space="preserve">) </w:t>
      </w:r>
      <w:r>
        <w:rPr>
          <w:rtl w:val="true"/>
        </w:rPr>
        <w:t>گزارش</w:t>
      </w:r>
      <w:bookmarkEnd w:id="49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حنفیه در عراق متولد شده است و در زمان حملۀ ترکان در قرن پنجم در ناحیه شمال شرقی جهان اسلام، شهرت داشته و در دستگاه سامانیان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و چهارم همزمان با بویهیین در ایران رشد چشمگیر داشته است تا می‌رسیم به زمان ماتریدیه در سمرقند که شاهد گسترش بیشتر و رو به رشد فقه حنفی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پیشینۀ نهی از منکر در آثار حنفی، نهی از منکر مورد توجه ابومنصور ماتریدی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ابولیث سمرقندی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عقاید حنفیه درباره نهی از منکر دو کتاب به ماتریدی نسبت داده شده که مایکل نسبت کتاب اول را به ماتریدی صددرصد بی‌پایه دانسته و ثابت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برای دو نظریه ابوحنیفه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نهی از منکر از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مباحث کلامی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مجبره که نهی از منکر را از اعتقادات به حساب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قیام علیه سلطان جور که ابوحنیفه یکی از پیروانش را از قیام منع می‌کند؛ اگرچه عدّه‌ای از پیروانش او را نسبت به این منع نکوهش کرده‌اند و نویسندۀ این کتاب در شرحاین نظریه، بحث تسلیم و رضا را مطرح می‌کند و در توجیه کلام ابی‌حنیفه این جور اظهار می‌کند که نهی از منکر در زمان ما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می‌دهد که آیا این کار ناهیان از منکر در مقابل سلطان ستمگر می‌تواند قربة الی‌الله باشد؟ بعد خودش جواب می‌دهد که نمی‌تواند چنین باشد؛ ازاین‌رو قیام درست نیست و اغلب قیام‌ها براساس خودخواهی و موجب قتل و غارت است و علی وجه حسبة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عقیده دوم ابوحنیفه در کتاب دوم شرح بیشتری داده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برای خدا نیست، لذا خروج بر سلطان ستمگر جایز نیست؛ ازاین‌رو این اولین بار است که نهی از منکر در عقیدۀ حنفیه یا ابوحنیفه منسوخ شده است، هرچند آخرین بار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ابولیث سمرقندی در کتاب اخلاقی مشهورش، دربارۀ نهی از منکر به‌طور مفصل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 نهی از منکر است و اگر صالحان غلبه یابند، باید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معروف را موافق عقل و وحی و منکر را مخالف عقل و وحی می‌داند و توصیه می‌کند که تا می‌توانید نهی از منکر را پنهانی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تقسیم‌بندی می‌کند و اقدام عملی را مربوط به امرا، اقدام زبانی را مربوط به علما و اقدام قلبی را کار عامه مردم می‌داند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توضیح می‌دهد که نهی از منکر باید برای اعزاز دین باشد نه حمیت نفس؛ لذا معتقد است برای ناهی از منکر پنج چیز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خالص،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هجرت عقیده دارد که هجرت از گناه </w:t>
      </w:r>
    </w:p>
    <w:p>
      <w:pPr>
        <w:pStyle w:val="BookText"/>
        <w:rPr/>
      </w:pPr>
      <w:r>
        <w:rPr>
          <w:rFonts w:ascii="IRNazanin" w:hAnsi="IRNazanin" w:eastAsia="IRNazanin"/>
          <w:color w:val="111111"/>
          <w:sz w:val="28"/>
          <w:sz w:val="28"/>
          <w:szCs w:val="28"/>
          <w:rtl w:val="true"/>
          <w:lang w:bidi="fa-IR"/>
        </w:rPr>
        <w:t>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می‌گوید جایز است که در جای خود بماند به شرط اینکه بتواند به وظیفه خویش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لیث ناامید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موردی نهی از منکر را واجب کفایی می‌داند و احتمال تأثیر را واجب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ناهی از منکر مورد سبّ و شتم واقع شود، بهتر است دوری جوید و اگر احتمال کتک‌خوردن دارد و قدرت و تحمل آن را ندارد، بهتر است دوری کند و اگر تأثیر ندارد اختیار با خود اوست و جایز است، هرچند بهتر است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 نشانه‌ای از تسلیم و رضا در ماتریدیه دیده نمی‌شود، هرچند که عمل‌گرایی خاصی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فاصلۀ زمانی بین سامانیان و عثمانی، نوشته‌هایشان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کسی به نام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نقل کرده که چیزی خاصی از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مطالب‌شان اغلب با شوق و اشتیاق نوشته شده و نکته‌های پندآموزی دارد و درعین‌حال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از کشته شدن در برابر سلطان ستمگر، سخن حق را اظهار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مایکل مشخص نیست این سخن ایشان را جدای از جریان کلی ماتریدیه بدانیم یا نه؟ وی می‌گوید من در مقامی نیستم که قضاوت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وابسته به تأثیر می‌داند و مطالبی دارد مانند اینکه آیا کسی می‌تواند در جشن عروسی که در آن نوازندگی است شرکت کند؟ یا به کسی که نمازش را اشتباه می‌خواند تذکر دهد و یا برای پدر گنهکار نامه بنویسد که رفتار نادرست فرزند را تذکر دهد؟ جواب موکول به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قرآنش نوشته که نهی از منکر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باید نهی از منکر کند که معروف را از منکر بشناسد و به مراتب آن آشنایی داشته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متوفای</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دو جا از نهی از منکر صحبت کرده که نکتۀ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اُغلو ابن‌المَلَک در قرن هشتم، اشاره به حدیث سه مرحله‌ای دارد و آن را شرح کرده که مورد پذیرش نویسندگان دوره عثمانی قرار می‌گیرد</w:t>
      </w:r>
      <w:r>
        <w:rPr>
          <w:rFonts w:eastAsia="IRNazanin" w:cs="IRNazanin"/>
          <w:color w:val="111111"/>
          <w:sz w:val="28"/>
          <w:szCs w:val="28"/>
          <w:rtl w:val="true"/>
          <w:lang w:bidi="fa-IR"/>
        </w:rPr>
        <w:t xml:space="preserve">. </w:t>
      </w:r>
      <w:bookmarkStart w:id="499" w:name="pg8666_122538"/>
    </w:p>
    <w:p>
      <w:pPr>
        <w:pStyle w:val="BookText"/>
        <w:rPr/>
      </w:pPr>
      <w:bookmarkEnd w:id="499"/>
      <w:r>
        <w:rPr>
          <w:rFonts w:ascii="IRNazanin" w:hAnsi="IRNazanin" w:eastAsia="IRNazanin"/>
          <w:color w:val="111111"/>
          <w:sz w:val="28"/>
          <w:sz w:val="28"/>
          <w:szCs w:val="28"/>
          <w:rtl w:val="true"/>
          <w:lang w:bidi="fa-IR"/>
        </w:rPr>
        <w:t>در کتاب‌های سیره، اشاره‌ای به نهی از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حنفی یا نیمه‌حنفی سدۀ دوم که به سبب انجام این وظیفه از آنها نام‌برده شده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داوود‌بن‌نُصیر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عمربن میمون 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سَلم‌بن‌سالم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نصربن زیاد قاضی‌القضاة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اسماعیل‌بن ابی‌نصر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شمس‌الملک کشته شد و عمادالدین لامیشی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عادت داشت نزد پادشاهان برود وحقیقت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ابن‌فروخ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نهی از منکر را برابر همان شورشی می‌دانست که برای ابوحنیفه مشکل‌آفرین شده بود</w:t>
      </w:r>
      <w:r>
        <w:rPr>
          <w:rFonts w:eastAsia="IRNazanin" w:cs="IRNazanin"/>
          <w:color w:val="111111"/>
          <w:sz w:val="28"/>
          <w:szCs w:val="28"/>
          <w:rtl w:val="true"/>
          <w:lang w:bidi="fa-IR"/>
        </w:rPr>
        <w:t>.</w:t>
      </w:r>
    </w:p>
    <w:p>
      <w:pPr>
        <w:pStyle w:val="Heading4"/>
        <w:numPr>
          <w:ilvl w:val="3"/>
          <w:numId w:val="1"/>
        </w:numPr>
        <w:rPr/>
      </w:pPr>
      <w:bookmarkStart w:id="500" w:name="__RefHeading___Toc2419830_653776707"/>
      <w:bookmarkStart w:id="501" w:name="_Toc195"/>
      <w:bookmarkEnd w:id="500"/>
      <w:r>
        <w:rPr/>
        <w:t>3</w:t>
      </w:r>
      <w:r>
        <w:rPr>
          <w:rtl w:val="true"/>
        </w:rPr>
        <w:t xml:space="preserve">. </w:t>
      </w:r>
      <w:r>
        <w:rPr>
          <w:rtl w:val="true"/>
        </w:rPr>
        <w:t>شارحان دوره عثمانی</w:t>
      </w:r>
      <w:bookmarkEnd w:id="501"/>
    </w:p>
    <w:p>
      <w:pPr>
        <w:pStyle w:val="BookText"/>
        <w:rPr/>
      </w:pPr>
      <w:r>
        <w:rPr>
          <w:rFonts w:ascii="IRNazanin" w:hAnsi="IRNazanin" w:eastAsia="IRNazanin"/>
          <w:color w:val="111111"/>
          <w:sz w:val="28"/>
          <w:sz w:val="28"/>
          <w:szCs w:val="28"/>
          <w:rtl w:val="true"/>
          <w:lang w:bidi="fa-IR"/>
        </w:rPr>
        <w:t xml:space="preserve">مایکل دوره شارحان عثمانی را با جمله‌ای عجیب شروع می‌کند و از ابن‌بطوطه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مشهور نام می‌برد که ایشان به شهر لاذق آناتولی ترکیه سفری داشته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لاذق از منکرات پرهیز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 قاضی خود چند تن از کنیزکان رومی دارد که آنان را می‌خرد و به فحشا وا می‌دارد و روسپیان با مشتریان خود آزادانه به حمام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آداب و رسوم، بیش از خط و مشی سیاسی مؤثر افتاد، حنفی‌گری عثمانی ریشه در سنّت راحت‌طلبی سامانیان شمال شرق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دولت عثمانی نیز نهی از منکر مورد بحث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جدیدی در دوره عثمانی بیش از سخنان زمخشری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نبوی چهل حدیث که نووی آورده، دو شرح برای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قاری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قاری هروی غنی‌ترین بررسی را در این قسمت نموده که منابع آن عمدتاً از 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غیرشافعی که به آن دسترسی پیدا کردیم، منبع حنبلی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ایشان همان حدیث سه مرحله‌ای را مطرح و شرح نموده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قاری مراتب نزول حدیث سه‌گانه را بیان و نظریه‌ای غیرمتعارف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مستغرق شدن در اعماق وجود مطلق ممکن است توجیهی باشد برای انجام ندادن این وظیفه و انجام در دل نوعی همّت است که با کمک امداد الهی ممکن است به نتیجه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قاری تفسیری از حدیث سه مرحله‌ای دارد و مایل است که این وظیفه را در چارچوب مفهوم ویژه‌ای طبقاتی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علما را به اولیا و امرا را به قدرتمندان تعمیم می‌دهد و با افتخار مدعی می‌شود که این نوع تفسیر را در آثار پیشینیان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نتیجه می‌گیرد که می‌توان او را دارای تمایلات سازشکارانۀ حنفی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دیگر حدیث نووی، اسماعیل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مطالبش را از علی قاری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مطلب را از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تفسیر قرآنش از زمخشری نقل می‌کند و به نام خود جا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حقی برخلاف علی قاری که حنفی بودنش خیلی مشخص نبود، گرایش خود به ماتریدی را اظهار می‌دارد و روایت‌هایش رنگ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تفاوتش را با علی قاری ازجنبۀ تاریخی برجسته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قدرتمندان، تعبیر به بزرگان شهر می‌کند؛ اما در مورد تقسیم سه‌گانه دل، زبان و ید، با علی قاری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با دست است از شمشیر و نیزه هم نام می‌برد که برای خراب کردن کلیسا و میخانه و برداشتن منکر به کار می‌رود و زبان برای رفع شک و خرافه‌پرستی است، امّا کار دل، اعتراف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مناسب می‌داند از محکومیت قیام علیه سلطان ستمگر، سخن بگوید و سخنان غزالی را مبنی بر نادیده گرفتن کاربرد خشونت، هنگام پند سلطان تعدیل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شهادتی که در راه نهی از منکر، نصیب آدمی می‌شود، بر نگرش مثبت باقی است؛ اما به‌طور کلی گرایش زیادی از خود به نرمش و آسان‌گیری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کلامی او بیشتر تحت تأثیر غزالی بوده و از مطالب ایشان اقتباس شده است و بحث نهی از منکر او صورت ساده‌شده‌ای از نظریۀ غزالی است که در آن به‌کاربردن اسلحه و نیروهای مسلح از کتاب غزالی،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دیگری هم از غزالی تأثیر پذیرفته‌اند، مانند یعقوب‌بن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پاشازاده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محمود‌بن محمد قره‌باغی در سده دهم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دانشمند عثمانی که به سرقت ادبی از غزالی پرداخت، طاشک پریزاده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از غزالی متأثر شده است؛ اما در اذن امام، از غزالی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bookmarkStart w:id="502" w:name="pg8666_122542"/>
    </w:p>
    <w:p>
      <w:pPr>
        <w:pStyle w:val="BookText"/>
        <w:rPr/>
      </w:pPr>
      <w:bookmarkEnd w:id="502"/>
      <w:r>
        <w:rPr>
          <w:rFonts w:ascii="IRNazanin" w:hAnsi="IRNazanin" w:eastAsia="IRNazanin"/>
          <w:color w:val="111111"/>
          <w:sz w:val="28"/>
          <w:sz w:val="28"/>
          <w:szCs w:val="28"/>
          <w:rtl w:val="true"/>
          <w:lang w:bidi="fa-IR"/>
        </w:rPr>
        <w:t>مراحل را به پنج مرتبه تقسیم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نرم،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و شکستن آلات گناه،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اذن امام را لازم نمی‌دانست، ولی پریزاده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محتسب باید اسلحه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محتسب را به همان معنای رسمی‌اش تفسیر نموده و تعبیر به نظام می‌کند؛ چون عامۀ مردم را برای چنین کاری قابل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اعوان مسلّح و کمک خواستن از آنها، غزالی معتقد به عدم‌لزوم اذن بود و طاشک پریزاده معتقد به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دیگری که سخت به غزالی وابسته است، عصمت‌الله اعظم‌بن رسول از شمال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نظریه‌های غزالی را درباره خشونت، می‌پذیرد و در اذن امام نیز دیدگاه غزالی را دارد، هرچند می‌گوید در مورد آخر و گردآوری افراد مسلح باید دقت شود، چون پای خون انسان‌ها در میان است و این ممکن است بازتاب اختلاف شرایط زمان عثمانی و مغولانباشد یا شاید در این موارد عصمت‌الله کمتر نظری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 کمتری از شرایط زمان یا مکان خود او هست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503" w:name="__RefHeading___Toc2419832_653776707"/>
      <w:bookmarkStart w:id="504" w:name="_Toc196"/>
      <w:bookmarkEnd w:id="503"/>
      <w:r>
        <w:rPr/>
        <w:t>4</w:t>
      </w:r>
      <w:r>
        <w:rPr>
          <w:rtl w:val="true"/>
        </w:rPr>
        <w:t xml:space="preserve">. </w:t>
      </w:r>
      <w:r>
        <w:rPr>
          <w:rtl w:val="true"/>
        </w:rPr>
        <w:t>برگلی و وارثان او</w:t>
      </w:r>
      <w:bookmarkEnd w:id="5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نویسندگان مهم دوره عثمانی حنفیه، شخصی به نام برگلی محمد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نهی از منکر مطالبی نوشته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ایشان کتاب مختصری به زبان ترکی نوشته و شارحانی هم این کتاب را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خشن چیزی است که مقام رسمی حکومت شایستگی گفتن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نیز به زبان عربی دارد که انباشته از مطالب عرفانی است و از وظیفه نهی از منکر در آن کتابش نیز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واجب کفایی است و قدرت شرط آن است، ضرر نداشته باشد، </w:t>
      </w:r>
    </w:p>
    <w:p>
      <w:pPr>
        <w:pStyle w:val="BookText"/>
        <w:rPr/>
      </w:pPr>
      <w:r>
        <w:rPr>
          <w:rFonts w:ascii="IRNazanin" w:hAnsi="IRNazanin" w:eastAsia="IRNazanin"/>
          <w:color w:val="111111"/>
          <w:sz w:val="28"/>
          <w:sz w:val="28"/>
          <w:szCs w:val="28"/>
          <w:rtl w:val="true"/>
          <w:lang w:bidi="fa-IR"/>
        </w:rPr>
        <w:t>گنهکار به تکلیف رسیده باشد، تنها به زبان کافی نیست، در صورت نیاز ترک رفت و آمد شود و خشونت وقتی لازم است که عطوفت کارساز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دو مطلب ایشان را اغوا کننده می‌داند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نخست اینکه در قسمت تقسیم کار که امرا عملاً و علما با زبان و عوام در دل انجام می‌دادند، این تقسیم را نقل و به ابوحنیفه نسبت می‌دهد و معتقد است که این سخن رأی اقلیت است والّا اکثریت تمامی مراحل را بر همگان فرض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اینکه اگر نهی از منکر موجب مرگ کسی شود، در صف افضل شهدا قرار می‌گیرد و در این رابطه احادیثی را نیز بیان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الحسبة آکد من الجهاد و حسبه را بر نهی از منکر تطبیق می‌دهد؛ زیرا جهاد بدون منافع نظامی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برگلی،خلاف حال و هوای تفکر ابوحنیفه را که نسبت به حاکم جنبۀ سهل و آسان‌گیری داشت، به نمایش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گفتۀ کوک، این نظرات برگلی که تفسیری از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سبب شده که شارحان بسیاری سخنان ایشان را شرح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شرح از سه شرحی که برای آن نوشته شده، خیلی بی‌روح و یک‌نواخت است؛ یکی شرح احمد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به یک نقطه می‌پردازد که شخص نباید آن را برای هوای نفس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دیگری است که تفسیر برگلی را که متناقض با عقاید حنفی‌ها بود، ارائه داده و عقاید کلی حنفی را به اعم و اغلب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مسئله این است که در شرایط عادی کسانی که در موقعیتی هستند که با دست انجام وظیفه می‌کنند، به دستگاه حکومتی یا مانند آن وابسته‌اند؛ اما موارد استثنا زمانی پیش می‌آید که نظر بیان شده در حدیث برحسب گفتار حل شدنی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سوم شرح عبدالغنی نابلسی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تقسیم‌بندی سه مرحله‌ای خیلی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نکته مهم دارد و دو اصل را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اصل اول، سخن از حسبه به میان می‌آورد و تفاوت جدی بین نهی از منکر و حسبه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نهی از منکر را دو گونه وظیفه می‌داند؛ یکی وظیفه‌ای عمومی است که وظیفه‌ای لفظی است چه مردم بپذیرند یا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حسبه است که وظیفه‌اش حمل الناس علی الطاعه است و این تکلیف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شرایط استثنایی وجود داشته باشد و کسی را در حال گناه ببینند که در این صورت می‌توانند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حال زنا مشاهده کنند، می‌توانند او را بکشند، البته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که خیلی از عالم‌نمایان تفاوت بین معنای حسبه و معنای دیگر نهی از منکر را درک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عبدالغنی بازدارنده است؛ اما تفاوت چندانی در حقیقت مطلب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دوم نابلسی، نوماتریدی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باید انگیزه خالص باشد، برای قدرت‌طلبی، شهرت‌طلبی و تقرب نزد سلطان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نهی از منکر آن است که کسی که عقیده‌اش فاسد است، نباید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چه کسی می‌تواند، تصور کند که چنین است تا چه رسد به اینکه یقین به نیت خالص او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فرصت‌های علمای زمانه، با یقین به خلوص نیت و برای رسیدن به فیض شهادت اندک و خیلی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اینکه باید خودبینی کمتر و خودشناسی بیشتر باشد و این تنها از طریق معرفت عرفانی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اصل، برگلی به نحو مؤثری درب را به روی فعالیت‌ها می‌بندد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کوک بعد از این جریان، با یک فرصت ارزشمند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حدیثی با تفسیری علمی به حقیقت می‌پیوندد،</w:t>
      </w:r>
      <w:r>
        <w:rPr>
          <w:rStyle w:val="FootnoteAnchor"/>
          <w:rtl w:val="true"/>
        </w:rPr>
        <w:footnoteReference w:id="106"/>
      </w:r>
      <w:r>
        <w:rPr>
          <w:rFonts w:ascii="IRNazanin" w:hAnsi="IRNazanin" w:eastAsia="IRNazanin"/>
          <w:color w:val="111111"/>
          <w:sz w:val="28"/>
          <w:sz w:val="28"/>
          <w:szCs w:val="28"/>
          <w:rtl w:val="true"/>
          <w:lang w:bidi="fa-IR"/>
        </w:rPr>
        <w:t xml:space="preserve">برگلی منبع الهام قاضی‌زاده‌ها در نهضت اصلاح‌طلبی استانبول،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قاضی‌زاده‌ها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 طرف خطیبان امام جمعه‌ها بودند و در بین مردم مریدانی داشتند و از طرفی هم مورد حمایت دستگاه دولت عثمانی بودند و در جامعه شورش و نهضتی برای نهی از منکر به‌پا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آنها چیزی نبود، جز بدعت در تصوف و عرفانی که عبدالغنی وابسته به </w:t>
      </w:r>
    </w:p>
    <w:p>
      <w:pPr>
        <w:pStyle w:val="BookText"/>
        <w:rPr/>
      </w:pP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جریان پدید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عبدالغنی و پیروانش که معتقد بودند خالصانه و با نیت پاک باشد و نگاه عارفانه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قاضی‌زاده‌ها که زهدگرایان بودند و برای خودشان مرید داشتند و شلوغی راه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نهی از منکر نقش مهمی در دولت عثمانی نداشت و برایشان مهم به حساب نمی‌آمد، ولی برای قاضی‌زاده‌های واعظ، پایگاه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نسبت به عملکرد قاضی‌زاده‌ها نگرش منفی دارد و به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پیروانشان نیز اقدام به نهی از منکر می‌کردند و گاهی خودشان به مردم بی‌حرمتی آشکار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نام‌برده شده، این است که یکی از ناهیان از منکر نسخه خطی نفیسی از شاهنامه، حماسه ملی ایرانیان را در شرق آناتولی ترکیه، تکه‌پاره نمود، به گمان اینکه موردی از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محلی این کارش را خراب‌کاری دانستند و به‌خاطر این کار او را شلاق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به نام زکریا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مخالف با قاضی‌زاده‌ها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نهی از منکر و جلب توده‌های نادان نیست، بلکه سالوس و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ریاکاری به ضرر خود آنها و به سود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قاضی‌زاده‌ها یک بار تمام امت محمد را برای روز بعد برای مشارکت در قضیه نهی از منکر خواستند که مسلح با سلاح جنگی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از این دست، سبب بسیاری از برخورد‌هابین قاضی‌زاده‌ها و رقیبان آنها شد، با این وجود جنبۀ فکری عقیدتی جدیدی در دستور کار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 اُوغلو که رقیب واعظ‌زاده‌ها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باید از خشونت پرهیز شود و نیت خالص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به نام کاتب چلبی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اختلاف، سخن گفته و هدفش این بوده که حرارت قاضی‌زاده‌ها را درباره شدت نهی از منکر فرونشاند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چَلَبی نکته‌ای دارد و آن عبارت از این است که وقتی بدعتی در جامعه پیدا شد و مردم به آن عادت کردند، ابلهانه است که به نام نهی از منکر آن را ریشه‌کن کنیم؛ چون مردم چیزی را که به آن عادت کرده‌اند، رها نمی‌کنند</w:t>
      </w:r>
      <w:r>
        <w:rPr>
          <w:rFonts w:eastAsia="IRNazanin" w:cs="IRNazanin"/>
          <w:color w:val="111111"/>
          <w:sz w:val="28"/>
          <w:szCs w:val="28"/>
          <w:rtl w:val="true"/>
          <w:lang w:bidi="fa-IR"/>
        </w:rPr>
        <w:t xml:space="preserve">. </w:t>
      </w:r>
      <w:bookmarkStart w:id="505" w:name="pg8666_122550"/>
    </w:p>
    <w:p>
      <w:pPr>
        <w:pStyle w:val="BookText"/>
        <w:rPr/>
      </w:pPr>
      <w:bookmarkEnd w:id="505"/>
      <w:r>
        <w:rPr>
          <w:rFonts w:ascii="IRNazanin" w:hAnsi="IRNazanin" w:eastAsia="IRNazanin"/>
          <w:color w:val="111111"/>
          <w:sz w:val="28"/>
          <w:sz w:val="28"/>
          <w:szCs w:val="28"/>
          <w:rtl w:val="true"/>
          <w:lang w:bidi="fa-IR"/>
        </w:rPr>
        <w:t>فقط عبدالغنی نابلسی است كه اختلاف بر سر انجام دادن نهی از منكر را تا حدّ مناقشه‌های عقيدتی می‌كشاند</w:t>
      </w:r>
      <w:r>
        <w:rPr>
          <w:rFonts w:eastAsia="IRNazanin" w:cs="IRNazanin"/>
          <w:color w:val="111111"/>
          <w:sz w:val="28"/>
          <w:szCs w:val="28"/>
          <w:rtl w:val="true"/>
          <w:lang w:bidi="fa-IR"/>
        </w:rPr>
        <w:t>.</w:t>
      </w:r>
    </w:p>
    <w:p>
      <w:pPr>
        <w:pStyle w:val="Heading4"/>
        <w:numPr>
          <w:ilvl w:val="3"/>
          <w:numId w:val="1"/>
        </w:numPr>
        <w:rPr/>
      </w:pPr>
      <w:bookmarkStart w:id="506" w:name="__RefHeading___Toc2419834_653776707"/>
      <w:bookmarkStart w:id="507" w:name="_Toc197"/>
      <w:bookmarkEnd w:id="506"/>
      <w:r>
        <w:rPr/>
        <w:t>5</w:t>
      </w:r>
      <w:r>
        <w:rPr>
          <w:rtl w:val="true"/>
        </w:rPr>
        <w:t xml:space="preserve">. </w:t>
      </w:r>
      <w:r>
        <w:rPr>
          <w:rtl w:val="true"/>
        </w:rPr>
        <w:t>حنفیان و اواخر دوره‌های عثمانی</w:t>
      </w:r>
      <w:bookmarkEnd w:id="507"/>
    </w:p>
    <w:p>
      <w:pPr>
        <w:pStyle w:val="BookText"/>
        <w:rPr/>
      </w:pPr>
      <w:r>
        <w:rPr>
          <w:rFonts w:ascii="IRNazanin" w:hAnsi="IRNazanin" w:eastAsia="IRNazanin"/>
          <w:color w:val="111111"/>
          <w:sz w:val="28"/>
          <w:sz w:val="28"/>
          <w:szCs w:val="28"/>
          <w:rtl w:val="true"/>
          <w:lang w:bidi="fa-IR"/>
        </w:rPr>
        <w:t xml:space="preserve">در اواخر دورۀ عثمانی، به شخصی به نام عثمان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ارگین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جلد از کتاب خودش را در امور شهرداری نوشته و در آن کتاب به نقش شهرداری و محتسب دربارۀ نهی از منکر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دستاورد اصلاح‌گرایی غربی در اواخر دوران عثمانی به حساب می‌آید، ولی نخواسته در اینجا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غزالی مطالب را تحلیل می‌کرد و متکی به سلسله مقالاتی بود که توسط حیدری‌زاده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در هفته‌نامه مشهور چاپ می‌شده است؛ لذا باید سخنان و مطالب حیدری‌زاده را مرور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حیدری‌زاده افندی، آیات نهی از منکر را مطرح و با استفاده از تفسیر غزالی و نحله‌های دیگر، مطالبی را می‌آورد که ظاهراً از کتاب ملل و نحل ابن‌حزم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خشونت از طرف مردم را در نهی از منکر ردّ می‌کند و اجازه مقامات را در مرحله پنجم ضروری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مراتب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 سخن گفتن،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زور که در این مرحله با نوشته‌ها و عقاید طاشک پریزاده که قبلاً سخنشبه میان آمد، هم عقیده است که اجازه مقامات را در مورد توسل به زور، لازم می‌دانست و نقطه نظر او با سخن غزالی در تضاد است، چون غزالی اجازه را لازم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در مورد مرتبۀ سوم، چهارم و پنجم که سبب تعارض با قوانین جزایی می‌شود، اجازه مقامات را تا این حد می‌پذیرد و این اختلاف نظرش با غزالی است و علت آن هم، یکی فشار شرایط جدید است که به آن اعتراف می‌کند و دیگری تمایل سنّتی حنفیان به برهم‌نزدن اوضاع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افندی، زنان را مکلف به نهی از منکر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مقالات که مرتب به نشر می‌رسید، مطالبی را پیرامون نهی از منکر نوشته است و سلسله مقالاتش را با خسارتی که </w:t>
      </w:r>
      <w:bookmarkStart w:id="508" w:name="pg8666_122552"/>
    </w:p>
    <w:p>
      <w:pPr>
        <w:pStyle w:val="BookText"/>
        <w:rPr/>
      </w:pPr>
      <w:bookmarkEnd w:id="508"/>
      <w:r>
        <w:rPr>
          <w:rFonts w:ascii="IRNazanin" w:hAnsi="IRNazanin" w:eastAsia="IRNazanin"/>
          <w:color w:val="111111"/>
          <w:sz w:val="28"/>
          <w:sz w:val="28"/>
          <w:szCs w:val="28"/>
          <w:rtl w:val="true"/>
          <w:lang w:bidi="fa-IR"/>
        </w:rPr>
        <w:t>ازطرف حیوانات به اموال مردم وارد می‌شود، به پایان می‌برد و مقالاتش به‌طور غیرمنتظره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به‌خاطر همان فشاری بوده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ماه بعد از چاپ آخرین مقاله‌اش، ملقب به شیخ الاسلام شده است</w:t>
      </w:r>
      <w:r>
        <w:rPr>
          <w:rFonts w:eastAsia="IRNazanin" w:cs="IRNazanin"/>
          <w:color w:val="111111"/>
          <w:sz w:val="28"/>
          <w:szCs w:val="28"/>
          <w:rtl w:val="true"/>
          <w:lang w:bidi="fa-IR"/>
        </w:rPr>
        <w:t>.</w:t>
      </w:r>
    </w:p>
    <w:p>
      <w:pPr>
        <w:pStyle w:val="Heading4"/>
        <w:numPr>
          <w:ilvl w:val="3"/>
          <w:numId w:val="1"/>
        </w:numPr>
        <w:rPr/>
      </w:pPr>
      <w:bookmarkStart w:id="509" w:name="__RefHeading___Toc2419836_653776707"/>
      <w:bookmarkStart w:id="510" w:name="_Toc198"/>
      <w:bookmarkEnd w:id="509"/>
      <w:r>
        <w:rPr/>
        <w:t>6</w:t>
      </w:r>
      <w:r>
        <w:rPr>
          <w:rtl w:val="true"/>
        </w:rPr>
        <w:t xml:space="preserve">. </w:t>
      </w:r>
      <w:r>
        <w:rPr>
          <w:rtl w:val="true"/>
        </w:rPr>
        <w:t>خاتمه</w:t>
      </w:r>
      <w:bookmarkEnd w:id="510"/>
    </w:p>
    <w:p>
      <w:pPr>
        <w:pStyle w:val="BookText"/>
        <w:rPr/>
      </w:pPr>
      <w:r>
        <w:rPr>
          <w:rFonts w:ascii="IRNazanin" w:hAnsi="IRNazanin" w:eastAsia="IRNazanin"/>
          <w:color w:val="111111"/>
          <w:sz w:val="28"/>
          <w:sz w:val="28"/>
          <w:szCs w:val="28"/>
          <w:rtl w:val="true"/>
          <w:lang w:bidi="fa-IR"/>
        </w:rPr>
        <w:t>از آخرین بخش مطالب مایکل کوک از مبحث حنفی‌ها دو نکته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منابع حنفیه در بحث نهی از منکر ضعیف بوده است و شرایط و الزامات آن را به‌صورت روشمند بیان نکرده‌اند؛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روش‌شان سهل‌گیرانه است، مانند اینکه نهی از منکر را به سه دسته معمول تقسیم کرده بودند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مرحلۀ پنجم از طرح غزالی، مخالفت و اجازۀ امام یا بهتر است گفته شود مقامات را لازم دانستند و نظریه غزالی را تعدیل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آشفتگی حنفیه در مورد نهی از منکر، مشهود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حنفی‌ها از جریان ابوحنیفه و زرگر مرو که در اول کتاب قصه‌اش ذکر شد، در سراسر دورۀ سامانیان و دوران عثمانی،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حنفی‌ها، می‌شود نتیجه گرفت که حنفیان عمل‌گرای سیاسی بوده و این روش تا آخر برای پیروانش باقی‌مانده است و از همزیستی مسالمت‌آمیزشان با ترکان و نه همکاری، نیز می‌شود این نتیجه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وضعیت قرن چهارم باشد، ولی برخی حنفیان از عالم غیب به این الهاممعتقدند که تا زمانی که شمشیر به دست ترکان باشد، مذهبشان به حیات خود ادامه می‌دهد؛ ازاین‌رو می‌بینیم که قاضی‌زاده‌های بنیادگرا، موقعیت‌های خود را مدیون دولت عثمانی می‌دانستند</w:t>
      </w:r>
      <w:r>
        <w:rPr>
          <w:rFonts w:eastAsia="IRNazanin" w:cs="IRNazanin"/>
          <w:color w:val="111111"/>
          <w:sz w:val="28"/>
          <w:szCs w:val="28"/>
          <w:rtl w:val="true"/>
          <w:lang w:bidi="fa-IR"/>
        </w:rPr>
        <w:t>.</w:t>
      </w:r>
    </w:p>
    <w:p>
      <w:pPr>
        <w:pStyle w:val="Heading4"/>
        <w:numPr>
          <w:ilvl w:val="3"/>
          <w:numId w:val="1"/>
        </w:numPr>
        <w:rPr/>
      </w:pPr>
      <w:bookmarkStart w:id="511" w:name="__RefHeading___Toc2419838_653776707"/>
      <w:bookmarkStart w:id="512" w:name="_Toc199"/>
      <w:bookmarkEnd w:id="511"/>
      <w:r>
        <w:rPr/>
        <w:t>7</w:t>
      </w:r>
      <w:r>
        <w:rPr>
          <w:rtl w:val="true"/>
        </w:rPr>
        <w:t xml:space="preserve">. </w:t>
      </w:r>
      <w:r>
        <w:rPr>
          <w:rtl w:val="true"/>
        </w:rPr>
        <w:t>جصّاص</w:t>
      </w:r>
      <w:bookmarkEnd w:id="512"/>
    </w:p>
    <w:p>
      <w:pPr>
        <w:pStyle w:val="Heading5"/>
        <w:numPr>
          <w:ilvl w:val="4"/>
          <w:numId w:val="1"/>
        </w:numPr>
        <w:rPr/>
      </w:pPr>
      <w:bookmarkStart w:id="513" w:name="__RefHeading___Toc2419840_653776707"/>
      <w:bookmarkStart w:id="514" w:name="_Toc200"/>
      <w:bookmarkEnd w:id="513"/>
      <w:r>
        <w:rPr>
          <w:rtl w:val="true"/>
        </w:rPr>
        <w:t>اشاره</w:t>
      </w:r>
      <w:bookmarkEnd w:id="51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بحث حنفی‌ها را با عنوان پیوست جصّاص،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رازی معروف به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ری و حنفی بوده است، دانشمندی که در بغداد می‌زیسته و اهل </w:t>
      </w:r>
      <w:bookmarkStart w:id="515" w:name="pg8666_122554"/>
    </w:p>
    <w:p>
      <w:pPr>
        <w:pStyle w:val="BookText"/>
        <w:rPr/>
      </w:pPr>
      <w:bookmarkEnd w:id="515"/>
      <w:r>
        <w:rPr>
          <w:rFonts w:ascii="IRNazanin" w:hAnsi="IRNazanin" w:eastAsia="IRNazanin"/>
          <w:color w:val="111111"/>
          <w:sz w:val="28"/>
          <w:sz w:val="28"/>
          <w:szCs w:val="28"/>
          <w:rtl w:val="true"/>
          <w:lang w:bidi="fa-IR"/>
        </w:rPr>
        <w:t>شذوذات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اصرار خلیفه مطیع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برای پذیرش عنوان قاضی‌القضاتی، آن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جصّاص کتابی به نام احکام القرآن دارد که وابستگی او را به حنفیه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مطالبی چون قصه زرگر مرو با ابوحنیفه را نقل می‌کند و ابوحنیفه را قائل به نهی از منکر با شمشیر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قایل به نهی از منکر، سه مرحله‌ای قلب، زبان و دست است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ایشان روایاتی است که بدون سند نقل می‌کند و این نشان‌دهنده آن است که به اهل حدیث نیز تمایل داشته است؛ اما با آنان که حشویه نام گرفته‌اند، درگیری دارد و این دلیل بر معتزلی بودن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حدیث توسل به سلاح را ردّ می‌کنند؛ درحالی‌که همه بدبختی‌ها و وضعیت بد و نکبت‌بار مردم، ویرانی شهرها و استیلای مجوسان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تمامی مشکلات به دلیل عدم امر به معروف و نهی از منکر، در جامعه و عدم ایستادگی در برابر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الانکار علی السلطان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حشویه در هر حال اطاعتشان را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بی‌توجهی حشویه به نهی از منکر، مضمون مطلوبی از نظر معتزلیان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شمشیر را حشویه در برابر سلطان ستمگر جایز نمی‌دانند، اما جصاص معتقد است که اگر در مقابل سلطان ستمگر سخن فایده نداشت باید شمشیر به دست گرفت و تنبیه نمود و می‌گوید باج‌گیران و رهزنان را می‌توان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جصّاص آمیزه‌ای مرموز از حدیث‌گرایی و اعتزالی داشت، انجام در دل با دست به شمشیر؛ ولی حرکت آینده به دست ماتریدی‌ها بود، نه معتزله یا سنّت‌گرایی</w:t>
      </w:r>
      <w:r>
        <w:rPr>
          <w:rFonts w:eastAsia="IRNazanin" w:cs="IRNazanin"/>
          <w:color w:val="111111"/>
          <w:sz w:val="28"/>
          <w:szCs w:val="28"/>
          <w:rtl w:val="true"/>
          <w:lang w:bidi="fa-IR"/>
        </w:rPr>
        <w:t>.</w:t>
      </w:r>
    </w:p>
    <w:p>
      <w:pPr>
        <w:pStyle w:val="Heading5"/>
        <w:numPr>
          <w:ilvl w:val="4"/>
          <w:numId w:val="1"/>
        </w:numPr>
        <w:rPr/>
      </w:pPr>
      <w:bookmarkStart w:id="516" w:name="__RefHeading___Toc2419842_653776707"/>
      <w:bookmarkStart w:id="517" w:name="_Toc201"/>
      <w:bookmarkEnd w:id="516"/>
      <w:r>
        <w:rPr>
          <w:rtl w:val="true"/>
        </w:rPr>
        <w:t>ب</w:t>
      </w:r>
      <w:r>
        <w:rPr>
          <w:rtl w:val="true"/>
        </w:rPr>
        <w:t xml:space="preserve">) </w:t>
      </w:r>
      <w:r>
        <w:rPr>
          <w:rtl w:val="true"/>
        </w:rPr>
        <w:t>ارزیابی</w:t>
      </w:r>
      <w:bookmarkEnd w:id="51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اینکه بحث مایکل، بحث از امر به معروف و نهی از منکر در اندیشه اسلامی است، نظم طبیعی و شیوۀ منطقی بحث ایجاب می‌کرد که به سراغ منابع اسلامی برود چنان‌که در فصل دوم و سوم این کار را به درستی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طبیعی جایگاه و خاستگاه اصلی بحث امر به معروف، فقه است نه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متکلمان معتزلی بحث امر به معروف را در کلام دنبال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ادامۀ بحث امر به معروف، پس از تبیین و اجتهاد در </w:t>
      </w:r>
    </w:p>
    <w:p>
      <w:pPr>
        <w:pStyle w:val="BookText"/>
        <w:rPr/>
      </w:pPr>
      <w:r>
        <w:rPr>
          <w:rFonts w:ascii="IRNazanin" w:hAnsi="IRNazanin" w:eastAsia="IRNazanin"/>
          <w:color w:val="111111"/>
          <w:sz w:val="28"/>
          <w:sz w:val="28"/>
          <w:szCs w:val="28"/>
          <w:rtl w:val="true"/>
          <w:lang w:bidi="fa-IR"/>
        </w:rPr>
        <w:t>منابع کتاب و سنت است که در آثار فقیهان انعکاس می‌یابد و موضوع علم فقه، عمل و رفتار مکلفان است و امر به معروف نیز یکی از انواع و اقسام رفتار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از علی قاری در صفحه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در مورد انجام در دل نقل کرده است که همّة الرجال تهدّ الجبال و با انجام نهی از منکر در دل توسط عارف، نوعی همّت برای ریشه‌کنی گناه فراهم می‌شود، اینها در حقیقت نوعی سلب مسئولیت اسلامی و دینی از آدمیان است و به‌عنوان عرفان منفی تلقّی می‌شود و ازآنجاکه نوعی انحراف در اندیشه اسلامی به شمار می‌آید، لازم است تذکر داده شود که چنین تفسیر و برداشتی برخلاف اندیشه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مقام بیان و گزارش مطالب و دیدگاه‌ها، لازم است میان آنچه طبق قوانین و قواعد عقلایی و خطابات عرفی قابل استناد به اسلام است و اجماع یا اکثریت مسلمانان آن را از اسلام می‌دانند با آنچه که به‌عنوان رأی شاذّ یا انحرافی، تلقی می‌شود و مورد پذیرش قاطبۀ مسلمانان نیست، تفکیک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از هم تفکیک کرد، کاری که در کتاب مایکل جایش خالی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پیش از این اشاره شد و شرح بیشتر آن در ارزیابی پایانی خواهد آمد، مایکل غالباً از امامیه به‌عنوان اصل تسلیم و رضا یاد می‌کند، بدون اینکه منظور خود را شرح و تبیین کند؛ درحالی‌که تسلیم و رضا اگر به معنای پذیرش حاکمیت جور و عدم‌اقدام علیه آن باشد، این جزء اندیشۀ تمامی مذاهب اهل سنت است، از جمله آنچه مایکل از حنفیان در صفحه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قیام بر ضد دولت و سلطان را از نظر اسماعیل حقی، بیان می‌کند، به‌طور کافی نشانگر تسلیم و رضا به حاکمیت است؛ ولی مایکل نظریه تسلیم و رضا را به حنفیان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وی در صفحه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کتاب به تمایل سنّتی حنفیانبه این مطلب تصریح دارد که اوضاع را نباید برهم بزنند؛ ولی واقعیت آن است که این تمایل اختصاص به حنفیان ندارد و در شاکلۀ عقیدتی اکثریت قریب به اتفاق اهل سنت،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مشروعیت حاکم فاسق و جائر، وجود دارد؛ اما تعجب و شگفتی از آن است که مایکل از این نظریه به‌عنوان تسلیم و رضا نام نمی‌برد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باید گفت سخن کاتب چلبی که وقتی بدعت، عادت مردم شد، به نام نهی از منکر ابلهانه است ریشه‌کن شود، سخنی برخلاف آموزه‌های صحیح و اندیشۀ اسلامی است و انحراف از اسلام محسوب می‌شود و الّا به تدریج تمامی آموزه‌های اسلامی به فراموشی سپرده می‌شود و جای آنها را بدعت‌ها خواهد گرفت و اصولاً طبق روایات اسلامی این وظیفه علما است که در برابر بدعت‌ها بایستند، اگرچه عادت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اذا ظهرت البدع فی امّتی فلیظهر العالم علمه فمن لم یفعل فعلیه لعنةالله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شگفت‌آور است که مایکل کوک این امور را به‌عنوان اندیشۀ اسلامی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مایکل کوک از سلسله مقالات حیدری‌زاده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باتوجه‌به نیاز هر زمان، مرتبۀ سوم و چهارم و پنجم از نهی از منکر که در آثار غزالی است سبب تعارض با قوانین جزایی می‌شود و لذا اذن مقامات لازم است و در نتیجه بر اثر فشار شرایط جدید، حیدری‌زاده نسبت به نظر غزالی تغییر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 ای حائز اهمیت است که مشخص شود منظور از شرایط جدید چیست؟ آیا منظور ورود مدرنیته به جوامع اسلامی و رسمیت‌یافتن حقوق وضعی و سکولاریته است که بر اساس آن می‌خواهند اسلامی نرم و هماهنگ با جامعۀ مدرن و مدنی طبق تفسیر غرب‌گرایان، به نام اسلام رحمانی ارائه دهند که نتیجه‌اش تفسیری ناهمگون از آموزه‌های اسلامی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عثمان نوری در اواخر دورۀ عثمانی ملقب به ارگین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مایکل کوک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او دستاورد اصلاح‌گرایی غربی بهحساب می‌آید ولی آن را مخفی می‌کند،</w:t>
      </w:r>
      <w:r>
        <w:rPr>
          <w:rStyle w:val="FootnoteAnchor"/>
          <w:rtl w:val="true"/>
        </w:rPr>
        <w:footnoteReference w:id="108"/>
      </w:r>
      <w:r>
        <w:rPr>
          <w:rFonts w:ascii="IRNazanin" w:hAnsi="IRNazanin" w:eastAsia="IRNazanin"/>
          <w:color w:val="111111"/>
          <w:sz w:val="28"/>
          <w:sz w:val="28"/>
          <w:szCs w:val="28"/>
          <w:rtl w:val="true"/>
          <w:lang w:bidi="fa-IR"/>
        </w:rPr>
        <w:t xml:space="preserve">برای تحولات جدید جامعۀ اسلامی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مهم محسوب می‌شود، چون در تحلیل روابط اسلام و غرب و نوع موضع‌گیری نسبت به آن، بررسی تاریخی این مطالب مهم است؛ به‌ویژه آنچه مرتبط با دخالت غربیان و تأثیری که بر فرهنگ و تمدن، در جهت تغییر آن به سمت اهداف و مطامع خود داشته‌اند،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عثمان نوری در زمان افول دولت عثمانی و ظهور استعمار غربی قرار دارد، باید این روشن شود که چگونه او را دستاورد اصلاح‌گرایی غربی می‌شمرد و به‌هرحال، این نشان می‌دهد که مطالب او، مورد تأیید غربیان و مستشرقان آنان است؛ چراکه آنها بلندگوی افکار غربی می‌شوند که با زبان خودی سخن و خواستۀ آنها را در میان مسلمانان ترویج می‌کنند</w:t>
      </w:r>
      <w:r>
        <w:rPr>
          <w:rFonts w:eastAsia="IRNazanin" w:cs="IRNazanin"/>
          <w:color w:val="111111"/>
          <w:sz w:val="28"/>
          <w:szCs w:val="28"/>
          <w:rtl w:val="true"/>
          <w:lang w:bidi="fa-IR"/>
        </w:rPr>
        <w:t xml:space="preserve">. </w:t>
      </w:r>
      <w:bookmarkStart w:id="518" w:name="pg8666_122562"/>
    </w:p>
    <w:p>
      <w:pPr>
        <w:pStyle w:val="Heading3"/>
        <w:numPr>
          <w:ilvl w:val="2"/>
          <w:numId w:val="1"/>
        </w:numPr>
        <w:rPr/>
      </w:pPr>
      <w:bookmarkStart w:id="519" w:name="__RefHeading___Toc2419844_653776707"/>
      <w:bookmarkStart w:id="520" w:name="_Toc202"/>
      <w:bookmarkEnd w:id="518"/>
      <w:bookmarkEnd w:id="519"/>
      <w:r>
        <w:rPr>
          <w:rtl w:val="true"/>
        </w:rPr>
        <w:t>گزارش و ارزیابی فصل سیزدهم</w:t>
      </w:r>
      <w:r>
        <w:rPr>
          <w:rtl w:val="true"/>
        </w:rPr>
        <w:t xml:space="preserve">: </w:t>
      </w:r>
      <w:r>
        <w:rPr>
          <w:rtl w:val="true"/>
        </w:rPr>
        <w:t>شافعیه</w:t>
      </w:r>
      <w:bookmarkEnd w:id="520"/>
    </w:p>
    <w:p>
      <w:pPr>
        <w:pStyle w:val="Heading4"/>
        <w:numPr>
          <w:ilvl w:val="3"/>
          <w:numId w:val="1"/>
        </w:numPr>
        <w:rPr/>
      </w:pPr>
      <w:bookmarkStart w:id="521" w:name="__RefHeading___Toc2419846_653776707"/>
      <w:bookmarkStart w:id="522" w:name="_Toc203"/>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گزارش و ارزیابی 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w:t>
      </w:r>
      <w:r>
        <w:rPr>
          <w:rStyle w:val="FootnoteAnchor"/>
          <w:rtl w:val="true"/>
        </w:rPr>
        <w:footnoteReference w:id="109"/>
      </w:r>
    </w:p>
    <w:p>
      <w:pPr>
        <w:pStyle w:val="Heading4"/>
        <w:numPr>
          <w:ilvl w:val="3"/>
          <w:numId w:val="1"/>
        </w:numPr>
        <w:rPr/>
      </w:pPr>
      <w:bookmarkStart w:id="523" w:name="__RefHeading___Toc2419848_653776707"/>
      <w:bookmarkStart w:id="524" w:name="_Toc204"/>
      <w:bookmarkEnd w:id="523"/>
      <w:r>
        <w:rPr>
          <w:rtl w:val="true"/>
        </w:rPr>
        <w:t>الف</w:t>
      </w:r>
      <w:r>
        <w:rPr>
          <w:rtl w:val="true"/>
        </w:rPr>
        <w:t xml:space="preserve">) </w:t>
      </w:r>
      <w:r>
        <w:rPr>
          <w:rtl w:val="true"/>
        </w:rPr>
        <w:t>گزارش</w:t>
      </w:r>
      <w:bookmarkEnd w:id="524"/>
    </w:p>
    <w:p>
      <w:pPr>
        <w:pStyle w:val="Heading5"/>
        <w:numPr>
          <w:ilvl w:val="4"/>
          <w:numId w:val="1"/>
        </w:numPr>
        <w:rPr/>
      </w:pPr>
      <w:bookmarkStart w:id="525" w:name="__RefHeading___Toc2419850_653776707"/>
      <w:bookmarkStart w:id="526" w:name="_Toc205"/>
      <w:bookmarkEnd w:id="525"/>
      <w:r>
        <w:rPr/>
        <w:t>1</w:t>
      </w:r>
      <w:r>
        <w:rPr>
          <w:rtl w:val="true"/>
        </w:rPr>
        <w:t xml:space="preserve">. </w:t>
      </w:r>
      <w:r>
        <w:rPr>
          <w:rtl w:val="true"/>
        </w:rPr>
        <w:t>نهی از منکر از دیدگاه شافعیه</w:t>
      </w:r>
      <w:bookmarkEnd w:id="52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مایکل کوک، مذاهب فقهی اهل سنت برخلاف مذاهب کلامی آنها با رویکرد جوامع اجتماعی واقعی، وارد اجتماع شده است و از درون آنها میراث مکتوب به نسل بعد منتقل یا فراموش می‌شود و معمولاً آنجا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شافعیه که خود یک مذهب فقهی است، نهی از منکر مانند دیگر مذاهب اهل سنت در متن مکتب فقهی آنها قرار ندارد، گرچه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شافعی عقیده داشت که نهی از منکر در فقه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دیدگاه کلامی خاصی ندارند؛ لذا از نظر کلامی از قرن پنجم به بعد، به مذهب اشعری گرایش پیدا کرده‌اند، چنانچه با مالکیه در افکار کلامی نیز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اشعری‌گری در میان شافعیه همان نقش اعتزال در رابطه با زیدیه، امامیه وحنفیه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کلامی خود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شافعیان اهمیت چندانی نداشت</w:t>
      </w:r>
      <w:r>
        <w:rPr>
          <w:rFonts w:eastAsia="IRNazanin" w:cs="IRNazanin"/>
          <w:color w:val="111111"/>
          <w:sz w:val="28"/>
          <w:szCs w:val="28"/>
          <w:rtl w:val="true"/>
          <w:lang w:bidi="fa-IR"/>
        </w:rPr>
        <w:t xml:space="preserve">. </w:t>
      </w:r>
      <w:bookmarkStart w:id="527" w:name="pg8666_122564"/>
    </w:p>
    <w:p>
      <w:pPr>
        <w:pStyle w:val="BookText"/>
        <w:rPr/>
      </w:pPr>
      <w:bookmarkEnd w:id="527"/>
      <w:r>
        <w:rPr>
          <w:rFonts w:ascii="IRNazanin" w:hAnsi="IRNazanin" w:eastAsia="IRNazanin"/>
          <w:color w:val="111111"/>
          <w:sz w:val="28"/>
          <w:sz w:val="28"/>
          <w:szCs w:val="28"/>
          <w:rtl w:val="true"/>
          <w:lang w:bidi="fa-IR"/>
        </w:rPr>
        <w:t>در این فصل آرای شافعیان دربارۀ نهی از منکر مطرح می‌شود، با قطع نظر از اینکه آرای اشعری است یا شافعی و مهم بیان تفاوت آرای شافعیه با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غزالی عمیقاً تأثیرگذار بوده و فصلی را به آن اختصاص خواهد داد، لذا شافعیان را به شافعیان قبل از غزالی و بعد از آن تقسیم می‌کند</w:t>
      </w:r>
      <w:r>
        <w:rPr>
          <w:rFonts w:eastAsia="IRNazanin" w:cs="IRNazanin"/>
          <w:color w:val="111111"/>
          <w:sz w:val="28"/>
          <w:szCs w:val="28"/>
          <w:rtl w:val="true"/>
          <w:lang w:bidi="fa-IR"/>
        </w:rPr>
        <w:t>.</w:t>
      </w:r>
    </w:p>
    <w:p>
      <w:pPr>
        <w:pStyle w:val="Heading5"/>
        <w:numPr>
          <w:ilvl w:val="4"/>
          <w:numId w:val="1"/>
        </w:numPr>
        <w:rPr/>
      </w:pPr>
      <w:bookmarkStart w:id="528" w:name="__RefHeading___Toc2419852_653776707"/>
      <w:bookmarkStart w:id="529" w:name="_Toc206"/>
      <w:bookmarkEnd w:id="528"/>
      <w:r>
        <w:rPr/>
        <w:t>2</w:t>
      </w:r>
      <w:r>
        <w:rPr>
          <w:rtl w:val="true"/>
        </w:rPr>
        <w:t xml:space="preserve">. </w:t>
      </w:r>
      <w:r>
        <w:rPr>
          <w:rtl w:val="true"/>
        </w:rPr>
        <w:t>شافعیان پیش از غزالی</w:t>
      </w:r>
      <w:bookmarkEnd w:id="529"/>
    </w:p>
    <w:p>
      <w:pPr>
        <w:pStyle w:val="BookText"/>
        <w:rPr/>
      </w:pPr>
      <w:r>
        <w:rPr>
          <w:rFonts w:ascii="IRNazanin" w:hAnsi="IRNazanin" w:eastAsia="IRNazanin"/>
          <w:color w:val="111111"/>
          <w:sz w:val="28"/>
          <w:sz w:val="28"/>
          <w:szCs w:val="28"/>
          <w:rtl w:val="true"/>
          <w:lang w:bidi="fa-IR"/>
        </w:rPr>
        <w:t>قدیمی‌ترین نظریه‌های شافعی‌ها به سدۀ چهارم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ابوکر قفال شاشی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معتزلی است، تفسیری برای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دارد که خیلی عمل‌گرایانه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چون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با سه مرحلۀ دل، زبان و ید،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قتال و جنگ نیز پیش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معنا است که در راه عقیده‌شان تا پای جان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قفال شاشی نیز جزو عمل‌گرایان بوده است و در زمره آشوب‌گرایان خراسان در برابر ارمنی‌ها و رومی‌ها به حساب می‌آید که به ری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عمل‌شان را که تاراج و غارت اموال بود با امر به معروف و نهی از منکر توجیه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قفال شاشی قدیمی‌ترین اثر منسجم، متعلق به یکی از شاگردان وی بنام ابی‌عبدالله حلیمی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قاضی ماوراء‌النهری بوده که معتقد است ایمان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دارد، شعبه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نهی از منکر است و وجوب نهی از منکر را از آیات و روایات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مرحله را پذیرفته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عدم‌تأثیر نهی از منکر، واجب است مهاجرت کند و معتقد است که جهاد و امر به معروف باتوجه‌به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یک حقیقت است، چون هدف هر دو تقویت پایه‌های اسلام و بنیه‌های اعتقادی و دعوت مردم به آن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جدای از سخنان حلیمی جرجانی، لحن یا برخورد او سازشکارانه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سه مرحله بوده و آن را به زبان خودش این‌گونه بیان می‌کند که نهی از منکر کار سلاطین و علمای صالح است؛ زیرا سلطان قدرت اجرایی دارد و چون در همه جای بلاد، سلطه ندارد باید کارآگاهان صالح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سلطان ستمگر باشد و از نهی از منکر </w:t>
      </w:r>
    </w:p>
    <w:p>
      <w:pPr>
        <w:pStyle w:val="BookText"/>
        <w:rPr/>
      </w:pPr>
      <w:r>
        <w:rPr>
          <w:rFonts w:ascii="IRNazanin" w:hAnsi="IRNazanin" w:eastAsia="IRNazanin"/>
          <w:color w:val="111111"/>
          <w:sz w:val="28"/>
          <w:sz w:val="28"/>
          <w:szCs w:val="28"/>
          <w:rtl w:val="true"/>
          <w:lang w:bidi="fa-IR"/>
        </w:rPr>
        <w:t>امساک نماید، این وظیفه از دوشش ساقط نمی‌شود و در صورت امساک سلطان از نهی از منکر، دیگران باید آن را به عهده گیرند وآن وظیفه علمای صالح جامعه است و آن را در سه مرحله با دست و زبان و قلب انجام دهند؛ منتهی در صورت اعمال خشونت از نیروهای سلطان کمک بگیرند و از نیروهای اجرایی سلطان نباید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حلیمی این سؤال را طرح می‌کند که اگر علما حضور داشتند، ولی صالح نبودند چه کار باید کرد؟ وی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علما به اصلاح خود بکوشد و اگر مسلمانصالح از علمای برجسته نبود، نیاز به تأمل دارد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از کار زشتی نهی کنند که وضع آن برای عوام روشن است، در این صورت مقام او مقام علمای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حلیمی قیود سختی را مطرح کرده و این نشان می‌دهد که او نسبت به نهی از منکر حساسیت ویژه دارد؛ بنابراين او به كارهايی می‌پردازد كه اين وظيفه را به بهترين وجه به تأخير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مردی كه شراب در جامش دارد، شما می‌توانيد آنچه را از اين شراب او بر جای مانده است بر زمين ريزيد و تا زمانی كه مستی از سر او نپريده، سخن‌گفتن با او نابخردانه و بی‌فايده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حلیمی از استادش بیشتر به احترام، نزاکت و ادب نسبت به مقامات قانونی و طبقات اجتماعی نگریسته و آسان‌گیری حنفیه را با بهتر از خود حنفیه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حلیمی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وظیفه دارند، گنهکار را تنبیه کنند و آنان خلفا و زیردستان ایشان‌اند و کسانی هستند که با زبان انجام می‌دهند و کسانی دیگر که تکلیفی ندارند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متمایزی از این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منکرات را به فردی و اجتماعی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هرکسی که قدرت دارد و شرایط فراهم است، باید جلوش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دوم اگر گناه اجتماعی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اهل حدیث، وجوب اقدام بر ضد منکر را رد می‌کنند و به گفتۀ وی امامیه تکلیف را تا زمان امام منتظر به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را منوط به اجازه امام </w:t>
      </w:r>
    </w:p>
    <w:p>
      <w:pPr>
        <w:pStyle w:val="BookText"/>
        <w:rPr/>
      </w:pPr>
      <w:r>
        <w:rPr>
          <w:rFonts w:ascii="IRNazanin" w:hAnsi="IRNazanin" w:eastAsia="IRNazanin"/>
          <w:color w:val="111111"/>
          <w:sz w:val="28"/>
          <w:sz w:val="28"/>
          <w:szCs w:val="28"/>
          <w:rtl w:val="true"/>
          <w:lang w:bidi="fa-IR"/>
        </w:rPr>
        <w:t>عادل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متکلمین درصورتی‌که شرایط فراهم باشد، اقدام را لازم می‌شمرند که در این صورت لازم است، آدمی یاران لایقی داشته باشد تا به هدف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ماوردی در اینجا گفته، با کتاب دیگرش به نام احکام السلطانیة که درباره محتسب صحبت می‌کند،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به نُه مورد از تفاوت‌ها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وظیفه برای محتسب واجب عینی و برای بقیه واجب کفایی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محتسب رسمی بر اثر فشار نباید از وظایف خود منحرف شود، اما برای بقیه این کار روا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محتسب رسمی حق دارد، از اعوانی کمک بگیرد، ولی مردم عادی نه؛ اما در جای دیگر گفته که مردم عادی نیز می‌توانند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از مردم عادی این وظیفه را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نیست که چنین تفاوتی وجود داشته باشد؛ چون کتاب احکام السلطانیة را در بیان وظایف حکومت و مقامات سیاسی نوشته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مهم دیگر، امام‌الحرمین جوینی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جوینی آشنا است و سخن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حسبه بحثی دارد و فرقی در این جهت با مردم عادی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همه مردم نسبت به نهی از منکر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منکراتی را که همه می‌شناسند، باید اقدام کنند؛ اما آنچه نیاز به اجتهاد دارد، مربوط به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واجب کفایی است، اگر یک نفر انجام دهد، از عهدۀ بقیه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خبرچینی در این رابطه را تقبیح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اختصاص به وُلات ندارد و گناه کبیره را حتی تا مرحلۀ عملی، می‌توانند همه جلوگیری کنند، تا حدّ اسلحه که مربوط به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سخنی هم دارد که همه را مبهوت می‌کند و آن این است که اگر سلطان ستمگر به سخن تن نداد، بر اهل حل و عقد است که از کار او جلوگیری کنند، حتی اگر به معنای جنگ با او باشد</w:t>
      </w:r>
      <w:r>
        <w:rPr>
          <w:rFonts w:eastAsia="IRNazanin" w:cs="IRNazanin"/>
          <w:color w:val="111111"/>
          <w:sz w:val="28"/>
          <w:szCs w:val="28"/>
          <w:rtl w:val="true"/>
          <w:lang w:bidi="fa-IR"/>
        </w:rPr>
        <w:t>.</w:t>
      </w:r>
      <w:r>
        <w:rPr>
          <w:rStyle w:val="FootnoteAnchor"/>
          <w:rtl w:val="true"/>
        </w:rPr>
        <w:footnoteReference w:id="110"/>
      </w:r>
      <w:bookmarkStart w:id="530" w:name="pg8666_122570"/>
    </w:p>
    <w:p>
      <w:pPr>
        <w:pStyle w:val="BookText"/>
        <w:rPr/>
      </w:pPr>
      <w:bookmarkEnd w:id="530"/>
      <w:r>
        <w:rPr>
          <w:rFonts w:ascii="IRNazanin" w:hAnsi="IRNazanin" w:eastAsia="IRNazanin"/>
          <w:color w:val="111111"/>
          <w:sz w:val="28"/>
          <w:sz w:val="28"/>
          <w:szCs w:val="28"/>
          <w:rtl w:val="true"/>
          <w:lang w:bidi="fa-IR"/>
        </w:rPr>
        <w:t>جوینی مانند ماوردی وظیفۀ مردم را لسانی می‌داند و اقدام عملی را به حکومت وامی‌گذارد و سخن خود را چنین ادامه می‌دهد که کار نهی از منکر باید برای رضای خدا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معاصران جوینی شخصی به نام متولی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تکلیف را مبتنی بر قرآن و حدیث و کفایی می‌داند که مسلمان‌ها در طول تاریخ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دیگری را نام می‌برد به نام کیا هرّاسی که معاصر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جوینی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شافعی‌های که در مورد نهی از منکر نوشته‌اند، او نظراتش شبیه جصاص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نکته‌ای که دارد، این است که اگر سخن اثر نکند تا حد قتل می‌توان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مالیات نامشروع می‌گیرد می‌توان بدون هشدار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کوک در جمع‌بندی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شافعیه عقیدۀ هماهنگ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روایت حلیمی بود که مقداری سهل‌گیرانه و غیر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سیرۀ عملی گاهی به انجام این کار در زندگی‌شان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نام سراج نیشابوری سوار بر خر خود نهی از منکر می‌کرد و به کاتب خود سلیمی می‌گفت این را خراب کن و آن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ابوالعلی منیعی امر به معروف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 ارسلان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من فقط یک نفر از حکومت نمی‌ترسد، بلکه از خدا می‌ترسد</w:t>
      </w:r>
      <w:r>
        <w:rPr>
          <w:rFonts w:eastAsia="IRNazanin" w:cs="IRNazanin"/>
          <w:color w:val="111111"/>
          <w:sz w:val="28"/>
          <w:szCs w:val="28"/>
          <w:rtl w:val="true"/>
          <w:lang w:bidi="fa-IR"/>
        </w:rPr>
        <w:t>.</w:t>
      </w:r>
    </w:p>
    <w:p>
      <w:pPr>
        <w:pStyle w:val="Heading5"/>
        <w:numPr>
          <w:ilvl w:val="4"/>
          <w:numId w:val="1"/>
        </w:numPr>
        <w:rPr/>
      </w:pPr>
      <w:bookmarkStart w:id="531" w:name="__RefHeading___Toc2419854_653776707"/>
      <w:bookmarkStart w:id="532" w:name="_Toc207"/>
      <w:bookmarkEnd w:id="531"/>
      <w:r>
        <w:rPr/>
        <w:t>3</w:t>
      </w:r>
      <w:r>
        <w:rPr>
          <w:rtl w:val="true"/>
        </w:rPr>
        <w:t xml:space="preserve">. </w:t>
      </w:r>
      <w:r>
        <w:rPr>
          <w:rtl w:val="true"/>
        </w:rPr>
        <w:t>شافعیان بعد از غزالی</w:t>
      </w:r>
      <w:bookmarkEnd w:id="53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تراث شافعیان بعد از غزالی، سیر نزولی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نهی از منکر، در کتب کلامی و همچنین بحث از حدیث سه مرحله‌ای را، به‌صورت نابسامان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عملی چیز خاصی مثل قاضی‌زاده‌های حنفی در شافعیان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شخصیت‌های این دوره کسی به نام سیف‌الدین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وظیفه را مطرح و بحث می‌کند که آیا واجب سمعی است یا نه؟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سمعی است و اجازه امام را به روافض نسبت می‌دهد؛ چون در طول تاریخ، اصحاب پیامبر و تابعین، بدون اجازه و مشورت،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تا شرط را به‌عنوان قیود نهی از منکر ذکر می‌کند که بعداً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شرط را در پاورقی آورده که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تفاوت امر به معروف و نهی از منکر را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ادعا شده واقعاً گناه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اختلاف مکتب‌های فقهی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دیگر به انجام آن اقدام نکرده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موفقیت وجود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جاسوسی و کنجکاوی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عضدالدین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مختصرتر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شرایط را به دو عدد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حنفی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شرحش چیزی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شرحش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بعدی،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شرحی دارد و مطالبی را که مطرح کرده، بن‌مایه‌اش همان سخن جوینی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شرط را بیان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تأثیر،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شرط شبیه ابن‌رشد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اشعریه گرفته؟ یا شاید از امامیه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شافعی، شرحی دارد برحدیث سه مرحله‌ای که آن را در ضمن چهل حدیث،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شیوه جدیدی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زمینه‌های نهی از منکر و ویژگی‌های کفایی بودن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نفرت نسبت به اشعری‌گری در آن دیده نمی‌شود و از جوینی به نیکی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او، توجه به ضرورت اخلاقی و گرفتار نشدن در عبارات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وضع تأسف‌بار این وظیفه تأکید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عزالدین‌بن 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وسیله است برای یک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بر جای نماند، وسیله نیز بر جای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نووی برعکس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نتیجه‌بخش هم نبود، اگرچه مفید ظن هم نباشد و قبول هم نکند، وظیفه 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علیه الامر والنهی لا للقبول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نهی از منکر کنند ولو سخنان او را کسی نشنود، همانند سلام کردن</w:t>
      </w:r>
      <w:r>
        <w:rPr>
          <w:rFonts w:eastAsia="IRNazanin" w:cs="IRNazanin"/>
          <w:color w:val="111111"/>
          <w:sz w:val="28"/>
          <w:szCs w:val="28"/>
          <w:rtl w:val="true"/>
          <w:lang w:bidi="fa-IR"/>
        </w:rPr>
        <w:t xml:space="preserve">. </w:t>
      </w:r>
      <w:bookmarkStart w:id="533" w:name="pg8666_122576"/>
    </w:p>
    <w:p>
      <w:pPr>
        <w:pStyle w:val="BookText"/>
        <w:rPr/>
      </w:pPr>
      <w:bookmarkEnd w:id="533"/>
      <w:r>
        <w:rPr>
          <w:rFonts w:ascii="IRNazanin" w:hAnsi="IRNazanin" w:eastAsia="IRNazanin"/>
          <w:color w:val="111111"/>
          <w:sz w:val="28"/>
          <w:sz w:val="28"/>
          <w:szCs w:val="28"/>
          <w:rtl w:val="true"/>
          <w:lang w:bidi="fa-IR"/>
        </w:rPr>
        <w:t>شارحان بعدی مبنای کارشان را همان کار نووی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با این مخالفت نووی که وجوب بستگی به امید موفقیت دارد و اگر موفقیت نباشد لزوم ندارد، گرایش دارند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ساقط نمی‌شود اگرچه تأثیر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شارح کسی به نام نبراوی فعال در</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شکوه 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زمان خود چه بگوییم؟ یک تک‌نگار ابن‌نحاس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کتابی نوشته است که نکته خاصی ندارد جز مخالفت با نووی در شرط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وظیفه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سیره در منابع رجالی شافعيه، اسم كسانی آمده، بعد از غزالی که اهل نهی از منکر بوده‌اند، مانند ابوحفص، ابن‌عساکر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پرجنب و جوش‌تر از همه کسی به نام خبوشانی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بی‌پروا در مقابل قدرت‌های سیاسی فاطمی یا ایوبی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صلاح‌الدین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مالیات‌های غیر شرعی ایستاد وصلاح‌الدین با پیشنهاد خبوشانی مخالفت کرد و تا آنجا پیش رفت که عصای خود را در دستار او فروکرد و آن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ماجرای فوق‌العادۀ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نورالدین بکری قاهره‌ای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مسئله قبطی‌ها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محمد‌بن‌قلاوون به مقابله برخاست و حدیث قیام ضد سلطان ستمگر را خواند، سلطان خشمگین پرسید که درباره اوست؟ جواب داد که سرنوشت مسلمان‌ها را به قبطی‌ها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در جمع‌بندی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شافعیۀ بعد از غزالی سه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وابستگی به جوینی؛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عافیت‌طلبی حنفیه آن‌قدر عافیت‌طلب نیستند و مصونیت نسبی شافعیان از عافیت‌طلبی حنفیان محرز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ساختار محکم آموزه مکتبی به‌طوری که قابل قیاس با معتزلی‌ها که در چارچوب کلامی خاص قرار دارند، نیست؛ مثلاً در مورد شرایط، هیچ عالم شافعی تعدادی یکسان از شرایط را ذکر نمی‌کند</w:t>
      </w:r>
      <w:r>
        <w:rPr>
          <w:rFonts w:eastAsia="IRNazanin" w:cs="IRNazanin"/>
          <w:color w:val="111111"/>
          <w:sz w:val="28"/>
          <w:szCs w:val="28"/>
          <w:rtl w:val="true"/>
          <w:lang w:bidi="fa-IR"/>
        </w:rPr>
        <w:t>.</w:t>
      </w:r>
    </w:p>
    <w:p>
      <w:pPr>
        <w:pStyle w:val="Heading4"/>
        <w:numPr>
          <w:ilvl w:val="3"/>
          <w:numId w:val="1"/>
        </w:numPr>
        <w:rPr/>
      </w:pPr>
      <w:bookmarkStart w:id="534" w:name="__RefHeading___Toc2419856_653776707"/>
      <w:bookmarkStart w:id="535" w:name="_Toc208"/>
      <w:bookmarkEnd w:id="534"/>
      <w:r>
        <w:rPr>
          <w:rtl w:val="true"/>
        </w:rPr>
        <w:t>ب</w:t>
      </w:r>
      <w:r>
        <w:rPr>
          <w:rtl w:val="true"/>
        </w:rPr>
        <w:t xml:space="preserve">) </w:t>
      </w:r>
      <w:r>
        <w:rPr>
          <w:rtl w:val="true"/>
        </w:rPr>
        <w:t>ارزیابی</w:t>
      </w:r>
      <w:bookmarkEnd w:id="535"/>
    </w:p>
    <w:p>
      <w:pPr>
        <w:pStyle w:val="BookText"/>
        <w:rPr/>
      </w:pPr>
      <w:r>
        <w:rPr>
          <w:rFonts w:ascii="IRNazanin" w:hAnsi="IRNazanin" w:eastAsia="IRNazanin"/>
          <w:color w:val="111111"/>
          <w:sz w:val="28"/>
          <w:sz w:val="28"/>
          <w:szCs w:val="28"/>
          <w:rtl w:val="true"/>
          <w:lang w:bidi="fa-IR"/>
        </w:rPr>
        <w:t>در ارزیابی فصل سیزدهم، مربوط به شافعیان چند مطلب گفتنی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ارزیابی‌ها به دنبال راستی آزمایی متن مایکل کوک به‌صورت مورد به مورد و مراجعه به مصادر، نیستیم؛ چراکه این کار از عهدۀ این نوشتار و وظیفه‌ای که برای </w:t>
      </w:r>
    </w:p>
    <w:p>
      <w:pPr>
        <w:pStyle w:val="BookText"/>
        <w:rPr/>
      </w:pPr>
      <w:r>
        <w:rPr>
          <w:rFonts w:ascii="IRNazanin" w:hAnsi="IRNazanin" w:eastAsia="IRNazanin"/>
          <w:color w:val="111111"/>
          <w:sz w:val="28"/>
          <w:sz w:val="28"/>
          <w:szCs w:val="28"/>
          <w:rtl w:val="true"/>
          <w:lang w:bidi="fa-IR"/>
        </w:rPr>
        <w:t>خود تعیین کرده،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ارزیابی، نگاهی کلی و بیرونی، به مجموع کار مایکل کوک در ارتباط با هر فصل و بیان نکات و تأمّلات عام و بیرونی است که احیاناً متوجه کتاب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تقریباً نسبت به تمامی ارزیابی‌های فصول کتاب مایکل کوک ساری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شافعیان،</w:t>
      </w:r>
      <w:r>
        <w:rPr>
          <w:rStyle w:val="FootnoteAnchor"/>
          <w:rtl w:val="true"/>
        </w:rPr>
        <w:footnoteReference w:id="111"/>
      </w:r>
      <w:r>
        <w:rPr>
          <w:rFonts w:ascii="IRNazanin" w:hAnsi="IRNazanin" w:eastAsia="IRNazanin"/>
          <w:color w:val="111111"/>
          <w:sz w:val="28"/>
          <w:sz w:val="28"/>
          <w:szCs w:val="28"/>
          <w:rtl w:val="true"/>
          <w:lang w:bidi="fa-IR"/>
        </w:rPr>
        <w:t>مایکل کوک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کلام شافعی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سبب شده است که مایکل معتقد شود نهی از منکر هم در آرای شافعی به نسل‌های بعدی منتقل نشده است؛ چراکه نهی از منکر اساساً یک بحث کلامی به شمار رفتهاست، هرچند جوینی از متکلمان اشعری شافعی مذهب بر این عقیده است که باید نهی از منکر در مکتب فقهی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نکتۀ مهم و درستی است که خاستگاه بحث امر به معروف و نهی از منکر چنان‌که قبلاً هم گذشت، خاستگاه فقهی است نه کلامی؛ زیرا نهی از منکر از موضوعات فقهی محسوب می‌شود و در تراث کتاب و سنت هم به‌عنوان تکلیفی بر عهدۀ مردم و انسان‌ها شمرده شده است و این نقد کلی به مدرسۀ صحابه و اهل سنت وارد است که چرا بخش امر به معروف را از جایگاه فقهی خود به جایی منتقل کرده‌اند که مربوط به عقیده است و عینیتی در روابط اجتماعی اسلامی پیدا نمی‌کند و لذا در جایگاه اساسی اسلامی خود قرار نمی‌گیرد تا به عنصری اثرگذار مبدل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دیگر در این ارتباط آن است که چنانچه در حنفیان و حنبلیان نیز شاهد بودیم در نگرش اهل سنت به‌خوبی نظریه تسلیم و رضا منعکس است و علی‌رغم اینکه تسلیم و رضا را مایکل به امامیه نسبت می‌دهد، این نسبت در مورد امامیه قابل تطبیق نیست و بیشتر از آن بر اهل سنت از جمله، شافعیان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حلیمی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شافعیه هم نهی از منکر عملی را کار </w:t>
      </w:r>
    </w:p>
    <w:p>
      <w:pPr>
        <w:pStyle w:val="BookText"/>
        <w:rPr/>
      </w:pPr>
      <w:r>
        <w:rPr>
          <w:rFonts w:ascii="IRNazanin" w:hAnsi="IRNazanin" w:eastAsia="IRNazanin"/>
          <w:color w:val="111111"/>
          <w:sz w:val="28"/>
          <w:sz w:val="28"/>
          <w:szCs w:val="28"/>
          <w:rtl w:val="true"/>
          <w:lang w:bidi="fa-IR"/>
        </w:rPr>
        <w:t>سلطان دانستند و به او واگذار کردند که دارای قدرت اجرایی است و اوست که باید ناظر در هر شهر و روستایی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اگر سلطان به وظیفۀ خود اقدام نکرد، عالمان صالح اقدام کنند، ولی نباید کار آنها مستلزم مداخله در نیروهای اجرایی سلطان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نگرش این گروه از عالمان، چیزی به نام عبور از سیرۀ حاکمیت سلطان جور و نظریه و فقه انقلاب مشاهده نمی‌شود؛ درحالی‌که مؤثرترین ابزار برای جلوگیری از فساد، نهی از منکر خود سلطان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امام‌الحرمین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درگیری مسلحانه تصریح می‌کند که در چنین مواردی باید موضوع را به سلطان بسپارند و در اینجا از مسئله سلطان ستمگر سخن به میان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فوق ریشۀ اساسی در نگرش شافعیه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شاگرد مالک‌بن‌انس بوده است و پس از مرگ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یمن منتقل شد و وارد مناصب حکومتی گردید و وقتی او را به اتهام تشیع از یمن بیرون کردند، در بغداد از خود رفع اتهام کرد و در همان عراق باقی‌ماند و با اندیشه‌های حنفیان آشنا گردید و بدین‌وسیله دو مدرسه فقهی اهل حدیث و اهل رأی را آموخت و به مکه بازگشت و این دو نظریه را با هم درآمیخت و مذهب فقهی جدید خود را در آنجا اعلام کرد و باز به حجاز برگشت و بالاخره برای بار سوم به عراق آمد و از آنجا به مصر رهسپار شد و نظریۀ فقهی خود را در آن دیار منتشر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نظریۀ خود به قول صحابه بعد از نص و اجماع اعتماد می‌کند و معتقد به قیاس در استنباط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کلامی اصحاب خود را از اشتغال به کلام منع می‌کرد و آن را بی‌فایده و بی‌انتها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 امامت، معاویه را فئۀ باغیه می‌دانست اما درعین‌حال ابوبکر، عمر و عثمان را از نظر فضیلت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می‌شمرد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سنت کلامی، شافعی هم پیرو نظریۀ مشروعیّت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بدین‌سان امنیت را مقدّم بر عدالت می‌شمرد</w:t>
      </w:r>
      <w:r>
        <w:rPr>
          <w:rFonts w:eastAsia="IRNazanin" w:cs="IRNazanin"/>
          <w:color w:val="111111"/>
          <w:sz w:val="28"/>
          <w:szCs w:val="28"/>
          <w:rtl w:val="true"/>
          <w:lang w:bidi="fa-IR"/>
        </w:rPr>
        <w:t xml:space="preserve">. </w:t>
      </w:r>
      <w:bookmarkStart w:id="536" w:name="pg8666_122588"/>
    </w:p>
    <w:p>
      <w:pPr>
        <w:pStyle w:val="Heading3"/>
        <w:numPr>
          <w:ilvl w:val="2"/>
          <w:numId w:val="1"/>
        </w:numPr>
        <w:rPr/>
      </w:pPr>
      <w:bookmarkStart w:id="537" w:name="__RefHeading___Toc2419858_653776707"/>
      <w:bookmarkStart w:id="538" w:name="_Toc209"/>
      <w:bookmarkEnd w:id="536"/>
      <w:bookmarkEnd w:id="537"/>
      <w:r>
        <w:rPr>
          <w:rtl w:val="true"/>
        </w:rPr>
        <w:t>گزارش و ارزیابی فصل چهاردهم</w:t>
      </w:r>
      <w:r>
        <w:rPr>
          <w:rtl w:val="true"/>
        </w:rPr>
        <w:t xml:space="preserve">: </w:t>
      </w:r>
      <w:r>
        <w:rPr>
          <w:rtl w:val="true"/>
        </w:rPr>
        <w:t>مالکیان</w:t>
      </w:r>
      <w:bookmarkEnd w:id="538"/>
    </w:p>
    <w:p>
      <w:pPr>
        <w:pStyle w:val="Heading4"/>
        <w:numPr>
          <w:ilvl w:val="3"/>
          <w:numId w:val="1"/>
        </w:numPr>
        <w:rPr/>
      </w:pPr>
      <w:bookmarkStart w:id="539" w:name="__RefHeading___Toc2419860_653776707"/>
      <w:bookmarkStart w:id="540" w:name="_Toc210"/>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گزارش و ارزیابی 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مالکیان</w:t>
      </w:r>
      <w:r>
        <w:rPr>
          <w:rStyle w:val="FootnoteAnchor"/>
          <w:rtl w:val="true"/>
        </w:rPr>
        <w:footnoteReference w:id="113"/>
      </w:r>
    </w:p>
    <w:p>
      <w:pPr>
        <w:pStyle w:val="Heading4"/>
        <w:numPr>
          <w:ilvl w:val="3"/>
          <w:numId w:val="1"/>
        </w:numPr>
        <w:rPr/>
      </w:pPr>
      <w:bookmarkStart w:id="541" w:name="__RefHeading___Toc2419862_653776707"/>
      <w:bookmarkStart w:id="542" w:name="_Toc211"/>
      <w:bookmarkEnd w:id="541"/>
      <w:r>
        <w:rPr>
          <w:rtl w:val="true"/>
        </w:rPr>
        <w:t>الف</w:t>
      </w:r>
      <w:r>
        <w:rPr>
          <w:rtl w:val="true"/>
        </w:rPr>
        <w:t xml:space="preserve">) </w:t>
      </w:r>
      <w:r>
        <w:rPr>
          <w:rtl w:val="true"/>
        </w:rPr>
        <w:t>گزارش</w:t>
      </w:r>
      <w:bookmarkEnd w:id="542"/>
    </w:p>
    <w:p>
      <w:pPr>
        <w:pStyle w:val="Heading5"/>
        <w:numPr>
          <w:ilvl w:val="4"/>
          <w:numId w:val="1"/>
        </w:numPr>
        <w:rPr/>
      </w:pPr>
      <w:bookmarkStart w:id="543" w:name="__RefHeading___Toc2419864_653776707"/>
      <w:bookmarkStart w:id="544" w:name="_Toc212"/>
      <w:bookmarkEnd w:id="543"/>
      <w:r>
        <w:rPr/>
        <w:t>1</w:t>
      </w:r>
      <w:r>
        <w:rPr>
          <w:rtl w:val="true"/>
        </w:rPr>
        <w:t xml:space="preserve">. </w:t>
      </w:r>
      <w:r>
        <w:rPr>
          <w:rtl w:val="true"/>
        </w:rPr>
        <w:t>امر به معروف و نهی از منکر در تراث مالکیان</w:t>
      </w:r>
      <w:bookmarkEnd w:id="544"/>
    </w:p>
    <w:p>
      <w:pPr>
        <w:pStyle w:val="BookText"/>
        <w:rPr/>
      </w:pPr>
      <w:r>
        <w:rPr>
          <w:rFonts w:ascii="IRNazanin" w:hAnsi="IRNazanin" w:eastAsia="IRNazanin"/>
          <w:color w:val="111111"/>
          <w:sz w:val="28"/>
          <w:sz w:val="28"/>
          <w:szCs w:val="28"/>
          <w:rtl w:val="true"/>
          <w:lang w:bidi="fa-IR"/>
        </w:rPr>
        <w:t>به نظر مایکل کوک مالکیان برخلاف شافعیان، آرای مالک را در امور کلامی و غیرفقهی نگهداری کردند، ولی مثل حنبلیان به آن وفادار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مثل شافعیان مکتب اشعری را برگزیدند، ولی برخلاف اشعریه، این کار موجب تضاد درون‌مکتبی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مالکیان را اشعری در حدّ کمال می‌داند و تأثیر اشعری‌گری آن بود که دیوار بین مالکیان و شافعیان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مایکل، نخست به بررسی آرای خود مالک می‌پردازد و سپس به آرای اشاعرۀ معاصر با اندیشه‌های مالکی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عقیدۀ مالکیان متأخر نسبت به این وظیفه انسجام کمتری دارد و شخصیت برجسته‌ای همچون غزالی در میان مالکیه وجود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درباره سیره مالکیه هم از دو جهت بحث مفصلی دارد که در دو گروه مطرح می‌شود</w:t>
      </w:r>
      <w:r>
        <w:rPr>
          <w:rFonts w:eastAsia="IRNazanin" w:cs="IRNazanin"/>
          <w:color w:val="111111"/>
          <w:sz w:val="28"/>
          <w:szCs w:val="28"/>
          <w:rtl w:val="true"/>
          <w:lang w:bidi="fa-IR"/>
        </w:rPr>
        <w:t xml:space="preserve">: </w:t>
      </w:r>
      <w:bookmarkStart w:id="545" w:name="pg8666_122591"/>
    </w:p>
    <w:p>
      <w:pPr>
        <w:pStyle w:val="BookText"/>
        <w:rPr/>
      </w:pPr>
      <w:bookmarkEnd w:id="54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اجتماعی مالکیان در دهه‌های نخستین در شهرهایی مانند مدینه، فسطاط، قیروان و قرطبه بودند که با مقامات حکومتی ارتباط داشتند و شبیه به حنبلیان است؛ البته نه مثل آنها که خیلی تسلیم‌گرایانه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هم گسترش بعدی مالکیه در بین قبایل آفریقا بودند که در آن جوامعی دارای گرایش‌های سیاسی، در لوای فرقه‌گرایی، مذهب مالکیه را ترویج می‌دادند</w:t>
      </w:r>
      <w:r>
        <w:rPr>
          <w:rFonts w:eastAsia="IRNazanin" w:cs="IRNazanin"/>
          <w:color w:val="111111"/>
          <w:sz w:val="28"/>
          <w:szCs w:val="28"/>
          <w:rtl w:val="true"/>
          <w:lang w:bidi="fa-IR"/>
        </w:rPr>
        <w:t>.</w:t>
      </w:r>
    </w:p>
    <w:p>
      <w:pPr>
        <w:pStyle w:val="Heading5"/>
        <w:numPr>
          <w:ilvl w:val="4"/>
          <w:numId w:val="1"/>
        </w:numPr>
        <w:rPr/>
      </w:pPr>
      <w:bookmarkStart w:id="546" w:name="__RefHeading___Toc2419866_653776707"/>
      <w:bookmarkStart w:id="547" w:name="_Toc213"/>
      <w:bookmarkEnd w:id="546"/>
      <w:r>
        <w:rPr/>
        <w:t>2</w:t>
      </w:r>
      <w:r>
        <w:rPr>
          <w:rtl w:val="true"/>
        </w:rPr>
        <w:t xml:space="preserve">. </w:t>
      </w:r>
      <w:r>
        <w:rPr>
          <w:rtl w:val="true"/>
        </w:rPr>
        <w:t>عقیدۀ مالکیان نخستین</w:t>
      </w:r>
      <w:bookmarkEnd w:id="547"/>
    </w:p>
    <w:p>
      <w:pPr>
        <w:pStyle w:val="BookText"/>
        <w:rPr/>
      </w:pPr>
      <w:r>
        <w:rPr>
          <w:rFonts w:ascii="IRNazanin" w:hAnsi="IRNazanin" w:eastAsia="IRNazanin"/>
          <w:color w:val="111111"/>
          <w:sz w:val="28"/>
          <w:sz w:val="28"/>
          <w:szCs w:val="28"/>
          <w:rtl w:val="true"/>
          <w:lang w:bidi="fa-IR"/>
        </w:rPr>
        <w:t xml:space="preserve">به نظر آقای کوک، ابن‌وهب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در مورد 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مختلف دارند و مالک آن را مفید می‌داند و دوست دارد که در برابر منکرات این کار به نرمی، انجام شود، اگرچه گنهکار گوش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نقل می‌کند که اگر او را هجو می‌کنند یا کتک می‌زنند یا به زندان می‌اندازند در قلب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رابطۀ بین نهی از منکر و دولت،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 که هر مسلمان یا عالمی به نزد سلطان برود و او را امر به معروف و نهی از منکر کند و تنها به این منظور عالم به حضور سلطان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از او اطاعت می‌کند، باید او را نهی از منکر کند، ولی درعین‌حال از او نقل شده که هفده تن از تابعین را دیده که سلطان ظالم را سرزنش نکرده‌اند و در هیچ‌یک از این سخنان مسئلۀ خطر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همکاری با حکومت نگرش مالک، مثبت است؛ یعنی گزارش منکر به امام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می‌خواهد، اقدام کند، ولی قدرت آن را بدون سلطان ندارد، اگر می‌تواند به درستی آن را انجام دهد، باید آن را از سلطان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نهی از منکر را مخصوص بی‌گناه نمی‌داند؛ چه کسی بی‌گناه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شامل پدر و مادر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قدریّه نباید رابطه داشت، ولی نهی از منکر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گنهکاران نباید به زندگی ادامه داد، سرزمین خداوند گسترده است</w:t>
      </w:r>
      <w:r>
        <w:rPr>
          <w:rFonts w:eastAsia="IRNazanin" w:cs="IRNazanin"/>
          <w:color w:val="111111"/>
          <w:sz w:val="28"/>
          <w:szCs w:val="28"/>
          <w:rtl w:val="true"/>
          <w:lang w:bidi="fa-IR"/>
        </w:rPr>
        <w:t xml:space="preserve">. </w:t>
      </w:r>
      <w:bookmarkStart w:id="548" w:name="pg8666_122594"/>
    </w:p>
    <w:p>
      <w:pPr>
        <w:pStyle w:val="BookText"/>
        <w:rPr/>
      </w:pPr>
      <w:bookmarkEnd w:id="548"/>
      <w:r>
        <w:rPr>
          <w:rFonts w:ascii="IRNazanin" w:hAnsi="IRNazanin" w:eastAsia="IRNazanin"/>
          <w:color w:val="111111"/>
          <w:sz w:val="28"/>
          <w:sz w:val="28"/>
          <w:szCs w:val="28"/>
          <w:rtl w:val="true"/>
          <w:lang w:bidi="fa-IR"/>
        </w:rPr>
        <w:t>مطلب عجیب آن است که راویان مالک در اواخر سدۀ دوم و سوم چیزی از نهی از منکر بیان نکرده‌اند</w:t>
      </w:r>
      <w:r>
        <w:rPr>
          <w:rFonts w:eastAsia="IRNazanin" w:cs="IRNazanin"/>
          <w:color w:val="111111"/>
          <w:sz w:val="28"/>
          <w:szCs w:val="28"/>
          <w:rtl w:val="true"/>
          <w:lang w:bidi="fa-IR"/>
        </w:rPr>
        <w:t>.</w:t>
      </w:r>
    </w:p>
    <w:p>
      <w:pPr>
        <w:pStyle w:val="Heading5"/>
        <w:numPr>
          <w:ilvl w:val="4"/>
          <w:numId w:val="1"/>
        </w:numPr>
        <w:rPr/>
      </w:pPr>
      <w:bookmarkStart w:id="549" w:name="__RefHeading___Toc2419868_653776707"/>
      <w:bookmarkStart w:id="550" w:name="_Toc214"/>
      <w:bookmarkEnd w:id="549"/>
      <w:r>
        <w:rPr/>
        <w:t>3</w:t>
      </w:r>
      <w:r>
        <w:rPr>
          <w:rtl w:val="true"/>
        </w:rPr>
        <w:t xml:space="preserve">. </w:t>
      </w:r>
      <w:r>
        <w:rPr>
          <w:rtl w:val="true"/>
        </w:rPr>
        <w:t>عقیدۀ مالکیان متأخر</w:t>
      </w:r>
      <w:bookmarkEnd w:id="550"/>
    </w:p>
    <w:p>
      <w:pPr>
        <w:pStyle w:val="BookText"/>
        <w:rPr/>
      </w:pPr>
      <w:r>
        <w:rPr>
          <w:rFonts w:ascii="IRNazanin" w:hAnsi="IRNazanin" w:eastAsia="IRNazanin"/>
          <w:color w:val="111111"/>
          <w:sz w:val="28"/>
          <w:sz w:val="28"/>
          <w:szCs w:val="28"/>
          <w:rtl w:val="true"/>
          <w:lang w:bidi="fa-IR"/>
        </w:rPr>
        <w:t>دربارۀ نهی از منکر، در میان مالکیان متأخر جریان واحد عقیدتی وجود ندارد و باید مجموع منابع آنها را مورد بررسی قرار داد اعم از عقاید اشعری، تفسیرهای قرآنی و مطالب مربوط به نقش 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اصلی ترویج اشعریت در اسپانیای مسلمان، 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او از نظر بافت تفاوت زیادی با سخنان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مقابله با منکر نیست، از حضور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از نهی از منکر مستثنی نیست، ولی پارسا اقدامش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با ملاطفت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نهی از منکر نزد باجی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معروف و منکر؛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اینکه موجب منکر مساوی دیگری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محقق نشد، واجب نیست با زبان اقدام کند، بلکه در دل انجام دهد و اگر دو شرط محقق شد، جایز است نه واجب؛ لکن اگر بداند که عامل اطاعت می‌کند،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طرح کلی سه شرط باجی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انجام وظیفه با دستور سلطان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مقامات هستند که می‌توانند به‌طور فراگیر از پس گناهان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این کار بگمارند و انسان اگر می‌تواند این وظیفه را انجام دهد، درخواست امام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دادن به خود، در این مورد فقط بر امام واجب است، اما بر دیگران، با وجود قدرت،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ابن‌رشد این واجب را با وجود شرایط، عینی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دستور وقتی است که نهی از منکر بی‌نتیجه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کمک به امر عدالت یاوری پیدا شود، نباید در مقابل گناه ساکت نشست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ابن‌رشد شگفت‌انگیز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در آن این وظیفه منسوخ خواهد شد، ممکن است هم اکنون فرارسیده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ریشه در حدیث دارد، ولی در بین علمای متأخر معمول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از نظر تفسیرهای قرآنی مالکیان، مثل ابن‌عطیه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ابن‌عربی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ابن‌فرس 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مالکی برخلاف ابن‌رشد، این وظیفه را کفایی می‌دانند که ممکن است در شرایطی واجب عینی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توان واجب است، ولی به‌صورت مؤدبانه و اینکه ضرر نداشته باشد و چنانچه ممکن نیست در دل انجام دهد و از معاشرت پرهیز کند و خود گناهکار نیز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خطر تکلیفی نیست؛ ولی آیا مستحب است که خود را در معرض جرح یا مرگ قرار دهد؟</w:t>
      </w:r>
    </w:p>
    <w:p>
      <w:pPr>
        <w:pStyle w:val="BookText"/>
        <w:rPr/>
      </w:pPr>
      <w:r>
        <w:rPr>
          <w:rFonts w:ascii="IRNazanin" w:hAnsi="IRNazanin" w:eastAsia="IRNazanin"/>
          <w:color w:val="111111"/>
          <w:sz w:val="28"/>
          <w:sz w:val="28"/>
          <w:szCs w:val="28"/>
          <w:rtl w:val="true"/>
          <w:lang w:bidi="fa-IR"/>
        </w:rPr>
        <w:t>به نظر ابن‌عربی، اگر آدمی نیت خالص دارد، در هر شرایطی دست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کشته می‌شوند، در راه امر به قسط،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پیامدها سبب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ابن‌عربی، در توسل به سلاح، عمل‌گرا نیست و آن را به سلطان وامی‌گذارد تا موجب فتنه و مصیبت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ابن‌عطیه نهی از منکر به موقعیت سیاسی شخصی بستگی دارد؛ در ابتدا این وظیفۀ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ولاة امر در هر شرایطی مکلف‌اند، ولی دیگران در شرایطی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الحکّام والولاة، وحملهم علی جادة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حاکمان تغییر بدی‌ها با قدرت خود می‌باشد و وظیفۀ مردم، پس از اعتراض قلبی، خبر دادن به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 شرارت مستمرّ فاعل منکر است وگرنه در گناهان موردی، خود مؤمن تا آنجا که می‌تواند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پس از نقل تقسیم کار، نهی از منکر را مناسب سلطان می‌داند، چون قدرت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فردی صالح را برای این کار بگمارد، این نظریه بیشتر شافعیان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نویسندگانی هم در مورد مراقبت حکومت از منهیات و بازار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یحیی‌بن‌عمر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عمومی مانند برهنگی و حضور زنان در حمام‌های عمومی، نوحه‌گری زنان و عشوه‌نمایی با پوشیدن صندل‌های جیرجیری، بحث می‌کند و ناظر و مراقب، شاید منظور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بحث مالکیان می‌رسیم به شخصی به نام عقبانی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به وظیفۀ مأمور حکومتی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کلام ابن‌رشد را مطرح می‌کند که طرح کلی سه شرط است و نیز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صورت توانایی و فراهم بودن شرایط باید به نهیاز منکر بپردازیم،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عقبانی در غرب عالم اسلام مانند اسپانیا و آفریقا حضور دارد، برخلاف شافعیه که بیشتر در شرق عالم اسلام، مانند مصر و فلسطین ساکن‌اند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عقبانی مطالب شافعی را از شرق، وارد غرب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عقبانی از جهت شرایط وابسته به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جا را که مواجهه و رویاروی با خطر باشد، ردّ می‌کند و نظر ابن‌رشد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کتاب مطلبی را در رابطه با وظایف محتسب و شرایط لازم برای او را به بحث می‌گذارد و تفاوت بین وظیفه حکومتی و فردی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عقبانی بخش عمده‌ای از کتابش را از ابن‌مناصف که هم‌کیش او و مال قرن هفتم است، می‌گیرد؛ اما مطالب را ماهرانه، از او گرفته و بدون نام‌بردن از وی، به نام خودش جا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مسئله که با غزالی به مخالفت برمی‌خیزد، سخن خود ایشان است به همین دلیل باید به آرای هم‌کیش او ابن‌مناصف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ابن‌مناصف مطالب خودش را طوری بیان می‌کند که انسان فکر نمی‌کند، از منبع مالکیان قبل از خود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حقیقت از زبان غزالی، مطالب را با برهم‌زدن ساختار می‌آورد و مرهون نظریات غزالی است و در سه عنصر ساختاری از غزالی پیروی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بیان شروط؛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کلی مراتب نهی از 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از منکرات که از میراث غزالی است؛ اما در این شرایط و ساختار تغییری که ایجاد کرده، سخت ساختار غزالی ضایع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پیروی از غزالی نگران دوچیز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سلاح و گردآوری برای مقابله با منکرات؛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غزالی، معتقد است این مطلب نیاز به بررسی دارد؛ اما ابن‌مناصف صراحتاً می‌گوید که نیاز به اذن امام دارد، مگر در 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غزالی تأیید می‌کند، چنین اقدامی حتی بی‌دستور امام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ابن‌مناصف هم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بعداً عقب می‌نشیند و فقط اضطرار را استثنا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مایکل این سؤال را مطرح می‌کند که آیا ابن‌مناصف به آثار غزالی مستقیم دسترسی داشته یا نه؟ سپس جواب می‌دهد که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قبل از ابن‌مناصف، آثار غزالی را تلخیص کرده باشند و ابن‌مناصف به آثار دسته دوم غزالی دسترسی پیدا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ابوعلی مسیلی که به او ابوحامد صغیر می‌گفتند در نیمه دوم سدۀ ششم، کتابی به سبک غزالی نوشته و این کتاب از محبوبیت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از ابن‌رمامه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می‌برد که گزیده‌ای از کتاب غزالی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طُرطوشی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مشهور اندلسی کتابی نوشته که گفته می‌شود از غزالی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ابن‌مناصف از سنت کتاب‌های قدیمی‌تر از خود مطلب گرفته باشد و احتمال دارد که ترکیبی از هر دو باشد و ما راهی برای ترمیم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اعظم تراث مالکیه شامل این نوع از شروح و کتب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شرح‌هایی که بر صحیح مسلم پیرامون حدیث سه مرحله‌ای نوشته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شرح‌هایی که بر کتاب فقهی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اعتقادی ابراهیم 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مصری و پسرش عبدالسلام که شرح‌نوشته‌هایی دارند و مطالبشان از هم پاشیده و رأی‌های قدیم مالکی را سرهم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شروح ضعف نسبی سنت اصیل مالکی را، از جهت ارتباط با سنت قدیم مالکی، به نمایش می‌گذارند و نشان‌دهنده این است که بیشتر به شافعیه متمایل بوده و از آثاری مانند ابن‌رشد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مانند اختلاف بین ابن‌رشد و نووی مثلاً در شرط تأثیرگذاری که ابن‌رشد معتقد به شرط تأثیرگذاری بود ولی نووی بدون تأثیر هم انجام این وظیفه را لازم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تراث مالکی هم دیده می‌شود که تأثیر را از شروط نهی از منکر می‌داند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کلیۀ مالکیان علی‌رغم نظر ابن‌رشد، کفایی‌بودن این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مالکیان در مورد عمل‌گرایی به چند گروه مختلف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تحمل شجاعت را ندارد و با کسانی که به‌گونه‌ای دیگر فکر می‌کنند، با حالت جدلی وارد بحث می‌شود که شاید در این بحث ابن‌عربی معاصر خودش را مدنظر دارد و قرافی از او سخت جانب‌داری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مورد توسل به اسلحه، همه اذن امام را لازم می‌دانند و در مورد تقسیم کار مالک بیش از آنچه در شافعیه بوده، مطرح می‌کند؛ البته استثناهایی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ابن‌حاج تقسیم‌بندی را قبول ندارد و می‌گوید که ممکن است کسی نه حاکم باشد، نه عالم، اما درعین‌حال مأمور به انجام این وظیفه و اقدام عملی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مایکل از تک‌نگاری عمربن‌خشاب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هفده بخش آن را زیدالدین صالحی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از تک‌نگاری دیگر، به نام ابومحمد بن ذُنین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طلیطلی یاد می‌کند که خود سرسپردۀ این وظیفه بوده و از تصنیفش فقط، عنوان آن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نام عثمان دان فودیو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خلافت سوتوکو در نیجریه شمالی است که تنها جزوه‌ای از 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همۀ این نوشته‌ها، از همه مهم‌تر و بهتر، تک‌نگار عمربن‌ربیع است که مطالبی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پاداش نهی از منکر بیشتر از جهاد است، برای اینکه رهانیدن مسلمانان از گناه و خطا، مهم‌تر از جنگ با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عمربن‌ربیع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مجازات به عهدۀ مقامات دولتی است و وظیفه آنها است که به درون خانه‌ها وارد شوند و یا در برابر کسانی که به‌صورت دسته‌جمعی شراب می‌نوشند و یا به نغمه زنی گوش می‌دهند، اقدام عملی کنند و این در صورتی است که گناه علنی شده باشد و اگر چنین نباشد و آزار و اذیت او به مردم نرسد، می‌گوید حریم خصوصی مقدم است و بیت مؤمن حرز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قول عمر‌بن‌ربیع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وظیفه دارند که در مرحلۀ اول موعظه کنند واگر کفایت نکرد، مجرمین را به مقامات گزارش دهند؛ البته مشروط به اینکه حاکم به شرع عمل نماید، اما اگر گناه غیرعلنی و بین شخص و خدا باشد، وظیفه‌ای ندارند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مردم نمی‌توانند حضور مقامات را تأمین کنند، باید خود وارد عمل شوند، مجلس شراب را به‌هم زنند و به مجلس نغمه زنی حمله کنند و به خانه‌ای که تجاوز جنسی یا قتل در آن در جریان دارد،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ابن‌ربیع درباره نهی از منکر، مطالب خوب و فراوانی دارد، اگرچه در میراث مالکیان جا باز نکرده است</w:t>
      </w:r>
      <w:r>
        <w:rPr>
          <w:rFonts w:eastAsia="IRNazanin" w:cs="IRNazanin"/>
          <w:color w:val="111111"/>
          <w:sz w:val="28"/>
          <w:szCs w:val="28"/>
          <w:rtl w:val="true"/>
          <w:lang w:bidi="fa-IR"/>
        </w:rPr>
        <w:t xml:space="preserve">. </w:t>
      </w:r>
      <w:bookmarkStart w:id="551" w:name="pg8666_122608"/>
    </w:p>
    <w:p>
      <w:pPr>
        <w:pStyle w:val="Heading5"/>
        <w:numPr>
          <w:ilvl w:val="4"/>
          <w:numId w:val="1"/>
        </w:numPr>
        <w:rPr/>
      </w:pPr>
      <w:bookmarkStart w:id="552" w:name="__RefHeading___Toc2419870_653776707"/>
      <w:bookmarkStart w:id="553" w:name="_Toc215"/>
      <w:bookmarkEnd w:id="551"/>
      <w:bookmarkEnd w:id="552"/>
      <w:r>
        <w:rPr/>
        <w:t>4</w:t>
      </w:r>
      <w:r>
        <w:rPr>
          <w:rtl w:val="true"/>
        </w:rPr>
        <w:t xml:space="preserve">. </w:t>
      </w:r>
      <w:r>
        <w:rPr>
          <w:rtl w:val="true"/>
        </w:rPr>
        <w:t>روش مالکی در نهی از منکر</w:t>
      </w:r>
      <w:bookmarkEnd w:id="553"/>
    </w:p>
    <w:p>
      <w:pPr>
        <w:pStyle w:val="BookText"/>
        <w:rPr/>
      </w:pPr>
      <w:r>
        <w:rPr>
          <w:rFonts w:ascii="IRNazanin" w:hAnsi="IRNazanin" w:eastAsia="IRNazanin"/>
          <w:color w:val="111111"/>
          <w:sz w:val="28"/>
          <w:sz w:val="28"/>
          <w:szCs w:val="28"/>
          <w:rtl w:val="true"/>
          <w:lang w:bidi="fa-IR"/>
        </w:rPr>
        <w:t>بعد از این مایکل وارد روش عملی مالکی‌ها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مالک نهی از منکر می‌کرده یا نه؟ همان قسم که در مورد حنبل بحث داشتیم، در مورد مالکی آنچه به ما رسیده است، او به‌راحتی ارتباط با مقامات حکومتی نداشت و گویا مالک با محیط فاسد و رعب‌آور خلافت موافقت نداشته و با آنها موالف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زمان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و معروف است که در بازی شطرنج، مالک مچ هارون را گرفت و این کارش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او خواسته بود، از اعمال زشتی که فرماندارانش مرتکب می‌شوند، مطلع سازد و آنها باید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 آب و تاب کمتری اظهار می‌دارد که اگر او به دیدار مقامات نمی‌رفت، هیچ‌یک از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اجرا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ملاقات‌ها و سرزنش هایش، خوف و خشیت از آنها در دلش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مالکی با ابن‌ذئب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که بی‌پروا در مقابل مقامات سخن خود را می‌گفت، درحالی‌که مالک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سؤال شد که چرا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نماز جمعه نمی‌روی؟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منکری ببینم و لازم باشد آن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اقدام عملی مالک، می‌شود چنین نتیجه گرفت که خیلی اگر خوش‌بینانه قضاوت کنیم با روش متزلزل او نسبت به نهی از منکر مواجه هستیم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این سابقه، روش نهی از منکر در دوران بعدی تاریخ مالکی، از اواخر سدۀ دوم تا اوایل سدۀ چهارم، به‌طور شگفت‌انگیزی مستحکم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مطالب از دانشمندانی است که در شهرهای افریقیه و به‌ویژه قیروان، به نهی از منکر می‌پرداختند، اما کوک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 نقاط، مانند مصر و اندلس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منکراتی مطرح بوده که عادی‌ترین آنها مربوط به موسیقی است مانند نوازندگانی که می‌نواختند یا ابزار آن را با خود داشتند، سروصداهای بدعت‌آمیز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سرقت چوب‌های یک چوب‌بُر، وارد شدن به اعمال نامشروع جنسی، ربودن یک دختر و همین طور ایراد گرفتن برادر از برادر خود که حرف‌ها و سخن‌های مربوط به دنیا را گوش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موارد انجام وظیفۀ </w:t>
      </w:r>
    </w:p>
    <w:p>
      <w:pPr>
        <w:pStyle w:val="BookText"/>
        <w:rPr/>
      </w:pPr>
      <w:r>
        <w:rPr>
          <w:rFonts w:ascii="IRNazanin" w:hAnsi="IRNazanin" w:eastAsia="IRNazanin"/>
          <w:color w:val="111111"/>
          <w:sz w:val="28"/>
          <w:sz w:val="28"/>
          <w:szCs w:val="28"/>
          <w:rtl w:val="true"/>
          <w:lang w:bidi="fa-IR"/>
        </w:rPr>
        <w:t>لفظی با رفتار مؤدبانه بوده است، مانند عالمی که در مسیر رفتن به طرف مسجد با آوازخوانی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رسیم به شخصی به نام عیسی منکدر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دانشمندان مصری که گروهی را تشکیل داده بود که با آن گروه، به نهی از منکر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ظاهراً کمی متهورانه به این وظیفه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افریقیه همین که منکری را می‌دید، بدون ترس از کسی،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مالکی شرقی هنگام انجام این وظیفه به دست دیلمیان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سوسه به دلیل اینکه نمی‌توانستند کاری برای منع خنیاگری حاکمان انجامدهند، ناچار شدند رهسپار منزل او شده، حیاط را محاصره کنند و اجازه ورود بخواهند و حاکم هم به‌ناچار تسلیم خواستۀ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پارسایان سوسه مهاجرت را آخرین راه حل، برای پایان خنیاگری حاکمان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افریقیه برخورد میان عالمان و حاکمان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ابن‌راشد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منکراتی که مأموران مرتکب می‌شدند،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آنها را مجازات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ناهیان از منکر، رواق‌بن‌رازق است که همزمان با بهلول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حاکم به او حمله کردند و مردم از ایشان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مالکیان برمی‌آید که عالمان مالکی این دوره در مقابل حاکم می‌ایستادند و پروایی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چنین عقیده‌ای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که از او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نهی از منکر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خاندان اغلب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حاکمان بر افریقیه بودند، نزد ابومحمد انصاری که آدم نابینایی بود، می‌رفتند تا از او طلب دعای خیر کنند، اما این مرد مقدس، از پذیرفتن زیادة‌الله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خودداری کرد و حاکم از نپذیرفتنش ناراحت شد، اما ایشان همچنان به نهی از منکر و پافشاری نسبت به آن ادامه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کسی است به نام ابن‌فروخ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شرکت‌کنندگان در جنگ بدر نیرو داشته باشم، در مقابل ائمۀ جور، قیام خواهم کرد؛ اما بعد از اینکه دید در محل موعود دو نفر بیشتر نیامده، شوقش به سردی گرایید و عقیده‌اش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کوک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ظاهراً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که شبیه به او عقیده </w:t>
      </w:r>
    </w:p>
    <w:p>
      <w:pPr>
        <w:pStyle w:val="BookText"/>
        <w:rPr/>
      </w:pPr>
      <w:r>
        <w:rPr>
          <w:rFonts w:ascii="IRNazanin" w:hAnsi="IRNazanin" w:eastAsia="IRNazanin"/>
          <w:color w:val="111111"/>
          <w:sz w:val="28"/>
          <w:sz w:val="28"/>
          <w:szCs w:val="28"/>
          <w:rtl w:val="true"/>
          <w:lang w:bidi="fa-IR"/>
        </w:rPr>
        <w:t xml:space="preserve">داشته، عبدالله‌بن حمدبن الاشج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قیام‌کنندگان به اندازۀ شرکت‌کنندگان غزوه بدر باشند، باید قیام کرد؛ اما عقیده داشت که معتقد به تغییر منکر به بدتر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موردی از همکاری مالکیان با مقاماتی که مورد تأیید مالک بوده،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موردی که از همراهی با حکومت نام‌برده شده، نقش ابن‌طالب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قیروان است که مسئولیت‌های ابراهیم‌بن‌احمد را به عهده او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آقای کوک در قرون بعد در اسپانیا و شمال آفریقا تغییراتی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اسپانیا حساسیت نسبت به اسلام و مذهب مالکی به‌تدریج، رو به زوال بود و نسبت به دین، مردم بی‌اعتنا می‌شدند؛ اما در جنوب و آفریقا برعکس، گسترش پردامنۀ اسلام مالکی، در حالجریان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محیط جدیدی آشنا می‌شود که نحوۀ تعامل با این محیط، با مشکلات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سنغای به فقیه مالکی به نام مغیلی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در این شهر تمامی دختران زیبا بدون لباس، راه می‌روند و هیچ پوششی برتن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تحولی که در آفریقای شمالی رخ می‌دهد، جذب نواحی دور افتاده از شهر با تعصب دینی، همراه با اتحاد عجولانۀ تصوف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افریقیه و در جامعه سنتی آن روز، نهی از منکر به روش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برخی از ناهیان از منکر، از جمله ابوعمر طلمنکی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 ناخوشایندی در نهی از منکر داشت، موجب رنجش بسیاری از مردم شد و ابوعمران فاسی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مشهور، به‌خاطر نهی از منکر توسط حکام، از شهر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ابن‌زبیر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جیان به این وظیفه می‌پرداخته و از تعصب او نسبت به بدعت‌گذاری و رویارویی او با حاکمان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ابن‌قنفذ در قرن نهم از کوشش‌های مرد پارسایی در راه نهی از منکر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مسجد وهران بر اثر مطلبی که دربارۀ نهی از منکر گفته بود و سخنان او به سمع حاکم رسید، عوض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مایکل کوک به این سؤال می‌پردازد که رویارویی با حاکمان و درافتادن با آنها آیا کوششی برای به دست آوردن قدرت بوده است یا مقدمه برای انقلاب؟ در جواب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رویارویی برای به دست آوردن قدرت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نفری یاد می‌کند که یکی از آنها به‌خاطر عدم تأثیر نهی از منکر، دست به هجرت زده‌اند و اکثراً کسانی بودند که معروف شده به شدید الشکیمه، یعنی ثابت‌قدم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خیلی از آنان به حکومت با تندی سخن می‌گفتند و به پیروان فوق طبیعی خود،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مشاور بنیان‌گذار سلسله سعدیه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خود بازیگر سیاسی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هرچند شیفتگان قدرت نبودند، اما می‌توانستند چنین باشند؛ لذا حاکمان از آنها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بی‌پروا با حاکمان سخن می‌گفت، حکومت حتی بعد از مرگش هم از پیروانش در هراس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هیچ یک از اینها، حکایت از سردرگمی بین نهی از منکر و براندازی حکومت ندارد، کنایه از اینکه فقط نهی از منکر می‌کردند و به تغییر حاکم نمی‌اندیشیدند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آقای مایکل کوک نمونه‌های زیادی هم در تاریخ غرب اسلامی از نهی از منکر وجود دارد که نهی از منکر سرمایه کسانی بود که کار خود را سرنگونی یا تأسیس حکومت‌های جدید قرار داده بودند، مثل ابن‌فروخ که قبلاً نامش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ابن‌القطّ شورشی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کسانی بود که نهی از منکر را شعار خودش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ابورکوه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اندلسی است که بنی‌قرّة را ضدّ فاطمیان تحریک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وظیفه برای براندازی و یا تأسیس حکومت نبوده، ولی تأثیراتی داشته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نمونۀ دیگر این نوع حرکات، ابن‌یاسین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قیامش منجر به تأسیس دولت مرابطان شده است یا ابن‌تومرت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دولت موحدان یا 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دولت سعدیه است که سعدیه نیز به وسیله قیام ابومحلی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مردی به نام محمد تاهَرتی که مدعی مهدویت بود و پیروان زیادی هم از مردم قبایل جنوب غربی داشت، برمی‌خوریم که در یک مناظره‌ای او را سرزنش می‌کنند که تو قیام کردی و قیام تو باعث به‌هم‌خوردن نظم مطلوب شده است</w:t>
      </w:r>
      <w:r>
        <w:rPr>
          <w:rFonts w:eastAsia="IRNazanin" w:cs="IRNazanin"/>
          <w:color w:val="111111"/>
          <w:sz w:val="28"/>
          <w:szCs w:val="28"/>
          <w:rtl w:val="true"/>
          <w:lang w:bidi="fa-IR"/>
        </w:rPr>
        <w:t xml:space="preserve">. </w:t>
      </w:r>
      <w:bookmarkStart w:id="554" w:name="pg8666_122621"/>
    </w:p>
    <w:p>
      <w:pPr>
        <w:pStyle w:val="BookText"/>
        <w:rPr/>
      </w:pPr>
      <w:bookmarkEnd w:id="554"/>
      <w:r>
        <w:rPr>
          <w:rFonts w:ascii="IRNazanin" w:hAnsi="IRNazanin" w:eastAsia="IRNazanin"/>
          <w:color w:val="111111"/>
          <w:sz w:val="28"/>
          <w:sz w:val="28"/>
          <w:szCs w:val="28"/>
          <w:rtl w:val="true"/>
          <w:lang w:bidi="fa-IR"/>
        </w:rPr>
        <w:t>در ادامه، مایکل مبنای قیام و نظریه‌ای که این روال تهاجمی را به راه انداخته، بررسی می‌کند و می‌گوید در خیلی اقدامات، نظریه و مبنایی وجود ندارد و ما را سردرگم می‌کند، اما باید جست‌وجو کرد و دنبال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 از منبع‌های مشخصی نام می‌برد که از جمله آنها، آرای ابن‌حزم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کوک ابن‌حزم معتقد است اگر ستمگر حاضر به اعمال اصلاح نیست، باید از او خلع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توسل به سلاح و خلع ید ستمگر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قیام علیه حاکم قریش جایز است، چون تغییر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اموی مسلک هم هست، منتهی این مطلب در نسل‌های بعدی خیلی جدی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فرضیۀ دیگری که گارسیا آرینال تحقیق کرده، این است که فرضیۀ برداشتن سلاح از نظریه غزالی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نظریه غزالی را در مالکیان غربی درست می‌داند، اما رسوخ آن را به مالکیانی که در شرق قرار گرفته بودند، درست نمی‌داند</w:t>
      </w:r>
      <w:r>
        <w:rPr>
          <w:rFonts w:eastAsia="IRNazanin" w:cs="IRNazanin"/>
          <w:color w:val="111111"/>
          <w:sz w:val="28"/>
          <w:szCs w:val="28"/>
          <w:rtl w:val="true"/>
          <w:lang w:bidi="fa-IR"/>
        </w:rPr>
        <w:t>.</w:t>
      </w:r>
    </w:p>
    <w:p>
      <w:pPr>
        <w:pStyle w:val="Heading5"/>
        <w:numPr>
          <w:ilvl w:val="4"/>
          <w:numId w:val="1"/>
        </w:numPr>
        <w:rPr/>
      </w:pPr>
      <w:bookmarkStart w:id="555" w:name="__RefHeading___Toc2419872_653776707"/>
      <w:bookmarkStart w:id="556" w:name="_Toc216"/>
      <w:bookmarkEnd w:id="555"/>
      <w:r>
        <w:rPr/>
        <w:t>5</w:t>
      </w:r>
      <w:r>
        <w:rPr>
          <w:rtl w:val="true"/>
        </w:rPr>
        <w:t xml:space="preserve">. </w:t>
      </w:r>
      <w:r>
        <w:rPr>
          <w:rtl w:val="true"/>
        </w:rPr>
        <w:t>خاتمه</w:t>
      </w:r>
      <w:bookmarkEnd w:id="556"/>
    </w:p>
    <w:p>
      <w:pPr>
        <w:pStyle w:val="BookText"/>
        <w:rPr/>
      </w:pPr>
      <w:r>
        <w:rPr>
          <w:rFonts w:ascii="IRNazanin" w:hAnsi="IRNazanin" w:eastAsia="IRNazanin"/>
          <w:color w:val="111111"/>
          <w:sz w:val="28"/>
          <w:sz w:val="28"/>
          <w:szCs w:val="28"/>
          <w:rtl w:val="true"/>
          <w:lang w:bidi="fa-IR"/>
        </w:rPr>
        <w:t>منابع مالکی اگرچه اینکه خیلی گسترده است، اما از نظر ادبی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ابن‌رجب که افکار به جا مانده از مالکی را شرح کرده، بسیار مفصل‌تر از هر کتاب دیگری بحث کرده، ولی با این وجود نفوذ اندکی داشته و استقبال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ابن‌رشد و ناجی نشانه‌هایی از نوآوری دارند، اما آنها نیز جز شرح حدیث سه مرحله‌ای و نوآوری‌های فی‌الجمله، چیز جدیدی را که قابل عرضه باشد،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شافعیان اقتباس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نابرابری در مورد خطّ مشی سیاسی این وظیفه وجود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مالکی در مورد شجاعت نیز دو گونه است، دیدگاه مانند ابن‌عربی و قرافی مثبت است، امّا دیدگاه امثال قاضی عیاض و عقبانی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اسلحه در مالکیه قدیم، در آثار مانند ابن‌عربی و مناصف تأیید نمی‌شد، اما در دوران متأخر، مشخصۀ آشکار بین مالکیان بوده و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وجود دارد که بین نظر و عمل مالکیان رابطه وجود دارد و نسبتاً قانع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مالکیان در ترویج مذهبشان در سطح وسیع </w:t>
      </w:r>
      <w:bookmarkStart w:id="557" w:name="pg8666_122623"/>
    </w:p>
    <w:p>
      <w:pPr>
        <w:pStyle w:val="BookText"/>
        <w:rPr/>
      </w:pPr>
      <w:bookmarkEnd w:id="557"/>
      <w:r>
        <w:rPr>
          <w:rFonts w:ascii="IRNazanin" w:hAnsi="IRNazanin" w:eastAsia="IRNazanin"/>
          <w:color w:val="111111"/>
          <w:sz w:val="28"/>
          <w:sz w:val="28"/>
          <w:szCs w:val="28"/>
          <w:rtl w:val="true"/>
          <w:lang w:bidi="fa-IR"/>
        </w:rPr>
        <w:t>کوشیدند و ترویج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بخت بد، ملاک نظر و ملاک عمل، دستاورد زمان‌ها و مکان‌های متفاوت در تاریخ مالکی است</w:t>
      </w:r>
      <w:r>
        <w:rPr>
          <w:rFonts w:eastAsia="IRNazanin" w:cs="IRNazanin"/>
          <w:color w:val="111111"/>
          <w:sz w:val="28"/>
          <w:szCs w:val="28"/>
          <w:rtl w:val="true"/>
          <w:lang w:bidi="fa-IR"/>
        </w:rPr>
        <w:t>.</w:t>
      </w:r>
    </w:p>
    <w:p>
      <w:pPr>
        <w:pStyle w:val="Heading4"/>
        <w:numPr>
          <w:ilvl w:val="3"/>
          <w:numId w:val="1"/>
        </w:numPr>
        <w:rPr/>
      </w:pPr>
      <w:bookmarkStart w:id="558" w:name="__RefHeading___Toc2419874_653776707"/>
      <w:bookmarkStart w:id="559" w:name="_Toc217"/>
      <w:bookmarkEnd w:id="558"/>
      <w:r>
        <w:rPr>
          <w:rtl w:val="true"/>
        </w:rPr>
        <w:t>ب</w:t>
      </w:r>
      <w:r>
        <w:rPr>
          <w:rtl w:val="true"/>
        </w:rPr>
        <w:t xml:space="preserve">) </w:t>
      </w:r>
      <w:r>
        <w:rPr>
          <w:rtl w:val="true"/>
        </w:rPr>
        <w:t>ارزیابی</w:t>
      </w:r>
      <w:bookmarkEnd w:id="559"/>
    </w:p>
    <w:p>
      <w:pPr>
        <w:pStyle w:val="BookText"/>
        <w:rPr/>
      </w:pPr>
      <w:r>
        <w:rPr>
          <w:rFonts w:ascii="IRNazanin" w:hAnsi="IRNazanin" w:eastAsia="IRNazanin"/>
          <w:color w:val="111111"/>
          <w:sz w:val="28"/>
          <w:sz w:val="28"/>
          <w:szCs w:val="28"/>
          <w:rtl w:val="true"/>
          <w:lang w:bidi="fa-IR"/>
        </w:rPr>
        <w:t>در ارزیابی فصل چهاردهم که اختصاص به بررسی نگاه مالکیان به امر به معروف و نهی از منکر دارد، نکات ذیل قابل بررسی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منطقی باتوجه‌به اینکه مالک‌بن‌انس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محمد‌بن‌ادریس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امام شافعی نزد امام مالکی تلمّذ کرده است، مناسب بود نخست مایکل کوک مذهب مالکی را بحث کند و بر مذهب شافعی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مالکیان و مطالبی که مایکل در مورد عقیدۀ ایشان نسبت به نهی از منکر نقل کرده است، صرف نظر از جزئیات نقل‌هایی که نویسنده انجام داده و این قلم در مورد صحت و سقم آنها در مقام داوری قطعی نیست، ولی به‌طور کلی نکاتی را متذکر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مالک‌بن‌انس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دومین مذهب از مذاهب اربعۀ فقهی اهل سنت با آنکه خودش از سیاست احتراز داشت، ولی امویان فقه او را فقه رسمی دستگاه خلافت قرار دادند و ازاین‌رو این فقه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عباسیان رابطۀ گرمی نداشت و معتقد بود، بیعت با آنها اکراهی بوده است و همچون طلاق اکراهی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شخصیتی از اهل تسنن است که پس از حکم منع کتابت حدیث، موطّأ را از نهصد راوی که سیصد تن آنها از تابعین و ششصد تن از تابعی تابعین‌اند،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موطّأ میان روایات و اقوال صحابه و فتاوای تابعین ممزوج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خودش کتاب فقهی ندارد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مذهب فقهی مالک محسوب می‌شود که توسط شاگرد مالک، حسون‌بن‌سعید فتاوای مالک روایت گردیده و تدوین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امتداد حرکت فقهی اهل حدیث به شمار می‌آید و مذهب او به کمک و یاری سلاطین منتشر شد و پس از حنفیان و شافعیان از جهت گسترش در رتبۀ سوم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غور و فرورفتن عمیق در مسائل کلامی و مسائل غیبی و مسائل پیچیدۀ اعتقادی را که معتزلیان و اشعریان و سایر متکلمان در آن فرو رفته‌اند، نمی‌پسندد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مالک به سیره و اقوال صحابه و تابعین وفادار بود، نقل کرده که با هفده تن از تابعین روبه‌رو شده که نشنیده است، آنان سلطان ستمگر را سرزنش کرده باشند؛ ازاین‌رو مالک هم پیرو مدرسه مشروعیت به قهر و غلبه تلقی می‌شود و لذا بسیاری از مالکیان هم نهی از منکر را بر عهدۀ سلطان می‌بینند و ابن‌مناصف مالکی برای کاربرد اسلحه نیاز به اذن امام را مطرح می‌کند؛ درحالی‌که برای امام شرطی نمی‌گذارند و این نشان می‌دهد که امام و سلطان چه جائر و چه عادل باشد، نیاز به اذن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حرکت اساسی مالکیان نیز مانند اشعریان، حنفیان و حنبلیان در مواجهه با درباریان فاسد و سلاطین جور نیست و لذا آنان را بیش از هر مذهب دیگر باید طرف‌دار نظریۀ تسلیم و رضا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مهمی را مایکل از فتاوای عمر‌بن‌ربیع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Style w:val="FootnoteAnchor"/>
          <w:rtl w:val="true"/>
        </w:rPr>
        <w:footnoteReference w:id="115"/>
      </w:r>
      <w:r>
        <w:rPr>
          <w:rFonts w:ascii="IRNazanin" w:hAnsi="IRNazanin" w:eastAsia="IRNazanin"/>
          <w:color w:val="111111"/>
          <w:sz w:val="28"/>
          <w:sz w:val="28"/>
          <w:szCs w:val="28"/>
          <w:rtl w:val="true"/>
          <w:lang w:bidi="fa-IR"/>
        </w:rPr>
        <w:t>همچون اجرای مجازات و حمله بر خانه‌های گنهکاران که مشغول فسق و فجورند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بر عهدۀ مقامات است درصورتی‌که مزاحمتی برای دیگران باشد و اگر موجب آزار نباشد، حریم خصوصی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در این سخن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مجازات و اجرای حدود را نباید با نهی از منکر خلط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وظیفه‌ای است مربوط به آینده و اینکه جلوگیری از گناه شود، ولی مجازات و اجرای حدود و تقریر مربوط به گناهی است که مرتکب شده‌اند؛ لذا دین دو را باید از هم تفکیک کرد، ولی در کلمات مایکل این تفکیک مشاهده نمی‌شود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مطلب در مورد حریم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ارزیابی فصول آینده باید توضیح داده شود که حریم خصوصی مصطلح جدید و مربوط به فرهنگ غرب و وارداتی است و </w:t>
      </w:r>
    </w:p>
    <w:p>
      <w:pPr>
        <w:pStyle w:val="BookText"/>
        <w:rPr/>
      </w:pPr>
      <w:r>
        <w:rPr>
          <w:rFonts w:ascii="IRNazanin" w:hAnsi="IRNazanin" w:eastAsia="IRNazanin"/>
          <w:color w:val="111111"/>
          <w:sz w:val="28"/>
          <w:sz w:val="28"/>
          <w:szCs w:val="28"/>
          <w:rtl w:val="true"/>
          <w:lang w:bidi="fa-IR"/>
        </w:rPr>
        <w:t>ازاین‌رو در اسلام مصطلحی به‌عنوان حریم خصوصی وجود ندارد و در جای خود باید این مصطلح بر طبق آموزه‌های اسلامی شرح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ارتکاب گناه حریمی ندارد و کسی که آگاهی از تحقق منکر در جایی دارد با وجود شرایط موظف به نهی از منکر است اگرچه آن گناه شخصی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سیرۀ مالک در مورد اقدام به نهی از منکر منعکس شده است</w:t>
      </w:r>
      <w:r>
        <w:rPr>
          <w:rStyle w:val="FootnoteAnchor"/>
          <w:rtl w:val="true"/>
        </w:rPr>
        <w:footnoteReference w:id="116"/>
      </w:r>
      <w:r>
        <w:rPr>
          <w:rFonts w:ascii="IRNazanin" w:hAnsi="IRNazanin" w:eastAsia="IRNazanin"/>
          <w:color w:val="111111"/>
          <w:sz w:val="28"/>
          <w:sz w:val="28"/>
          <w:szCs w:val="28"/>
          <w:rtl w:val="true"/>
          <w:lang w:bidi="fa-IR"/>
        </w:rPr>
        <w:t xml:space="preserve">که مچ هارون‌الرشید را در بازی شطرنج گرفت و اینکه اگر ملاقات‌های او با مقامات نبود،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اجرا نمی‌شد، مطالبی شگفت‌انگیزی است که چگونه در برابر ظلمی که امثال منصور و هارون عباسی به خاندان رسالت و علویان داشته‌اند و صدها تن از آنها را به قتل رسانیده‌اند،</w:t>
      </w:r>
      <w:r>
        <w:rPr>
          <w:rStyle w:val="FootnoteAnchor"/>
          <w:rtl w:val="true"/>
        </w:rPr>
        <w:footnoteReference w:id="117"/>
      </w:r>
      <w:r>
        <w:rPr>
          <w:rFonts w:ascii="IRNazanin" w:hAnsi="IRNazanin" w:eastAsia="IRNazanin"/>
          <w:color w:val="111111"/>
          <w:sz w:val="28"/>
          <w:sz w:val="28"/>
          <w:szCs w:val="28"/>
          <w:rtl w:val="true"/>
          <w:lang w:bidi="fa-IR"/>
        </w:rPr>
        <w:t>اقدامی را از طرف مالک و مالکیان برای مقابله با ظلم و ستم آنان نمی‌بینیم و در برابر آن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سیره و رفتار آیا نهی از منکر به‌عنوان یک فریضۀ اسلامی تا چهاندازه در عملکرد ایشان نقش داشته است؟ مناسب بود مایکل کوک در تحلیل خود به این واقعیات تاریخی نیز اشاره کند، به‌ویژه آنکه سمت اصلی و رشته اساسی کار او تاریخ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میان مالکیان بعدی نمونه‌هایی عینی و عملی از نهی از منکر مشاهده می‌شود و مثل ابن‌فرّوخ که درباره او قیام علیه ائمّۀ جور نقل شده است</w:t>
      </w:r>
      <w:r>
        <w:rPr>
          <w:rStyle w:val="FootnoteAnchor"/>
          <w:rtl w:val="true"/>
        </w:rPr>
        <w:footnoteReference w:id="118"/>
      </w:r>
      <w:r>
        <w:rPr>
          <w:rFonts w:ascii="IRNazanin" w:hAnsi="IRNazanin" w:eastAsia="IRNazanin"/>
          <w:color w:val="111111"/>
          <w:sz w:val="28"/>
          <w:sz w:val="28"/>
          <w:szCs w:val="28"/>
          <w:rtl w:val="true"/>
          <w:lang w:bidi="fa-IR"/>
        </w:rPr>
        <w:t>و بر مبنای آن قیام‌های متعددی در مناطق آفریقایی توسط مالکیان صورت گرفته است؛ ولی این نمونه‌ها، تنها نمونه‌های نادری است که مخالف فتاوای اکثر مذاهب اهل سنت و مالکیان که مشروعیت با تغلّب را تجویز می‌کنند، محسوب می‌شود و این به نظر می‌رسد نکته‌ای مهم در ارتباط با تحوّل در اندیشۀ اهل سنت و مالکیان است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گزارش و تحلیل‌های آقای مایکل کوک مشهود است، وی به‌عنوان فردی که حرفۀ اصلی‌اش تاریخ است و ورودش در سایر رشته‌ها، متأثّر از وجهۀ اصلی شخصیت اوست، تحوّلات سیاسی و تشکیل دولت و دست‌به‌دست شدن قدرت‌ها را با مسئلۀ امر به معروف و نهی از منکر کاملاً مرتبط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آن‌طور که بایسته است، به جایگاه این فریضه نمی‌پردازد و گویا تنها به‌عنوان یک پدیدۀ اخلاقی یا فرهنگی و حداکثر اجتماعی به آن می‌نگرد؛ درحالی‌که چنانچه در ارزیابی‌های پیشین نیز منعکس است، نهی از منکر به‌عنوان مهم‌ترین پیشران حرکت جوامع انسانی می‌تواند مسیر رشد و بالندگی و تعالی را برای جامعه در جمیع ابعاد آن هموار گرداند و با یک نظارت واقعی و همگانی زنده و مثبت و تأثیرگذار و با حفظ تمامی حریم‌ها، مسیر را برای آنچه می‌تواند مانع رشد و سدّ تعالی گردد فراهم آورد؛ به‌ویژه در بُعد نظارت بر قدرت و جلوگیری از سوء استفادۀ از آن، بهترین عامل نهی از منکر است</w:t>
      </w:r>
      <w:r>
        <w:rPr>
          <w:rFonts w:eastAsia="IRNazanin" w:cs="IRNazanin"/>
          <w:color w:val="111111"/>
          <w:sz w:val="28"/>
          <w:szCs w:val="28"/>
          <w:rtl w:val="true"/>
          <w:lang w:bidi="fa-IR"/>
        </w:rPr>
        <w:t xml:space="preserve">. </w:t>
      </w:r>
      <w:bookmarkStart w:id="560" w:name="pg8666_122635"/>
    </w:p>
    <w:p>
      <w:pPr>
        <w:pStyle w:val="Heading3"/>
        <w:numPr>
          <w:ilvl w:val="2"/>
          <w:numId w:val="1"/>
        </w:numPr>
        <w:rPr/>
      </w:pPr>
      <w:bookmarkStart w:id="561" w:name="__RefHeading___Toc2419876_653776707"/>
      <w:bookmarkStart w:id="562" w:name="_Toc218"/>
      <w:bookmarkEnd w:id="560"/>
      <w:bookmarkEnd w:id="561"/>
      <w:r>
        <w:rPr>
          <w:rtl w:val="true"/>
        </w:rPr>
        <w:t>گزارش و ارزیابی فصل پانزدهم</w:t>
      </w:r>
      <w:r>
        <w:rPr>
          <w:rtl w:val="true"/>
        </w:rPr>
        <w:t xml:space="preserve">: </w:t>
      </w:r>
      <w:r>
        <w:rPr>
          <w:rtl w:val="true"/>
        </w:rPr>
        <w:t>اباضیه</w:t>
      </w:r>
      <w:bookmarkEnd w:id="562"/>
    </w:p>
    <w:p>
      <w:pPr>
        <w:pStyle w:val="Heading4"/>
        <w:numPr>
          <w:ilvl w:val="3"/>
          <w:numId w:val="1"/>
        </w:numPr>
        <w:rPr/>
      </w:pPr>
      <w:bookmarkStart w:id="563" w:name="__RefHeading___Toc2419878_653776707"/>
      <w:bookmarkStart w:id="564" w:name="_Toc219"/>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گزارش و ارزیابی 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w:t>
      </w:r>
      <w:r>
        <w:rPr>
          <w:rStyle w:val="FootnoteAnchor"/>
          <w:rtl w:val="true"/>
        </w:rPr>
        <w:footnoteReference w:id="119"/>
      </w:r>
    </w:p>
    <w:p>
      <w:pPr>
        <w:pStyle w:val="Heading4"/>
        <w:numPr>
          <w:ilvl w:val="3"/>
          <w:numId w:val="1"/>
        </w:numPr>
        <w:rPr/>
      </w:pPr>
      <w:bookmarkStart w:id="565" w:name="__RefHeading___Toc2419880_653776707"/>
      <w:bookmarkStart w:id="566" w:name="_Toc220"/>
      <w:bookmarkEnd w:id="565"/>
      <w:r>
        <w:rPr>
          <w:rtl w:val="true"/>
        </w:rPr>
        <w:t>الف</w:t>
      </w:r>
      <w:r>
        <w:rPr>
          <w:rtl w:val="true"/>
        </w:rPr>
        <w:t xml:space="preserve">) </w:t>
      </w:r>
      <w:r>
        <w:rPr>
          <w:rtl w:val="true"/>
        </w:rPr>
        <w:t>گزارش</w:t>
      </w:r>
      <w:bookmarkEnd w:id="566"/>
    </w:p>
    <w:p>
      <w:pPr>
        <w:pStyle w:val="Heading5"/>
        <w:numPr>
          <w:ilvl w:val="4"/>
          <w:numId w:val="1"/>
        </w:numPr>
        <w:rPr/>
      </w:pPr>
      <w:bookmarkStart w:id="567" w:name="__RefHeading___Toc2419882_653776707"/>
      <w:bookmarkStart w:id="568" w:name="_Toc221"/>
      <w:bookmarkEnd w:id="567"/>
      <w:r>
        <w:rPr/>
        <w:t>1</w:t>
      </w:r>
      <w:r>
        <w:rPr>
          <w:rtl w:val="true"/>
        </w:rPr>
        <w:t xml:space="preserve">. </w:t>
      </w:r>
      <w:r>
        <w:rPr>
          <w:rtl w:val="true"/>
        </w:rPr>
        <w:t>نهی از منکر نزد اباضیه</w:t>
      </w:r>
      <w:bookmarkEnd w:id="568"/>
    </w:p>
    <w:p>
      <w:pPr>
        <w:pStyle w:val="BookText"/>
        <w:rPr/>
      </w:pPr>
      <w:r>
        <w:rPr>
          <w:rFonts w:ascii="IRNazanin" w:hAnsi="IRNazanin" w:eastAsia="IRNazanin"/>
          <w:color w:val="111111"/>
          <w:sz w:val="28"/>
          <w:sz w:val="28"/>
          <w:szCs w:val="28"/>
          <w:rtl w:val="true"/>
          <w:lang w:bidi="fa-IR"/>
        </w:rPr>
        <w:t>به ادّعای مایکل کوک اباضیه که از فرقه‌های خوارج‌اند، در اوایل با شیعیان از نظر تعداد و اهمیت برابری می‌کردند، اما به‌تدریج از تعدادشان کم شد و موفقیت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فرقۀ به جا مانده از آنها، اباضیه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شکل‌گیری و گسترش آنان شبیه زیدیه، 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 در دو منطقۀ دور از مرکز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عمان در شرق جهان اسلام بودند که تا هنوز هم هستند و بخش‌هایی هم در شمال آفریقا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جربه، جبل نفوسه و مزاب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سال‌های متمادی در حاشیه‌های جهان اسلام به زندگی خود ادامه دادند و هنوز هم از آثار فرهنگی خود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به دلیل وجود دولت اباضی تراث آنها گسترده و چاپ شده است، اما در شمال آفریقا وضع به این گونه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پیشینۀ خوارج غیراباضی به دلیل آگاهی کم، چیزی مهم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کل عمل‌گرایی سیاسی‌شان با نهی از منکر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شورش آنان در برابر حاکمان،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ابن‌ابی‌الحدید نهی از منکر را اصلی از اصول اسلامی می‌داند، می‌گوید یکی از طرف‌داران این اصل برای خروج علیه سلطان، خوارج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نافع‌بن‌ارزق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ممنوع و حرام می‌دانست و بعضی از خوارج کسانی را که نهی از منکر نمی‌کردند، کافر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کسی را که ترک نهی از منکر می‌کرد، ضعیف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اولاً این عقیده تنها منحصر به خوارج نیست، بلکه در عمل‌گرایی زیدیه و ابن‌قیم جوزیه حنبلی نیز وجود دارد؛ ثانیاً نهی از منکر صرفاً جنبه‌ای از عقاید خوارج است که موردتوجه دیگران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لهاوزن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خوارج این بود که نهی از منکر را بدون ملاحظات و بی‌مهابا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نهی از منکر نزد آنها نظام‌مند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مایکل کوک به اباضیۀ عمان و شمال آفریقا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 آثاری دارند که بیشترشان در عمان و شمال آفریقا نوشته شده است و بسیاری از آنها برمی‌گردد به دوره‌ای از فعالیت‌های علمی اباضی، زمانی که در مرکز جهان اسلام از جمله در بصره متمرکز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قابل‌توجه و درخوری درباره نهی از منکر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رسالۀ ابوسفیان محبوب‌بن‌رحیل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در اواخر سده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نهی از منکر را مهم می‌داند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ترک نهی از منکر کرده‌اند، کاری انجام نمی‌دهند، اگر انجام می‌دادند، یاور ظالمان و پیرو و دوست آنان نمی‌بودند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یک شورشگر یحیی کندی نقل می‌کند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یکی از اعتقادات این مردم است و مردم را به آن فرا می‌خواندند و مستنداتی را از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فرقه، زن‌ها و بردگان نیز می‌توانند نهی از منکر کنند و علیه ظلم و ستم قیام نمایند و ما باید آنها را بپذیریم</w:t>
      </w:r>
      <w:r>
        <w:rPr>
          <w:rFonts w:eastAsia="IRNazanin" w:cs="IRNazanin"/>
          <w:color w:val="111111"/>
          <w:sz w:val="28"/>
          <w:szCs w:val="28"/>
          <w:rtl w:val="true"/>
          <w:lang w:bidi="fa-IR"/>
        </w:rPr>
        <w:t xml:space="preserve">. </w:t>
      </w:r>
      <w:bookmarkStart w:id="569" w:name="pg8666_122642"/>
    </w:p>
    <w:p>
      <w:pPr>
        <w:pStyle w:val="Heading5"/>
        <w:numPr>
          <w:ilvl w:val="4"/>
          <w:numId w:val="1"/>
        </w:numPr>
        <w:rPr/>
      </w:pPr>
      <w:bookmarkStart w:id="570" w:name="__RefHeading___Toc2419884_653776707"/>
      <w:bookmarkStart w:id="571" w:name="_Toc222"/>
      <w:bookmarkEnd w:id="569"/>
      <w:bookmarkEnd w:id="570"/>
      <w:r>
        <w:rPr/>
        <w:t>2</w:t>
      </w:r>
      <w:r>
        <w:rPr>
          <w:rtl w:val="true"/>
        </w:rPr>
        <w:t xml:space="preserve">. </w:t>
      </w:r>
      <w:r>
        <w:rPr>
          <w:rtl w:val="true"/>
        </w:rPr>
        <w:t>اباضیه غربی</w:t>
      </w:r>
      <w:bookmarkEnd w:id="571"/>
    </w:p>
    <w:p>
      <w:pPr>
        <w:pStyle w:val="BookText"/>
        <w:rPr/>
      </w:pPr>
      <w:r>
        <w:rPr>
          <w:rFonts w:ascii="IRNazanin" w:hAnsi="IRNazanin" w:eastAsia="IRNazanin"/>
          <w:color w:val="111111"/>
          <w:sz w:val="28"/>
          <w:sz w:val="28"/>
          <w:szCs w:val="28"/>
          <w:rtl w:val="true"/>
          <w:lang w:bidi="fa-IR"/>
        </w:rPr>
        <w:t>پيوند بين نهی از منكر و قدرت سياسی در منابع اباضی غربی، به‌خوبی ديده می‌شود مانند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فرقه، اين وظيفه با تشكيل حكومت‌های فرقه‌ای و با خروج بر سلطان ستمگر و به‌كاربستن قدرت مشروع امام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ابن‌مخلد بن کیداد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قدرت ازطرف عبدالوهاب بن عبدالرحمان با سلسله رستمیۀ تاهَرت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 این بود که امام باید درحضور گروه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ولی زمانی که این نظر در میان اباضیه مطرح شد، آن را رد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نمی‌تواند جز با حضور جماعت مؤمنان،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جُناونی نیمۀ اول سده ششم اعتقادنامه‌ای دارد که در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موضوعی اختلافی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 پذیرفته‌اند که نهی از منکر از واجبات است؛ ولی مرتدّین و نکّاث معتقدند که امامت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جُناونی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خداوند برای بندگان به قدر طاقت شخص واجب کرده است</w:t>
      </w:r>
    </w:p>
    <w:p>
      <w:pPr>
        <w:pStyle w:val="BookText"/>
        <w:rPr/>
      </w:pPr>
      <w:r>
        <w:rPr>
          <w:rFonts w:ascii="IRNazanin" w:hAnsi="IRNazanin" w:eastAsia="IRNazanin"/>
          <w:color w:val="111111"/>
          <w:sz w:val="28"/>
          <w:sz w:val="28"/>
          <w:szCs w:val="28"/>
          <w:rtl w:val="true"/>
          <w:lang w:bidi="fa-IR"/>
        </w:rPr>
        <w:t>در مورد وظیفۀ مردم، نامه‌ای از امام عبدالوهّاب به مردم طرابلس با اين گفتار آغاز می‌شود كه اسلام عبارت است از اعتراف به دين، شهادت به وحی، نهی از منكر، برگزاری نماز، پرداخت زكات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عباراتی كه در اينجا آمده است، چنين استنباط می‌شود كه اين وظيفه، يكی از واجبات عينی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دانشمندی به نام عیسی‌بن‌سمع زاوغی در سده دوم اعتقاد بحث‌انگیزی داشت که اگر مؤمنان در حال کتمان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واجب نیست؛ ولی اباضیان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کتمان در برابر ظهور، اساس سیاست دینی اباضی است که مانع وجود امامت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اباضیان خود را با حکومت جباران همساز کنند، اما این همسازی مانع از نهی از منکر نمی‌شود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جُناونی این عقیده را که در حالت کتمان نهی از منکر را واجب نیست، مربوط به ناکثین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نسل‌های بعدی این سخن انحرافی را که در حالت کتمان واجب نیست، چنین </w:t>
      </w:r>
    </w:p>
    <w:p>
      <w:pPr>
        <w:pStyle w:val="BookText"/>
        <w:rPr/>
      </w:pPr>
      <w:r>
        <w:rPr>
          <w:rFonts w:ascii="IRNazanin" w:hAnsi="IRNazanin" w:eastAsia="IRNazanin"/>
          <w:color w:val="111111"/>
          <w:sz w:val="28"/>
          <w:sz w:val="28"/>
          <w:szCs w:val="28"/>
          <w:rtl w:val="true"/>
          <w:lang w:bidi="fa-IR"/>
        </w:rPr>
        <w:t>توجیه می‌کنند که شما مکلف به نهی از منکر غیراباضیان نیستید؛ یعنی چیزی که در مذهب آنان حلال است به عهدۀ شما نیست، اما اینکه از نهی از منکر اباضیان نیز چشم‌پوشی کنید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عقیده غیر از نظریۀ بقیۀ اباضیان است که آنان نهی از منکر را به شرط اینکه توان انجام آن را داشته باشند و یا ترسی از آن نداشته باشند، یک وظیفه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قديم‌ترين روايت پايدار از اين وظيفه، از اباضيه غربی كه من از آن آگاهی دارم، روايت سليمان‌بن‌يَخلف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مزاتی است که حرف زیادی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شرایطرا همانند بقیه به قدر طاقت و توان می‌داند و وجود سه مرحله را که معروف است، مطرح می‌کند و می‌گوید در مرحلۀ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 او بسوطه و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فقط نهی زبانی است و در مرحلۀ سوم منکر را در دل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با نظریه بقیّه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از شخصی به نام جیطالی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مفصل‌ترین بحث را در رابطه با نهی از منکر اباضیه غربی دارد و کتابش برگرفته از احیاء العلوم غزالی است و با ذکر نام از او یاد می‌کند، ضمن اینکه خودش نیز آرایی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هم از ماوردی شافعی مانند اینکه آیا این وظیفه بر پایه عقل استوار است یا از شرع و وحی گرفته شده، آورده است و مطالبی را هم از طرطوشی مالکی آورده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جیطالی به حدیث سه مرحله‌ای اشاره دارد و معروف و منکر را از نظر عقل‌گرایان تبیین و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نهی از منکر بردگان و زنان با غزالی هم‌عقیده است و همه را موظف به نهی از منکر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دیگر نیز همین‌گونه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مداخله جیطالی در آرای غزالی از نظر عمل‌گرایی است و بیشتر به آن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اول نصیحت را می‌گفت و سپس خروج بر سلطان ستمگر را جایز می‌شمارد و برای انجام وظیفۀ نهی از منکر، به تشکیل گروه‌های مسلح مردمی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جیطالی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راه خدا کار خیلی بزرگی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کار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غزالی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حاکم تا جایی خوب است که برای دیگران ضرر نداشته باشد، اما ضرر به خودش </w:t>
      </w:r>
      <w:bookmarkStart w:id="572" w:name="pg8666_122648"/>
    </w:p>
    <w:p>
      <w:pPr>
        <w:pStyle w:val="BookText"/>
        <w:rPr/>
      </w:pPr>
      <w:bookmarkEnd w:id="572"/>
      <w:r>
        <w:rPr>
          <w:rFonts w:ascii="IRNazanin" w:hAnsi="IRNazanin" w:eastAsia="IRNazanin"/>
          <w:color w:val="111111"/>
          <w:sz w:val="28"/>
          <w:sz w:val="28"/>
          <w:szCs w:val="28"/>
          <w:rtl w:val="true"/>
          <w:lang w:bidi="fa-IR"/>
        </w:rPr>
        <w:t>خیلی اشکالی ندارد؛ اما جیطالی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تحمل ضرر برای دیگران هم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هم داشته باشد، باید این وظیفه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کوک سپس گزارشی از توضیح المسائل مربوط به اباضی در سال</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می‌کند که دوباره آرای غزالی از آن سردرمی‌آورد و متأثر از نظریات اوست و حاوی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جاسوسی به گناهی پی ببرد، دو وظیفه دارد؛ هم به‌خاطر گناهش توبه کند و هم نهی از منکر نماید و فاعل گنهکار را از گناه بازدارد؛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اظهار کراهت، تفاوت آشکاری بین شیوه‌های اظهار کراهت غیرلفظی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نشان دادن خشم، رو درهم کشیدن و اجتناب از 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انجام در دل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سیرۀ عملی و کتاب‌های رجالی اباضی، روایت‌هایی پراکنده از دانشمندانی که به انجام این وظیفه می‌پرداختند و از اشخاصی که در این راه، اقدام و به وظیفه نهی از منکر پرداخته بودند،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امامت اباضیه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آفریقا سرنگون شد، زندگی روحانی اباضی در بین علمای آنان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امور روحانی پرداختند و در بین مردم، نفوذ کلمه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 این است که با این نفوذ، همچنان نهی از منکر در بین آنان وجود داشته باشد؛ اما برعکس، نهی از منکری هم وجود نداشته و اگر شاگردان روحانی به نهی از منکر می‌پرداختند، باید با اجازۀ استاد می‌بود</w:t>
      </w:r>
      <w:r>
        <w:rPr>
          <w:rFonts w:eastAsia="IRNazanin" w:cs="IRNazanin"/>
          <w:color w:val="111111"/>
          <w:sz w:val="28"/>
          <w:szCs w:val="28"/>
          <w:rtl w:val="true"/>
          <w:lang w:bidi="fa-IR"/>
        </w:rPr>
        <w:t>.</w:t>
      </w:r>
    </w:p>
    <w:p>
      <w:pPr>
        <w:pStyle w:val="Heading5"/>
        <w:numPr>
          <w:ilvl w:val="4"/>
          <w:numId w:val="1"/>
        </w:numPr>
        <w:rPr/>
      </w:pPr>
      <w:bookmarkStart w:id="573" w:name="__RefHeading___Toc2419886_653776707"/>
      <w:bookmarkStart w:id="574" w:name="_Toc223"/>
      <w:bookmarkEnd w:id="573"/>
      <w:r>
        <w:rPr/>
        <w:t>3</w:t>
      </w:r>
      <w:r>
        <w:rPr>
          <w:rtl w:val="true"/>
        </w:rPr>
        <w:t xml:space="preserve">. </w:t>
      </w:r>
      <w:r>
        <w:rPr>
          <w:rtl w:val="true"/>
        </w:rPr>
        <w:t>اباضیه شرقی</w:t>
      </w:r>
      <w:bookmarkEnd w:id="574"/>
    </w:p>
    <w:p>
      <w:pPr>
        <w:pStyle w:val="BookText"/>
        <w:rPr/>
      </w:pPr>
      <w:r>
        <w:rPr>
          <w:rFonts w:ascii="IRNazanin" w:hAnsi="IRNazanin" w:eastAsia="IRNazanin"/>
          <w:color w:val="111111"/>
          <w:sz w:val="28"/>
          <w:sz w:val="28"/>
          <w:szCs w:val="28"/>
          <w:rtl w:val="true"/>
          <w:lang w:bidi="fa-IR"/>
        </w:rPr>
        <w:t xml:space="preserve">طبق نظر مایکل کوک از چند جامعۀ اباضی شرقی، فقط در عمان توانستند چندین سده به زندگی خود ادامه بدهند؛ هرچند از نظر منطقه‌ای منزوی بودند، اما از نظر سیاسی توفیق بیشتری داشتند، درحالی‌که اباضیان غربی بعد از سلسله رستمیه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بی‌بهره بودند و مناقشات زیادی حول محور امامت داشتند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شرقی کتاب‌های زیادی را که حکایت از مناقشات سیاسی پیرامون امات دارد، پدید آورد که در آنها صحبت از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ابوالمؤثر صلت‌بن‌خمیس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مدعی نهی از منکر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راشد‌بن‌النظر نهی از </w:t>
      </w:r>
    </w:p>
    <w:p>
      <w:pPr>
        <w:pStyle w:val="BookText"/>
        <w:rPr/>
      </w:pPr>
      <w:r>
        <w:rPr>
          <w:rFonts w:ascii="IRNazanin" w:hAnsi="IRNazanin" w:eastAsia="IRNazanin"/>
          <w:color w:val="111111"/>
          <w:sz w:val="28"/>
          <w:sz w:val="28"/>
          <w:szCs w:val="28"/>
          <w:rtl w:val="true"/>
          <w:lang w:bidi="fa-IR"/>
        </w:rPr>
        <w:t>منکر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محبوب‌بن رحیل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مسلمانان باید با امامی که نهی از منکر نمی‌کند، قطع رابطه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بیسوی یکی از مشایخ اباضی در سدۀ چهارم یا پنجم است که با استناد به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امامانی را که نهی از منکر می‌کنند، بهترین امامان می‌داند و کسانی را که در راه نهی از منکر به شهادت می‌رسند، شراة می‌نامد؛ یعنی کسانی که جان خود را در راه خدا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کرات در زبان علمای اباضی آمده که ناهیان از منکر را فروشندگان جان در راه خدا قلمداد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یکی از عقاید اباضیه، نهی از منکر از شرایط بیعت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ابوالمؤثر بعد از پیروزی مسلمانان تواناترین کسی را که قادر به نهی از منکر است، از بین خود به‌عنوان امام نصب می‌کنند تا زمام امور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ناصر‌بن‌مرشد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1934</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امام یعرُبی است که به‌خاطر نهی از منکر به امامت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مانند آل بوسعید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قدرت را در دست داشت و مردم از او اطاعت می‌کردند، به امر به معروف نهی از منکر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فرماندهان خود هم دستور این کار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عظیم از مطالب عمانی اباضی، فقهی است که در دو بخش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و وظایف کسانی که در مسند قدرت قرار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عامۀ مردم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فقهی اباضیه حاوی چهار جلد کتاب است که مایکل از آنها استفاده کرده است؛ اولی مربوط به فضل ابن‌حواری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از ابوالحواری محمد‌بن‌حواری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در حدود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 از ابوعبدالله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 مربوط به ابوبکر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دوره بعدی و متأخرین نیز یک نوعی شرح و بعضاً حاشیه بر آنها است، مانند شقصی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1332</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مسائل نهی از منکر عمدتاً به سه چیز می‌پرداختند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شراب‌خواری که مورد نهی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آوازخوانی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ناهیان از منکر در مورد صدای زن هم با شادی مفرط و هم با غم، اگر صداهایشان را بلند می‌کردند، مخالفت می‌ورزیدند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با وجود مخالفت، انعطاف‌هایی هم نشان داده می‌شد، مثلاً گاهی شطرنج را از گناهان کبیره می‌دانستند، اما اگر در آموزش نظامی بهره می‌بردند، اجازه می‌دادند یا استفاده از صفیر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نوعی صوت باشد در صورت عادی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به‌خاطر ایجاد رعب و وحشت در دل دشمن، مجاز می‌دانستند، هرچند لفظ الله اکبر را برخی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آقای کوک یک سؤال مطرح می‌کند که آیا امام می‌تواند در زمانی که جنگ قائم است، خلاف‌کاری جنگجویان را نادیده بگیرد؟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کارآیی نظامی تأکید می‌کند و دیگری آن را رد می‌کند که همه مربوط به انعطاف‌پذیری امام در 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نی‌لبک و دایره، بدون عیاشی اشکال ندارد، به شرط اینکه همراه با آواز و خوش‌گذرانی نباشد وبرای هدف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عروسی‌ها نیز همین طور است؛ درصورتی‌که ظرف شراب باشد، نظرش مانند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مایکل کوک معتقد است که نظریه اباضیه پرهیزگارتر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آنان به مزاح و مسخره حتی از غزالی هم آزاداندیشانه‌تر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اعمال نهی از منکر، اقدام مقامات را مهم تلقی می‌کنند، چون دست آنها بازتر است و می‌توانند افرادی را برای این وظیفه بگمارند؛ ازاین‌رو هیئت‌هایی را به نام شراة یا فدائیان شهادت در راه خدا درست کردند که نقش مهمی در نظم جامعه اباضیه داشتند و از این جهت،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شمشیر به رخ آنها بکشد، گناه کبیره و بسیار بزرگی را مرتکب شده است، اما در موردی بقیه مردم مانند بقیه فرقه‌ها حدیث سه مرحله‌ای را مطرح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مصلحتی را در نهی از منکر جایز شمرده‌اند و در مورد مجازات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عامه، نمی‌توانند، دست به چنین کاری بزنند مگر در موردی که مطمئن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باید از امام اجازه بگیرند و گزارش شده که زن گریه‌کننده در تشییع شوهرش را که صدایش بلند بود،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فقهای اباضیه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بدون اذن امام هم می‌توان اقدام کرد؛ مثلاً ناهی از منکری که طبلی را شکسته، وقتی صاحب دهل از او شکایت کرد، حاکم فقط قطعات آن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ورود به منزل دیگری را جایز نمی‌دانند، منتهی اگر خبر رسید که گناهی انجام می‌شود، فقیهی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گنهکار صاحب‌خانه اجازه نداد، باید از دیوار بالارفت، به شرط اینکه دیوار خراب نشود و در ضرب و شتم مانند بقیه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اباضیه درباره عامه مردم دو سؤال غیرعادی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دو دسته تقسیم می‌کنند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الصلوة یعنی هرکسی که نماز می‌خواند که این دسته همۀ مسلمان‌ها را شامل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معنای واقعی کلمه که ما به نام اباضی از آنها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کوک این را یک تقسیم‌بندی غیر عادی می‌داند که شبیه آن در بین دیگر فرقه‌های اسلامی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فقهای اباضی در سده سوم این است که این وظیفه بر همه مسلمانان یعنی هرکسی که اهل نمازند، واجب است، منتهی برخی از آنها گفتند که اطاعت اباضیان ناهی از منکر در مواقع خاص، از فقیهان غیراباضی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نهی از منکر زنان، برخی نهی از منکر را بر زنان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محمدبن‌محبوب بر این عقیده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بفرض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زن نهی از منکر را در دلش انجام دهد نه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ابن‌برکه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انجام دهند، حتی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یخرجن الیه کما یخرج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کدمی انعطاف‌پذیرتر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نهی از منکر را انجام دهند، اما اگر این کارشان شامل نشان‌دادن زر و زیور بر مردم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اشاره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دارد که در مورد خانه‌نشستن و عدم‌تبرج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شقیصی آزاداندیش‌تر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مکلف نیستند با عمل انجام دهند بلکه اگر بتوانند آن را با گفتار انجام دهند، ولی او از مرحله دل سخن نمی‌گوید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اباضیه در رابطه با نهی از منکر شرایطی را ذکر نکرده‌اند؛ اما مقولاتی که بیان کرده‌اند، برای ما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مطلب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داشتن قدرت بر نهی از منکر است که خیلی کلی است؛ دوم، نداشتن ترس است، اگر می‌ترسید،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فقهای قدیم که در سخنانشان تکرار شده،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تقیه را جایز دانسته‌اند؛ سوم، امید به پذیرش را برخی قبول کردند، ولی یکی از علما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نپذیرفت باز هم این وظیفه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بینابین این است که اگر امید به پذیرش و تأثیر نیست، یک مرتبه باید نهی از منکر انجام شود و دفعات بعد، تکرار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زندگی خصوصی و ارتباط آن با نهی از منکر، دو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نشانه‌های گناه مثل شراب‌خواری را ببیند و از باب نهی از منکر وارد خانه شود، مانند اینکه صدای رقص از داخل خانه بشنود که باید اجازه بگیرد مگر اینکه خود ناهی از منکر وضعیت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ندارد، بدون اجازه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اگر از باب امداد باشد، باید ورود خود را اعلام کند، مثلاً بگوید خود را بپوشانید ما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اکنون گفته شد، بیشتر از فقهای قدیم اباضی بود؛ اما علمای متأخرشان مانند ابن‌برکه، کدمی و بیسوی، به تدریج مسائل عقلانی بیشتری در آنها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بیسوی با اصطلاح واجب کفایی کاملاً آشنا است و آن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کدمی بیان می‌کند که این وظیفه را مؤمنان و اهل صدق انجام دهند و باید عالم به این وظیفه باشند و خود از اختلافنظرها، اظهار بی‌اطلاعی می‌کند؛ اما شاید بدون توجه به آن نباشد، چون بحث اینکه این وظیفه عقلی است یا از وحی سرچشمه گرفته، در آثار کدمی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مایکل معتقد است که مسائل آموزش جزمی و یقینی، در اباضیه شرقی نفوذ عمیق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را مایکل وام‌گیری نظریات این دانشمندان از افکار و نوشته‌های غیراباضی می‌داند؛ به‌عنوان نمونه بحث از عقلانی و یا وحیانی بودن، در آثار ماوردی دیده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مذهب و فاصله جغرافیایی باعث شد که سنت اباضی شرقی، از نفوذ سنی‌ها تا چه رسد به شیعیان، در امان بماند؛ اما اینکه ارتباط بین اباضیان غربی و شرقی چه مقدار بوده و چه مقدار از هم تأثیر پذیرفته‌اند، به دلیل فاصلۀ زیاد، این تأثیر کمتر دیده می‌شود و البته بدون تأثیر 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تفسیر حدیث سه مرحله‌ای، نظرات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مطالب منسوخی در آثارشان دیده می‌شود و این به‌خاطر انزوایی بوده که دستخوش تغییر نشده است و پیشرفت آنان در مقایسه با حنفیه و امامیه خیلی ناچیز است و اصلاً قابل مقایسه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نظرات جدید نظر بیسوی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مسئله نهی از منکر را شاخه‌ای از ولایت و برائت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الولایة والبرائة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ولایت، ولایت خداوند و منظور از برائت، بیزاری از دشمنان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مؤثر دیگر شقصی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نهی از منکر مطالبی دارد، از جمله عدم‌جواز دایره در عروسی، ولی طبل را در شرایط امروز، نباید نکوهیده دانست، به‌ویژه که در دوران قدیم، در جنگ‌ها استفاده می‌شده است؛ اما هر زمان و هر مکان و هر شهر، حکم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عملی و دلنشین است ولی از نظر عقلی خیلی بلندپروازانه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نهی از منکر نظریاتی دارد و نظریات ابن‌محبوب را درباره طبل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گناهان جدید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هندی مردگانشان را می‌سوزانیدند یا اینکه توتون و بنچ در بین مردم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سالمی معتقد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باید نهی از منکر را در دل انجام دهند؛ اما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زنان در زبان و عمل هم می‌توانند انجام دهند؛ چون آیۀ قرآن شامل آنها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اختلاف این است کهبرخی بلندی صدای زنان را منکر می‌پندارند؛ بنابراین، این کار نهی از منکر با منکری دیگر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بیشتر وابسته به اباضیه غربی است که جیطالی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متأثر از نظریات غزالی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درباره مملوک دارد، به‌خاطر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لایقدر علی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این وظیفه را جز در دل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جیطالی در توجیه سخنان ابن‌محبوب سخنی درباره زنان دارد و آن این است که وظیفۀ نهی از منکر زنان را نسبت به هم‌جنسان و محارم محدود می‌کند و از اینکه در بین غیرمحارم، نهی از منکر کند، ایراد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زنان بر مردان مطلقاً حکومت ندارند، درصورتی‌که زنی سلطان و یَدْ بر گناهکاران دارد و مسلمان دیگری هم قیام نمی‌کند، آن زن می‌تواند کسانی را برای نهی از منکر اعزام نماید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مایکل مطرح می‌کند، تفاوت اباضیه شرقی و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اباضیۀ غربی، کتاب عقاید و اعتقادنامه‌ها داشتند، ولی در شرقی به این اندازه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bookmarkStart w:id="575" w:name="pg8666_122666"/>
    </w:p>
    <w:p>
      <w:pPr>
        <w:pStyle w:val="BookText"/>
        <w:rPr/>
      </w:pPr>
      <w:bookmarkEnd w:id="575"/>
      <w:r>
        <w:rPr>
          <w:rFonts w:ascii="IRNazanin" w:hAnsi="IRNazanin" w:eastAsia="IRNazanin"/>
          <w:color w:val="111111"/>
          <w:sz w:val="28"/>
          <w:sz w:val="28"/>
          <w:szCs w:val="28"/>
          <w:rtl w:val="true"/>
          <w:lang w:bidi="fa-IR"/>
        </w:rPr>
        <w:t>دیگر اینکه در سنت اباضیه غربی، سیره‌نویسی رواج داشته است برخلاف اباضیه شرقی که اگر هم بوده، خیلی اندک بوده است و مثال می‌آورد که در حدود سدۀ دهم، مردی دنبال زن برهنه‌ای می‌دویده تا اینکه با محمد‌بن‌اسماعیل مواجه می‌گردد و با او گلاویز می‌شود و او را بر زمین می‌خواباند و زن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همین شجاعت و کار، اباضیه ایشان را به مقام و منصب حکومت نصب می‌کنند و از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مرگش،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دیگر نیز به سبب نهی از منکر توصیف شده است</w:t>
      </w:r>
      <w:r>
        <w:rPr>
          <w:rFonts w:eastAsia="IRNazanin" w:cs="IRNazanin"/>
          <w:color w:val="111111"/>
          <w:sz w:val="28"/>
          <w:szCs w:val="28"/>
          <w:rtl w:val="true"/>
          <w:lang w:bidi="fa-IR"/>
        </w:rPr>
        <w:t>.</w:t>
      </w:r>
    </w:p>
    <w:p>
      <w:pPr>
        <w:pStyle w:val="Heading5"/>
        <w:numPr>
          <w:ilvl w:val="4"/>
          <w:numId w:val="1"/>
        </w:numPr>
        <w:rPr/>
      </w:pPr>
      <w:bookmarkStart w:id="576" w:name="__RefHeading___Toc2419888_653776707"/>
      <w:bookmarkStart w:id="577" w:name="_Toc224"/>
      <w:bookmarkEnd w:id="576"/>
      <w:r>
        <w:rPr/>
        <w:t>4</w:t>
      </w:r>
      <w:r>
        <w:rPr>
          <w:rtl w:val="true"/>
        </w:rPr>
        <w:t xml:space="preserve">. </w:t>
      </w:r>
      <w:r>
        <w:rPr>
          <w:rtl w:val="true"/>
        </w:rPr>
        <w:t>خاتمه</w:t>
      </w:r>
      <w:bookmarkEnd w:id="577"/>
    </w:p>
    <w:p>
      <w:pPr>
        <w:pStyle w:val="BookText"/>
        <w:rPr/>
      </w:pPr>
      <w:r>
        <w:rPr>
          <w:rFonts w:ascii="IRNazanin" w:hAnsi="IRNazanin" w:eastAsia="IRNazanin"/>
          <w:color w:val="111111"/>
          <w:sz w:val="28"/>
          <w:sz w:val="28"/>
          <w:szCs w:val="28"/>
          <w:rtl w:val="true"/>
          <w:lang w:bidi="fa-IR"/>
        </w:rPr>
        <w:t>در خاتمه مایکل دو مورد از ماهیت عقاید اباضیه را با یکدیگر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اینکه عقاید دو فرقۀ اباضیه شرقی و غربی را باهم مقایسه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 شرقی و اباضیه غربی نمایندگان دو جامعه متفاوت با قرائت‌های مختلف از همدیگرند، جز در مواردی اندک و محدود؛ مثلاً زمانی که گناهکار نپذیرد، تکلیف ساقط است یا توجه به زنان در انجام این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تفاوت‌هایی که وجود داشته خیلی متمایز است؛ در شرق جهان اسلام چون اباضیه مرتبط با حکومت بوده‌اند، تسامح در عقیده‌شان بیشتر دیده می‌شود؛ ولی در غرب چون جدا از حکومت بوده‌اند، قدرت مردمی در دست علما بوده است؛ ازاین‌رو از به دست گرفتن شمشیر، سخن می‌گویند، درحالی‌که شرقیان این امور را به امرا و حکومت واگذار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اینکه در کل اباضیه، از سایر فرق اسلامی، تفاوت چندانی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اباضیه از خوارج به شمار می‌آیند، ولی با این وجود، جزء فرقه‌های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مطالب غیرمعمول اباضیه آموزۀ تأکید به ادای لفظی این وظیفه و توجه مداوم به نقش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سپس دو فرضیه را برای اباضیه به تصویر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اباضیه خوارجی معتدل‌اند که تقریباً از خوارج فاصله گرفته و لباس اباضیه را به نام فرقه‌ای جدا، بر تن کرده‌اند</w:t>
      </w:r>
      <w:r>
        <w:rPr>
          <w:rFonts w:eastAsia="IRNazanin" w:cs="IRNazanin"/>
          <w:color w:val="111111"/>
          <w:sz w:val="28"/>
          <w:szCs w:val="28"/>
          <w:rtl w:val="true"/>
          <w:lang w:bidi="fa-IR"/>
        </w:rPr>
        <w:t>.</w:t>
      </w:r>
      <w:bookmarkStart w:id="578" w:name="pg8666_122669"/>
    </w:p>
    <w:p>
      <w:pPr>
        <w:pStyle w:val="BookText"/>
        <w:rPr/>
      </w:pPr>
      <w:bookmarkEnd w:id="5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اباضیه با کش و قوس‌های که در نهی از منکر داشته‌اند، ادامه‌دهنده راه همان خوارج گذشته می‌باشند و در کل به عقاید سنتی خوارج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 دو فرضیه سخت است و فرضیۀ دوم شاید به واقع نزدیک‌تر باشد</w:t>
      </w:r>
      <w:r>
        <w:rPr>
          <w:rFonts w:eastAsia="IRNazanin" w:cs="IRNazanin"/>
          <w:color w:val="111111"/>
          <w:sz w:val="28"/>
          <w:szCs w:val="28"/>
          <w:rtl w:val="true"/>
          <w:lang w:bidi="fa-IR"/>
        </w:rPr>
        <w:t>.</w:t>
      </w:r>
    </w:p>
    <w:p>
      <w:pPr>
        <w:pStyle w:val="Heading4"/>
        <w:numPr>
          <w:ilvl w:val="3"/>
          <w:numId w:val="1"/>
        </w:numPr>
        <w:rPr/>
      </w:pPr>
      <w:bookmarkStart w:id="579" w:name="__RefHeading___Toc2419890_653776707"/>
      <w:bookmarkStart w:id="580" w:name="_Toc225"/>
      <w:bookmarkEnd w:id="579"/>
      <w:r>
        <w:rPr>
          <w:rtl w:val="true"/>
        </w:rPr>
        <w:t>ب</w:t>
      </w:r>
      <w:r>
        <w:rPr>
          <w:rtl w:val="true"/>
        </w:rPr>
        <w:t xml:space="preserve">) </w:t>
      </w:r>
      <w:r>
        <w:rPr>
          <w:rtl w:val="true"/>
        </w:rPr>
        <w:t>ارزیابی</w:t>
      </w:r>
      <w:bookmarkEnd w:id="580"/>
    </w:p>
    <w:p>
      <w:pPr>
        <w:pStyle w:val="BookText"/>
        <w:rPr/>
      </w:pPr>
      <w:r>
        <w:rPr>
          <w:rFonts w:ascii="IRNazanin" w:hAnsi="IRNazanin" w:eastAsia="IRNazanin"/>
          <w:color w:val="111111"/>
          <w:sz w:val="28"/>
          <w:sz w:val="28"/>
          <w:szCs w:val="28"/>
          <w:rtl w:val="true"/>
          <w:lang w:bidi="fa-IR"/>
        </w:rPr>
        <w:t>از بخش‌های قابل‌توجهی کتاب مایکل کوک، باتوجه‌به ناشناخته ماندن این گروه، پرداختن به نظریه اباضیه در باب امر به معروف و نهی از منکر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اعتبارسنجی منابع و وثوق به فهم و برداشت و همچنین تحلیل مایکل کوک نیازمند پژوهش ویژه است و حتی لازم است شخصی از خود اباضیه به داوری نهایی نسبت به آنچه مایکل کوک در مورد اباضیه بیان داشته، بپردازد؛ ولی به‌هرحال، به‌عنوان یک گام ابتدایی برای آشنایی اجمالی با عقاید این فرقه کار مایکل کوک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مناسب بود آقای کوک، گزارشی مختصر از این فرقۀ ناآشنا در مقدمه اشاره می‌کرد،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فرقه‌ای منسوب به عبدالله‌بن‌اباض تمیمی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تولد و مرگ ابن‌اباض اطلاعی در دست نیست، ولی او را از نخستین تابعین شمرده و مرگ او را حوالی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چنانچه مایکل هم تصریح دارد، اباضیه را از خوارج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کسانی بودند که در ماجرای حکمیّت میان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 آن حضرت شوریدند و از آن حضرت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ابتدا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 لزوم امارت و دولت بودند، لکن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شعار آنها به نقل نهج 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لَاإِمْرَةَ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لَابُدَّ لِلنَّاسِ مِنْ أَمِيرٍ بَرٍّ أَوْ فَاجِرٍ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گروه شورشی منشعب از لشکر کوفه، به‌عنوان مارقین شناخته شدند و در جنگ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نهروان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چهار هزار نفر از آنها کشته شدند و تنها تعدادی انگشت‌شماری از آنها که حدود نُه نفر بودند، باقی ماندند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بنابراین، اینکه مایکل بدون ذکر سند ادعا می‌کند فرقۀ خوارج از نظر تعداد و اهمّیت با شیعیان برابری می‌کرد، بر اساس قرائن تاریخی جای تأمّل جدّی 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قابل یادآوری است که به گفتۀ برخی از مورّخان، اباضیه انتساب خود را به خوارج انکار کرده‌اند و حتی تاریخ پیدایش این فرقه را در زمان خلافت عثمان و پیش از خروج خوارج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امروز مذهب عموم قبایل و مردم عمان است و در تانزانیا و شمال آفریقا و در مناطقی از لیبی، تونس و الجزایر پراکنده‌اند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ویژگی‌های مهم اباضیه که آنها را از مذاهب اهل سنّت متمایز می‌کند، بحث قیام و خروج علیه حاکم ستمگر بر مبنای امر به معروف و نهی از منکر است و از این جهت با زیدیّه هماهنگ هستند، اگرچه معلوم نیست اباضیه در حال حاضر بر این مبنا استوار باشند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جایگاه فریضۀ نهی از منکر و امر به معروف نشانگر آن است که این فریضه را نباید در بُعد فردی و به‌عنوان یک امر واجب جزئی که متوجه یک مسلمان است، مشاهده کرد، بلکه این فریضه، یک فریضه‌ای است که قوام سائر فرائض و حتی قوام تمامی مناسک و تمامی عقاید و تمامی پیکرۀ اسلام و تحقق آرمان‌ها و اهداف اسلامی در گرو آن است و پیدایش حکومت اسلامی، جامعه اسلامی و تمدن اسلامی به معنای واقعی کلمه در گرو عینیّت یافتن این فریضه است و متأسفانه جایگاه این فریضه نه در میان عوام و نه در میان خواصّ جایگاه واقعی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مایکل کوک بخش‌هایی از کتاب خود را به بحث آسیب‌شناسی این فریضه، اختصاص می‌داد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8666_122678"/>
      <w:bookmarkStart w:id="582" w:name="pg8666_122678"/>
      <w:bookmarkEnd w:id="582"/>
    </w:p>
    <w:p>
      <w:pPr>
        <w:pStyle w:val="Heading3"/>
        <w:numPr>
          <w:ilvl w:val="2"/>
          <w:numId w:val="1"/>
        </w:numPr>
        <w:rPr/>
      </w:pPr>
      <w:bookmarkStart w:id="583" w:name="pg8666_122678"/>
      <w:bookmarkStart w:id="584" w:name="__RefHeading___Toc2419892_653776707"/>
      <w:bookmarkStart w:id="585" w:name="_Toc226"/>
      <w:bookmarkEnd w:id="583"/>
      <w:bookmarkEnd w:id="584"/>
      <w:r>
        <w:rPr>
          <w:rtl w:val="true"/>
        </w:rPr>
        <w:t>گزارش و ارزیابی فصل شانزدهم</w:t>
      </w:r>
      <w:r>
        <w:rPr>
          <w:rtl w:val="true"/>
        </w:rPr>
        <w:t xml:space="preserve">: </w:t>
      </w:r>
      <w:r>
        <w:rPr>
          <w:rtl w:val="true"/>
        </w:rPr>
        <w:t>غزالی</w:t>
      </w:r>
      <w:bookmarkEnd w:id="585"/>
    </w:p>
    <w:p>
      <w:pPr>
        <w:pStyle w:val="Heading4"/>
        <w:numPr>
          <w:ilvl w:val="3"/>
          <w:numId w:val="1"/>
        </w:numPr>
        <w:rPr/>
      </w:pPr>
      <w:bookmarkStart w:id="586" w:name="__RefHeading___Toc2419894_653776707"/>
      <w:bookmarkStart w:id="587" w:name="_Toc227"/>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گزارش و ارزیابی 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r>
        <w:rPr>
          <w:rStyle w:val="FootnoteAnchor"/>
          <w:rtl w:val="true"/>
        </w:rPr>
        <w:footnoteReference w:id="124"/>
      </w:r>
    </w:p>
    <w:p>
      <w:pPr>
        <w:pStyle w:val="Heading4"/>
        <w:numPr>
          <w:ilvl w:val="3"/>
          <w:numId w:val="1"/>
        </w:numPr>
        <w:rPr/>
      </w:pPr>
      <w:bookmarkStart w:id="588" w:name="__RefHeading___Toc2419896_653776707"/>
      <w:bookmarkStart w:id="589" w:name="_Toc228"/>
      <w:bookmarkEnd w:id="588"/>
      <w:r>
        <w:rPr>
          <w:rtl w:val="true"/>
        </w:rPr>
        <w:t>الف</w:t>
      </w:r>
      <w:r>
        <w:rPr>
          <w:rtl w:val="true"/>
        </w:rPr>
        <w:t xml:space="preserve">) </w:t>
      </w:r>
      <w:r>
        <w:rPr>
          <w:rtl w:val="true"/>
        </w:rPr>
        <w:t>گزارش</w:t>
      </w:r>
      <w:bookmarkEnd w:id="589"/>
    </w:p>
    <w:p>
      <w:pPr>
        <w:pStyle w:val="Heading5"/>
        <w:numPr>
          <w:ilvl w:val="4"/>
          <w:numId w:val="1"/>
        </w:numPr>
        <w:rPr/>
      </w:pPr>
      <w:bookmarkStart w:id="590" w:name="__RefHeading___Toc2419898_653776707"/>
      <w:bookmarkStart w:id="591" w:name="_Toc229"/>
      <w:bookmarkEnd w:id="590"/>
      <w:r>
        <w:rPr/>
        <w:t>1</w:t>
      </w:r>
      <w:r>
        <w:rPr>
          <w:rtl w:val="true"/>
        </w:rPr>
        <w:t xml:space="preserve">. </w:t>
      </w:r>
      <w:r>
        <w:rPr>
          <w:rtl w:val="true"/>
        </w:rPr>
        <w:t>مقدمه</w:t>
      </w:r>
      <w:bookmarkEnd w:id="591"/>
    </w:p>
    <w:p>
      <w:pPr>
        <w:pStyle w:val="BookText"/>
        <w:rPr/>
      </w:pPr>
      <w:r>
        <w:rPr>
          <w:rFonts w:ascii="IRNazanin" w:hAnsi="IRNazanin" w:eastAsia="IRNazanin"/>
          <w:color w:val="111111"/>
          <w:sz w:val="28"/>
          <w:sz w:val="28"/>
          <w:szCs w:val="28"/>
          <w:rtl w:val="true"/>
          <w:lang w:bidi="fa-IR"/>
        </w:rPr>
        <w:t>در فصل شانزدهم مایکل کوک به تبیین اندیشه‌های غزالی که این همه از او سخن گفته شد،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وعده داده بود کتابی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انتقاداتی که نسبت به نام این کتاب وارد شده بود و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اماتة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برخی گفته بودند که علوم دین نمرده تا نیاز به احیا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بدون توجه به هم‌قطارانش مصمم به نوشتن این کتاب شد و آن را نوشت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کتاب را که تأثیرات آن فراتر از دیدگاه مرزهای فقهی غزالی بود، ارائه کرد، هرچند از نظر عقلانیت به روشمندی برخی از معتزلیان و هوشمندی علمای بعدی امامی نمی‌رسد</w:t>
      </w:r>
      <w:r>
        <w:rPr>
          <w:rFonts w:eastAsia="IRNazanin" w:cs="IRNazanin"/>
          <w:color w:val="111111"/>
          <w:sz w:val="28"/>
          <w:szCs w:val="28"/>
          <w:rtl w:val="true"/>
          <w:lang w:bidi="fa-IR"/>
        </w:rPr>
        <w:t xml:space="preserve">. </w:t>
      </w:r>
      <w:bookmarkStart w:id="592" w:name="pg8666_122681"/>
    </w:p>
    <w:p>
      <w:pPr>
        <w:pStyle w:val="BookText"/>
        <w:rPr/>
      </w:pPr>
      <w:bookmarkEnd w:id="592"/>
      <w:r>
        <w:rPr>
          <w:rFonts w:ascii="IRNazanin" w:hAnsi="IRNazanin" w:eastAsia="IRNazanin"/>
          <w:color w:val="111111"/>
          <w:sz w:val="28"/>
          <w:sz w:val="28"/>
          <w:szCs w:val="28"/>
          <w:rtl w:val="true"/>
          <w:lang w:bidi="fa-IR"/>
        </w:rPr>
        <w:t>غزالی، کتاب نهم از ربع دوم را به نهی از منکر اختصاص داده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کتاب بسیار منظم و جدای از سایر کتبی است که دارای بحث‌های قدیمی‌تر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غزالی احیاء علوم الدین را به زبان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نهی از منکر در آن نیز بخش اصلی کتاب به شمار می‌آید</w:t>
      </w:r>
      <w:r>
        <w:rPr>
          <w:rFonts w:eastAsia="IRNazanin" w:cs="IRNazanin"/>
          <w:color w:val="111111"/>
          <w:sz w:val="28"/>
          <w:szCs w:val="28"/>
          <w:rtl w:val="true"/>
          <w:lang w:bidi="fa-IR"/>
        </w:rPr>
        <w:t>.</w:t>
      </w:r>
    </w:p>
    <w:p>
      <w:pPr>
        <w:pStyle w:val="Heading5"/>
        <w:numPr>
          <w:ilvl w:val="4"/>
          <w:numId w:val="1"/>
        </w:numPr>
        <w:rPr/>
      </w:pPr>
      <w:bookmarkStart w:id="593" w:name="__RefHeading___Toc2419900_653776707"/>
      <w:bookmarkStart w:id="594" w:name="_Toc230"/>
      <w:bookmarkEnd w:id="593"/>
      <w:r>
        <w:rPr/>
        <w:t>2</w:t>
      </w:r>
      <w:r>
        <w:rPr>
          <w:rtl w:val="true"/>
        </w:rPr>
        <w:t xml:space="preserve">. </w:t>
      </w:r>
      <w:r>
        <w:rPr>
          <w:rtl w:val="true"/>
        </w:rPr>
        <w:t>ارکان نهی از منکر</w:t>
      </w:r>
      <w:bookmarkEnd w:id="594"/>
    </w:p>
    <w:p>
      <w:pPr>
        <w:pStyle w:val="Heading6"/>
        <w:numPr>
          <w:ilvl w:val="5"/>
          <w:numId w:val="1"/>
        </w:numPr>
        <w:rPr/>
      </w:pPr>
      <w:bookmarkStart w:id="595" w:name="__RefHeading___Toc2419902_653776707"/>
      <w:bookmarkStart w:id="596" w:name="_Toc231"/>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غزالی بعد از بیان مقدمه در اهمیت نهی از منکر و سستی این دوره، نسبت به این وظیفه سخن گفته و بعد از آن وارد بحث اصلی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اهمیت و وجوب کفایی آن را با ادله اربعه اثبات می‌کند و می‌گوید نهی از منکر به چهار رکن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انجام‌دهندۀ آن است، نه دستگاه پلیس؛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المحتسب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علیه او نهی از منکر صورت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المحتسب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گناهی که مورد نهی از منکر واقع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نهی از منکر و چگونگی انجام آن</w:t>
      </w:r>
      <w:r>
        <w:rPr>
          <w:rFonts w:eastAsia="IRNazanin" w:cs="IRNazanin"/>
          <w:color w:val="111111"/>
          <w:sz w:val="28"/>
          <w:szCs w:val="28"/>
          <w:rtl w:val="true"/>
          <w:lang w:bidi="fa-IR"/>
        </w:rPr>
        <w:t>.</w:t>
      </w:r>
    </w:p>
    <w:p>
      <w:pPr>
        <w:pStyle w:val="Heading6"/>
        <w:numPr>
          <w:ilvl w:val="5"/>
          <w:numId w:val="1"/>
        </w:numPr>
        <w:rPr/>
      </w:pPr>
      <w:bookmarkStart w:id="597" w:name="__RefHeading___Toc2419904_653776707"/>
      <w:bookmarkStart w:id="598" w:name="_Toc232"/>
      <w:bookmarkEnd w:id="597"/>
      <w:r>
        <w:rPr/>
        <w:t>2-1</w:t>
      </w:r>
      <w:r>
        <w:rPr>
          <w:rtl w:val="true"/>
        </w:rPr>
        <w:t xml:space="preserve">. </w:t>
      </w:r>
      <w:r>
        <w:rPr>
          <w:rtl w:val="true"/>
        </w:rPr>
        <w:t>رکن اول</w:t>
      </w:r>
      <w:r>
        <w:rPr>
          <w:rtl w:val="true"/>
        </w:rPr>
        <w:t xml:space="preserve">: </w:t>
      </w:r>
      <w:r>
        <w:rPr>
          <w:rtl w:val="true"/>
        </w:rPr>
        <w:t>محتسب</w:t>
      </w:r>
      <w:bookmarkEnd w:id="598"/>
    </w:p>
    <w:p>
      <w:pPr>
        <w:pStyle w:val="BookText"/>
        <w:rPr/>
      </w:pPr>
      <w:r>
        <w:rPr>
          <w:rFonts w:ascii="IRNazanin" w:hAnsi="IRNazanin" w:eastAsia="IRNazanin"/>
          <w:color w:val="111111"/>
          <w:sz w:val="28"/>
          <w:sz w:val="28"/>
          <w:szCs w:val="28"/>
          <w:rtl w:val="true"/>
          <w:lang w:bidi="fa-IR"/>
        </w:rPr>
        <w:t>شرایط محتسب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و مکلف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قادربودن به انجام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مأذون‌بودن از طرف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مورد هرکدام مفصل به بحث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سن بلوغ نرسیده،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مستحب است که نهی از منکر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شطر ایمان با طرح این سؤال علمی آغاز می‌کند که از آنجایی که این وظیفه برای یاری دین است، چگونه دشمنان دین می‌توانند یاور آن باشند؟ از طرفی این یک </w:t>
      </w:r>
    </w:p>
    <w:p>
      <w:pPr>
        <w:pStyle w:val="BookText"/>
        <w:rPr/>
      </w:pPr>
      <w:r>
        <w:rPr>
          <w:rFonts w:ascii="IRNazanin" w:hAnsi="IRNazanin" w:eastAsia="IRNazanin"/>
          <w:color w:val="111111"/>
          <w:sz w:val="28"/>
          <w:sz w:val="28"/>
          <w:szCs w:val="28"/>
          <w:rtl w:val="true"/>
          <w:lang w:bidi="fa-IR"/>
        </w:rPr>
        <w:t>نوع تحکم غیرمسلمان و استیلای او بر مسلمان است، چون می‌گوید مثلاً زنا نکن، هرچند شخص گناهکار مستحق استخفاف و سرزنش است اما نه از طرف کافر و دشمنان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شرط بحث مفصلی دارد و اظهار می‌دارد، اگر این شرط به‌صورت جدی مطرح شود، کسی برای انجام این وظیفه باقی نمی‌ماند؛ لذا عدالت را شرط نمی‌داند و گناهکار را مکلف می‌داند، اما در ادامه به گفت‌وگو می‌پردازد که اگر مردی زناکار به زنی که زنادهنده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حجاب از چهره‌ات برداشتی، ظاهراً این را نمی‌پذیرد، به این دلیل که خودش متجاهر به فسق است و سخن او تأثیرگذار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اذن امام نیز بحث طولانی دارد و نظریه رافضه را که اذن امام را در نهی از منکر شرط می‌دانند، بی‌اساس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اینخنده‌آور است که برای طلب حق خود، کسی نیاز به اجازه معصوم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وظیفه که عزّالسلطنة والاحکام است، نیاز به اذن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انجام این وظیفه پنج مرحله را مطرح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و درشتی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با زور،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ترسانیدن و تهدید به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چهار مرتبۀ اول نیازی به اجازه سلطان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مرحله پنجم مورد بحث است که در این مورد دو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عدم نیاز به اذن امام را می‌پذیرد، چون اجماع و سیره گذشتگان برآن دلالت دارد و شواهدی هم می‌آورد که در پاورقی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سپس بحث کهتر در برابر مهتر را مطرح می‌کند؛ یعنی نهی از منکر پایین‌رتبه، نسبت به بلند‌رتبه که شامل عبد در برابر مولا، زوجه در برابر زوج، پسر در برابر پدر، شاگرد در برابر استاد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این وظیفه نباید تعطیل شود، سه مرحله اول مشکلی ندارد؛ اما گفتار خشن، تهدید و ضرب با مشکلاتی همراه است و با ملاحظاتی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نهی از منکر سلطان هم چه بسا زیان‌آور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داشتن را غزالی به دو امر وابسته می‌داند؛ منظور ضعف حسی نیست، بلکه منظور این است که آگاهی از احتمال ضرر یا آگاهی از عدم‌تأثیر عمل داشته باشد که چهار صورت متصور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مؤثر نیست و برای او موجب ضرر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شاید در برخی موارد حرام باشد، پس باید در خانه بماند تا جایی که همکاری با سلطان ستمگر به حساب نیاید ولی مهاجرت لازم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بدون ضرر و مؤثر است که در این حالت واجب است انجام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مؤثر نیست، اما بدون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عدم‌تأثیر موجب عدم‌وجوب می‌شود، اما مستحب است، چون موجب اظهار شرع اسلام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مؤثر است، اما مستوجب ضرر برای انسان است، انجام آن واجب نیست،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این نوع نهی از منکر را به جهاد تشبیه می‌کند و صورت‌های مختلفی را برای آن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ضرر‌ها سنجیده و اهم و مهم نسبت به آنها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نهی از منکرها هم اختلافی است و نیاز به اجتهاد دارد و هرکسی وظیفه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عوام بایستی به موارد و مصادیق روشن نهی از منکر، بپردازند، مانند شرب خمر، زنا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تأثیر نهی از منکر، آیا انسان باید یقین داشته باشد یا ظن تأثیر هم کافی است؟ 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 کافی است، ولی احتمال ضرر کافی نیست و باید یقین به ضرر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خوف ضرر، اعتدال طبع و سلامت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نفع و ضرر متساوی باشد، پاسخ معقول‌تر آن است که اقدام به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 ترس از دست‌دادن منفعت موجود و یا ترس از محروم ماندن از خواسته‌های احتمالی است که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نباید از این وظیفه دست کشید و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ضرر، باید اجتهاد کرد و اهم و مهم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او را با پا و سر برهنه در داخل شهر بگردانند، یک امر است و اینکه او را وادار کنند به جای اسب با پای پیاده، راه برود، امر دیگر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ضرر رساندن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کرده که دست و پای خود را قطع کند و چاره‌ای جز جنگیدن با او نیست، نهی از منکر مقدم است و کشتن این شخص گناه محسوب نمی‌شود</w:t>
      </w:r>
      <w:r>
        <w:rPr>
          <w:rFonts w:eastAsia="IRNazanin" w:cs="IRNazanin"/>
          <w:color w:val="111111"/>
          <w:sz w:val="28"/>
          <w:szCs w:val="28"/>
          <w:rtl w:val="true"/>
          <w:lang w:bidi="fa-IR"/>
        </w:rPr>
        <w:t xml:space="preserve">. </w:t>
      </w:r>
      <w:bookmarkStart w:id="599" w:name="pg8666_122689"/>
    </w:p>
    <w:p>
      <w:pPr>
        <w:pStyle w:val="BookText"/>
        <w:rPr/>
      </w:pPr>
      <w:bookmarkEnd w:id="599"/>
      <w:r>
        <w:rPr>
          <w:rFonts w:ascii="IRNazanin" w:hAnsi="IRNazanin" w:eastAsia="IRNazanin"/>
          <w:color w:val="111111"/>
          <w:sz w:val="28"/>
          <w:sz w:val="28"/>
          <w:szCs w:val="28"/>
          <w:rtl w:val="true"/>
          <w:lang w:bidi="fa-IR"/>
        </w:rPr>
        <w:t>گناهان گذشته،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مربوط به حاکم است که باید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گناهان حال بر آحاد مردم است که شخص گناهکار را از گناه بازدارند؛ اما در مود گناهان آینده، مسئله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طوری باشد که شخص در شرف گناه باشد، مانند تجمع جوان‌هایی که بر در گرمابه ایستاده و به نظاره خانم‌ها می‌نشینند، این دیگر خودش گناه است و بر مردم است که آنان را دور سازند و اگر سخن را گوش نکردند، با زور از جلو درب حمام دور نمایند</w:t>
      </w:r>
      <w:r>
        <w:rPr>
          <w:rFonts w:eastAsia="IRNazanin" w:cs="IRNazanin"/>
          <w:color w:val="111111"/>
          <w:sz w:val="28"/>
          <w:szCs w:val="28"/>
          <w:rtl w:val="true"/>
          <w:lang w:bidi="fa-IR"/>
        </w:rPr>
        <w:t>.</w:t>
      </w:r>
    </w:p>
    <w:p>
      <w:pPr>
        <w:pStyle w:val="Heading6"/>
        <w:numPr>
          <w:ilvl w:val="5"/>
          <w:numId w:val="1"/>
        </w:numPr>
        <w:rPr/>
      </w:pPr>
      <w:bookmarkStart w:id="600" w:name="__RefHeading___Toc2419906_653776707"/>
      <w:bookmarkStart w:id="601" w:name="_Toc233"/>
      <w:bookmarkEnd w:id="600"/>
      <w:r>
        <w:rPr/>
        <w:t>2-2</w:t>
      </w:r>
      <w:r>
        <w:rPr>
          <w:rtl w:val="true"/>
        </w:rPr>
        <w:t xml:space="preserve">. </w:t>
      </w:r>
      <w:r>
        <w:rPr>
          <w:rtl w:val="true"/>
        </w:rPr>
        <w:t>رکن دوم</w:t>
      </w:r>
      <w:r>
        <w:rPr>
          <w:rtl w:val="true"/>
        </w:rPr>
        <w:t xml:space="preserve">: </w:t>
      </w:r>
      <w:r>
        <w:rPr>
          <w:rtl w:val="true"/>
        </w:rPr>
        <w:t xml:space="preserve">منکر </w:t>
      </w:r>
      <w:r>
        <w:rPr>
          <w:rtl w:val="true"/>
        </w:rPr>
        <w:t>(</w:t>
      </w:r>
      <w:r>
        <w:rPr>
          <w:rtl w:val="true"/>
        </w:rPr>
        <w:t>مافیه الحسبه</w:t>
      </w:r>
      <w:r>
        <w:rPr>
          <w:rtl w:val="true"/>
        </w:rPr>
        <w:t>)</w:t>
      </w:r>
      <w:bookmarkEnd w:id="601"/>
    </w:p>
    <w:p>
      <w:pPr>
        <w:pStyle w:val="BookText"/>
        <w:rPr/>
      </w:pPr>
      <w:r>
        <w:rPr>
          <w:rFonts w:ascii="IRNazanin" w:hAnsi="IRNazanin" w:eastAsia="IRNazanin"/>
          <w:color w:val="111111"/>
          <w:sz w:val="28"/>
          <w:sz w:val="28"/>
          <w:szCs w:val="28"/>
          <w:rtl w:val="true"/>
          <w:lang w:bidi="fa-IR"/>
        </w:rPr>
        <w:t>منکر خود شرایطی دارد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منکر کار خلاف شرع است، البته معصیت اخص از منکر است؛ لذا اگر پسر بچه یا دیوانه‌ای بخواهد، شراب بخورد باید از آن منع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در حال انجام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گناهان گذشته و آینده را مستثنا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باید ظاهر باشد، تجسس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خانۀ دیگری تجاوز کند مگر اینکه خیلی آشکار باشد و با اندک تأملی به منکر پی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منکر بدانند، مثلاً حنفی نمی‌تواند شافعی را از خوردن سوسمار یا کفتار منع نماید، ولی هم‌مذهب خود را می‌تواند، نهی کند یا حنفی، شافعی را می‌تواند از خوردن گوشت خوک منع نماید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سراشیبی خطرناک و نسبیت‌گرایی غزالی،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پایبند مذاهب فقهی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کجاست؟ غزالی در فقه مجتهد را مصیب می‌داند و لذا مسئله را قابل حل می‌داند؛ اما در مسائل کلامی اغلب چنین نیست و بطلان رأی خطای آنان روشن است، ولی بدعت، کار را مشکل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این نکته توجه می‌دهد که باید جامعه را دید و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بدعت از بدعت‌هایی است که همه مسلمان‌ها و مردم شهر آن را بدعت می‌دانند، باید جلوش گرفته شود و نهی از منکر صورت بگیرد، اما اگر مردم شهر نسبت به آن دو دسته باشند، به‌خاطر اینکه فتنه‌ای ایجاد نشود، وظیفۀ حاکم است که دخالت نماید و بدون اذن حاکم نهی از منکر جایز نیست</w:t>
      </w:r>
      <w:r>
        <w:rPr>
          <w:rFonts w:eastAsia="IRNazanin" w:cs="IRNazanin"/>
          <w:color w:val="111111"/>
          <w:sz w:val="28"/>
          <w:szCs w:val="28"/>
          <w:rtl w:val="true"/>
          <w:lang w:bidi="fa-IR"/>
        </w:rPr>
        <w:t xml:space="preserve">. </w:t>
      </w:r>
      <w:bookmarkStart w:id="602" w:name="pg8666_122692"/>
    </w:p>
    <w:p>
      <w:pPr>
        <w:pStyle w:val="Heading6"/>
        <w:numPr>
          <w:ilvl w:val="5"/>
          <w:numId w:val="1"/>
        </w:numPr>
        <w:rPr/>
      </w:pPr>
      <w:bookmarkStart w:id="603" w:name="__RefHeading___Toc2419908_653776707"/>
      <w:bookmarkStart w:id="604" w:name="_Toc234"/>
      <w:bookmarkEnd w:id="602"/>
      <w:bookmarkEnd w:id="603"/>
      <w:r>
        <w:rPr/>
        <w:t>2-3</w:t>
      </w:r>
      <w:r>
        <w:rPr>
          <w:rtl w:val="true"/>
        </w:rPr>
        <w:t xml:space="preserve">. </w:t>
      </w:r>
      <w:r>
        <w:rPr>
          <w:rtl w:val="true"/>
        </w:rPr>
        <w:t>رکن سوم</w:t>
      </w:r>
      <w:r>
        <w:rPr>
          <w:rtl w:val="true"/>
        </w:rPr>
        <w:t xml:space="preserve">: </w:t>
      </w:r>
      <w:r>
        <w:rPr>
          <w:rtl w:val="true"/>
        </w:rPr>
        <w:t xml:space="preserve">گنهکار </w:t>
      </w:r>
      <w:r>
        <w:rPr>
          <w:rtl w:val="true"/>
        </w:rPr>
        <w:t>(</w:t>
      </w:r>
      <w:r>
        <w:rPr>
          <w:rtl w:val="true"/>
        </w:rPr>
        <w:t>المحتسب علیه</w:t>
      </w:r>
      <w:r>
        <w:rPr>
          <w:rtl w:val="true"/>
        </w:rPr>
        <w:t>)</w:t>
      </w:r>
      <w:bookmarkEnd w:id="604"/>
    </w:p>
    <w:p>
      <w:pPr>
        <w:pStyle w:val="BookText"/>
        <w:rPr/>
      </w:pPr>
      <w:r>
        <w:rPr>
          <w:rFonts w:ascii="IRNazanin" w:hAnsi="IRNazanin" w:eastAsia="IRNazanin"/>
          <w:color w:val="111111"/>
          <w:sz w:val="28"/>
          <w:sz w:val="28"/>
          <w:szCs w:val="28"/>
          <w:rtl w:val="true"/>
          <w:lang w:bidi="fa-IR"/>
        </w:rPr>
        <w:t>انجام‌دهنده منکر ملاکش این است که انسان باشد پس بچه و دیوانه را هم می‌شود نهی از منکر کرد؛ اما حیوان در گسترۀ نهی از منکر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به این خاطر است که حرمت حق خداوند، محفوظ باشد، چون شراب از چیزهایی است که خداوند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حیوان ضرررسان را هم، به‌خاطر حفظ حرمت مال مسلمان، از ضررزدن آن جلوگیری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غزالی این وظیفه برای منفعت‌جویی نیست</w:t>
      </w:r>
      <w:r>
        <w:rPr>
          <w:rFonts w:eastAsia="IRNazanin" w:cs="IRNazanin"/>
          <w:color w:val="111111"/>
          <w:sz w:val="28"/>
          <w:szCs w:val="28"/>
          <w:rtl w:val="true"/>
          <w:lang w:bidi="fa-IR"/>
        </w:rPr>
        <w:t>.</w:t>
      </w:r>
    </w:p>
    <w:p>
      <w:pPr>
        <w:pStyle w:val="Heading6"/>
        <w:numPr>
          <w:ilvl w:val="5"/>
          <w:numId w:val="1"/>
        </w:numPr>
        <w:rPr/>
      </w:pPr>
      <w:bookmarkStart w:id="605" w:name="__RefHeading___Toc2419910_653776707"/>
      <w:bookmarkStart w:id="606" w:name="_Toc235"/>
      <w:bookmarkEnd w:id="605"/>
      <w:r>
        <w:rPr/>
        <w:t>2-4</w:t>
      </w:r>
      <w:r>
        <w:rPr>
          <w:rtl w:val="true"/>
        </w:rPr>
        <w:t xml:space="preserve">. </w:t>
      </w:r>
      <w:r>
        <w:rPr>
          <w:rtl w:val="true"/>
        </w:rPr>
        <w:t>رکن چهارم</w:t>
      </w:r>
      <w:r>
        <w:rPr>
          <w:rtl w:val="true"/>
        </w:rPr>
        <w:t xml:space="preserve">: </w:t>
      </w:r>
      <w:r>
        <w:rPr>
          <w:rtl w:val="true"/>
        </w:rPr>
        <w:t>چگونگی احتساب</w:t>
      </w:r>
      <w:bookmarkEnd w:id="606"/>
    </w:p>
    <w:p>
      <w:pPr>
        <w:pStyle w:val="Heading6"/>
        <w:numPr>
          <w:ilvl w:val="5"/>
          <w:numId w:val="1"/>
        </w:numPr>
        <w:rPr/>
      </w:pPr>
      <w:bookmarkStart w:id="607" w:name="__RefHeading___Toc2419912_653776707"/>
      <w:bookmarkStart w:id="608" w:name="_Toc236"/>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این رکن شامل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درجات حسبه و دیگری آداب آن</w:t>
      </w:r>
      <w:r>
        <w:rPr>
          <w:rFonts w:eastAsia="IRNazanin" w:cs="IRNazanin"/>
          <w:color w:val="111111"/>
          <w:sz w:val="28"/>
          <w:szCs w:val="28"/>
          <w:rtl w:val="true"/>
          <w:lang w:bidi="fa-IR"/>
        </w:rPr>
        <w:t>.</w:t>
      </w:r>
    </w:p>
    <w:p>
      <w:pPr>
        <w:pStyle w:val="Heading6"/>
        <w:numPr>
          <w:ilvl w:val="5"/>
          <w:numId w:val="1"/>
        </w:numPr>
        <w:rPr/>
      </w:pPr>
      <w:bookmarkStart w:id="609" w:name="__RefHeading___Toc2419914_653776707"/>
      <w:bookmarkStart w:id="610" w:name="_Toc237"/>
      <w:bookmarkEnd w:id="609"/>
      <w:r>
        <w:rPr>
          <w:rtl w:val="true"/>
        </w:rPr>
        <w:t>الف</w:t>
      </w:r>
      <w:r>
        <w:rPr>
          <w:rtl w:val="true"/>
        </w:rPr>
        <w:t xml:space="preserve">) </w:t>
      </w:r>
      <w:r>
        <w:rPr>
          <w:rtl w:val="true"/>
        </w:rPr>
        <w:t>درجات احتساب</w:t>
      </w:r>
      <w:bookmarkEnd w:id="610"/>
    </w:p>
    <w:p>
      <w:pPr>
        <w:pStyle w:val="BookText"/>
        <w:rPr/>
      </w:pPr>
      <w:r>
        <w:rPr>
          <w:rFonts w:ascii="IRNazanin" w:hAnsi="IRNazanin" w:eastAsia="IRNazanin"/>
          <w:color w:val="111111"/>
          <w:sz w:val="28"/>
          <w:sz w:val="28"/>
          <w:szCs w:val="28"/>
          <w:rtl w:val="true"/>
          <w:lang w:bidi="fa-IR"/>
        </w:rPr>
        <w:t>احتساب هشت درجه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برای تعرّف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و نباید تجسس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امروز استراق سمع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باید آشکار باشد یا دو شاهد عادل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گناهکار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مسجد نماز می‌خواند، اما رکوع و سجود او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عدم‌آگاهی اوست؛ زیرا اگر نمی‌خواست نماز را درست بگذارد، اصلاً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تذکر با نرمی و ملاطفت باشد، چون مردم را آگاه‌کردن از حماقتشان بدتر از کشف عورتشان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گفته شود که از مادر، آگاه زاده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را رنجیده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نصحیت و موعظه با نرمی و عطوفت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جای او قرار دهد که کسی خودش را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خود مغرور نشود و از آیات قرآن و حدیث و سیره بزرگان، برایش مثال بیاورد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سخت و درشت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زمانی است که نصیحت کارگر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معنای آن نیست که فحش دهیم و دروغ بگوییم، بلکه سخنی که مناسب حالش </w:t>
      </w:r>
      <w:bookmarkStart w:id="611" w:name="pg8666_122695"/>
    </w:p>
    <w:p>
      <w:pPr>
        <w:pStyle w:val="BookText"/>
        <w:rPr/>
      </w:pPr>
      <w:bookmarkEnd w:id="611"/>
      <w:r>
        <w:rPr>
          <w:rFonts w:ascii="IRNazanin" w:hAnsi="IRNazanin" w:eastAsia="IRNazanin"/>
          <w:color w:val="111111"/>
          <w:sz w:val="28"/>
          <w:sz w:val="28"/>
          <w:szCs w:val="28"/>
          <w:rtl w:val="true"/>
          <w:lang w:bidi="fa-IR"/>
        </w:rPr>
        <w:t>باشد بگوییم؛ مثلاً ای فاسق، ای احمق، ای جاهل از خدا نمی‌ترسی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تحقیر و دروغ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شکستن آلات قمار، ریختن شراب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طریق ممکن اقدام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وادار به ریختن شود، بهتر است یا اگر ریختن شراب، بدون شکستن ظرف امکان داشته باشد،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مربوط به گناهان حال است، تنبیه برای گناهان گذشته و از بین‌بردن زمینه‌های گناه در آینده مربوط به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که دست از این کار بردار وگرنه سرت را می‌شکنم؛ اما اینکه زن و فرزندانش را تهدید و موجب آزار آنها باشیم،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تخویف به کاری که مجاز است، می‌توان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تدریج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امکانش بود، بدون دست‌بردن به شمشیر و اگر نشد دست به سلاح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کار موجب فتنۀ بزرگ‌تر نشود؛ مثلاً کسی نی می‌نوازد، تهدید به تیراندازی کند، اگر قبول نکرد، تیر را طوری بیندازد که کشته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یاران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یا نه؟ عقیده یکسانی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به‌خاطر تحریک فتنه و تخریب بلاد، آن را بدون امام جایز نمی‌دانند؛ اما قول نزدیک به صواب این است که اذن امام لازم نیست و مردم در حد پایین‌تر، نیز مجاز به چنین کاری خواهند بود و دلیلی برای خط‌کشی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انجام‌دهندگان منکر گروهی را برای کارهای خلاف تشکیل دهند، این طرف هم لازم است و این کار مانند جهاد در برابر کفار است و شهید به حساب می‌آید و لازم و واجب است که اعوان مسلح نیز تشکیل گردد</w:t>
      </w:r>
      <w:r>
        <w:rPr>
          <w:rFonts w:eastAsia="IRNazanin" w:cs="IRNazanin"/>
          <w:color w:val="111111"/>
          <w:sz w:val="28"/>
          <w:szCs w:val="28"/>
          <w:rtl w:val="true"/>
          <w:lang w:bidi="fa-IR"/>
        </w:rPr>
        <w:t>.</w:t>
      </w:r>
    </w:p>
    <w:p>
      <w:pPr>
        <w:pStyle w:val="Heading6"/>
        <w:numPr>
          <w:ilvl w:val="5"/>
          <w:numId w:val="1"/>
        </w:numPr>
        <w:rPr/>
      </w:pPr>
      <w:bookmarkStart w:id="612" w:name="__RefHeading___Toc2419916_653776707"/>
      <w:bookmarkStart w:id="613" w:name="_Toc238"/>
      <w:bookmarkEnd w:id="612"/>
      <w:r>
        <w:rPr>
          <w:rtl w:val="true"/>
        </w:rPr>
        <w:t>ب</w:t>
      </w:r>
      <w:r>
        <w:rPr>
          <w:rtl w:val="true"/>
        </w:rPr>
        <w:t xml:space="preserve">) </w:t>
      </w:r>
      <w:r>
        <w:rPr>
          <w:rtl w:val="true"/>
        </w:rPr>
        <w:t>آداب نهی از منکر</w:t>
      </w:r>
      <w:bookmarkEnd w:id="613"/>
    </w:p>
    <w:p>
      <w:pPr>
        <w:pStyle w:val="BookText"/>
        <w:rPr/>
      </w:pPr>
      <w:r>
        <w:rPr>
          <w:rFonts w:ascii="IRNazanin" w:hAnsi="IRNazanin" w:eastAsia="IRNazanin"/>
          <w:color w:val="111111"/>
          <w:sz w:val="28"/>
          <w:sz w:val="28"/>
          <w:szCs w:val="28"/>
          <w:rtl w:val="true"/>
          <w:lang w:bidi="fa-IR"/>
        </w:rPr>
        <w:t>غزالی چند مورد را جزو آداب نهی از منکر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محتسب به حدود و شیوه‌های نهی از منکر؛</w:t>
      </w:r>
      <w:bookmarkStart w:id="614" w:name="pg8666_122699"/>
    </w:p>
    <w:p>
      <w:pPr>
        <w:pStyle w:val="BookText"/>
        <w:rPr/>
      </w:pPr>
      <w:bookmarkEnd w:id="6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انگیزه‌های شخصی را دخالت ندهد و پارسا باشد تا مردم او را به سخره نگیرند؛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وظیفه نیاز به خوش‌خویی دارد که ممکن است از طرف مقابل واکنشی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فریضۀ امر به معروف نیز مانند نهی از منکر، این خصلت‌ها لازم است</w:t>
      </w:r>
      <w:r>
        <w:rPr>
          <w:rFonts w:eastAsia="IRNazanin" w:cs="IRNazanin"/>
          <w:color w:val="111111"/>
          <w:sz w:val="28"/>
          <w:szCs w:val="28"/>
          <w:rtl w:val="true"/>
          <w:lang w:bidi="fa-IR"/>
        </w:rPr>
        <w:t>.</w:t>
      </w:r>
    </w:p>
    <w:p>
      <w:pPr>
        <w:pStyle w:val="Heading5"/>
        <w:numPr>
          <w:ilvl w:val="4"/>
          <w:numId w:val="1"/>
        </w:numPr>
        <w:rPr/>
      </w:pPr>
      <w:bookmarkStart w:id="615" w:name="__RefHeading___Toc2419918_653776707"/>
      <w:bookmarkStart w:id="616" w:name="_Toc239"/>
      <w:bookmarkEnd w:id="615"/>
      <w:r>
        <w:rPr/>
        <w:t>3</w:t>
      </w:r>
      <w:r>
        <w:rPr>
          <w:rtl w:val="true"/>
        </w:rPr>
        <w:t xml:space="preserve">. </w:t>
      </w:r>
      <w:r>
        <w:rPr>
          <w:rtl w:val="true"/>
        </w:rPr>
        <w:t>انواع منکرات از نظر غزالی</w:t>
      </w:r>
      <w:bookmarkEnd w:id="616"/>
    </w:p>
    <w:p>
      <w:pPr>
        <w:pStyle w:val="BookText"/>
        <w:rPr/>
      </w:pPr>
      <w:r>
        <w:rPr>
          <w:rFonts w:ascii="IRNazanin" w:hAnsi="IRNazanin" w:eastAsia="IRNazanin"/>
          <w:color w:val="111111"/>
          <w:sz w:val="28"/>
          <w:sz w:val="28"/>
          <w:szCs w:val="28"/>
          <w:rtl w:val="true"/>
          <w:lang w:bidi="fa-IR"/>
        </w:rPr>
        <w:t>غزالی در مقدمۀ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تمام منکرات که جزو عادتشان شده،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حرام داریم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منکرات بدون قید و شرط گفته می‌شود، منظور منکرات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حرام، واجب است و نهی از منکر مکروه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ترک نهی از منکر مستحب،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مکروه از کراهت آن بی‌اطلاع است، آگاه کردن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منکرات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منکرات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بدون طمأنینه، تکرار بی‌مورد اذان، پوشیدن لباس سیاه و ابریشمی توسط خطیب مسجد، قصه‌گویی و بذله‌گویی، خرید و فروش در مسجد، ورود دیوانگان و مستان در مسجد، حضور مبلغان جوانی که با ظاهر آراسته همراه با اشاره و ایما سخن بگویند، درحالی‌که زنان جوان در مجلس آنان نشسته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منكراتی را كه غزالی در اينجا ذكر می‌كند به سه گروه تقسيم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تقلّب در كار خريد و فروش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عيب كالا، تفاوت در پيمانه و ترازو، جامه كهنه را به جای لباس نو فروختن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انجام معاملات بدون رعايت تشريفات شرع،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 ايجاب و قبول و بسنده كردن به معاطات، گنجاندن شرايط فاسد معاملات ربوی و ساير تصرفات فاسد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فروش كالاهای ممنوع،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اسباب بازی به شكل حيوانات، اشكال حيوانات مصوره در ايام عيد برای كودكان، ظرف‌های طلا و نقره، لباس‌های حرير كه فقط مردان آن را می‌پوشند و يا بنابر رسم محلی مخصوص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در اينجا غزالی به بحث درباره وظيفه مردم عادی می‌پردازد نه محتسبی كه از طرف حكومت تعيين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باب دغل‌بازی در مورد ميزان منفعت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منکرات در شاهراه‌ها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تنها شامل تجاوزهای دايمی است، بلكه راه بندان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موقت را نيز دربر می‌گيرد، مگر آنكه باعث ناراحتی نشود و يا از نوع كارهایی است كه هر كسی معمولاً به آن دست می‌زند، مانند آن كه بار هيزمی را به اندازه زمانی كه می‌خواهد آن را به داخل خانه ببرد، در آنجا بگذارد و همچنين بستن ستور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شاهراه‌ها برای استفاده همگانی و مشتركة‌المنفعه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دادن چهارپايان با بار از كوچه‌های تنگ، بار بيش از اندازه بر ستوران گذاشتن، ذبح گوسفند در راه‌های باريک، انداختن پوست خربزه در راه، ريختن آب ناودان‌ها در كوچه و بر جای گذاشتن چاله، گل و لای و برف در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حقوق و وظيفه آحاد مردم در اين مورد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داشتن سگی كه سبب آزار عابران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منکرات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نصب تصاویر در حمام، برهنگی در حمام، دست و ظرف را با آب اندک شستن، کثیف کردن آب حمام، لغزنده بودن سطح حمام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منکرات 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پهن کردن فرش حریر برای مردان، نواختن موسیقی و آواز کنیزکان آوازخوان، آویزان کردن پرده حریر، سرو نوشیدنی‌های حرام، مسخره کردن به‌خاطر بذله‌گویی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خنداندن در حد اعتدال که منجر به غیبت و دروغ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ولخرجی در مهمانی که در همه اینها، اگر امکان اصلاح نیست باید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منکرات زیاد است و هیچ‌جایی را نمی‌شود استثنا دانست، از مجالس قاضیان گرفته تا دواوین پادشاهان و فقیهان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خود حدیث مفصل بخوان ازین مجمل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منکرات امروزه در همه جا هست و در میان روستانشینان به دلیل اینکه، اطلاع و آگاهی‌شان کم است و از معارف دینی به دورند،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علما و آگاهان امر است که در میان آنان رفته، به نهی از منکر بپردازند و این کار، باید از نزدیکان و خویشاوندان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ابتدا به اصلاح نفس خویش پرداخته و بعد دیگران را نهی از منکر کند و این کار مهم‌تر از موشکافی‌های علمی و تحقیقاتی است</w:t>
      </w:r>
      <w:r>
        <w:rPr>
          <w:rFonts w:eastAsia="IRNazanin" w:cs="IRNazanin"/>
          <w:color w:val="111111"/>
          <w:sz w:val="28"/>
          <w:szCs w:val="28"/>
          <w:rtl w:val="true"/>
          <w:lang w:bidi="fa-IR"/>
        </w:rPr>
        <w:t xml:space="preserve">. </w:t>
      </w:r>
      <w:bookmarkStart w:id="617" w:name="pg8666_122704"/>
    </w:p>
    <w:p>
      <w:pPr>
        <w:pStyle w:val="Heading5"/>
        <w:numPr>
          <w:ilvl w:val="4"/>
          <w:numId w:val="1"/>
        </w:numPr>
        <w:rPr/>
      </w:pPr>
      <w:bookmarkStart w:id="618" w:name="__RefHeading___Toc2419920_653776707"/>
      <w:bookmarkStart w:id="619" w:name="_Toc240"/>
      <w:bookmarkEnd w:id="617"/>
      <w:bookmarkEnd w:id="618"/>
      <w:r>
        <w:rPr/>
        <w:t>4</w:t>
      </w:r>
      <w:r>
        <w:rPr>
          <w:rtl w:val="true"/>
        </w:rPr>
        <w:t xml:space="preserve">. </w:t>
      </w:r>
      <w:r>
        <w:rPr>
          <w:rtl w:val="true"/>
        </w:rPr>
        <w:t>امر و نهی کردن حاکمان از نظر غزالی</w:t>
      </w:r>
      <w:bookmarkEnd w:id="619"/>
    </w:p>
    <w:p>
      <w:pPr>
        <w:pStyle w:val="BookText"/>
        <w:rPr/>
      </w:pPr>
      <w:r>
        <w:rPr>
          <w:rFonts w:ascii="IRNazanin" w:hAnsi="IRNazanin" w:eastAsia="IRNazanin"/>
          <w:color w:val="111111"/>
          <w:sz w:val="28"/>
          <w:sz w:val="28"/>
          <w:szCs w:val="28"/>
          <w:rtl w:val="true"/>
          <w:lang w:bidi="fa-IR"/>
        </w:rPr>
        <w:t>چهارمین فصل کتاب غزالی اختصاص به امر و نهی حاکمان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درجات هشت‌گانۀ محتسب که قبلاً گذشت، دو درجۀ اول، یعنی آگاه نمودن و نصیحت کردن حاکم توسط آحاد مردم جایز است؛ ولی بقیۀ مراحل و اعمال قدرت ممکن است، فتنه‌اش از آنچه نهی از منکر است، بیشتر و بزرگ‌تر باشد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درشت و سخت‌گفتن مانند ای ظالم، ای ستمگر، ای خدا ناترس، اگر سبب آزار دیگران باشد، جایز نیست و اگر تنها سبب آزار خود ناهی از منکر و متوجه شخص او است، جایز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مسلمانان صدر اسلام خود را در معرض چنین خطرهایی قرار می‌دادند؛ زیرا می‌دانستند که موجب اذیت می‌شود و یا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مجوع غزالی هفده داستان نقل می‌کند و می‌گوید افسوس که اکنون علما ساکت‌اند و یا براثر حب و مقام، سخنان آنان تأثیرگذار نیستند</w:t>
      </w:r>
      <w:r>
        <w:rPr>
          <w:rFonts w:eastAsia="IRNazanin" w:cs="IRNazanin"/>
          <w:color w:val="111111"/>
          <w:sz w:val="28"/>
          <w:szCs w:val="28"/>
          <w:rtl w:val="true"/>
          <w:lang w:bidi="fa-IR"/>
        </w:rPr>
        <w:t>.</w:t>
      </w:r>
    </w:p>
    <w:p>
      <w:pPr>
        <w:pStyle w:val="Heading5"/>
        <w:numPr>
          <w:ilvl w:val="4"/>
          <w:numId w:val="1"/>
        </w:numPr>
        <w:rPr/>
      </w:pPr>
      <w:bookmarkStart w:id="620" w:name="__RefHeading___Toc2419922_653776707"/>
      <w:bookmarkStart w:id="621" w:name="_Toc241"/>
      <w:bookmarkEnd w:id="620"/>
      <w:r>
        <w:rPr/>
        <w:t>5</w:t>
      </w:r>
      <w:r>
        <w:rPr>
          <w:rtl w:val="true"/>
        </w:rPr>
        <w:t xml:space="preserve">. </w:t>
      </w:r>
      <w:r>
        <w:rPr>
          <w:rtl w:val="true"/>
        </w:rPr>
        <w:t>ارزیابی مایکل کوک از کار غزالی</w:t>
      </w:r>
      <w:bookmarkEnd w:id="621"/>
    </w:p>
    <w:p>
      <w:pPr>
        <w:pStyle w:val="BookText"/>
        <w:rPr/>
      </w:pPr>
      <w:r>
        <w:rPr>
          <w:rFonts w:ascii="IRNazanin" w:hAnsi="IRNazanin" w:eastAsia="IRNazanin"/>
          <w:color w:val="111111"/>
          <w:sz w:val="28"/>
          <w:sz w:val="28"/>
          <w:szCs w:val="28"/>
          <w:rtl w:val="true"/>
          <w:lang w:bidi="fa-IR"/>
        </w:rPr>
        <w:t>آقای کوک عبارتی دارد تحت عنوان دستاورد غزالی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غزالی از نهی از منکر یک روایت استثنایی و از آن خود اوست و مانند ابولیث و دیگران نیست که از پیشینیان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روایت‌هایی که از صدر اسلام دارد، وابسته به کتاب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کار غزالی این است که نهی از منکر را در دو سطح بنیادی مردم و حاکمان مشخص می‌کند؛ آن‌گاه برای نهی از منکر، ارکان درست می‌کند و برای هر رکن، فروعی را بیان و احکام هر فرع را جداگانه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طرحی است که مختص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 زیادی رابه واژه‌شناسی امر به معروف و نهی از منکر، مانند لفظ محتسب، محتسب‌فیه، احتساب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 امّا اینکه چرا به جای نهی از منکر، ابوحامد غزالی تعبیر به حسبه می‌کند، وجهش مشخص نیست، شاید سببش این باشد که کسانی که این کار را انجام می‌دهند، برای خدا و کسب رضایت او انجام دهند و برای نفع مادی انجام ندهند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کوک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واژه‌گزینی دیگرش، تأثیر مناسبی بر زمینه اندیشۀ فقهی غزالی به جای می‌گذارد</w:t>
      </w:r>
      <w:r>
        <w:rPr>
          <w:rFonts w:eastAsia="IRNazanin" w:cs="IRNazanin"/>
          <w:color w:val="111111"/>
          <w:sz w:val="28"/>
          <w:szCs w:val="28"/>
          <w:rtl w:val="true"/>
          <w:lang w:bidi="fa-IR"/>
        </w:rPr>
        <w:t xml:space="preserve">. </w:t>
      </w:r>
      <w:bookmarkStart w:id="622" w:name="pg8666_122708"/>
    </w:p>
    <w:p>
      <w:pPr>
        <w:pStyle w:val="BookText"/>
        <w:rPr/>
      </w:pPr>
      <w:bookmarkEnd w:id="622"/>
      <w:r>
        <w:rPr>
          <w:rFonts w:ascii="IRNazanin" w:hAnsi="IRNazanin" w:eastAsia="IRNazanin"/>
          <w:color w:val="111111"/>
          <w:sz w:val="28"/>
          <w:sz w:val="28"/>
          <w:szCs w:val="28"/>
          <w:rtl w:val="true"/>
          <w:lang w:bidi="fa-IR"/>
        </w:rPr>
        <w:t>به‌هرحال، غزالی ابتکاراتی داشته است؛ اینکه مطالب خود را با نگاه روان‌شناختی درمی‌آمیزد و همین طور با صراحت انواع نهی از منکر را در مسجد بازار و حمام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از ابتکارات اوست</w:t>
      </w:r>
      <w:r>
        <w:rPr>
          <w:rFonts w:eastAsia="IRNazanin" w:cs="IRNazanin"/>
          <w:color w:val="111111"/>
          <w:sz w:val="28"/>
          <w:szCs w:val="28"/>
          <w:rtl w:val="true"/>
          <w:lang w:bidi="fa-IR"/>
        </w:rPr>
        <w:t>.</w:t>
      </w:r>
    </w:p>
    <w:p>
      <w:pPr>
        <w:pStyle w:val="Heading5"/>
        <w:numPr>
          <w:ilvl w:val="4"/>
          <w:numId w:val="1"/>
        </w:numPr>
        <w:rPr/>
      </w:pPr>
      <w:bookmarkStart w:id="623" w:name="__RefHeading___Toc2419924_653776707"/>
      <w:bookmarkStart w:id="624" w:name="_Toc242"/>
      <w:bookmarkEnd w:id="623"/>
      <w:r>
        <w:rPr/>
        <w:t>6</w:t>
      </w:r>
      <w:r>
        <w:rPr>
          <w:rtl w:val="true"/>
        </w:rPr>
        <w:t xml:space="preserve">. </w:t>
      </w:r>
      <w:r>
        <w:rPr>
          <w:rtl w:val="true"/>
        </w:rPr>
        <w:t>نواقص کار غزالی</w:t>
      </w:r>
      <w:bookmarkEnd w:id="624"/>
    </w:p>
    <w:p>
      <w:pPr>
        <w:pStyle w:val="BookText"/>
        <w:rPr/>
      </w:pPr>
      <w:r>
        <w:rPr>
          <w:rFonts w:ascii="IRNazanin" w:hAnsi="IRNazanin" w:eastAsia="IRNazanin"/>
          <w:color w:val="111111"/>
          <w:sz w:val="28"/>
          <w:sz w:val="28"/>
          <w:szCs w:val="28"/>
          <w:rtl w:val="true"/>
          <w:lang w:bidi="fa-IR"/>
        </w:rPr>
        <w:t>غزالی نواقصی هم دارد که از جمله تداخل مباحث در بیان شرایط و یا بحث نکردن وافی از منکرات واجب و مستحب را می‌توان جزء نواقص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هشت درجه، تفصیلی از طرح پنج مرتبه‌ای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نامنظم و مقداری هم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ایشان از یک ویراستار فنی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 به‌خاطر نوشتن سریع و کثرت تألیف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نقایص از محاسن کار او نمی‌کاهد در کل، تأثیرات مثبتی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دیگر کار غزالی بیان وظایف بردگان، زنان، روستاییان، بادیه‌نشینان، کردها و ترکمانان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علما، حکایت از مآل‌اندیشی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 از منکرات غالب در عادات،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و بینش روان‌شناختی از ابتکارات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چیزهایی که از پیش قانون ندارد، مفهومی واقعی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زندگی پر از مشکلات و مطالب مبهم است و آدمی باید به نحو ممکن به قضاوت دربارۀ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مطالب تازۀ زیادی در روایت غزالی وجود دارد</w:t>
      </w:r>
      <w:r>
        <w:rPr>
          <w:rFonts w:eastAsia="IRNazanin" w:cs="IRNazanin"/>
          <w:color w:val="111111"/>
          <w:sz w:val="28"/>
          <w:szCs w:val="28"/>
          <w:rtl w:val="true"/>
          <w:lang w:bidi="fa-IR"/>
        </w:rPr>
        <w:t>.</w:t>
      </w:r>
    </w:p>
    <w:p>
      <w:pPr>
        <w:pStyle w:val="Heading5"/>
        <w:numPr>
          <w:ilvl w:val="4"/>
          <w:numId w:val="1"/>
        </w:numPr>
        <w:rPr/>
      </w:pPr>
      <w:bookmarkStart w:id="625" w:name="__RefHeading___Toc2419926_653776707"/>
      <w:bookmarkStart w:id="626" w:name="_Toc243"/>
      <w:bookmarkEnd w:id="625"/>
      <w:r>
        <w:rPr/>
        <w:t>7</w:t>
      </w:r>
      <w:r>
        <w:rPr>
          <w:rtl w:val="true"/>
        </w:rPr>
        <w:t xml:space="preserve">. </w:t>
      </w:r>
      <w:r>
        <w:rPr>
          <w:rtl w:val="true"/>
        </w:rPr>
        <w:t>میراث غزالی</w:t>
      </w:r>
      <w:bookmarkEnd w:id="62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گفت آیا علوم دینی در زمان غزالی نیازمند احیاء بود یا نه؟ ولی کتاب او در طول قرن‌ها بسیار موفق بوده و دلیل آن فراتر از موضوع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کتاب، مورد توجهواقع شده است؛ چنانچه امثال ابن‌طِملوس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و فیلسوف اسپانیایی اعتراف می‌کند و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شیعه امامی، از حسن بیان و ترتیب زیبای احیاء سخن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به‌هرحال، کتاب او به‌سرعت در میان شافعیان هم‌مسلک غزالی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آن پرداخت و عده‌ای آن را حفظ می‌کردند و عده‌ای دیگر گزیدۀ آن را منتشر می‌نمودند، از جمله برادر او احمد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بعداً در مورد نهی از منکر نوشتند، از او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گزیده‌ها و نسخه‌هایی است که در بین سایر فرق و مکاتب منتشر شد، از مالکیه تا حنابله، حنفیان، اباضیه، زیدیه و امامیه و حتی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امامی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احیاء با وجود محاسنی که دارد، پیش از تشرّف غزالی به مذهب تشیع، نوشته شده و متأسفانه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العامیّة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 احیاء العلوم همه را خرسند نکرد و مورد انتقاد خصمانۀ علما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طرطوشی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آن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سلسله مرابکان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مورد تعقیب قرار دادند و حاکم شفین‌بن‌علی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ریشه‌کنی آثار غزالی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مدیون استادش جوینی است که در برابر حاکمان سلجوقی واکنش نشان می‌داد و نهی از منکر را وظیفۀ عالمان و حاکمان می‌دانست و اجازۀ توسل به سلاح بدون اذن حاکم می‌داد و این با عقاید سنّیان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غزالی دربارۀ نیروی مسلح، سبب اختلاف بسیاری شد و بسیاری آن را به اذن حاکم تأویل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از تمجید غزالی از خشونت شجاعانه، نسبت به حاکمان ناخشنودند، مثل ابن‌جوزی و فیض کاشانی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جیکالی اباضی از غزالی جلو می‌افتد و به‌طور کامل از مسلحان حمایت می‌کند و با سخن درشت در برابر حاکم، هرچند بر ضرر دیگران باشد، حمایت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شخصیتی که ثابت نیست وارث عمل‌گرایی نهی از منکر غزالی باشد، م هدی‌بن‌تومرت مراکشی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نهضت موحّدان و رابط بین این نهضت و غزالی 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صوفی بود، ولی صوفی واژه‌ای مبهم است</w:t>
      </w:r>
      <w:r>
        <w:rPr>
          <w:rFonts w:eastAsia="IRNazanin" w:cs="IRNazanin"/>
          <w:color w:val="111111"/>
          <w:sz w:val="28"/>
          <w:szCs w:val="28"/>
          <w:rtl w:val="true"/>
          <w:lang w:bidi="fa-IR"/>
        </w:rPr>
        <w:t xml:space="preserve">. </w:t>
      </w:r>
      <w:bookmarkStart w:id="627" w:name="pg8666_122714"/>
    </w:p>
    <w:p>
      <w:pPr>
        <w:pStyle w:val="Heading4"/>
        <w:numPr>
          <w:ilvl w:val="3"/>
          <w:numId w:val="1"/>
        </w:numPr>
        <w:rPr/>
      </w:pPr>
      <w:bookmarkStart w:id="628" w:name="__RefHeading___Toc2419928_653776707"/>
      <w:bookmarkStart w:id="629" w:name="_Toc244"/>
      <w:bookmarkEnd w:id="627"/>
      <w:bookmarkEnd w:id="628"/>
      <w:r>
        <w:rPr>
          <w:rtl w:val="true"/>
        </w:rPr>
        <w:t>ب</w:t>
      </w:r>
      <w:r>
        <w:rPr>
          <w:rtl w:val="true"/>
        </w:rPr>
        <w:t xml:space="preserve">) </w:t>
      </w:r>
      <w:r>
        <w:rPr>
          <w:rtl w:val="true"/>
        </w:rPr>
        <w:t>ارزیابی</w:t>
      </w:r>
      <w:bookmarkEnd w:id="629"/>
    </w:p>
    <w:p>
      <w:pPr>
        <w:pStyle w:val="BookText"/>
        <w:rPr/>
      </w:pPr>
      <w:r>
        <w:rPr>
          <w:rFonts w:ascii="IRNazanin" w:hAnsi="IRNazanin" w:eastAsia="IRNazanin"/>
          <w:color w:val="111111"/>
          <w:sz w:val="28"/>
          <w:sz w:val="28"/>
          <w:szCs w:val="28"/>
          <w:rtl w:val="true"/>
          <w:lang w:bidi="fa-IR"/>
        </w:rPr>
        <w:t>چند نکتۀ قابل تأمّل در مورد فصل شانزدهم کتاب آقای مایکل کوک قابل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مایکل کوک یک فصل کامل و مشبعی از کار خود را طی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با ضمیمه پیوست صوفیان،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فصول بیست‌گانۀ کتاب امر به معروف و نهی از منکر در اندیشۀ اسلامی را به کار غزّالی و ارزیابی و پیامدهای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کار غزّالی در نوع خود از نظر نظم و دسته‌بندی و غیره مهم و قابل توجه است و کار او تأثیرگذار بوده است، ولی آیا واقعاً تا چه اندازه این کار یک ضرورت محسوب می‌شد که از صدها و هزاران عالم، فقیه، متکلم، محدث، مفسر، فیلسوف و عارف اسلامی، محدود سخن گفت و با گزارش فشرده از آنها عبور کرد، ولی کار غزالی را به این اندازه در فصلی جداگانه در طی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فربه نشان داد؟ این جای تأمّل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می‌رسد، کار غزالی در حدّ یک فصل مستقل و در این حدّ از تفصیل نبود که بخواهد در عرض کار مذاهب مختلف از جمله امامیه قرار گیرد، درحالی‌که از تمامی مذاهب هم معمولاً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گزارش می‌کند؛ بنابراین چندان قابل هضم نیست که غزالی به‌تنهایی در عرض و هم‌وزن سایر مذاهب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نوآوری او چه اندازه بوده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اینجا است که غزالی یک فصل کتاب مایکل کوک را به خود اختصاص‌می دهد درحالی‌که مایکل کوک از جریان حادثۀ کربلا و تأثیرات فرهنگی، اجتماعی، سیاسی، اعتقادی،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طول تاریخ بر جوامع اسلامی و حتّی غیر اسلامی به‌راحتی عبور کرده است؛ حادثه‌ای که سراسر آن امر به معروف است و پیدایش اصل حادثه و زمینه‌های آن و کلمات مهم آن حضرت در این ارتباط در خطبۀ مِنا، در زمان معاویه پیش از خلافت یزید و قیام‌های پس از این حادثۀ عظیم و این مصیبت عظمی بر جهان اسلام که تمامی در ارتباط با امر به معروف و نهی از منکر دارد، به‌راحتی از این تاریخ عظیم و مکتب و مدرسۀ عالی امر بهمعروف و نهی از منکر عبور شده است و نه‌تنها یک فصل، بلکه حتی در حد یک صفحه دراین‌باره مطلبی در کتاب مایکل کوک مشاهده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چهار مورد در صفحات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سطر،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سطر، در صفحۀ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سطر و 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سطر را به مناسبت به ذکر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درحالی‌که تنها خطبۀ مِنای آن حضرت درباره امر به معروف و نهی از منکر و تفسیر آیۀ شریفه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آن خطبه، چندین صفحه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این در حالی است که بقای اسلام و بقای امر به معروف در طول تاریخ به برکت قیام آن حضرت برای نهی از منکر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نویسندۀ محترم در مقام بیان نهی از منکر در اندیشۀ اسلامی است، نه در اندیشۀ مسلمانان و متفکران آنها همچون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ابوحامد غزّالی در اندیشۀ اسلامی کجا و جایگاه سبط پیامبر اعظم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او که جزء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مطهّرین است و ده‌ها آیه و روایت در شأن و فضیلت و مکانت و جایگاه علمی و مرجعیت آن حضرت در مصادر و مستندات اسلامی تمامی مذاهب اسلامی،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این دو در اندیشۀ اسلامی فاصلۀ از زمین تا آسمان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گذشته از کلمات سایر امامان شیعه به‌ویژه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نهج البلاغه و غرر الحکم و دیگر منابع و ده‌ها روایتی که در مورد فریضۀ امر به معروف و نهی از منکر نقل شده است و در خطبۀ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اشارت رفته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رأی غزالی که آگاه کردن را درجۀ دوم نهی از منکر شمرده است،</w:t>
      </w:r>
      <w:r>
        <w:rPr>
          <w:rStyle w:val="FootnoteAnchor"/>
          <w:rtl w:val="true"/>
        </w:rPr>
        <w:footnoteReference w:id="127"/>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فقه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در قاعده و مقولۀ ارشاد جاهل قرار می‌گیرد و ارشاد جاهل با امر به معروف و نهی از منکر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اختصاص به کسی دارد که آگاهانه ترک وظیفه کرده و مرتکب گناه شده است، ولی کسی که از روی نادانی و جهالت ترک وظیفه کرده یا مرتکب معصیت شده است، او را باید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مقوله در کلام غزالی خلط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غزالی منکرات غالبی را در عادات مثل منکرات مساجد، بازار، شاهراه، گرمابه، مهمانی‌ها، ذکر می‌کند، ولی به گفتۀ محقق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ذکر تفصیلی منکرات نیست؛ زیرا محتسب که اقدام به امر به معروف و نهی از منکر می‌کند، جایز نیست که نسبت به تشخیص معروف از منکر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آگاه و توانمند بوده و چنین فردی خودبه‌خوبی از منکرات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آنچه ابوحامد در این قسمت ذکر کرده است، مستند به اصل صحیحی نیست و بر اصول فاسده و آراء نادرست استوار است و لذا از ذکر آنها چشم‌پوشی می‌شود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به‌علاوه به‌نظر می‌رسد ابوحامد غزالی، از مهم‌ترین منکر که منشأ هر فساد و معصیت و فحشاء و ظلم است، به غفلت گذشته است؛ چون تمامی منکراتی را که او می‌شمرد، می‌تواند غالباً مسبّب و معلول آن منکر باشد و آن ولایت و امامت جائر و حکومت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 سیاسی فاسد بود و اریکۀ قدرت در اختیار ظلمه و فسقه بود، نظام فاسد منشأ هر فسادی است؛ ازاین‌رو در روایت منقول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بِاُمَرائِهِمْ اَشْبَهُ مِنْهُمْ بِآبائِهِمْ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شباهت مردم به رهبران سیاسی و امیرانشان بیشتر از شباهت به پدرانشان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 إِذَا فَسَدَا فَسَدَتْ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صلاح و فساد امت من وابسته و در گرو صلاح و فساد دو دسته از امّت من است، دانشمندان و امیران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قدسی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 تَعَالَى لَأُعَذِّبَنَّ كُلَّ رَعِيَّةٍ فِي اَلإِسْلاَمِ دَانَتْ بِوَلاَيَةِ كُلِّ إِمَامٍ جَائِرٍ لَيْسَ مِنَ اَللهِ وَ إِنْ كَانَتِ اَلرَّعِيَّةُ فِي أَعْمَالِهَا بَرَّةً تَقِيَّةً وَ لَأَعْفُوَنَّ عَنْ كُلِّ رَعِيَّةٍ فِي اَلْإِسْلاَمِ دَانَتْ بِوَلاَيَةِ كُلِّ إِمَامٍ عَادِلٍ مِنَ اَللهِ وَ إِنْ كَانَتِ اَلرَّعِيَّةُ فِي </w:t>
      </w:r>
    </w:p>
    <w:p>
      <w:pPr>
        <w:pStyle w:val="BookText"/>
        <w:rPr/>
      </w:pPr>
      <w:r>
        <w:rPr>
          <w:rFonts w:ascii="Amiri" w:hAnsi="Amiri" w:eastAsia="Amiri" w:cs="Amiri"/>
          <w:color w:val="111111"/>
          <w:sz w:val="28"/>
          <w:sz w:val="28"/>
          <w:szCs w:val="28"/>
          <w:rtl w:val="true"/>
          <w:lang w:bidi="ar-SA"/>
        </w:rPr>
        <w:t>أَنْفُسِهَا ظَالِمَةً مُسِيئَةً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مردمی که ولایت و سرپرستی امام جائر را که از طرف خداوند نیست بپذیرند، مورد عذاب من می‌باشند، اگرچه خود آنان نیکوکار و پرهیزگار باشند و برعکس، جامعه و مردمی که ولایت امام عادل از طرف خداوند را پذیرا باشند، مورد عفو و اغماض من می‌باشند، اگرچه خود ایشان ستمکار و بدرفتار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شگفتا از غزالی و جمهور علمای مذاهب سنّی که چشم بر علت العلل مفاسد و منکرات و ستم‌ها می‌پوشند و نهی از منکر را در تمامی مراتب و درجات در آن مرحله نمی‌پذیرند، ولی به سراغ امور جزئی و کوچک و گناهان احیاناً پراکنده می‌پردازند و از گناه اصلی سازمان‌یافته و ساختاری که همۀ جامعه را در منجلاب خود فرو می‌برد، چشم‌پوشی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اگرچه به گفتۀ مرحوم فیض کاشانی در مقدمۀ کتاب محجّة البیضاء در اواخر عمر خویش، در کتاب خود با نام سرّ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ابن‌جوزی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متشّیع امامی شده است،</w:t>
      </w:r>
      <w:r>
        <w:rPr>
          <w:rStyle w:val="FootnoteAnchor"/>
          <w:rtl w:val="true"/>
        </w:rPr>
        <w:footnoteReference w:id="133"/>
      </w:r>
      <w:r>
        <w:rPr>
          <w:rFonts w:ascii="IRNazanin" w:hAnsi="IRNazanin" w:eastAsia="IRNazanin"/>
          <w:color w:val="111111"/>
          <w:sz w:val="28"/>
          <w:sz w:val="28"/>
          <w:szCs w:val="28"/>
          <w:rtl w:val="true"/>
          <w:lang w:bidi="fa-IR"/>
        </w:rPr>
        <w:t>ولی ازآنجاکه در زمان نگارش احیاء العلوم، عامّی مذهب بوده و بر اساس اصول عقیدتی و اندیشۀ سنّیان مشی کرده است، در امر به معروف هم همین مسیر را طی کرده است و در حقیقت در بزنگاه اصلی امر به معروف و نهی از منکر که نهی از منکر حاکمان باشد، همان مسیر تسلیم و رضا و پذیرش حاکمیت حاکمان ظلم و جور را ادامه می‌دهد و مشروعیت حاکمیت آنها را ولو از طریق تغلّب و تکیه بر قوّۀ قاهره و شمشیر باشد، 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درجات هشت‌گانۀ نهی از منکر تنها آگاه کردن و نصیحت کردن جایز است ولی اعمال خشونت و قدرت و سخن درشت گفتن که سبب آزار دیگران می‌شود جایز نیست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تهدید به خشونت و اقدام علیه حاکم جور و فاسد و قیام و انقلاب علیه منکرات دستگاه ظلم و جور جایز نیست، چون به فتنه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استدلال سایر </w:t>
      </w:r>
    </w:p>
    <w:p>
      <w:pPr>
        <w:pStyle w:val="BookText"/>
        <w:rPr/>
      </w:pPr>
      <w:r>
        <w:rPr>
          <w:rFonts w:ascii="IRNazanin" w:hAnsi="IRNazanin" w:eastAsia="IRNazanin"/>
          <w:color w:val="111111"/>
          <w:sz w:val="28"/>
          <w:sz w:val="28"/>
          <w:szCs w:val="28"/>
          <w:rtl w:val="true"/>
          <w:lang w:bidi="fa-IR"/>
        </w:rPr>
        <w:t>هم‌مذهبان سنی اوست که همواره به بهانۀ حفظ امنیت، عدالت را به مسلخ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فیض کاشانی هم تذکر می‌دهد، درصورتی‌که نهی از منکر موجب اذلال نفس شود، جایز نیست و آدمی نباید، متعرض کاری شود که در طاقت و توان او نیست؛</w:t>
      </w:r>
      <w:r>
        <w:rPr>
          <w:rStyle w:val="FootnoteAnchor"/>
          <w:rtl w:val="true"/>
        </w:rPr>
        <w:footnoteReference w:id="135"/>
      </w:r>
      <w:r>
        <w:rPr>
          <w:rFonts w:ascii="IRNazanin" w:hAnsi="IRNazanin" w:eastAsia="IRNazanin"/>
          <w:color w:val="111111"/>
          <w:sz w:val="28"/>
          <w:sz w:val="28"/>
          <w:szCs w:val="28"/>
          <w:rtl w:val="true"/>
          <w:lang w:bidi="fa-IR"/>
        </w:rPr>
        <w:t>ولی این شرط در صورتی رعایت آن لازم است که مصلحت اهمی در میان نباشد، لکن اگر خطر عظیمی برای اسلام و مسلمانان مطرح است، معروف و منکر از اموری است که شارع مقدس نسبت به آنها اهتمام ویژه دارد مثل حفظ جان گروهی از مسلمانان و جلوگیری از هتک نوامیس آنها و یا بازداشتن از محو آثار اسلامی و نابودی حجّت آن که موجب گمراهی مسلمانان و محو شعائر اسلامی می‌شود همچون از بین رفتن بیت‌الله الحرام و مانند آن که در این موارد با لحاظ قانون اهم و مهمّ اقدام می‌شود و ضرر و حرج و مانند آن رفع تکلیف نمی‌کند و چنانچه نیاز به بذل جان و جان‌هایی باشد باید اقدام 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بنابراین اندیشه و رأی غزالی، عین تسلیم و رضا به وضع موجود و عدم اقدام علیه آن است و در واقع احیاء العلومی را که او به دنبالش بوده است، با نابودی و میراندن همراه خواهد کرد؛ ازاین‌رو مایکل کوک که همواره مایل است اندیشۀ تسلیم و رضا را به امامیه اسناد دهد، به نظر می‌رسد، اسنادی برخلاف معاییر علمی و به دور از تأمّل و دقّت محققانه است و آن را به غزالی لازم است نسبت دهد و به جای آنکه مشعف و معجب از کار او می‌شد، باید به نقد کار او می‌پرداخت؛ چون بر اساس اندیشۀ اسلامی و منابع کتاب و سنت، نمی‌توان در برابر ضررهای عظیمی که هویت اسلامی و کیان مسلمانان را تهدید می‌کند، دست از نهی از منکر و امر به معروف برداشت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خطبۀ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که به آن اشاره شد، آن حضرت به مسئلۀ نهی از منکر در قبال حاکم جور، اشاره می‌کند</w:t>
      </w:r>
      <w:r>
        <w:rPr>
          <w:rStyle w:val="FootnoteAnchor"/>
          <w:rtl w:val="true"/>
        </w:rPr>
        <w:footnoteReference w:id="137"/>
      </w:r>
      <w:r>
        <w:rPr>
          <w:rFonts w:ascii="IRNazanin" w:hAnsi="IRNazanin" w:eastAsia="IRNazanin"/>
          <w:color w:val="111111"/>
          <w:sz w:val="28"/>
          <w:sz w:val="28"/>
          <w:szCs w:val="28"/>
          <w:rtl w:val="true"/>
          <w:lang w:bidi="fa-IR"/>
        </w:rPr>
        <w:t xml:space="preserve">و بزرگان اسلام را که در آن زمان </w:t>
      </w:r>
    </w:p>
    <w:p>
      <w:pPr>
        <w:pStyle w:val="BookText"/>
        <w:rPr/>
      </w:pPr>
      <w:r>
        <w:rPr>
          <w:rFonts w:ascii="IRNazanin" w:hAnsi="IRNazanin" w:eastAsia="IRNazanin"/>
          <w:color w:val="111111"/>
          <w:sz w:val="28"/>
          <w:sz w:val="28"/>
          <w:szCs w:val="28"/>
          <w:rtl w:val="true"/>
          <w:lang w:bidi="fa-IR"/>
        </w:rPr>
        <w:t>صحابه و تابعین بوده‌اند با استشهاد به آیۀ شریفه قرآن به باد انتقاد می‌گیرند؛ آنجا که قرآن کریم،عالمان دینی یهود و احبار را به سبب ترک نهی از منکر مورد مذمّت و نکوهش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يَنْهَاهُمْ الرَّبَّانِيُّونَ وَالْأَحْبَارُ عَنْ قَوْلِهِم الْإِثْمَ</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و آنها را ملعون بر زبان داوود و عیسی‌بن‌مریم می‌داند که نهی از منکر نکردند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دَاوُودَ وَعِيسَى ابن‌مَرْيَمَ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وجه نکوهش علمای یهود را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کانوا یرون من الظلمة الذین بین اظهرهم المنکر و الفساد فلا ینهونهم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آنان مشاهده می‌کردند، ستمکاران میان خود را که منکر و فساد را مرتکب می‌شدند و آنها را نهی نمی‌کردند یا به‌خاطر طمع در داشته‌های آنها و یا به جهت ترس از تهدید آنان؛ درحالی‌که وظیفۀ آنان امر به معروف و نهی از منکر بود، چون با فریضۀ امر به معروف و نهی از منکر است که اگر اقامه شود و انجام پذیرد، تمامی فرائض دیگر، هموار یا دشوار،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دعوت به اسلام، برگشت دهندۀ مظالم، مخالفت با ستمگران، تقسیم عادلانۀ اموال عمومی و بیت‌المال و غنائم و گرفتن زکات و صرف هر یک در جای خودش است و عدالت اقتصادی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این آیات و روایات و مبانی امامیه، برخلاف آنچه در مذهب سنّیان تقریباً اجماعی است، باید در حد امکان در برابر ظالم و ستمگر با وجود شرایط ایستاد و به نهی از منکر پرداخت و صرف وعظ و نصیحت کافی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 کوک در پاورقی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کاربردهای فعل احتسب از نظر لغوی به معنای سرزنش كردن كسی برای انجام كاری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واحتسب عليه كذا اذا انكره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کاربرد ممکن است منحصر به علم لغت باشد؛</w:t>
      </w:r>
      <w:r>
        <w:rPr>
          <w:rStyle w:val="FootnoteAnchor"/>
          <w:rtl w:val="true"/>
        </w:rPr>
        <w:footnoteReference w:id="140"/>
      </w:r>
      <w:r>
        <w:rPr>
          <w:rFonts w:ascii="IRNazanin" w:hAnsi="IRNazanin" w:eastAsia="IRNazanin"/>
          <w:color w:val="111111"/>
          <w:sz w:val="28"/>
          <w:sz w:val="28"/>
          <w:szCs w:val="28"/>
          <w:rtl w:val="true"/>
          <w:lang w:bidi="fa-IR"/>
        </w:rPr>
        <w:t xml:space="preserve">ولی به‌نظر می‌رسد این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و برداشتی که در پاورقی ذکر کرده است،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چون احتسب با علی متعدی شده به معنای سرزنش دیگران است، شاید همچنان به همان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گزینش واژۀ حسبه به جای امر به معروف و نهی از منکر چندان مناسب نیست، همچنین اینکه مایکلکوک هم حسبه را به معنای به حساب خدا گذاشتن و برای کسب رضای او کاری را انجام دادن تفسیر می‌کند، این علم با مصطلح حسبه سازگار نیست و حق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مصطلحی بوده که به ادارۀ حسبه اطلاق می‌شده است و محتسب کسی بوده است که در ادارۀ حسبه اشتغال داشته و مأمور اجرای قانون و جلوگیری از تخلف از مقررات بوده است، شبیه به آنچه پلیس نیروی انتظامی انجام می‌دهد و لذا در میان علمای عامّه ولایت حسبه وجود داشته است و در کتب خویش به احکام آن اشاره کرده‌اند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حسبه به این اصطلاح اگرچه به امر معروف هم پرداخته می‌شود، ولی نمی‌توان امر به معروف را که واجب همگانی است، به حسبه منحصر کرد و این کار غزالی موجب می‌شود که چنین واجب مهمی، درحقیقت در دست دولت و حاکمان گرفتار آید و خاصیت واقعی خود را ازدست بدهد، چنانچه در دولت‌های سنّی مثل عباسیه و عثمانی و آل سعود چنین سرنوشتی را پیدا کرد؛ درحالی‌که این فریضه باید به‌عنوان عنصر ناظر مردمی بتواند کار حاکمیت را به نقد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نگاه غزالی به امر به معروف، نگاهی حداقلی است و به فروکاستن این فریضه و خاموش شدن شعلۀ آن می‌انجامد، چون گویا این فریضه را از بالا می‌بیند که تنها دولت و حاکمیت به انجام آن می‌پردازد و با آن مردم را تحت کنترل خود درمی‌آورد؛ درحالی‌که این نقش در نگاه خوش‌بینانه ثلث نقش آن است و مهم‌تر از آن نگاه عکس است، یعنی نهی از منکر حاکمیت توسط مردم برای جلوگیری از سوء استفاده از قدرت و در نگاه غزالی از نقش تقریباً به نابودی کشانده می‌شود؛ ولی متأسفانه از مایکل کوک به این مباحث کلیدی در نقد غزالی اشاره نمی‌کند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8666_122738"/>
      <w:bookmarkStart w:id="631" w:name="pg8666_122738"/>
      <w:bookmarkEnd w:id="631"/>
    </w:p>
    <w:p>
      <w:pPr>
        <w:pStyle w:val="Heading3"/>
        <w:numPr>
          <w:ilvl w:val="2"/>
          <w:numId w:val="1"/>
        </w:numPr>
        <w:rPr/>
      </w:pPr>
      <w:bookmarkStart w:id="632" w:name="pg8666_122738"/>
      <w:bookmarkStart w:id="633" w:name="__RefHeading___Toc2419930_653776707"/>
      <w:bookmarkStart w:id="634" w:name="_Toc245"/>
      <w:bookmarkEnd w:id="632"/>
      <w:bookmarkEnd w:id="633"/>
      <w:r>
        <w:rPr>
          <w:rtl w:val="true"/>
        </w:rPr>
        <w:t>گزارش و ارزیابی پیوست فصل شانزدهم</w:t>
      </w:r>
      <w:r>
        <w:rPr>
          <w:rtl w:val="true"/>
        </w:rPr>
        <w:t xml:space="preserve">: </w:t>
      </w:r>
      <w:r>
        <w:rPr>
          <w:rtl w:val="true"/>
        </w:rPr>
        <w:t>صوفیان</w:t>
      </w:r>
      <w:bookmarkEnd w:id="634"/>
    </w:p>
    <w:p>
      <w:pPr>
        <w:pStyle w:val="Heading4"/>
        <w:numPr>
          <w:ilvl w:val="3"/>
          <w:numId w:val="1"/>
        </w:numPr>
        <w:rPr/>
      </w:pPr>
      <w:bookmarkStart w:id="635" w:name="__RefHeading___Toc2419932_653776707"/>
      <w:bookmarkStart w:id="636" w:name="_Toc246"/>
      <w:bookmarkEnd w:id="635"/>
      <w:r>
        <w:rPr>
          <w:rtl w:val="true"/>
        </w:rPr>
        <w:t>الف</w:t>
      </w:r>
      <w:r>
        <w:rPr>
          <w:rtl w:val="true"/>
        </w:rPr>
        <w:t xml:space="preserve">) </w:t>
      </w:r>
      <w:r>
        <w:rPr>
          <w:rtl w:val="true"/>
        </w:rPr>
        <w:t>گزارش</w:t>
      </w:r>
      <w:bookmarkEnd w:id="636"/>
    </w:p>
    <w:p>
      <w:pPr>
        <w:pStyle w:val="BookText"/>
        <w:rPr/>
      </w:pPr>
      <w:r>
        <w:rPr>
          <w:rFonts w:ascii="IRNazanin" w:hAnsi="IRNazanin" w:eastAsia="IRNazanin"/>
          <w:color w:val="111111"/>
          <w:sz w:val="28"/>
          <w:sz w:val="28"/>
          <w:szCs w:val="28"/>
          <w:rtl w:val="true"/>
          <w:lang w:bidi="fa-IR"/>
        </w:rPr>
        <w:t>مایکل کوک در پیوست فصل شانزدهم، از صوفیان بحث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او اگرچه غزالی یک صوفی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صوفیه قابل مقایسه با فرق و مکتب‌هایی که در فصل‌های پیشین از آنها سخن به میان آمد،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نماینده‌ای از حوزۀ پارسایی هستند که رکن اصلی آن قوانین شرعی و سیاسی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امری تشکیکی است که از زهد و پارسایی تا عرفان مبتنی بر ایمان، نه عمل و از تسلیم و رضای سیاسی خفت‌بار تا عمل‌گرایی سیاسی بی‌رحم و خشن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نهی از منکر، هیچ‌یک از دو راه شرع و سیاست از اجزای اصلی تصوف نیست؛ ازاین‌رو جست‌وجوی نظریه تصوف در باب نهی از منکر، کاری بی‌نتیجه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صوفیانی هستند که به نهی از منکر توجه دارند، مثل غزالی، ولی این ربطی به تصوّف ندارد؛ اگرچه در تضادّ با آن هم نیست، چون صوفیانی وجود دارند که از نهی از منکر می‌گویند یا به آن عمل می‌کنند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صوفیان دو نکته را در مورد نهی از منکر ذکر می‌کنند؛ یکی روان‌شناختی زاهدانه است که می‌گویند نهی از منکر می‌تواند نوعی ایثارگری بزرگ باشد و درعین‌حال می‌تواند تبدیل به </w:t>
      </w:r>
    </w:p>
    <w:p>
      <w:pPr>
        <w:pStyle w:val="BookText"/>
        <w:rPr/>
      </w:pPr>
      <w:r>
        <w:rPr>
          <w:rFonts w:ascii="IRNazanin" w:hAnsi="IRNazanin" w:eastAsia="IRNazanin"/>
          <w:color w:val="111111"/>
          <w:sz w:val="28"/>
          <w:sz w:val="28"/>
          <w:szCs w:val="28"/>
          <w:rtl w:val="true"/>
          <w:lang w:bidi="fa-IR"/>
        </w:rPr>
        <w:t>نوعی خودپرستی شود؛ لذا برخی از صوفیان یادآوری می‌کنند که از شرایط نهی از منکر، این است که نباید مشتمل بر پیروی از هوای نفس باشد و در این مورد داستان‌هایی را نقل می‌کنند که به‌خاطر ترس از هوای نفس، ترک نهی از منکر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دیگر صوفیان در نهی از منکر که ویژۀ خود آنان است، استفاده از قدرت روحی خود برای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مبتولی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صوفی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بادست مخصوص حاکمان است که مجازات می‌کنند و خود مجازات نمی‌شوند و کار با زبان مخصوص عالمان است که به آنچه می‌گویند، عمل می‌کنند و کار با دل مخصوص عارفان است که با سرزنش نفس خود مانع از نهی دیگران می‌شوند و این اقدام بر ضد منکر به معنای واقعی آن است و دراین‌باره داستان‌هایی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صوفیه کسانی هم وجود دارند که با نهی از منکر تا حدودی مخالف‌اند، مانند سهل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بپرهیزید از نهی از منکر، زمانی که حاکم ظلم می‌کند یا قاضی رشوه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سهل این است که برعوام نیست که حاکمان و عالمان را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به نام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کسی که گناه آشکار می‌بیند، باید خود را به نقش خویش مشغول کند و اصلاح منکر وظیفۀ عینی حاکمان است و پند و اندرز وظیفۀ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حاکم را باید با نرمی و خلوص نهی از منکر نمود، به شرط خلوت و رفیقان را با اندرز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نکردن گناه مؤمن بهتر از سرزنش او در میان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یک نوع اختلاف در این مورد دیده می‌شود؛ ولی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کوک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این نوع دید، سرانجام به نوعی اباحه‌گری منجر شود؛ چون نهی از منکر موضوعی ظاهری و یک نوع زهد خشک است که مغایر با ارزش‌های معنوی است و از دیدگاه اباحه‌گری، گناهی وجود ندارد تا نهی از منکر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محیی‌الدین ابن‌عربی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نامی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عارفان اولوا الاستقامة و رهروان طریقت‌اند، چون غیر عارف، معروف را نمی‌شناسد و ممکن است به‌اشتباه نهی از منکر نماید پس این، کار هرکس </w:t>
      </w:r>
      <w:bookmarkStart w:id="637" w:name="pg8666_122743"/>
    </w:p>
    <w:p>
      <w:pPr>
        <w:pStyle w:val="BookText"/>
        <w:rPr/>
      </w:pPr>
      <w:bookmarkEnd w:id="63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کسی است که به انزوا به‌سربرد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فی مقام الجمع واحتجب بالحق عن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این سؤال را مطرح می‌کند که اگر عارفی از راه کشف و عرفان فهمید که کسی گناهکار است، آیا می‌تواند او را نهی از منکر کند؟ وی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کشف سبب خاموشی نور شرع نمی‌شود و باید نهی از 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خطای مردم با عین التوحید که دید عرفانی است و با امر کردن مردم به معروف، تناقض ندارد؛ چون اولاً نهی از منکر مربوط به آینده است و ثانیاً امر به معروف مربوط به شریعت ظاهر و عرفان مربوط به حقیقت باطن است و بین آن دوهیچ‌گونه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ابن‌عبّاد رندی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خود را در اینجا با بیان تعجب به پایان می‌برد که مخاطبانش نتوانسته‌اند چنین مطلبی روشنی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صوفیان کسانی هستند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مربوط به مراتب پایین از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بدعت‌گذاران که ملاحده نامیده می‌شوند، قائل به صلح‌الکل هستند، مانند این شعر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 در پی آزار و هرچه خواهی کن که در شریعت ما غیر از این گناهی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تعرّض الخلق واذائهم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ویژگی‌های محیط هندی بود که صلح‌الکل و روابط دوستانه را بر هرچیزی مقدم می‌داشتند و در هندوستان در دوران مغول،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عصمت‌الله سهارنپور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صلح‌الکل را ردّ و این‌گونه نگاه عرفانی را مخالف صریح قرآن و نظریه علما دانسته و می‌گوید اگر چنین بود، آمدن پیامبران و نسخ شرایع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همه‌شان نوعی گرفتاری و دردسر به حساب می‌آیند، بیهوده می‌بود و اگر رهاکردن مردم به حال خودش ستودنی بود، دیگر نهی از منکر وظیفۀ دینی نخواهد بود</w:t>
      </w:r>
      <w:r>
        <w:rPr>
          <w:rFonts w:eastAsia="IRNazanin" w:cs="IRNazanin"/>
          <w:color w:val="111111"/>
          <w:sz w:val="28"/>
          <w:szCs w:val="28"/>
          <w:rtl w:val="true"/>
          <w:lang w:bidi="fa-IR"/>
        </w:rPr>
        <w:t>.</w:t>
      </w:r>
    </w:p>
    <w:p>
      <w:pPr>
        <w:pStyle w:val="Heading4"/>
        <w:numPr>
          <w:ilvl w:val="3"/>
          <w:numId w:val="1"/>
        </w:numPr>
        <w:rPr/>
      </w:pPr>
      <w:bookmarkStart w:id="638" w:name="__RefHeading___Toc2419934_653776707"/>
      <w:bookmarkStart w:id="639" w:name="_Toc247"/>
      <w:bookmarkEnd w:id="638"/>
      <w:r>
        <w:rPr>
          <w:rtl w:val="true"/>
        </w:rPr>
        <w:t>ب</w:t>
      </w:r>
      <w:r>
        <w:rPr>
          <w:rtl w:val="true"/>
        </w:rPr>
        <w:t xml:space="preserve">) </w:t>
      </w:r>
      <w:r>
        <w:rPr>
          <w:rtl w:val="true"/>
        </w:rPr>
        <w:t>ارزیابی</w:t>
      </w:r>
      <w:bookmarkEnd w:id="6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را مایکل که در پیوست فصل شانزدهم در مورد دیدگاه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بسیاری از آنها نیازمند نقد جدّی به مسلک آنان است که از حوصله و فرصت این نوشتار مختصر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یک نکته در پایان اشاره می‌شود و آن اینکه چنانچه </w:t>
      </w:r>
    </w:p>
    <w:p>
      <w:pPr>
        <w:pStyle w:val="BookText"/>
        <w:rPr/>
      </w:pPr>
      <w:r>
        <w:rPr>
          <w:rFonts w:ascii="IRNazanin" w:hAnsi="IRNazanin" w:eastAsia="IRNazanin"/>
          <w:color w:val="111111"/>
          <w:sz w:val="28"/>
          <w:sz w:val="28"/>
          <w:szCs w:val="28"/>
          <w:rtl w:val="true"/>
          <w:lang w:bidi="fa-IR"/>
        </w:rPr>
        <w:t xml:space="preserve">مایکل کوک هم انتظار دارد، اندیشۀ صوفی‌گری، به اباحه‌گری منجر می‌شود و اساس دین از جمله نهی از منکر را با مخاطرۀ جدّی روبه‌رو می‌کند و ازاین‌رو کسانی که در مقام براندازی اندیشۀ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برخی از 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برآمده‌اند، یکی از راه‌های نفوذ و رشد کار آنها ترویج و حمایت از صوفی‌گری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به‌عنوان زنگ خطری در برابر اندیشۀ اسلامی می‌باشد، چون جامعه را به نوعی لاابالی‌گری و از بین بردن حساسیت‌های ارزشی سوق می‌دهد و در خدمت اومانیزم، لیبرالیزم و پلورالیزم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آفتی در برابر حقایق معارف وحیانیمحسوب می‌شوند و به امپریالیزم و سرمایه‌داری کمک می‌کنند و عدالت را به مسلخ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می‌گیرد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این میان باید تفاوت قائل شد میان منحرفان صوفیه و مسئله عرفان حقیقی و اصیل که در اندیشۀ پیوند حقیقت و باطن دین با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میان ظاهر و باطن اسلام رابطه می‌بینند و به هر دو ملتزم‌اند و معتقدند هیچ یک فدای دیگری نمی‌شود، آنها راهشان راه دیگری غیر از صوفیۀ منحرف است و این دو نباید با یکدیگر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امور در جای خود شرح داده شده است</w:t>
      </w:r>
      <w:r>
        <w:rPr>
          <w:rFonts w:eastAsia="IRNazanin" w:cs="IRNazanin"/>
          <w:color w:val="111111"/>
          <w:sz w:val="28"/>
          <w:szCs w:val="28"/>
          <w:rtl w:val="true"/>
          <w:lang w:bidi="fa-IR"/>
        </w:rPr>
        <w:t>.</w:t>
      </w:r>
      <w:r>
        <w:rPr>
          <w:rStyle w:val="FootnoteAnchor"/>
          <w:rtl w:val="true"/>
        </w:rPr>
        <w:footnoteReference w:id="142"/>
      </w:r>
      <w:bookmarkStart w:id="640" w:name="pg8666_122749"/>
    </w:p>
    <w:p>
      <w:pPr>
        <w:pStyle w:val="Heading3"/>
        <w:numPr>
          <w:ilvl w:val="2"/>
          <w:numId w:val="1"/>
        </w:numPr>
        <w:rPr/>
      </w:pPr>
      <w:bookmarkStart w:id="641" w:name="__RefHeading___Toc2419936_653776707"/>
      <w:bookmarkStart w:id="642" w:name="_Toc248"/>
      <w:bookmarkEnd w:id="640"/>
      <w:bookmarkEnd w:id="641"/>
      <w:r>
        <w:rPr>
          <w:rtl w:val="true"/>
        </w:rPr>
        <w:t>گزارش و ارزیابی فصل هفدهم</w:t>
      </w:r>
      <w:r>
        <w:rPr>
          <w:rtl w:val="true"/>
        </w:rPr>
        <w:t xml:space="preserve">: </w:t>
      </w:r>
      <w:r>
        <w:rPr>
          <w:rtl w:val="true"/>
        </w:rPr>
        <w:t>بازنگری اسلام نخستین</w:t>
      </w:r>
      <w:bookmarkEnd w:id="642"/>
    </w:p>
    <w:p>
      <w:pPr>
        <w:pStyle w:val="Heading4"/>
        <w:numPr>
          <w:ilvl w:val="3"/>
          <w:numId w:val="1"/>
        </w:numPr>
        <w:rPr/>
      </w:pPr>
      <w:bookmarkStart w:id="643" w:name="__RefHeading___Toc2419938_653776707"/>
      <w:bookmarkStart w:id="644" w:name="_Toc249"/>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گزارش و ارزیابی 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اسلام نخستین</w:t>
      </w:r>
      <w:r>
        <w:rPr>
          <w:rStyle w:val="FootnoteAnchor"/>
          <w:rtl w:val="true"/>
        </w:rPr>
        <w:footnoteReference w:id="143"/>
      </w:r>
    </w:p>
    <w:p>
      <w:pPr>
        <w:pStyle w:val="Heading4"/>
        <w:numPr>
          <w:ilvl w:val="3"/>
          <w:numId w:val="1"/>
        </w:numPr>
        <w:rPr/>
      </w:pPr>
      <w:bookmarkStart w:id="645" w:name="__RefHeading___Toc2419940_653776707"/>
      <w:bookmarkStart w:id="646" w:name="_Toc250"/>
      <w:bookmarkEnd w:id="645"/>
      <w:r>
        <w:rPr>
          <w:rtl w:val="true"/>
        </w:rPr>
        <w:t>الف</w:t>
      </w:r>
      <w:r>
        <w:rPr>
          <w:rtl w:val="true"/>
        </w:rPr>
        <w:t xml:space="preserve">) </w:t>
      </w:r>
      <w:r>
        <w:rPr>
          <w:rtl w:val="true"/>
        </w:rPr>
        <w:t>گزارش</w:t>
      </w:r>
      <w:bookmarkEnd w:id="646"/>
    </w:p>
    <w:p>
      <w:pPr>
        <w:pStyle w:val="Heading5"/>
        <w:numPr>
          <w:ilvl w:val="4"/>
          <w:numId w:val="1"/>
        </w:numPr>
        <w:rPr/>
      </w:pPr>
      <w:bookmarkStart w:id="647" w:name="__RefHeading___Toc2419942_653776707"/>
      <w:bookmarkStart w:id="648" w:name="_Toc251"/>
      <w:bookmarkEnd w:id="647"/>
      <w:r>
        <w:rPr/>
        <w:t>1</w:t>
      </w:r>
      <w:r>
        <w:rPr>
          <w:rtl w:val="true"/>
        </w:rPr>
        <w:t xml:space="preserve">. </w:t>
      </w:r>
      <w:r>
        <w:rPr>
          <w:rtl w:val="true"/>
        </w:rPr>
        <w:t>مقدمه</w:t>
      </w:r>
      <w:r>
        <w:rPr>
          <w:rtl w:val="true"/>
        </w:rPr>
        <w:t xml:space="preserve">: </w:t>
      </w:r>
      <w:r>
        <w:rPr>
          <w:rtl w:val="true"/>
        </w:rPr>
        <w:t>چیستی دوره‌های اولیه اسلام؛ از شکل‌گیری دین تا شروع تغییرات مصیبت‌بار تحت تأثیر غرب</w:t>
      </w:r>
      <w:bookmarkEnd w:id="64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کوک بعد از بیان نهی از منکر در عقاید هریک از فرقه‌های اسلامی، در فصل هفدهم به بازنگری کلی در تاریخ نهی از منکر می‌پردازد و هدفش را این‌گونه بیان می‌کند که گستردگی موضوع و دامنه مطالبی كه اين بحث را دربر دارد، ممكن است موجب شود خواننده در پيچ و خم جزئيات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بدين‌سبب يكی از هدف‌های فصل حاضر اين است كه موضوعات پراكنده‌ای را كه در اينجا و آنجا در فصل‌های پيشين آمده است، گردهم آورد و به شرح و بسط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اين كار سعی بر اين نخواهد بود كه شرحی يكنواخت از آموزه‌های كلامی نهی از منكر كه پيشتر مورد بررسی قرار گرفته است، در اينجا بيان كند، بلكه به بازشناسی تعدادی از موضوعاتی پرداخته می‌شود كه دارای اهميّت </w:t>
      </w:r>
      <w:bookmarkStart w:id="649" w:name="pg8666_122752"/>
    </w:p>
    <w:p>
      <w:pPr>
        <w:pStyle w:val="BookText"/>
        <w:rPr/>
      </w:pPr>
      <w:bookmarkEnd w:id="649"/>
      <w:r>
        <w:rPr>
          <w:rFonts w:ascii="IRNazanin" w:hAnsi="IRNazanin" w:eastAsia="IRNazanin"/>
          <w:color w:val="111111"/>
          <w:sz w:val="28"/>
          <w:sz w:val="28"/>
          <w:szCs w:val="28"/>
          <w:rtl w:val="true"/>
          <w:lang w:bidi="fa-IR"/>
        </w:rPr>
        <w:t>تاريخی خاصی‌اند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سعی خواهد شد، به بازبينی تمامی پديده نهی از منكر در دوره‌های اوليه اسلامی پرداخته شود و از منظر خاصی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دوره‌های اوليه اسلامی؛ دوره‌ای است بين شكل گيری اين دين آن‌چنان كه ما از آن آگاهی داريم و شروع تغييرات مصيبت‌باری كه تحت تأثير غرب در آن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مربوط به فضای عمومی جامعه است و مربوط به دو حصار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و قصرهای حاکمان و حکمرانان که در درون آن زندگی می‌کنند؛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 کوچک و خانه‌های مردم که قلمرو شخصی عامۀ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حاکمان و هم عامۀ مردم در بازار دچار وسوسه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حکومت، وسوسۀ براندازی موجود است و حاکمان باید برای استحکام وجودی خویش بکوشند و در میان عامۀ مردم نیز حق زندگی خصوصی مهم است و در مجموع انگیزۀ مزاحمت قوی‌تر از وسوسه براندازی است</w:t>
      </w:r>
      <w:r>
        <w:rPr>
          <w:rFonts w:eastAsia="IRNazanin" w:cs="IRNazanin"/>
          <w:color w:val="111111"/>
          <w:sz w:val="28"/>
          <w:szCs w:val="28"/>
          <w:rtl w:val="true"/>
          <w:lang w:bidi="fa-IR"/>
        </w:rPr>
        <w:t>.</w:t>
      </w:r>
    </w:p>
    <w:p>
      <w:pPr>
        <w:pStyle w:val="Heading5"/>
        <w:numPr>
          <w:ilvl w:val="4"/>
          <w:numId w:val="1"/>
        </w:numPr>
        <w:rPr/>
      </w:pPr>
      <w:bookmarkStart w:id="650" w:name="__RefHeading___Toc2419944_653776707"/>
      <w:bookmarkStart w:id="651" w:name="_Toc252"/>
      <w:bookmarkEnd w:id="650"/>
      <w:r>
        <w:rPr/>
        <w:t>2</w:t>
      </w:r>
      <w:r>
        <w:rPr>
          <w:rtl w:val="true"/>
        </w:rPr>
        <w:t xml:space="preserve">. </w:t>
      </w:r>
      <w:r>
        <w:rPr>
          <w:rtl w:val="true"/>
        </w:rPr>
        <w:t>سیاست نهی از منکر</w:t>
      </w:r>
      <w:bookmarkEnd w:id="651"/>
    </w:p>
    <w:p>
      <w:pPr>
        <w:pStyle w:val="BookText"/>
        <w:rPr/>
      </w:pPr>
      <w:r>
        <w:rPr>
          <w:rFonts w:ascii="IRNazanin" w:hAnsi="IRNazanin" w:eastAsia="IRNazanin"/>
          <w:color w:val="111111"/>
          <w:sz w:val="28"/>
          <w:sz w:val="28"/>
          <w:szCs w:val="28"/>
          <w:rtl w:val="true"/>
          <w:lang w:bidi="fa-IR"/>
        </w:rPr>
        <w:t>در مذاهبی مانند زیدیه، امامیه و اسماعیلیه که امامت در آن پررنگ‌تر است، خود حکومت نهی از منکر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خلفای اهل سنت نیز نهی از منکر می‌کردند، مثلاً منصور خودش نهی از منکر می‌کرد یا مهدی عباسی در زیر قبه‌ای که برای خود ساخته بود، نشسته و مردم را نهی از منکر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اباضیه نیز گروهی برای این کار به نام شراة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دولت دوم و سوم سعودی یکی از کارهای مهمشان نهی از منکر بود و همین طور در بین برخی از حکومت سنّیان در برخی از منابع آمده بود که برای حاکم نهی از منکر از به‌جا آوردن مستحبات مهم‌تر است و در کل وظیفه ذاتی برای حکومت را نهی از منکر می‌دانستند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وظیفه مربوط به حکومت است، ولی منحصر به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حکومت مشغول این کارند، محتسب گفته می‌شد و در بین اسماعیلیان به آنها داعیان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و مدرسی می‌نویسد که رعیتی گوشه‌گیر با اجازۀ حاکم نهی از منکر می‌کردند یا حکومت کسانی را برای نهی از منکر تعیین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برای ناهیان از منکر حکومتی این است که این وظیفه را یک وظیفه‌ای انحصاری دانسته و برای دیگران حق دخالت ندهند و حکومت خود نیز خودکامه شده و به فساد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که عبدالملک اولین کسی است که نهی از منکر را منع کرد و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خطبۀ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او امر کند گردن او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و حجّاج به نهی از منکر توسط مردم پایان دادند و هرکس را که به این کار پرداخت، زدند و یا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مأمون کسی را که عالم نبود، از نهی از منکر منع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مهم‌تر حکومت نسبت به انحصار نهی از منکر به او، منکراتی است که خود حکومت مرتکب می‌شود؛ چون حکومت امکان منکر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علما در این رابطه چیست؟ چگونه در برابر حاکمان فاسد نقش ایفا می‌کردند؟ از یک طرف حکومت به روش‌های ظاهراً مطلوب و لازم به نهی از منکر می‌پرداخت و از طرف دیگر خود مرتکب منکراتی می‌شد که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علما همراه با حکومت بوده و اعلام همکاری کنند یا به مقابله با آن برخیزند؟</w:t>
      </w:r>
    </w:p>
    <w:p>
      <w:pPr>
        <w:pStyle w:val="BookText"/>
        <w:rPr/>
      </w:pPr>
      <w:r>
        <w:rPr>
          <w:rFonts w:ascii="IRNazanin" w:hAnsi="IRNazanin" w:eastAsia="IRNazanin"/>
          <w:color w:val="111111"/>
          <w:sz w:val="28"/>
          <w:sz w:val="28"/>
          <w:szCs w:val="28"/>
          <w:rtl w:val="true"/>
          <w:lang w:bidi="fa-IR"/>
        </w:rPr>
        <w:t>در مواجهه با حاکمان، دو تمایل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به‌خطرانداختن جان خود در هر حال، با سخن درشت و تند با حاکمان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معرکه بیرون می‌آمدند و بعضی دیگر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بزرگان و روایات و آثار پیشینیان حکایت از چنین امری داشته است و کشته شدگان در این راه را روایات به درجه شهید و بالاتر از آن می‌دانستند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هم هستند که نسبت به رویارویی با حکومت دید منفی دارند و معتقد به سازش و عدم‌رویارویی‌اند و اظهار می‌دارند که حکومت باید نقش اصلی را در نهی از منکر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مسلحانه به دوش حکومت گذاشته شود یا گفته می‌شود که تنها با اذن امام می‌توان به انجام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اسحاق‌بن‌وهب، کاتب امامی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زمام امور مردم عادی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رسم است که علما از امیر اجازه می‌گیرند که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که شراب می‌نوشیدند، حد نیز جاری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بقال بود، می‌پرسید شغل شما چیست؟ </w:t>
      </w:r>
    </w:p>
    <w:p>
      <w:pPr>
        <w:pStyle w:val="BookText"/>
        <w:rPr/>
      </w:pP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بقالی است؛، متهم به کم‌فروشی بود و مجازات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تقسیم کار به‌نظر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معمولاً با زبان باید نهی از منکر می‌کردند و اینکه در موارد معدودی حد می‌زدند، ولی باز هم اشتیاق داشتند که خود حکومت کارها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نظریه سازش و همکاری باحکومت ممکن است ناشی از مقتضیات زمان باشد و مورد تردید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نسبت به حکومت و سپردن نهی از منکر به دست آنان نظر مساعدی نداشتند؛ مثلاً در حین سخنرانی عبدالملک‌بن‌مروان که روی منبر نهی از منکر می‌کرد، یکی از نمازگزاران فریاد زد که خود او و اطرافیانش انجام نمی‌دهند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اولین خلیفه است که نهی از معروف و امر به منکر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این نظریه، نظریه رویارویی و مقابله نیز دیده می‌شود، مانند نظریات غزالی درباره تشکیل گروه مسلحانه برای نهی از منکر، سیره بزرگان تاریخ مسلمانان و روایات، از جمله روایت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الجهاد کلمة الحق عند امام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که نهی از منکر با وجود خطر مستحب است، اما اگر در این راه کشته شود شهید است، طرفداران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رأی، نظر منفی هم وجود دارد که معتقد است این‌گونه کارها مربوط به شجاعت است که صدر اسلام بود و در این زمان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بر این باشد که با حکومت در ارتباط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الإقلال من صحبة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رویارویی با حکومت نیز به دو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نرم و رویارویی خشن و به‌صورت شورش که نمونه‌های از آن دیده می‌شود؛ مانند فتنه جهم‌بن‌صفوان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دوران اموی، قیام یوسف البرم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مبرقع در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یا کسانی مانند ابن‌فروخ که شرط قیام را به تعداد یاوران پیامبر در جنگ بدر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ذکر شد، اباضیه، زیدیه و فرقه‌هایی از معتزله چنین نگرشی داشتند و می‌شود گفت که اکنون در آرای میراث امامیه این نظریه همچنان به جای مانده است، ولی به‌ندرت علمای سنّی سده‌های اخیر چنین نظری داشتند؛ از جمله ابن‌حزم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نظریه را بسط و شرح می‌کند که در برابر سلطان جائر نکوهش هرچند برای گناه کوچک به‌خاطر بی‌عدالتی‌اش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از گناه دست کشید و به کیفر تن داد </w:t>
      </w:r>
    </w:p>
    <w:p>
      <w:pPr>
        <w:pStyle w:val="BookText"/>
        <w:rPr/>
      </w:pPr>
      <w:r>
        <w:rPr>
          <w:rFonts w:ascii="IRNazanin" w:hAnsi="IRNazanin" w:eastAsia="IRNazanin"/>
          <w:color w:val="111111"/>
          <w:sz w:val="28"/>
          <w:sz w:val="28"/>
          <w:szCs w:val="28"/>
          <w:rtl w:val="true"/>
          <w:lang w:bidi="fa-IR"/>
        </w:rPr>
        <w:t>که هیچ، وگرنه باید خلع شده و کسی دیگر به جای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نظریه‌ای است که معمولاً در حلقه سنّیان تخطئه می‌شود و غالب اهل سنت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یکی از کسانی است که با استناد به ضررهای احتمالی، استلزام به آن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این فصل، مایکل سخنی دارد در مورد ابهام در مفهوم نهی از منکر که ضمن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نهی از منکر گاهی موجب تناقض می‌شود؛ درحالی‌که نهی از منکر می‌تواند پیام ادعای قیام برای رسیدن به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بهانه‌ای برای عدم‌مبارزه با دولت وقت باشد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برخی با شعار نهی از منکر می‌خواهند به قدرت برسند و نهی از منکر وسیله‌ای برای سیاست‌بازی‌ها و کسب قدرت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نهی از منکر را دلیل می‌گیرند برای عدم‌مخالفت آشکار با حکومت مانند امام یحیی حمیدالدین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دولت عثمانی نامه می‌نویسد و ادعای خودمختاری کرده، می‌گوید اجرای نهی از منکر را به ما واگذار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دیگر محمدبن‌علی ادریسی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اواخر دولت عثمانی، امارت عسیر را تأسیس کرد و بعداً ضمیمه دولت سعودی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خود را مصلح دین نشان می‌داد و اظهار می‌کرد که به دولت عثمانی وفادار است و نهی از منکر می‌کرد؛ اما بعداً به قدرت رسید و امارت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یمن نیز چنین اتفاقاتی رخ داده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چنین جمع‌بندی می‌شود که مسئلۀ اصلی این است که بر فرض توانایی حاکم، اولاً آیا خشونت در نهی از منکر را فقط برای او باید تفویض کرد یا مردم هم می‌توانند دخیل باشد؛ ثانیاً بر فرضی که حکومت متولی این کار شد، اما اگر خود مرتکب اعمال ناپسند و کارهای نیازمند نهی از منکر شد، نحوۀ برخورد با حکومت باید چگونه باشد؟ در مورد مسئلۀ اول یعنی انحصار خشونت برای دولت، دو رأی وجود دارد؛ تعدادی منحصر به حکومت می‌دانند و تعدادی هم مانند غزالی خشونت توسط مردم و تشکیل گروه‌های مسلح </w:t>
      </w:r>
      <w:bookmarkStart w:id="652" w:name="pg8666_122765"/>
    </w:p>
    <w:p>
      <w:pPr>
        <w:pStyle w:val="BookText"/>
        <w:rPr/>
      </w:pPr>
      <w:bookmarkEnd w:id="652"/>
      <w:r>
        <w:rPr>
          <w:rFonts w:ascii="IRNazanin" w:hAnsi="IRNazanin" w:eastAsia="IRNazanin"/>
          <w:color w:val="111111"/>
          <w:sz w:val="28"/>
          <w:sz w:val="28"/>
          <w:szCs w:val="28"/>
          <w:rtl w:val="true"/>
          <w:lang w:bidi="fa-IR"/>
        </w:rPr>
        <w:t>را جایز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مسئله دوم موضع شفافی وجود ندارد، اکثراً قائل به سرزنش حاکمان و امرا هستند، ولی شورش، براندازی و انقلاب را ممنوع می‌دانند</w:t>
      </w:r>
      <w:r>
        <w:rPr>
          <w:rFonts w:eastAsia="IRNazanin" w:cs="IRNazanin"/>
          <w:color w:val="111111"/>
          <w:sz w:val="28"/>
          <w:szCs w:val="28"/>
          <w:rtl w:val="true"/>
          <w:lang w:bidi="fa-IR"/>
        </w:rPr>
        <w:t>.</w:t>
      </w:r>
    </w:p>
    <w:p>
      <w:pPr>
        <w:pStyle w:val="Heading5"/>
        <w:numPr>
          <w:ilvl w:val="4"/>
          <w:numId w:val="1"/>
        </w:numPr>
        <w:rPr/>
      </w:pPr>
      <w:bookmarkStart w:id="653" w:name="__RefHeading___Toc2419946_653776707"/>
      <w:bookmarkStart w:id="654" w:name="_Toc253"/>
      <w:bookmarkEnd w:id="653"/>
      <w:r>
        <w:rPr/>
        <w:t>3</w:t>
      </w:r>
      <w:r>
        <w:rPr>
          <w:rtl w:val="true"/>
        </w:rPr>
        <w:t xml:space="preserve">. </w:t>
      </w:r>
      <w:r>
        <w:rPr>
          <w:rtl w:val="true"/>
        </w:rPr>
        <w:t>زندگی خصوصی و نهی از منکر</w:t>
      </w:r>
      <w:bookmarkEnd w:id="654"/>
    </w:p>
    <w:p>
      <w:pPr>
        <w:pStyle w:val="BookText"/>
        <w:rPr/>
      </w:pPr>
      <w:r>
        <w:rPr>
          <w:rFonts w:ascii="IRNazanin" w:hAnsi="IRNazanin" w:eastAsia="IRNazanin"/>
          <w:color w:val="111111"/>
          <w:sz w:val="28"/>
          <w:sz w:val="28"/>
          <w:szCs w:val="28"/>
          <w:rtl w:val="true"/>
          <w:lang w:bidi="fa-IR"/>
        </w:rPr>
        <w:t>زندگی خصوصی و نهی از منکر، تقابل دو ارزش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نهی از منکر و جلوگیری از کار بد ارزش و کار شایسته است؛ از طرف دیگر، ورود به زندگی خصوصی امری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خواسته‌های این دو ارزش را با هم جمع کرده و آشتی داد؟یک اصل کلی که در این مورد وجود دارد، این است که منکر باید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کنجکاوی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مرز دانایی که باید دانسته به آن اقدام شود و نادانی کجاست؟ بین علما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اقدام، اگر ظن به گناه داریم و یقین صددرصدی نیست، کافی است یا باید علم داشته باشیم؟ اماره ظنیه چطور؟ آیا دلیل قانع‌کننده، برای اقدام کافی است یا علم حقیقی لازم است؟ برخی مانند غزالی امارۀ ظنیه را کافی می‌دانند، مثلاً اگر بوی شراب استشمام شود، باید اقدام کرد؛ اما در مقابل، ابن‌مسعود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شما نوشیدن شراب را ندیدی ولو از ریشش شراب می‌چکد، اقدام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کسی که بازنی در بازار راه می‌رود و گمان می‌رود که آن دو ازدواج نکرده باشند، مأمون در برابر فضولان مزاحم، فرض را بر بی‌گناهی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رأی مالک در این مورد وقتی به مأمون رسید، مورد ریش‌خند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حدیثی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ستر عیوب را واجب و تجسس را حرام می‌داند و از آن منع شده است و از طرفی هم نهی از منکر لازم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تجسس، 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یک امر ذاتی نیست، بلکه امری نسبی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رفتارها ذاتاً خصوصی و مصون از بازرسی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حمایت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گناه پنهان و آشکار معیار است، مثلاً گناهی در محدودۀ خانه نسبت به بیرون، خصوصی و اما نسبت به </w:t>
      </w:r>
    </w:p>
    <w:p>
      <w:pPr>
        <w:pStyle w:val="BookText"/>
        <w:rPr/>
      </w:pPr>
      <w:r>
        <w:rPr>
          <w:rFonts w:ascii="IRNazanin" w:hAnsi="IRNazanin" w:eastAsia="IRNazanin"/>
          <w:color w:val="111111"/>
          <w:sz w:val="28"/>
          <w:sz w:val="28"/>
          <w:szCs w:val="28"/>
          <w:rtl w:val="true"/>
          <w:lang w:bidi="fa-IR"/>
        </w:rPr>
        <w:t>صاحب‌خانه خصوصی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نسبت به مرد، مرد نسبت به زن همچنین بچه نسبت به پدر و مادر و بالعکس وظیفه دارند که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اگر کسی از راه جاسوسی به گناهی پی برد، از یک طرف چون کار حرامی کرده، باید از کارش توبه نماید، و از طرفی هم موظف به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بین اندیشه اسلامی و تفکر غربی امروز فقط این نیست که در اسلام تصوری همانند تصور غرب از زندگی خصوصی وجود ندارد، بلکه اندیشۀ اسلامی کاملاً از نوع متفاوتی است؛ به این دلیل که بحث‌های اسلامی در مورد زندگی خصوصی و نهی از منکر بافت متفاوتی با بحث در مسائلسیاسی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علما در مسئلۀ زندگی خصوصی هماهنگ نیست، ولی مسئلۀ حادّی هم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مایکل مثال ديگری از اين پديده وجود دارد كه لازم است تا حدی مورد توجه قرار گيرد و آن بحث اجمالی دربارۀ انجام اين وظيفه به‌وسيله زنان و بردگان، دو طبقه از مردمی است كه از نظر فقهی از حضور آنان در انظار عمومی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دوشی با مردان بالغ آزاد در جامعه اسلامی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مردان از لحاظ درجه، در رتبۀ بالاتری نسبت به زنان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بهره‌ای از قضاوت ندارند و اینکه دیدن و شنیدن صدای آنان وسوسه‌انگیز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نهی از منکر زنان برخی با قاطعیت مخالفت کردند؛ برخی هم آنان را ذاتاً توانایی برای این کار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حضور آنان محذور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آنان را اصلاً مکلف نمی‌دانند، مانند بعضی از اباضی‌ها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ابن‌معاذ معتقد است دو مرحلۀ دست و زبان از آنها برداشته شده، اما در دل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غزالی و خلیلی به این وظیفه برای زنان معتقدند منتهی با رعایت شرایط و آن حفظ زینت و محدوده‌های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تکلیف زنان را به درون خانه محدود نموده‌اند، مانند محارم و هم‌جنسان خودشان که می‌توانند زنان دیگر و محارم و فرزندان خودش را نهی از منکر کنند و در صورت ضرورت می‌توانند نماینده‌ای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فقیهان اباضی شرقی آنچه را که </w:t>
      </w:r>
      <w:bookmarkStart w:id="655" w:name="pg8666_122771"/>
    </w:p>
    <w:p>
      <w:pPr>
        <w:pStyle w:val="BookText"/>
        <w:rPr/>
      </w:pPr>
      <w:bookmarkEnd w:id="655"/>
      <w:r>
        <w:rPr>
          <w:rFonts w:ascii="IRNazanin" w:hAnsi="IRNazanin" w:eastAsia="IRNazanin"/>
          <w:color w:val="111111"/>
          <w:sz w:val="28"/>
          <w:sz w:val="28"/>
          <w:szCs w:val="28"/>
          <w:rtl w:val="true"/>
          <w:lang w:bidi="fa-IR"/>
        </w:rPr>
        <w:t>به‌طور کامل موردپذیرش عقل سلیم بود، رسماً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می‌گویند با آنچه به من گفته‌اند که در حوزه‌های سنتی دینی در ایران انجام می‌شود، به‌طور کامل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بردگان توجه کمتری از زنان وجود دارد و نظرات درباره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امامیه اصلاً مسئلۀ زنان و بردگان را مطرح نکرده‌اند</w:t>
      </w:r>
      <w:r>
        <w:rPr>
          <w:rFonts w:eastAsia="IRNazanin" w:cs="IRNazanin"/>
          <w:color w:val="111111"/>
          <w:sz w:val="28"/>
          <w:szCs w:val="28"/>
          <w:rtl w:val="true"/>
          <w:lang w:bidi="fa-IR"/>
        </w:rPr>
        <w:t>.</w:t>
      </w:r>
    </w:p>
    <w:p>
      <w:pPr>
        <w:pStyle w:val="Heading5"/>
        <w:numPr>
          <w:ilvl w:val="4"/>
          <w:numId w:val="1"/>
        </w:numPr>
        <w:rPr/>
      </w:pPr>
      <w:bookmarkStart w:id="656" w:name="__RefHeading___Toc2419948_653776707"/>
      <w:bookmarkStart w:id="657" w:name="_Toc254"/>
      <w:bookmarkEnd w:id="656"/>
      <w:r>
        <w:rPr/>
        <w:t>4</w:t>
      </w:r>
      <w:r>
        <w:rPr>
          <w:rtl w:val="true"/>
        </w:rPr>
        <w:t xml:space="preserve">. </w:t>
      </w:r>
      <w:r>
        <w:rPr>
          <w:rtl w:val="true"/>
        </w:rPr>
        <w:t>موقعیت اجتماعی نهی از منکر</w:t>
      </w:r>
      <w:bookmarkEnd w:id="657"/>
    </w:p>
    <w:p>
      <w:pPr>
        <w:pStyle w:val="Heading6"/>
        <w:numPr>
          <w:ilvl w:val="5"/>
          <w:numId w:val="1"/>
        </w:numPr>
        <w:rPr/>
      </w:pPr>
      <w:bookmarkStart w:id="658" w:name="__RefHeading___Toc2419950_653776707"/>
      <w:bookmarkStart w:id="659" w:name="_Toc255"/>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مایکل از ابن‌عباس روایتی را نقل می‌کند که می‌گوید هشت باغ بهشت، هشت در زرین دارد که باب چهارم آن مربوط به ناهیان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نهی از منکر در مورد شهرها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از نهی از منکر به میان آورده اند، نوعاً مباحث‌شان مربوط بهشهرهاست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ابن‌حنبل فقط یک فتوا در مورد روستا دارد و بقیه سخنش مربوط به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نیز چنین می‌گوید که از خود شروع و به مردم بلد و شهر گسترش و سپس به روستا مسافرت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جامعۀ عمدتاً شهری وظیفۀ نهی از منکر به عهده علما گذاشته شده است و در برخی آثار تعبیر به نخبگان دارد؛ البته این بدان معنا نیست که دیگران وظیفه نداشته باشند، اما نقش علما در این وظیفه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که وقتی این وظیفه به سه مرحله تقسیم می‌شود، مرحلۀ زبان را مربوط به علما می‌دانند و مردم عادی باید در دل به انجام این وظیفه بپردازند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رجالی به‌طور طبیعی از اهمیت علما جانب‌داری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شرح حال‌نویسی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خود پدیدآورندگان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فرض اهمیت علما نسنجیده ابراز می‌شود، مانند زمانی که غزالی ماتم می‌گیرد که هنر پند دادن به حاکمان تباه شده و علما سکوت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طوری بیان می‌شود که وظیفه مردم عادی نیست که علما را سرزنش کنند، باید حدود نگهداشته شود و عالم نیز تا لباس بر تن نکرده، نمی‌تواند ناهی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متناسب با نقش اجتماعی علما است که نشان از سلطۀ اخلاقی علما دارد و اگر حکومت حمایت از این رفتار علما نموده است، یک وظیفه عارضی قدرت به حساب می‌آید و این علما هستند که وظیفۀ اصلی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p>
    <w:p>
      <w:pPr>
        <w:pStyle w:val="BookText"/>
        <w:rPr/>
      </w:pPr>
      <w:r>
        <w:rPr>
          <w:rFonts w:ascii="IRNazanin" w:hAnsi="IRNazanin" w:eastAsia="IRNazanin"/>
          <w:color w:val="111111"/>
          <w:sz w:val="28"/>
          <w:sz w:val="28"/>
          <w:szCs w:val="28"/>
          <w:rtl w:val="true"/>
          <w:lang w:bidi="fa-IR"/>
        </w:rPr>
        <w:t>این وظیفه سلطۀ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حمایتی که حکومت یا خشونت مردم از این سلطه به عمل آورند،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این وظیفه در داستان بنیان‌گذار کرامیه یعنی ابن‌کرام آمده است که با یاران خشمگین خود از جایی می‌گذشت و با کسانی که شرب خمر می‌کردند،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خشمگین می‌خواستند به آنها حمله کنند، اما ابن‌کرام نگذاشت و از روش خود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نمود و آنان نیز جام شراب تعارف نمودند، ابن‌کرام با آنها باب سخن گشود و از معشوقه سخن گفت و در نهایت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فناپذیری خود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صحبت کرد که آنان به میل خود شیشه‌های شراب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بودن سلطۀ علما وقتی آشکار می‌شود که اطاعت نکردن گناهکار تأسف‌انگیز شمرده شود و این وقتی است که این وظیفه در دل انجام گیرد و یا مهاجرت کنند و همچنین می‌توان افکار نومیدکننده‌ای را که در این دوران اهریمنی مانع از آن می‌شود به آن اضافه کنیم؛ ولی 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تمام منکرات جهان، خداوند بر سریر قدرت است و سرانجام نظم اخلاقی را که عالمان از آن سخن می‌گویند، محقق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نهی از منکر با خشونت امر غیرعادی به‌نظر می‌رسد، ولی در بسیاری موارد نهی از منکر را با جهاد پیوند می‌دهند و فقهای امامیه نهی از منکر را بخشی از جهاد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جهاد را زیرمجموعۀ نهی از منکر قرار می‌دهند و هستند کسانی که نهی از منکر را بالاتر از جهاد می‌دانند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در این وظیفه در کلام زیدیه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کسانی که در ضرورت نهی از منکر، مردم عادی را آزاد می‌گذارند تا تشکیل گروه مسلح بدهند، این کار را با روشی نارسا و قانون‌زده انجام می‌دهند؛ ولی دیگران در رفتار خود مدارا و نرمی را به‌طور کامل رعایت می‌کنند؛ ازاین‌رو خشونت را به مقامات و حکام واگذار می‌نمایند، مانند حسن بصری که شمشیر حاکمان را با زبان ما مقایسه می‌کند و در مقام مدارا سخن می‌گوید، همچنان‌که حنبلیان و امامیه در رویارویی با مردمی مسلح، این وظیفه را از دوش ما برمی‌دارند</w:t>
      </w:r>
      <w:r>
        <w:rPr>
          <w:rFonts w:eastAsia="IRNazanin" w:cs="IRNazanin"/>
          <w:color w:val="111111"/>
          <w:sz w:val="28"/>
          <w:szCs w:val="28"/>
          <w:rtl w:val="true"/>
          <w:lang w:bidi="fa-IR"/>
        </w:rPr>
        <w:t xml:space="preserve">. </w:t>
      </w:r>
      <w:bookmarkStart w:id="660" w:name="pg8666_122777"/>
    </w:p>
    <w:p>
      <w:pPr>
        <w:pStyle w:val="Heading6"/>
        <w:numPr>
          <w:ilvl w:val="5"/>
          <w:numId w:val="1"/>
        </w:numPr>
        <w:rPr/>
      </w:pPr>
      <w:bookmarkStart w:id="661" w:name="__RefHeading___Toc2419952_653776707"/>
      <w:bookmarkStart w:id="662" w:name="_Toc256"/>
      <w:bookmarkEnd w:id="660"/>
      <w:bookmarkEnd w:id="661"/>
      <w:r>
        <w:rPr>
          <w:rtl w:val="true"/>
        </w:rPr>
        <w:t>نهی از منکر و خصلت‌های فردی</w:t>
      </w:r>
      <w:bookmarkEnd w:id="662"/>
    </w:p>
    <w:p>
      <w:pPr>
        <w:pStyle w:val="BookText"/>
        <w:rPr/>
      </w:pPr>
      <w:r>
        <w:rPr>
          <w:rFonts w:ascii="IRNazanin" w:hAnsi="IRNazanin" w:eastAsia="IRNazanin"/>
          <w:color w:val="111111"/>
          <w:sz w:val="28"/>
          <w:sz w:val="28"/>
          <w:szCs w:val="28"/>
          <w:rtl w:val="true"/>
          <w:lang w:bidi="fa-IR"/>
        </w:rPr>
        <w:t>نهی از منکر و خصلت‌های فردی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نهی از منکر نیازمند خصلت‌های ممتازی است مانند تعصب خاص، اعتماد به نفس همراه با شور و شعف، شجاعت، هم شجاعت فعّال که از سرزنش نهراسد و هم شجاعت غیرفعّال که شکیبایی بر آسیب‌های وارده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ترس و احتمال ضرر دلیل بر اقدام نکردن است، ولی شجاعانه نیست؛ اما مهارت در رزم با اینکه سودمند است، ولی در استنباط عالمان جایی ندارد</w:t>
      </w:r>
      <w:r>
        <w:rPr>
          <w:rFonts w:eastAsia="IRNazanin" w:cs="IRNazanin"/>
          <w:color w:val="111111"/>
          <w:sz w:val="28"/>
          <w:szCs w:val="28"/>
          <w:rtl w:val="true"/>
          <w:lang w:bidi="fa-IR"/>
        </w:rPr>
        <w:t>.</w:t>
      </w:r>
    </w:p>
    <w:p>
      <w:pPr>
        <w:pStyle w:val="Heading6"/>
        <w:numPr>
          <w:ilvl w:val="5"/>
          <w:numId w:val="1"/>
        </w:numPr>
        <w:rPr/>
      </w:pPr>
      <w:bookmarkStart w:id="663" w:name="__RefHeading___Toc2419954_653776707"/>
      <w:bookmarkStart w:id="664" w:name="_Toc257"/>
      <w:bookmarkEnd w:id="663"/>
      <w:r>
        <w:rPr>
          <w:rtl w:val="true"/>
        </w:rPr>
        <w:t>نهی از منکر گروهی</w:t>
      </w:r>
      <w:bookmarkEnd w:id="664"/>
    </w:p>
    <w:p>
      <w:pPr>
        <w:pStyle w:val="BookText"/>
        <w:rPr/>
      </w:pPr>
      <w:r>
        <w:rPr>
          <w:rFonts w:ascii="IRNazanin" w:hAnsi="IRNazanin" w:eastAsia="IRNazanin"/>
          <w:color w:val="111111"/>
          <w:sz w:val="28"/>
          <w:sz w:val="28"/>
          <w:szCs w:val="28"/>
          <w:rtl w:val="true"/>
          <w:lang w:bidi="fa-IR"/>
        </w:rPr>
        <w:t>نهی از منکر گروهی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ناهی از منکر معمولاً خود به‌تنهایی اقدام می‌کند و انجام آن به‌صورت گروهی خلق‌الساعة است، اگرچه گاهی هم به‌صورت گروهی دیده می‌شود، ولی در حدّ پنج شش مورد است</w:t>
      </w:r>
      <w:r>
        <w:rPr>
          <w:rFonts w:eastAsia="IRNazanin" w:cs="IRNazanin"/>
          <w:color w:val="111111"/>
          <w:sz w:val="28"/>
          <w:szCs w:val="28"/>
          <w:rtl w:val="true"/>
          <w:lang w:bidi="fa-IR"/>
        </w:rPr>
        <w:t>.</w:t>
      </w:r>
    </w:p>
    <w:p>
      <w:pPr>
        <w:pStyle w:val="Heading5"/>
        <w:numPr>
          <w:ilvl w:val="4"/>
          <w:numId w:val="1"/>
        </w:numPr>
        <w:rPr/>
      </w:pPr>
      <w:bookmarkStart w:id="665" w:name="__RefHeading___Toc2419956_653776707"/>
      <w:bookmarkStart w:id="666" w:name="_Toc258"/>
      <w:bookmarkEnd w:id="665"/>
      <w:r>
        <w:rPr/>
        <w:t>5</w:t>
      </w:r>
      <w:r>
        <w:rPr>
          <w:rtl w:val="true"/>
        </w:rPr>
        <w:t xml:space="preserve">. </w:t>
      </w:r>
      <w:r>
        <w:rPr>
          <w:rtl w:val="true"/>
        </w:rPr>
        <w:t>علما و جامعۀ گسترده‌تر</w:t>
      </w:r>
      <w:bookmarkEnd w:id="666"/>
    </w:p>
    <w:p>
      <w:pPr>
        <w:pStyle w:val="BookText"/>
        <w:rPr/>
      </w:pPr>
      <w:r>
        <w:rPr>
          <w:rFonts w:ascii="IRNazanin" w:hAnsi="IRNazanin" w:eastAsia="IRNazanin"/>
          <w:color w:val="111111"/>
          <w:sz w:val="28"/>
          <w:sz w:val="28"/>
          <w:szCs w:val="28"/>
          <w:rtl w:val="true"/>
          <w:lang w:bidi="fa-IR"/>
        </w:rPr>
        <w:t>مايكل تا كنون نهی از منکر را باتوجه به نگرش علما مطرح کرد و چگونگی اندیشیدن علما را در این زمینه بیان نمود، حالا دو نکته حائز اهمیت را بیان می‌کند؛ یکی اینکه جایگاه نهی از منکر در اصول اخلاقی گروه‌های اجتماعی غیر از علما چگونه است؟ دوم اینکه تأثیر این وظیفه از طرف علما در جامعه پیرامونی خودشان چگونه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سنت‌های عقلی ممتازی، خارج از حوزۀ دین از لحاظ فرهنگی وجود داشت و می‌توان آن را غیردینی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موردهایی مانند طب و نجوم که در بین مسلمان‌ها رواج داشت،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نیاز به بررسی دارد، دامنۀ گسترده اندیشه اخلاقی غیردینی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فلسفۀ نظری یونان تا اندرزهای عملی سنّت ایرانی که با فرهنگ فتوّت اسلامی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نهی از منکر در این آثار بیشتر از آنچه در بیان صوفیه دیده می‌شود،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وظیفۀ انسان در برابر کار زشت با هر نظام اخلاقی دینی یا غیردینی، مرتبط است و نمی‌توان تصور کرد که فیلسوفان نظر کسانی را که آن را بر مبنای وحی می‌دانستند نه عقل، جدی گرفته باشند؛ ولی حقیقت آن است که اندیشۀ نهی از منکر به‌ندرت از مرز بین نوشته‌های دینی و غیردینی فرا رفته است و تصور نکنیم که این ارزش در زندگی نخبگان غیردینی نفوذ کرده است تا چه رسد به زندگی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عجیبی در نوشته‌های اخلاقی هست که از مرز بین سنت‌های دینی و غیردینی فرا رفته است، مثل ابن‌سینا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اشارات و تنبیهات در مقام فیلسوف و سنت‌های غیردینی در نمط مقام‌العارفین به‌عنوان تصوف فیلسوفانه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خود را سرگرم تجسس و تفحصنمی‌کند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منکری را مشاهده می‌کند، شناخت او نسبت به تقدیر الهی چنان است که به‌جای خشم، ترحم او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نهی از منکر می‌کند با محبت انجام می‌دهد نه باخشونت و ملامت‌گری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در معرض خطر است، عارف آن را از نااهلان مخفی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مایکل این سخن ابن‌سینا مربوط به نهی از منکر و تحت تأثیر اندیشۀ اسلامی است و از نخبه‌گرایی که وجه تمایز این بخش است،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اگر رفق و مدارا می‌کند به سبب بینش عالی اوست و آخرین جملۀ کنایی به‌صورت رمزی است و چنین اندیشه‌هایی برای اسلام فقه‌محور پذیرفته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از ابن‌حزم است که او را به نام نماینده سنت دینی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الاخلاق و السیر خود که شرح حال را می‌نویسد، مستقیماً به نهی از منکر اشاره نمی‌کند، بلکه دربارۀ نصیحت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با استمداد از حمایت خداوند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رفق و مدارا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نصیحتی را باید چند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فرض و دیانت؛ دوم، تنبیه و تذکر؛ سوم، سرزنش و ملامت؛ چهارم، مشت و لگد و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نصیحت ممکن است مطلب دینی وغیردینی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نهی از منکر فقط موضوع دینی است و مربوط به مطالب دینی می‌شود یا مورد خاص از موضوعات اخلاقی گسترده‌تر و خارج از دین را هم شامل می‌شود؟ </w:t>
      </w:r>
    </w:p>
    <w:p>
      <w:pPr>
        <w:pStyle w:val="BookText"/>
        <w:rPr/>
      </w:pPr>
      <w:r>
        <w:rPr>
          <w:rFonts w:ascii="IRNazanin" w:hAnsi="IRNazanin" w:eastAsia="IRNazanin"/>
          <w:color w:val="111111"/>
          <w:sz w:val="28"/>
          <w:sz w:val="28"/>
          <w:szCs w:val="28"/>
          <w:rtl w:val="true"/>
          <w:lang w:bidi="fa-IR"/>
        </w:rPr>
        <w:t xml:space="preserve">مطلب سوم از قول ابن‌معمار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حنبلی بغدادی، در باب اخلاق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را برای انسان جوانمرد ذکر می‌کند که یکی از آنها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مشاهده شد این سه نویسنده کسانی هستند که از مرز بین اندیشه‌های دینی و غیردینی گذشته‌اند؛ اما هیچ یک از آنان به روشن شدن این مسئله که چرا وظیفۀ جلوگیری از منکر به‌وسلیه دیگران از یک‌سو گسترش یافته و در سوی دیگر تقریباً ناشناخته مانده است، کمکی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مايكل در جمع‌بندی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اندازه كه كتاب‌های اخلاقی غيردينی كمتر از مطالب مربوط به نهی از منكر دینی اقتباس می‌كنند، با كمال تعجب در نهی از منکر دینی هم روش‌های مبتنی بر اصول اخلاقی خارج از سنت دينی اندک است، حتی شديدترينحمله‌ها علیه عمل نهی از منكر با استناد به ارزش‌های اسلامی يا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كم هماهنگ با اين ارزش‌ها مشاهده می‌شود، مانند برخورد مأمون با ناهی از منکر متعصب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از خشونت‌هایی نام می‌برد که به نام نهی از منکر با استناد به ارزش‌های اسلامی انجام شده است، مانند برخورد مأمون با مرد کفن‌پوش و همین طور نمونۀ دیگر مطالبی است که چلبی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برانداختن ابداعات ریشه‌دار، برای نهی از منکر، حماقت محض است که در این مطلب اشاره به شرط تأثیر دارد یا عبدالغنی نابلسی که به خشکه‌مقدس‌های زمان خود حمله می‌کند و این کارش را به چیزی خارج از سنت‌های دینی اسلام مستند نمی‌کند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كوشش برای مقايسه بين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نخبگان فرهنگی مذهبی و غيرمذهبی را ممكن می‌سازد، اين حقيقت است كه از هر گروه آثار مكتوبی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مردم عادی قضيه از اين 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دانشمندان از بیان این مطلب که نهی از منکر ممکن است نتیجۀ منفی به بار آورد، خسته نمی‌شدند و در قالب تعبیراتی از این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خود باش، چه ربط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بیان می‌کردند که البته علما چنین </w:t>
      </w:r>
    </w:p>
    <w:p>
      <w:pPr>
        <w:pStyle w:val="BookText"/>
        <w:rPr/>
      </w:pPr>
      <w:r>
        <w:rPr>
          <w:rFonts w:ascii="IRNazanin" w:hAnsi="IRNazanin" w:eastAsia="IRNazanin"/>
          <w:color w:val="111111"/>
          <w:sz w:val="28"/>
          <w:sz w:val="28"/>
          <w:szCs w:val="28"/>
          <w:rtl w:val="true"/>
          <w:lang w:bidi="fa-IR"/>
        </w:rPr>
        <w:t xml:space="preserve">پاسخی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بین مردم چنین بوده اما این سخن علیک بنفسک مورد تأیید علما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عبدالعزیز، شکوه می‌کند که مردم نظر دارند کارهای مربوط به خود را انجام بدهند یا شیطان در مورد مردی که قصد دارد تبرش را بردارد و درخت مقدسی را بیندازد،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ابن‌حنبل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می‌رسد که اگر کسی نهی از منکر بکند،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فضولی است یا اگر به کسی گفته شود که برو نهی از منکر کن، جواب می‌دهد که به من چه بدی کرده که کاری به کارش داشته باشم یا بگوید مرا با این فضولی 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دانشمندان این ارزش‌های ضد فرهنگی را برای ما به‌روشنی بیان می‌کنند، این مطلب حتی در بین شاعران هم رخنه کرده است؛ چنان‌که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نيكم و گر بد تو برو خود را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آن درود عاقبت كار كه كشت</w:t>
      </w:r>
    </w:p>
    <w:p>
      <w:pPr>
        <w:pStyle w:val="BookText"/>
        <w:rPr/>
      </w:pPr>
      <w:r>
        <w:rPr>
          <w:rFonts w:ascii="IRNazanin" w:hAnsi="IRNazanin" w:eastAsia="IRNazanin"/>
          <w:color w:val="111111"/>
          <w:sz w:val="28"/>
          <w:sz w:val="28"/>
          <w:szCs w:val="28"/>
          <w:rtl w:val="true"/>
          <w:lang w:bidi="fa-IR"/>
        </w:rPr>
        <w:t>یا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رندان مکن ای زاهد پاکیزه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 دیگران بر تو نخواهند نوشت</w:t>
      </w:r>
    </w:p>
    <w:p>
      <w:pPr>
        <w:pStyle w:val="BookText"/>
        <w:rPr/>
      </w:pPr>
      <w:r>
        <w:rPr>
          <w:rFonts w:ascii="IRNazanin" w:hAnsi="IRNazanin" w:eastAsia="IRNazanin"/>
          <w:color w:val="111111"/>
          <w:sz w:val="28"/>
          <w:sz w:val="28"/>
          <w:szCs w:val="28"/>
          <w:rtl w:val="true"/>
          <w:lang w:bidi="fa-IR"/>
        </w:rPr>
        <w:t>یا مطالب از این دست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به‌کار خود ای واعظ این چه فریاد است مرا فتاده دل از ره تو را چه افتاده است</w:t>
      </w:r>
    </w:p>
    <w:p>
      <w:pPr>
        <w:pStyle w:val="BookText"/>
        <w:rPr/>
      </w:pPr>
      <w:r>
        <w:rPr>
          <w:rFonts w:ascii="IRNazanin" w:hAnsi="IRNazanin" w:eastAsia="IRNazanin"/>
          <w:color w:val="111111"/>
          <w:sz w:val="28"/>
          <w:sz w:val="28"/>
          <w:szCs w:val="28"/>
          <w:rtl w:val="true"/>
          <w:lang w:bidi="fa-IR"/>
        </w:rPr>
        <w:t>البته سروده‌های حافظ اشعار عامیانه نیست، اما در فرهنگ سنّتی ایران طنین گسترده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تأکید می‌کند که پرداختن به کار خود، فی نفسه به‌طور کامل اسلامی است، همان‌طور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یکی از چیزهای که زینت یک مسلمان است واگذاشتن چیزی است که مربوط به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مالایعنیه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سوره مائده،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خودتان بپردازید هرگاه شما هدایت یافتید کسی که گمراه شده است به شما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مفهومش این است که به کاری که در محدوده شما است دخالت کنید نه در خارج از محدوده خودتان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خصوص با بلندنظری بيشتری عمل می‌كردند، شايد ما می‌توانستيم به ارزش‌های دانشمندانی بيگانه كه ما از منابع آنها استفاده می‌كنيم، بهتر پی ببريم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مايكل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مسئلۀ نهی از منکر بیشتر مرتبط با دانشمندان بود، بدان معنا نیست که با جامعه ارتباطی نداشته باشد؛ اگرچه اغلب ناهیان نهی از منکر متعصب‌تر، با جامعه خود سرجنگ داشتند، ولی در برخی موارد از طرف مردم حمایت‌هایی نیز می‌شدند، مانند قضیه ابن‌عبدوس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به‌خاطر جایگاهی که در بین مردم داشت، از شر حاکم، به‌خاطر ریختن شراب در امان ماند یا ابن‌بطوطه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واعظ پارسایی سخن می‌گوید که مردم هرات با او پیمان بستند و مردم را از منکرات نهی می‌کردند، هرچند آن منکر در حضور ملک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خود شاه را به‌خاطر نوشیدن شراب در قصرش حد جاری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مردم به‌خاطر زندگی مجللی که شاه داشته از او بدشان می‌آمده است که می‌توانست زندگی ساده‌تری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هم نهی از منکر هماهنگ با منافع یا مصیبت‌های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خبوشانی به‌خاطر وضع خراج ناعادلانه برای مردم، دستار صلاح‌الدین را از سرش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بازگویی منافع جامعه در برابر حاکمان ظاهراً بخش کوچکی از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نبودن تناسب بین این بازگویی و نهی از منکر و حاکمان، در کتاب بدیع‌الزمان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یکی از افراد برجسته که قصد اعتراض به زورگویی‌های مالی محمود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احتیاط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می‌خواهی در شهادت شريک حمزه و در سروری قرين او باشی، هرچند تو ضربه‌های مشت را احساس می‌كنی، از غل و زنجير نفرت داری و از خفت و خواری می‌ترسی، در جامعه با مردم به سر می‌بری و چون می‌بینی که امید مردم به تو است شادمان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توصیه‌ها برمی‌آید که در نهی از منکر باید انگیزه‌های خالصانه داشته باشد نه برای به دست آوردن شهرت و</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نمی‌توان اين احساس را ناديده گرفت كه دانشمندان در انديشه خود درباره نهی از منكر با چيزی دست و پنجه نرم می‌كردند كه از يک جهت بيش از توان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دانشمندان به حال خود گذاشته شوند، هميشه دلايلی خواهند آفريد كه چرا مردم بايد حرف </w:t>
      </w:r>
      <w:bookmarkStart w:id="667" w:name="pg8666_122792"/>
    </w:p>
    <w:p>
      <w:pPr>
        <w:pStyle w:val="BookText"/>
        <w:rPr/>
      </w:pPr>
      <w:bookmarkEnd w:id="667"/>
      <w:r>
        <w:rPr>
          <w:rFonts w:ascii="IRNazanin" w:hAnsi="IRNazanin" w:eastAsia="IRNazanin"/>
          <w:color w:val="111111"/>
          <w:sz w:val="28"/>
          <w:sz w:val="28"/>
          <w:szCs w:val="28"/>
          <w:rtl w:val="true"/>
          <w:lang w:bidi="fa-IR"/>
        </w:rPr>
        <w:t>آنها را بشنوند؛ اما مفهوم اسلامی نهی از منكر فراتر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 موضوع اصلی اين وظيفه و شيوه زندگی عادی علما به‌ويژه در سده‌های نخستين اسلامی در مورد خشونت شايان توجه است و رگه پرباری از نمايش‌های مضحک اوليه را می‌سازد</w:t>
      </w:r>
    </w:p>
    <w:p>
      <w:pPr>
        <w:pStyle w:val="BookText"/>
        <w:rPr/>
      </w:pPr>
      <w:r>
        <w:rPr>
          <w:rFonts w:ascii="IRNazanin" w:hAnsi="IRNazanin" w:eastAsia="IRNazanin"/>
          <w:color w:val="111111"/>
          <w:sz w:val="28"/>
          <w:sz w:val="28"/>
          <w:szCs w:val="28"/>
          <w:rtl w:val="true"/>
          <w:lang w:bidi="fa-IR"/>
        </w:rPr>
        <w:t>شاید بتوان گفت نهی از منکر در بخش عمدۀ تاریخ اسلام، حقّ منحصر علما بوده است؛ ولی علما چگونه به چنین حقی دست‌یافتند؟ آیا امیدوارند که بتوانند این وضع را در شرایط امروزی حفظ کنند؟</w:t>
      </w:r>
    </w:p>
    <w:p>
      <w:pPr>
        <w:pStyle w:val="Heading4"/>
        <w:numPr>
          <w:ilvl w:val="3"/>
          <w:numId w:val="1"/>
        </w:numPr>
        <w:rPr/>
      </w:pPr>
      <w:bookmarkStart w:id="668" w:name="__RefHeading___Toc2419958_653776707"/>
      <w:bookmarkStart w:id="669" w:name="_Toc259"/>
      <w:bookmarkEnd w:id="668"/>
      <w:r>
        <w:rPr>
          <w:rtl w:val="true"/>
        </w:rPr>
        <w:t>ب</w:t>
      </w:r>
      <w:r>
        <w:rPr>
          <w:rtl w:val="true"/>
        </w:rPr>
        <w:t xml:space="preserve">) </w:t>
      </w:r>
      <w:r>
        <w:rPr>
          <w:rtl w:val="true"/>
        </w:rPr>
        <w:t>ارزیابی</w:t>
      </w:r>
      <w:bookmarkEnd w:id="669"/>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هفدهم هدف مایکل، بازنگری برخی از موضوعات امر به معروف و نهی از منکر است که دارای اهمیت تاریخی خاص برای اوست و تصمیم دارد به بازنگری آنها در حد فاصل میان دوره‌های اولیه اسلامی یعنی دوره شکل‌گیری اسلام تا شروع تغییرات به تعبیر خود نویسنده مصیبت‌باری که تحت تأثیر غرب به وجود آمد، بپردازد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دراین‌باره چند مطلب وجود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متأسفانه این حدّ فاصل را هم از جهت ابتدا و هم از جهت انتها، خیلی مبهم بیان کرده است؛ به‌ویژه انتهای آن را که به‌عنوان شروع تغییرات مصیبت‌باری که تحت تأثیر غرب پدید آمده است، از آن یاد می‌کند؛ منظور چه زمانی است؟ آیا منظور از دورۀ شکل‌گیری اسلام، همان اوان پیدایش اسلام از بعثت تا سال دهم هجری است؟ یا دورۀ خلفای راشدین و بعد از آن تا قرن دوم مثلاً منظور است که در این فرض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شکل‌گیری اسلام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شروع تأثیر غرب چه زمانی است؟ از رنسانس و نوزایی غرب است که پایان آن حدود سه چهار قرن پیش می‌باشد؟ یعنی حدود قرن دهم هجری شمسی یا منظور دوران استعمار غرب است که خود دوره‌های متعددی دارد </w:t>
      </w:r>
    </w:p>
    <w:p>
      <w:pPr>
        <w:pStyle w:val="BookText"/>
        <w:rPr/>
      </w:pPr>
      <w:r>
        <w:rPr>
          <w:rFonts w:ascii="IRNazanin" w:hAnsi="IRNazanin" w:eastAsia="IRNazanin"/>
          <w:color w:val="111111"/>
          <w:sz w:val="28"/>
          <w:sz w:val="28"/>
          <w:szCs w:val="28"/>
          <w:rtl w:val="true"/>
          <w:lang w:bidi="fa-IR"/>
        </w:rPr>
        <w:t>و چندین قرن طول کشیده است و اکنون نیز با عنوان استعمار نو ادامه دارد؟ یا منظور تا دوران مدرن و مدرنیته است که از قرن هفدهم تقریباً شروع و تا قرن بیستم تداوم یافته است؟</w:t>
      </w:r>
    </w:p>
    <w:p>
      <w:pPr>
        <w:pStyle w:val="BookText"/>
        <w:rPr/>
      </w:pPr>
      <w:r>
        <w:rPr>
          <w:rFonts w:ascii="IRNazanin" w:hAnsi="IRNazanin" w:eastAsia="IRNazanin"/>
          <w:color w:val="111111"/>
          <w:sz w:val="28"/>
          <w:sz w:val="28"/>
          <w:szCs w:val="28"/>
          <w:rtl w:val="true"/>
          <w:lang w:bidi="fa-IR"/>
        </w:rPr>
        <w:t>ثانیاً منظور از این تغییرات مصیبت‌بار چیست؟ چقدر مناسب بود که به این تغییرات مصیبت‌بار 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تغییرات، سیاسی یا اقتصادی یا فرهنگی و یا اجتماعی است و یا تمامی این تغییرات در تمامی ابعاد و به‌ویژه در بعد فرهنگ و اجتماعی بوده و همه مصیبت‌بار بوده است؟ این مصیبت در حق چه کسی بوده است؟ در حق اسلام یا در حق غرب و یا در حق هر دو؟ آیا عامل این تغییرات مصیبت‌بار خود ملل اسلامی بوده‌اند که تحت تأثیر غرب قرار گرفته‌اند و گرفتار مصیبت شده‌اند و حالشان بدتر و وخیم‌تر شده است و غرب در این مصیبت بی‌نقش و خنثی بوده است یا غرب این مصیبت‌ها را برای ملل اسلامی پدید آورده است و آنها خودشان نقش نداشته‌اند؟ و یا هر دو در پیدایش این تغییرات مصیبت‌بار نقش آفرین و دخیل بوده‌اند، منتهی نقش غرب برای اجرای مصیبت در حق جهان اسلام نقش فاعلی و مبتکر و طراحی بوده و نقش خود مسلمانان نقشی انفعالی، اثرپذیری، بی‌تحرکی، بدحالی و بی‌نشاطی بوده است؟</w:t>
      </w:r>
    </w:p>
    <w:p>
      <w:pPr>
        <w:pStyle w:val="BookText"/>
        <w:rPr/>
      </w:pPr>
      <w:r>
        <w:rPr>
          <w:rFonts w:ascii="IRNazanin" w:hAnsi="IRNazanin" w:eastAsia="IRNazanin"/>
          <w:color w:val="111111"/>
          <w:sz w:val="28"/>
          <w:sz w:val="28"/>
          <w:szCs w:val="28"/>
          <w:rtl w:val="true"/>
          <w:lang w:bidi="fa-IR"/>
        </w:rPr>
        <w:t>به‌هرحال این جملۀ مایکل در اشاره به یک نقطۀ عطف تاریخی و سرنوشت‌ساز، بسیار مهم است و نیاز به تبیین و تحلیل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 است که مایکل معترف است، دست‌کم در این دو سه قرن اخیر، غرب و سبک زندگی و شیوۀ فرهنگی‌اش جهان شرق و به‌ویژه جهان اسلام مستولی شده است و این امر، مصیبت‌هایی را پدید آورده است که جهان اسلام رااز دوران پر افتخار و کمال و قلۀ شکوه و ارزش به حضیض فلاکت و مصیبت و بدبختی فروغلطانیده است، به‌گونه‌ای که افتخارات خود را از دست داده و تبدیل به جامعه‌ای مصیبت‌زده و زیردست غرب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غرب نقش اساسی داشته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پرسش که دامنۀ مصیبت و شعله‌های این آتش خانمان‌سوز تنها به جهان اسلام محدود شده یا کل جهان از جمله غرب را هم درنوردیده است، اگرچه بی‌پاسخ می‌ماند، ولی باتوجه‌به قصه‌ای که در دیباچۀ کتاب در مورد حادثۀ قطار شهری شیکاگو در آمریکا </w:t>
      </w:r>
    </w:p>
    <w:p>
      <w:pPr>
        <w:pStyle w:val="BookText"/>
        <w:rPr/>
      </w:pPr>
      <w:r>
        <w:rPr>
          <w:rFonts w:ascii="IRNazanin" w:hAnsi="IRNazanin" w:eastAsia="IRNazanin"/>
          <w:color w:val="111111"/>
          <w:sz w:val="28"/>
          <w:sz w:val="28"/>
          <w:szCs w:val="28"/>
          <w:rtl w:val="true"/>
          <w:lang w:bidi="fa-IR"/>
        </w:rPr>
        <w:t>توسط نویسنده نقل شد، این تغییرات مصیبت‌بار برای کسانی هم بوده است که خود پدیدآورنده و یا عامل اساسی آن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به‌هرصورت، این تصریح و اعتراف مایکل به تغییرات مصیبت‌بار، اگرچه به‌صورت مبهم و اجمالی و در لفافه بیان شده است، ولی بسیار مهم و برای نخبگان اسلام و غرب، قابل تحلیل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مایکل نام فصل پایانی بخش چهارم کتاب خود را بازنگری می‌نامد، ولی در حقیقت بازنگری نیست، بلکه او به‌طور مشخص چهار موضوع را مورد تحلیل قرار می‌دهد؛ درحالی‌که این نگاه تحلیلی به چهار موضوع تا حدود زیادی نو و جدید است و در گذشته به برخی از آنها یا اصلاً اشاره نداشته است و یا به برخی از آنها به‌طور بسیار مجمل و گذرا اشاره و از آنها عبور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مورد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مایکل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نیازمند تجزیه و تحلیل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این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نهی از منکر،</w:t>
      </w:r>
      <w:r>
        <w:rPr>
          <w:rStyle w:val="FootnoteAnchor"/>
        </w:rPr>
        <w:footnoteReference w:id="14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خصوصی و نهی از 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اجتماعی نهی از منکر،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جامعۀ گسترده‌تر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عنوان در مقولۀ نهی از منکر از موضوعات اساسی به شمار می‌آیند که در این فصل بازنگری و تحلیل آن مورد توجه است، ولی در ترجمۀ کتاب تعبیر به دو بخش دیگر و دو بخش آینده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تحلیل جامعه‌شناسانۀ مایکل، دو دسته استحکامات، یکی قصرها و کاخ‌های حاکمان و دیگری هزاران قلعۀ کوچک مردمان وجود دارند و ناهی از منکر می‌خواهد با این دو دسته استحکام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ناهی از منکر در خارج از این استحکام فرض شده است؛ درحالی‌که ناهی از منکر خود جزئی از این دو مجموعه است، چون نهی از منکر </w:t>
      </w:r>
    </w:p>
    <w:p>
      <w:pPr>
        <w:pStyle w:val="BookText"/>
        <w:rPr/>
      </w:pPr>
      <w:r>
        <w:rPr>
          <w:rFonts w:ascii="IRNazanin" w:hAnsi="IRNazanin" w:eastAsia="IRNazanin"/>
          <w:color w:val="111111"/>
          <w:sz w:val="28"/>
          <w:sz w:val="28"/>
          <w:szCs w:val="28"/>
          <w:rtl w:val="true"/>
          <w:lang w:bidi="fa-IR"/>
        </w:rPr>
        <w:t>وظیفه‌ای همگانی، هم برای حاکمان و هم برای آحاد شهروندان و مردم در جهت صیانت و استحکام از مرزهای فکری فرهنگی جامعه است؛ بنابراین نمی‌توان او را بیرون از مجموعۀ استحکامات اجتماعی فرض کرد و حالت بیگانه و اجنبی نسبت به این استحکامات به او بخشید، بلکه او کنش‌گری است که در دو استحکام حضور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مقوله نهی از منکر در سه بُعد به‌صورت رفت و برگشتی و عمل و عکس‌العمل در درون جامعه به‌عنوان یک عنصر دینامیک و فعّال نقش‌آفرینی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حاکمان توسط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مردم توسط حاکمان؛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مردم توسط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ناهی از منکر در هر سه جبهه موجب می‌شود که در هر کجا گناه و جرمی بخواهد رخ دهد، عنصر نهی از منکر با حضور فعّال خود، گناه را در همان آغاز تحققش به‌عنوان یک سلول سرطانی می‌سوزاند و ریشه‌کن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اساس را تشکیل می‌دهد، نهی از منکر حکومت و حاکمان توسط مردم است؛ چون قدرت با خود پول و امکانات می‌آورد و حاکمان از هر کسی دیگر بیشتر در معرض فساد، انحراف، سوء استفاده، گناه و فریفتگی هستند و فعال بودن مردم در عرصۀ نهی از منکر است که کار را برای آنها دشوار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سیاست و نهی از منکر، نخست مایکل به انجام نهی از منکر توسط حکومت می‌پردازد و خطر آن را یادآور می‌شود که حاکمان آن را در انحصار خود درآورند و در نتیجه به سوء استفاده بپردازند و خودشان هم در ورطۀ خودکامگی و فساد غوطه‌ور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برابر نظام سیاسی فاسد، به نظر مایکلعده‌ای از علما قائل به سازش و عده‌ای قائل به شورششده‌اند؛ ولی حق آن است که در میان سنّیان نظریۀ غالب و اکثریت قوی همان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هم نظریه مشروعیت از طریق قهر و تغلّب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p>
    <w:p>
      <w:pPr>
        <w:pStyle w:val="BookText"/>
        <w:rPr/>
      </w:pPr>
      <w:r>
        <w:rPr>
          <w:rFonts w:ascii="IRNazanin" w:hAnsi="IRNazanin" w:eastAsia="IRNazanin"/>
          <w:color w:val="111111"/>
          <w:sz w:val="28"/>
          <w:sz w:val="28"/>
          <w:szCs w:val="28"/>
          <w:rtl w:val="true"/>
          <w:lang w:bidi="fa-IR"/>
        </w:rPr>
        <w:t>مناسب بود که در این بحث نسبت میان نظریۀ امامت و نظریه نهی از منکر واکاوی شود، چون دقیقاً بحث نهی از منکر متکی بر نظریه‌های مربوط به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نظریۀ مدرسۀ صحابه، لزوم اطاعت از ولیّ امر لزوم اطاعت مطلقه است، هرچند ولی امر امامی نامشروع و فاسق و کسی باشد که با قدرت شمشیر و از روی قهر، غلبه 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در صحیح مسلم و سنن بیهقی، حذیفه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وقتی آن حضرت از آینده خبر می‌دهد و اینکه امامانی به قدرت می‌رسند که در مسیری غیر از هدایت اسلامی و سنت نبوی گام برمی‌دارند و دارای قلب شیطانی هستند اگرچه در ظاهر انسان‌اند، در پاسخ از نوع مواجهۀ با آنها،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و تُطيعُ للأميرِ و إن ضُرِبَ ظَهْرُكَ و اُخِذَ مالُكَ، فاسْمَعْ و أطِعْ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در صحیح مسلم و سنن بیهقی از عون‌بن‌مالک اشجعی روایتی نقل شده که در بخشی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وَلِىَ عَلَيْهِ وَالٍ فَرَآهُ يَأْتى شَيْئاً مِنْ مَعْصِيَةِ اللهِ فَلْيكْرَهْ ما يَأْتى مِنْ مَعْصِيَةِ اللّهِ وَ لا تَنْزَعَنَّ يَداً مِنْ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بخاری از انس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إِسْمَعُوا وَ أَطِيعُوا وَ إِنِ استُعْمِلَ عَليْكُمْ عَبْدٌ حَبَشِىٌّ کَأَنَّ رَأسَهُ زَبِیبَةٌ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مورد عمل قاطبۀ مذاهب عامه است و بر آن فتوا داده‌اند و براین‌اساس، نگاه اصلی در میان آنها حتی در امثال غزالی که قبلاً گزارش شد، نگاه سازش در برابر حاکم فاسد است؛ ازاین‌رو عملاً طبق این مبنا، نهی از منکر بسیار محدود و کم‌اثر خواهد بود و آن قدرت فعّال و حیات‌آفرین خود را از دست می‌دهد و جامعه تبدیل به جامعه‌ای بی‌تحرک، بی‌نشاط و مرده و غوطه‌ور در مهلکه مفاسد و مظاهم خواهد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دیدگاهی است که در گذشته از آن با نام تقدم امنیت بر عدالت یاد شد؛</w:t>
      </w:r>
      <w:r>
        <w:rPr>
          <w:rStyle w:val="FootnoteAnchor"/>
          <w:rtl w:val="true"/>
        </w:rPr>
        <w:footnoteReference w:id="149"/>
      </w:r>
      <w:r>
        <w:rPr>
          <w:rFonts w:ascii="IRNazanin" w:hAnsi="IRNazanin" w:eastAsia="IRNazanin"/>
          <w:color w:val="111111"/>
          <w:sz w:val="28"/>
          <w:sz w:val="28"/>
          <w:szCs w:val="28"/>
          <w:rtl w:val="true"/>
          <w:lang w:bidi="fa-IR"/>
        </w:rPr>
        <w:t>البته به‌طور تک‌ستاره در این آسمان ظلمانی، افرادی بوده‌اند که به شورش اندیشه‌اند و صبر بر اعمال فاسد حاکمان را ناصواب و نامشروع تلقی نموده و عدالت را پای امنیت ذبح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گروه در میان سنّیان اندک است، ولی در میان زیدیه و امامیه بر اساس نظریۀ امامت ایشان، نظریۀ غالب و اکثریت و پررونق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شگفتا که علی‌رغم این دو رویکرد که بر اساس دو مبنای مختلف مربوط به نظریۀ امامت مطرح شده است، مایکل شیعه را متهم به تسلیم و رضا می‌کند؛ درحالی‌که این لقب و برچسب زیبندۀ طبیعی نظریه عامۀ سنّیان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مایکل در مفهوم نهی از منکر به‌عنوان ابهام یاد می‌کند، چون موجب تناقض می‌شود؛ درحالی‌که نهی از منکر همان‌گونه که می‌تواند پیام ادّعای قیام برای رسیدن به قدرت باشد، می‌تواند بهانه‌ای باشد برای کسانی که نمی‌خواهند با دولت وقت مستقیم به جنگ برخیزند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این سخن و نحوۀ مواجهه با نهی از منکر، ناشی از ابهام در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نهی از منکر روشن است، ولی آنچه موجب تفاوت شده است، یکی اغراض و اهداف است و دیگری هم انجام نهی از منکر واقعی در مقابل بهانه‌جویی و تشبث به امری حق به نیت باطل و آن را بازیچۀ اهداف باطل خود قراردادن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استفاده یا داشتن نیّت فاسد و منافقانه در بهره‌برداری از یک حقیقت ارزشمند اخلاقی، نسبت به تمامی ارزش‌های گران‌بهای اخلاقی امکان دارد، ولی این را ناشی از ابهام در مفهوم نمی‌توان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زندگی خصوصی و نهی از منکر، مایکل از نگاه خود، به یک تناقض مهمی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درحالی‌که جلوگیری از منکر، کار شایسته‌ای است، دخالت در زندگی خصوصی کاری ناپسند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مایکل پس از تحلیل دو رویۀ این تناقض که در واقع چنانچه در ادامه خواهد آمد به نظر این قلم، تناقض‌نما و در ظاهر پارادوکسیکال است، نه تناقض واقعی، در چند صفحه </w:t>
      </w:r>
    </w:p>
    <w:p>
      <w:pPr>
        <w:pStyle w:val="BookText"/>
        <w:rPr/>
      </w:pPr>
      <w:r>
        <w:rPr>
          <w:rFonts w:ascii="IRNazanin" w:hAnsi="IRNazanin" w:eastAsia="IRNazanin"/>
          <w:color w:val="111111"/>
          <w:sz w:val="28"/>
          <w:sz w:val="28"/>
          <w:szCs w:val="28"/>
          <w:rtl w:val="true"/>
          <w:lang w:bidi="fa-IR"/>
        </w:rPr>
        <w:t xml:space="preserve">بعدتصریح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اندیشه اسلامی و تفکر غربی امروز فقط این نیست که مفهومی اسلامی همانند تصور غرب از زندگی خصوصی وجود ندارد، بلکه اندیشه اسلامی از نوع کاملاً متفاوتی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اینجا حق هم با مایکل است که منصفانه و خوشبختانه با قلمی روشن و بیانی زیبا به آن تصریح کرده است، با این توضیح که اصولاً مفهوم زندگی خصوصی و حریم خصوصی که جزء تفکر و فرهنگ غربی محسوب می‌شود و مایکل هم می‌پذیرد، این مفهوم همچون بسیاری از مفاهیم وارداتی غربی مانند تساهل و تسامح، خشونت، تروریزم، جرم سیاسی، پول‌شویی، دموکراسی، آزادی، مشروعیت، تا رنسانس و خاورمیانه و تا ده‌ها مفهوم دیگر سیاسی، اقتصادی، فرهنگی، اجتماعی، تربیتی، جغرافیایی، تاریخی و غیره همگی در دنیای اسلام و برای دنیای اسلام سابقه‌ای ندارند و لذا در ترجمه‌ای که از این واژه‌ها در زبان عربی و فارسی رخ داده است، باید دقّت کامل به خرج داد که دچار سوء برداشت و سوء تفاهم و سوء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آموزه‌های اسلامی چیزی به نام حریم خصوصی و یا زندگی خصوصی به مفهوم غربی آن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انگلیسی 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Privacy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که در فارسی به عبارت حریم خصوصی برگردانده شده و در عربی هم به معنای عزلة و سریّه ترجمه شده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این واژه در زبان و فرهنگ انگلیسی کاربردی فراوان دارد؛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حریم خصوصی همدیگر احترام بگذاریم؛</w:t>
      </w:r>
    </w:p>
    <w:p>
      <w:pPr>
        <w:pStyle w:val="BookText"/>
        <w:rPr/>
      </w:pPr>
      <w:r>
        <w:rPr>
          <w:rFonts w:eastAsia="Times New Roman" w:cs="Times New Roman" w:ascii="Times New Roman" w:hAnsi="Times New Roman"/>
          <w:color w:val="111111"/>
          <w:sz w:val="28"/>
          <w:szCs w:val="28"/>
          <w:lang w:val="en-US" w:bidi="en-US"/>
        </w:rPr>
        <w:t>Respecting other̓s privacy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برای حریم خصوصی خودشان ارزشی قائل‌اند؛</w:t>
      </w:r>
    </w:p>
    <w:p>
      <w:pPr>
        <w:pStyle w:val="BookText"/>
        <w:rPr/>
      </w:pPr>
      <w:r>
        <w:rPr>
          <w:rFonts w:eastAsia="Times New Roman" w:cs="Times New Roman" w:ascii="Times New Roman" w:hAnsi="Times New Roman"/>
          <w:color w:val="111111"/>
          <w:sz w:val="28"/>
          <w:szCs w:val="28"/>
          <w:lang w:val="en-US" w:bidi="en-US"/>
        </w:rPr>
        <w:t>These men valve &amp; heir privacy</w:t>
      </w:r>
    </w:p>
    <w:p>
      <w:pPr>
        <w:pStyle w:val="BookText"/>
        <w:rPr/>
      </w:pPr>
      <w:r>
        <w:rPr>
          <w:rFonts w:ascii="IRNazanin" w:hAnsi="IRNazanin" w:eastAsia="IRNazanin"/>
          <w:color w:val="111111"/>
          <w:sz w:val="28"/>
          <w:sz w:val="28"/>
          <w:szCs w:val="28"/>
          <w:rtl w:val="true"/>
          <w:lang w:bidi="fa-IR"/>
        </w:rPr>
        <w:t>نمی‌خواهم به حریم خصوصی شما تجاوز کنم؛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 don̓t want to infringe onyour privacy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حریم خصوصی شما وارد شدیم؛ </w:t>
      </w:r>
      <w:r>
        <w:rPr>
          <w:rFonts w:eastAsia="Times New Roman" w:cs="Times New Roman" w:ascii="Times New Roman" w:hAnsi="Times New Roman"/>
          <w:color w:val="111111"/>
          <w:sz w:val="28"/>
          <w:szCs w:val="28"/>
          <w:lang w:val="en-US" w:bidi="en-US"/>
        </w:rPr>
        <w:t>To invade your privacy</w:t>
      </w:r>
    </w:p>
    <w:p>
      <w:pPr>
        <w:pStyle w:val="BookText"/>
        <w:rPr/>
      </w:pPr>
      <w:r>
        <w:rPr>
          <w:rFonts w:ascii="IRNazanin" w:hAnsi="IRNazanin" w:eastAsia="IRNazanin"/>
          <w:color w:val="111111"/>
          <w:sz w:val="28"/>
          <w:sz w:val="28"/>
          <w:szCs w:val="28"/>
          <w:rtl w:val="true"/>
          <w:lang w:bidi="fa-IR"/>
        </w:rPr>
        <w:t xml:space="preserve">واژۀ دیگری در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فارسی به معنای شخصی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از جهت کاربرد در محیط فرهنگی و زندگی اسلامی نمونه دارد، مثل وسایل شخصی </w:t>
      </w:r>
      <w:r>
        <w:rPr>
          <w:rFonts w:eastAsia="Times New Roman" w:cs="Times New Roman" w:ascii="Times New Roman" w:hAnsi="Times New Roman"/>
          <w:color w:val="111111"/>
          <w:sz w:val="28"/>
          <w:szCs w:val="28"/>
          <w:lang w:val="en-US" w:bidi="en-US"/>
        </w:rPr>
        <w:t>Personaleffects</w:t>
      </w:r>
      <w:r>
        <w:rPr>
          <w:rFonts w:ascii="IRNazanin" w:hAnsi="IRNazanin" w:eastAsia="IRNazanin"/>
          <w:color w:val="111111"/>
          <w:sz w:val="28"/>
          <w:sz w:val="28"/>
          <w:szCs w:val="28"/>
          <w:rtl w:val="true"/>
          <w:lang w:bidi="fa-IR"/>
        </w:rPr>
        <w:t xml:space="preserve">؛ پاکیزگی شخصی </w:t>
      </w:r>
      <w:r>
        <w:rPr>
          <w:rFonts w:eastAsia="Times New Roman" w:cs="Times New Roman" w:ascii="Times New Roman" w:hAnsi="Times New Roman"/>
          <w:color w:val="111111"/>
          <w:sz w:val="28"/>
          <w:szCs w:val="28"/>
          <w:lang w:val="en-US" w:bidi="en-US"/>
        </w:rPr>
        <w:t>Personalhygiene</w:t>
      </w:r>
      <w:r>
        <w:rPr>
          <w:rFonts w:ascii="IRNazanin" w:hAnsi="IRNazanin" w:eastAsia="IRNazanin"/>
          <w:color w:val="111111"/>
          <w:sz w:val="28"/>
          <w:sz w:val="28"/>
          <w:szCs w:val="28"/>
          <w:rtl w:val="true"/>
          <w:lang w:bidi="fa-IR"/>
        </w:rPr>
        <w:t xml:space="preserve">؛ آزادی‌های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Personal freedoms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مالکیت خصوصی به‌عنوان مالکیت شخصی در برابر مالکیت عمومی و مالکیت دولتی داریم؛ یعنی مالکیتی که بدون اذن، حق تصرف برای غیرمالک وجود ندارد و سند آن مال و ملک به نام مالک خاص آن خورده است؛ ولی در اندیشۀ اسلامی چیزی به نام حریم و زندگی خصوصی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اسلام و فرهنگ اسلامی تعریف شده است، زندگی شخصی و آنچه مربوط به امور شخصی فرد است که دیگران حق ندارند و یا امکان ندارد که در مورد آن دخالت کنند، چنین امری وجود دارد، مثل بدن بی‌لباس و عریان هر شخصی که مربوط به خود اوست و حتی نزدیک‌ترین افراد هم حق لمس و نظر آن را ندارد، مگر مواردی خاص و مستثنا مثل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شخصی که بعضی مربوط به فیزیک بدنی و طبیعت شخصی است و برخی مربوط به سلیقۀ او و برخی هم مربوط به شخصیت هر آدمی است که بسیاری از آنها هم کسبی نیست، در این امور دیگران نمی‌توانند دخالت کنند و یا حق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و بیماری، انواع بیماری‌ها، چاقی و لاغری، رنگ چهره و سفید و سیاه بودن آن، کوتاهی و بلندی قد، کم‌هوشی و پرهوشی و غیره، اینها از امور شخصی است؛ اینکه آدمی فرزند کیست و از کدام قبیله و خانواده و شهر و کشور است و زبانش چه زبانی است، زن است یا مرد است، پیر است یا جوان و کودک، همگی جزء امور شخصی هرکس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شخصی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اموال شخصی افراد نیز جزء امور شخصی است که بدون اذن مالک یا بدون اذن شرعی قابل تصرف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این امور که بگذریم، چیزی خصوصی و شخصی که دیگران نباید دخالت کنند و به‌عنوان حریم زندگی تلقی شود مثل حریم یک ملک خصوصی که منوط به اذن مالک آن </w:t>
      </w:r>
    </w:p>
    <w:p>
      <w:pPr>
        <w:pStyle w:val="BookText"/>
        <w:rPr/>
      </w:pPr>
      <w:r>
        <w:rPr>
          <w:rFonts w:ascii="IRNazanin" w:hAnsi="IRNazanin" w:eastAsia="IRNazanin"/>
          <w:color w:val="111111"/>
          <w:sz w:val="28"/>
          <w:sz w:val="28"/>
          <w:szCs w:val="28"/>
          <w:rtl w:val="true"/>
          <w:lang w:bidi="fa-IR"/>
        </w:rPr>
        <w:t>است و حریم یک موقوفه که کسی حقّ نزدیکی و تصرّف آن را ندارد، چنین امر خصوصی در آموزۀ اسلامی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آموزۀ اسلامی هر آنچه در دایرۀ رفتار اختیاری آدمیان قرار می‌گیرد و جزء فعل اختیاری است، از ایمان و عقیده، عشق و علاقه و تنفر و انزجار که جزء پنهان‌ترین و شخصی‌ترین امور است و کسی از آدمیان جز خود شخص، مادامی که آن را ابراز نکرده است، اطلاعی از آن ندارد، تا امور شخصی دیگر مثل طرز پوشش، رنگ لباس، نوع و مدل مو و لباس، سبک زندگی و نوع رفتار در داخل منزل، تا بیرون منزل از لباسی که می‌پوشد و صدا و موسیقی‌ای که می‌شنود و فیلم و عکسی که نگاه می‌کند، همه و همه به مجرّد اینکه در شعاع دایرۀ اراده و اختیار واقع شد، شارع نسبت به آن حکمی از احکام صادر می‌کند، از وجوب تا حرمت، از مباح و مجاز تا مستحبّ و مکروه و به دنبال آن وقتی دارای حکمی شرعی بود، احکام مربوط به وظایف و تکالیف دیگران نیز در ارتباط با آن رفتار تعریف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اعم از خانواده و زن و شوهر نسبت به یکدیگر، یا فرزندان و والدین نسبت به هم، یا خواهر و برادر و یا سایر اقوام، تا همسایگان، افراد یک محله و یک شهر و یک منطقه و تا ارکان حکومتی و دستگاه‌های ذی‌ربط همه و همه، نسبت به آن رفتار تکلیفی دارند، اعم از تکلیف مبنی بر لزوم تأیید و پشتیبانی یا عدم‌دخالت و یا لزوم جلوگیری و منع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چیزی خصوصی، به نام زندگی خصوصی و حریم خصوصی به‌طور مطلق باقی نمی‌ماند؛ آنچه وجود دارد، امری نسبی است که هرکس اعم از جامعه، خانواده و حکومت نسبت به رفتار دیگری، تکلیفش و نوع برخوردی که شارع برای او تعریف کرده است و از او متوقع است، متفاوت خواهد بود از یک نفر نسبت به نفر دوم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دنیای غرب نسبت به جرم و تخلّف از قانون و سلب آزادی دیگری، حریمی برای مجرم تعریف نشده است و قانون و مجری قانون می‌تواند به حسب ماهیت جرم و رتبۀ آن و شخصیت مجرم و زمان و مکان آن اقدام کند، در اسلام این امر نسبت به بالاتر از جرم و تخلّف از قانون، یعنی گناه و معصیت و تخلّف از اوامر و نواهی شریعت و </w:t>
      </w:r>
    </w:p>
    <w:p>
      <w:pPr>
        <w:pStyle w:val="BookText"/>
        <w:rPr/>
      </w:pPr>
      <w:r>
        <w:rPr>
          <w:rFonts w:ascii="IRNazanin" w:hAnsi="IRNazanin" w:eastAsia="IRNazanin"/>
          <w:color w:val="111111"/>
          <w:sz w:val="28"/>
          <w:sz w:val="28"/>
          <w:szCs w:val="28"/>
          <w:rtl w:val="true"/>
          <w:lang w:bidi="fa-IR"/>
        </w:rPr>
        <w:t>دستورات اسلامی و زیرپاگذاشتن حقوق الهی یا حقوق مردمی به رسمیت شناخته شده است و دیگران در برابر آن مسئولیت دینی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مسئولیت‌های دیگران هم نسبت به ماهیت گناه و درجۀ آن و شخصیت گناهکار و زمان و مکان و شرایط آن و شخص دیگری که دخالت می‌کند،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لزوم ارشاد وراهنمایی تا وعظ و نصیحت، تا جلوگیری، تا اقدام نسبت به گناه گذشته تا پیشگیری از وقوع گناه در آینده تا منع از گناه در حال انجام،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یکی از مسئولیت‌هایی که برای دیگران در شریعت اسلامی به‌عنوان حق ولایت بر امر به معروف و نهی از منکر جعل و قرار داده شده است، تحقق شرایط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مردم جامعه نسبت به یکدیگر حق ولایت بر امر به معروف دارند و به‌عنوان این حق و جعل الهی با وجود شرایط، در رفتار دیگری حق دخالت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نوع و فرد و سایر امور و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یک روی سکه است و روی دیگر سکه حرمت تجسّس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اجْتَنِبُوا كَثِيرًا مِنْ الظَّنِّ إِنَّ بَعْضَ الظَّنِّ إِثْمٌ وَلاتَجَسَّسُوا</w:t>
      </w:r>
      <w:r>
        <w:rPr>
          <w:rFonts w:eastAsia="IRNazanin" w:cs="IRNazanin"/>
          <w:color w:val="111111"/>
          <w:sz w:val="28"/>
          <w:szCs w:val="28"/>
          <w:rtl w:val="true"/>
          <w:lang w:bidi="fa-IR"/>
        </w:rPr>
        <w:t>(.</w:t>
      </w:r>
      <w:r>
        <w:rPr>
          <w:rStyle w:val="FootnoteAnchor"/>
          <w:rtl w:val="true"/>
        </w:rPr>
        <w:footnoteReference w:id="15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رفتاری گناه‌آلود، در پنهان انجام می‌گیرد مانند ایکه در درون منزل یا در گوشه‌ای پنهان‌تر از خانه انجام می‌گیرد، تجسّس جایز نیست، مگر در مواردی استثنایی که در آن موارد نیز تنها به برخی افراد حقیقی و حقوقی دارای صلاحیت حق تجسّس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اغلب، اکثریت حق تجسّس امور پنهانی را ندارند، ولی همان‌طور که واژه‌هایی مثل پنهان و سرّ و ستر نشان می‌دهند، پنهان بودن یا مستور بودن یا جزء اسرار شمرده‌شدن، اموری نسبی است نه مطلق؛ ازاین‌رو یک گناه مثلاً نسبت به کسی که پنهان است، یک حکم دارد، ولی نسبت به فرد دومی که از او پنهان نیست، حکم دیگری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به‌هرحال جمع‌بندی این می‌شود که برخلاف گفتۀ مایکل، در اینجا تناقضی بین حریم و زندگی خصوصی و فریضۀ نهی از منکر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ظاهر پارادوکسیکال و تناقض‌نما است، حرمت تجسّس و وجوب نهی از منکر است، اما در این مطلب نیز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به لحاظ اصطلاح علم اصول تزاحمی با هم ندارند، بلکه تا زمانی که نسبت به فردی، گناهی پنهان و مستور است، حرمت تجسّس وجود دارد و نسبت به نهی از منکر تکلیفی وجود ندارد، ولی درصورتی‌که نسبت بهفردی پنهان بودن از بین رفت و فردی مثلاً زن نسبت به شوهر و برعکس آن، باخبر شد، برای او حرمت تجسّس از بین می‌رود و وظیفۀ نهی از منکر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ممکن است در مواردی حرمت تجسّس با تکلیفی دیگر تزاحم پیدا کند همچون وجوب مراقبت از امنیّت برای نیروهای مسئول آن که این موارد داخل در باب تزاحم خواهد بود و بر اساس معیارهای باب تزاحم که در علم اصول منقّح است، ملاک دو تکلیف ارزیابی می‌شود و بر اساس آن، تکلیفی که دارای ملاک اهمّ است،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بر اساس آنچه در بالا گذشت، بهتر بود عنوان زندگی خصوصی و نهی از منکر از کتاب مایکل حذف می‌شد و عنوان حرمت تجسّس و لزوم نهی از منکر به جای آن قرار می‌گرفت تا این شبهه‌ای که گاهی به‌عنوان اشکال بر نهی از منکر شنیده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 با نهی از منکر منافات دارد، پیش نمی‌آمد؛ چون این شبهه بر اساس مطالبی که در این سطور از نوشتار گفته شد، از ریشه جایی ندارد و به قول عالمان علم منطق، سالبه به انتفاء به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ششم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وظیفۀ زنان در مورد نهی از منکر، مطالبی را که مایکل مطرح کرده</w:t>
      </w:r>
      <w:r>
        <w:rPr>
          <w:rStyle w:val="FootnoteAnchor"/>
          <w:rtl w:val="true"/>
        </w:rPr>
        <w:footnoteReference w:id="156"/>
      </w:r>
      <w:r>
        <w:rPr>
          <w:rFonts w:ascii="IRNazanin" w:hAnsi="IRNazanin" w:eastAsia="IRNazanin"/>
          <w:color w:val="111111"/>
          <w:sz w:val="28"/>
          <w:sz w:val="28"/>
          <w:szCs w:val="28"/>
          <w:rtl w:val="true"/>
          <w:lang w:bidi="fa-IR"/>
        </w:rPr>
        <w:t xml:space="preserve">و برخی احکام ویژۀ زنان را که مستند به آیات قرآن است، به اشاره ردّ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عَلَيْهِنَّ </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و یا قضاوت زن و مانند آن که هرکدام در جای خود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اینکه گفته شود از نظر فقهی از حضور زنان در انظار عمومی و همدوشی با مردان بالغ و آزاد در جامعه اسلامی منع شده است و از جهاتی مناسب زنان نیست که سلطه‌ای را که مقتضی نهی از منکر است به کار گیرند، سخنی ناصواب و اتهام بوده و بر اساس فقه اسلامی به‌ویژه امامیه و بر اساس ادلۀ امر به معروف و نهی از منکر،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اسلامیبه جز مواردی خاص و ویژه در امور مربوط به خانواده و سرپرستی کودکان و مسائل ازدواج و طلاق و حدود و ارث که تفاوت در زن و مرد وجود دارد و البته نسبت به تمامی شریعت هم بسیار اندک است، اسلام احکام و دستورات و اوامر و نواهی خود را روی انسان مکلف برده است اعم از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روزه، حج، خمس، زکات، و انواع عبادات و معاملات، اعم از خرید، فروش، اجاره، مضاربه، مشارکت و غیره، همچنین احکام وضعی و تکلیفی مختلف مربوط به آدمیان اعم از زن و مرد است، اگرچه در هر مورد خاص درباره برخی افراد نسبت به برخی دیگر ویژگی‌ها و شرایطی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نیز چنین است؛ سلطه و ولایت بر این فریضه اختصاص به مردان ندارد و شامل زنان و حتی شامل بردگان هم می‌شود، البته با وجود شرایط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امامیه زن به‌راحتی می‌تواند در اجتماع به فعالیت‌های مختلف اجتماعی، فرهنگی، تربیتی و حتی سیاسی و اقتصادی بپردازد، منتهی با حفظ نوع پوشش و حریم عفاف خویش</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جهت مبارزه با منکر، تفاوتی میان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اسوۀ اسلامی همچون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عقیلۀ بنی‌هاشم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مأموریت‌های مرتبط با نهی از منکر به ایفای وظیفه و نقش پرداخته‌اند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مباحث مربوط به نقش علما در نهی از منکر، مایکل جمله‌ای را آورده که به‌نظر می‌رسد جملۀ اساسی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به‌رغم تمام منکرات جهان، خداوند بر سریر قدرت است و سرانجام نه قریباً، نظم اخلاقی را که عالمان از آن سخن می‌گویند محقق می‌سازد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این سخن با اندیشۀ مهدویت در اسلام و به‌ویژه امامیه، تناسب دارد که سرانجام بندگان صالح وارثان زمین خواهند بود و اساس نظم اخلاقی مبتنی بر الحاد و کفر و سکولار و اومانیزم رخت بر می‌کند و نظم اخلاقی توحیدی مبتنی بر آموزه‌های حکیمانۀ انبیای الهی که علما داعیۀآن را دارند در همه جا چیره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w:t>
      </w:r>
    </w:p>
    <w:p>
      <w:pPr>
        <w:pStyle w:val="BookText"/>
        <w:rPr/>
      </w:pPr>
      <w:r>
        <w:rPr>
          <w:rFonts w:ascii="Amiri" w:hAnsi="Amiri" w:eastAsia="Amiri" w:cs="Amiri"/>
          <w:color w:val="111111"/>
          <w:sz w:val="28"/>
          <w:sz w:val="28"/>
          <w:szCs w:val="28"/>
          <w:rtl w:val="true"/>
          <w:lang w:bidi="ar-SA"/>
        </w:rPr>
        <w:t>كَتَبْنَا فِی الزَّبُورِ مِن بَعْدِ الذِّكْرِ أَنَّ الأَرْضَ يَرِثُهَا عِبَادِی الصَّالِحُونَ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نکته‌ای را که مایکل در ادامه نسبت به امامیه ابراز می‌کند</w:t>
      </w:r>
      <w:r>
        <w:rPr>
          <w:rStyle w:val="FootnoteAnchor"/>
          <w:rtl w:val="true"/>
        </w:rPr>
        <w:footnoteReference w:id="161"/>
      </w:r>
      <w:r>
        <w:rPr>
          <w:rFonts w:ascii="IRNazanin" w:hAnsi="IRNazanin" w:eastAsia="IRNazanin"/>
          <w:color w:val="111111"/>
          <w:sz w:val="28"/>
          <w:sz w:val="28"/>
          <w:szCs w:val="28"/>
          <w:rtl w:val="true"/>
          <w:lang w:bidi="fa-IR"/>
        </w:rPr>
        <w:t>که امامیه نهی از منکر را به‌عنوان بخشی از جهاد مطرح می‌کنند و آن را در کتب فقهی می‌آورند، سخن حقی است و این سخن، ادعای دیگر نویسنده را که بارها امامیه را اهل تسلیم و رضا شمرده است،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هشتم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کوک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جامعۀ گسترده‌تر</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به بعد، مطالبی را در مورد نهی از منکر در گروه‌های اجتماعی غیرعلما ذکر می‌کند و معتقد است در جهان اسلام سنت‌های عقلی ممتازی وجود داشت که خارج یا تا حدّی خارج از مرزهای دینی بود و با این مفهوم می‌توان آن را غیردینی توصیف کرد و برای این مدّعی اندیشۀ فلسفه نظری سنّت یونانی و اندرزهای عملی سنّت ایرانی را مثال می‌آورد و بعد در ادامه مطالب ابن‌سینا را در اشارات و </w:t>
      </w:r>
    </w:p>
    <w:p>
      <w:pPr>
        <w:pStyle w:val="BookText"/>
        <w:rPr/>
      </w:pPr>
      <w:r>
        <w:rPr>
          <w:rFonts w:ascii="IRNazanin" w:hAnsi="IRNazanin" w:eastAsia="IRNazanin"/>
          <w:color w:val="111111"/>
          <w:sz w:val="28"/>
          <w:sz w:val="28"/>
          <w:szCs w:val="28"/>
          <w:rtl w:val="true"/>
          <w:lang w:bidi="fa-IR"/>
        </w:rPr>
        <w:t>تنبیهات به‌عنوان شاهد مدّعای خود ذکر می‌کند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همچنین به دنبال آن از اشعار حافظ برای مخالفت با امر به معروف مثال می‌آورد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 این ادّعای مایکل قدری توهم‌زا و ابهام دارد و تا حدودی عجیب است؛ چراکه امثال ابن‌سینا و حافظ، اوّلاً خود از علمای اسلامی و تربیت‌یافتۀ درون حوزه هستند و نمی‌توان آنها را در گروه اجتماعی غیرعلما جای داده و سخن آنها را برون‌دینی به حساب آورد؛ بلکه در فرهنگ اسلامی، میراث فلسفۀ یونان و اخلاق و اندرز ایرانی و شعر شاعران همگی با هم ممزوج و آمیخته می‌شوند و در راستای آموزه‌های اسلامی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ظاهر کلام مایکلبرمی‌آید که می‌خواهد تقسیم کار کرده و به کتاب‌های اخلاقی غیردینی که از نهی از منکر مطلبی دارند، نهی از منکر مبتنی بر روش‌های اخلاقی خارج از سنت دینی را نسبت دهد</w:t>
      </w:r>
      <w:r>
        <w:rPr>
          <w:rFonts w:eastAsia="IRNazanin" w:cs="IRNazanin"/>
          <w:color w:val="111111"/>
          <w:sz w:val="28"/>
          <w:szCs w:val="28"/>
          <w:rtl w:val="true"/>
          <w:lang w:bidi="fa-IR"/>
        </w:rPr>
        <w:t>.</w:t>
      </w:r>
      <w:r>
        <w:rPr>
          <w:rStyle w:val="FootnoteAnchor"/>
          <w:rtl w:val="true"/>
        </w:rPr>
        <w:footnoteReference w:id="16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در مجموع گویا می‌خواهد نهی از منکر را صددرصد دینی معرفی کند و در حاشیۀ آن از اخلاق غیردینی و فلسفۀ ابن‌سینا و شعر حافظ که مطالبی دربارۀ نهی از منکر دارند، به‌عنوان غیردینی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طبیعی این تقسیم‌بندی آن است که به نوعی پای اخلاق و فلسفه و شعر لائیک و سکولار و حتی وعظ و نصیحت غیردینی و خارج از نهی از منکر را به حیطه اندیشۀ اسلامی وارد کند، چیزی که کاملاً برخلاف واقعیت و حقیقت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که بر امر به معروف و نهی از منکر تأکید شده است، معروف و منکر لازم نیست همه تأسیسی باشد؛ بسیاری از معروف‌ها و منکرها مثل عدل و ظلم، اخلاق حسنه و اخلاق ذمیمه، مدارات، صدق، راستی و امانت، در مقابل خشونت و کذب و خیانت، از اموری‌اند که جزء ارزش‌های اخلاقی انسانی می‌باشند و اسلام هم آنها را امضا و تأیید کرده است، ولی نمی‌توان آنها را غیردینی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معروف و منکر اسلامی </w:t>
      </w:r>
    </w:p>
    <w:p>
      <w:pPr>
        <w:pStyle w:val="BookText"/>
        <w:rPr/>
      </w:pPr>
      <w:r>
        <w:rPr>
          <w:rFonts w:ascii="IRNazanin" w:hAnsi="IRNazanin" w:eastAsia="IRNazanin"/>
          <w:color w:val="111111"/>
          <w:sz w:val="28"/>
          <w:sz w:val="28"/>
          <w:szCs w:val="28"/>
          <w:rtl w:val="true"/>
          <w:lang w:bidi="fa-IR"/>
        </w:rPr>
        <w:t>دو گروه است، امضایی و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منکر امضایی شامل ارزش‌های جهانی و مربوط به کل انسانیت است و اسلام از آنها هم حمایت می‌کند و اقامۀ آنها را در سرلوحۀ کار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حتی یک خدمت کوچک مثل سنگی را از پیش پای کسی برداشتن، از معروف شمرده و مستحب تلقی می‌شود و ارزش دینی به شمار می‌آید؛ منتهی برخی ارزش‌های درون‌دینی هم داریم که دیگران از آن بی‌خبرند و مخصوص اسلام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نهی از منکر و اخلاق و وعظ و نصیحت و حتی فلسفۀ ابن‌سینا و شعر حافظ در درون فرهنگ اسلامی تفسیر می‌شود و نمی‌توان آنها را از امور غیردینی و بیرون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شعر حافظ زبان رمز و کنایه خود را دارد، چون به مباحث و موضوعات عرفانی و اسراری و مقامات اولیای الهی اشاره دارد و اینکه نباید آن اسرار برای دیگران کشف شود، ولی در مقام مخالفت با نهی از منکر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جملات مایکل کوک در صفحات پایانی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نهی از منکر را به‌عنوان حق منحصر علما تلقی کرده و بعد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چگونه به چنین حقی دست‌یافتند و آیا امیدوارند که بتوانند آن را در شرایط امروزی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قدری مبهم و مأیوسانه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حق و ولایت تمامی مکلفان بر یکدیگر است و مردم حتی در برابر عالم فاسد نیز باید مثل حاکم فاسد بایستند؛ بنابراین در اسلام به‌ویژه مذهب امامیه، چنین حقی از اساس و ریشه به رسمیت شناخته نشده است و در نتیجه، پاسخ از حفظ آن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مدرنیته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با گسترش مفاهیم اسلامی و برملاشدن مصیبت‌هایی که غرب وارد کرده است، جامعه به نحو بسیار با شکوهی به سمت این آموزه‌ها خواهد رفت و همان‌طور که نویسنده اذعان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اخلاقی نوین را که مبتنی بر تمدّن اسلامی است مستقر خواهد کرد</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8666_122839"/>
      <w:bookmarkStart w:id="671" w:name="pg8666_122839"/>
      <w:bookmarkEnd w:id="671"/>
    </w:p>
    <w:p>
      <w:pPr>
        <w:pStyle w:val="Heading2"/>
        <w:numPr>
          <w:ilvl w:val="1"/>
          <w:numId w:val="1"/>
        </w:numPr>
        <w:rPr/>
      </w:pPr>
      <w:bookmarkStart w:id="672" w:name="pg8666_122839"/>
      <w:bookmarkStart w:id="673" w:name="__RefHeading___Toc2419960_653776707"/>
      <w:bookmarkStart w:id="674" w:name="_Toc260"/>
      <w:bookmarkEnd w:id="672"/>
      <w:bookmarkEnd w:id="673"/>
      <w:r>
        <w:rPr>
          <w:rtl w:val="true"/>
        </w:rPr>
        <w:t>بخش پنجم</w:t>
      </w:r>
      <w:r>
        <w:rPr>
          <w:rtl w:val="true"/>
        </w:rPr>
        <w:t xml:space="preserve">: </w:t>
      </w:r>
      <w:r>
        <w:rPr>
          <w:rtl w:val="true"/>
        </w:rPr>
        <w:t>فراسوی اسلام سنتی</w:t>
      </w:r>
      <w:bookmarkEnd w:id="67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2419962_653776707"/>
      <w:bookmarkStart w:id="676" w:name="_Toc261"/>
      <w:bookmarkEnd w:id="675"/>
      <w:r>
        <w:rPr>
          <w:rtl w:val="true"/>
        </w:rPr>
        <w:t>اشاره</w:t>
      </w:r>
      <w:bookmarkEnd w:id="67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8666_122845"/>
      <w:bookmarkStart w:id="678" w:name="pg8666_122845"/>
      <w:bookmarkEnd w:id="678"/>
    </w:p>
    <w:p>
      <w:pPr>
        <w:pStyle w:val="Heading3"/>
        <w:numPr>
          <w:ilvl w:val="2"/>
          <w:numId w:val="1"/>
        </w:numPr>
        <w:rPr/>
      </w:pPr>
      <w:bookmarkStart w:id="679" w:name="pg8666_122845"/>
      <w:bookmarkStart w:id="680" w:name="__RefHeading___Toc2419964_653776707"/>
      <w:bookmarkStart w:id="681" w:name="_Toc262"/>
      <w:bookmarkEnd w:id="679"/>
      <w:bookmarkEnd w:id="680"/>
      <w:r>
        <w:rPr>
          <w:rtl w:val="true"/>
        </w:rPr>
        <w:t>گزارش و ارزیابی فصل هجدهم</w:t>
      </w:r>
      <w:r>
        <w:rPr>
          <w:rtl w:val="true"/>
        </w:rPr>
        <w:t xml:space="preserve">: </w:t>
      </w:r>
      <w:r>
        <w:rPr>
          <w:rtl w:val="true"/>
        </w:rPr>
        <w:t>تحولات جدید اسلامی</w:t>
      </w:r>
      <w:bookmarkEnd w:id="681"/>
    </w:p>
    <w:p>
      <w:pPr>
        <w:pStyle w:val="Heading4"/>
        <w:numPr>
          <w:ilvl w:val="3"/>
          <w:numId w:val="1"/>
        </w:numPr>
        <w:rPr/>
      </w:pPr>
      <w:bookmarkStart w:id="682" w:name="__RefHeading___Toc2419966_653776707"/>
      <w:bookmarkStart w:id="683" w:name="_Toc263"/>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گزارش و ارزیابی 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جدید اسلامی</w:t>
      </w:r>
      <w:r>
        <w:rPr>
          <w:rStyle w:val="FootnoteAnchor"/>
          <w:rtl w:val="true"/>
        </w:rPr>
        <w:footnoteReference w:id="167"/>
      </w:r>
    </w:p>
    <w:p>
      <w:pPr>
        <w:pStyle w:val="Heading4"/>
        <w:numPr>
          <w:ilvl w:val="3"/>
          <w:numId w:val="1"/>
        </w:numPr>
        <w:rPr/>
      </w:pPr>
      <w:bookmarkStart w:id="684" w:name="__RefHeading___Toc2419968_653776707"/>
      <w:bookmarkStart w:id="685" w:name="_Toc264"/>
      <w:bookmarkEnd w:id="684"/>
      <w:r>
        <w:rPr/>
        <w:t>1</w:t>
      </w:r>
      <w:r>
        <w:rPr>
          <w:rtl w:val="true"/>
        </w:rPr>
        <w:t xml:space="preserve">. </w:t>
      </w:r>
      <w:r>
        <w:rPr>
          <w:rtl w:val="true"/>
        </w:rPr>
        <w:t>مقدمه</w:t>
      </w:r>
      <w:bookmarkEnd w:id="685"/>
    </w:p>
    <w:p>
      <w:pPr>
        <w:pStyle w:val="Heading5"/>
        <w:numPr>
          <w:ilvl w:val="4"/>
          <w:numId w:val="1"/>
        </w:numPr>
        <w:rPr/>
      </w:pPr>
      <w:bookmarkStart w:id="686" w:name="__RefHeading___Toc2419970_653776707"/>
      <w:bookmarkStart w:id="687" w:name="_Toc265"/>
      <w:bookmarkEnd w:id="686"/>
      <w:r>
        <w:rPr>
          <w:rtl w:val="true"/>
        </w:rPr>
        <w:t>الف</w:t>
      </w:r>
      <w:r>
        <w:rPr>
          <w:rtl w:val="true"/>
        </w:rPr>
        <w:t xml:space="preserve">) </w:t>
      </w:r>
      <w:r>
        <w:rPr>
          <w:rtl w:val="true"/>
        </w:rPr>
        <w:t>گزارش</w:t>
      </w:r>
      <w:bookmarkEnd w:id="68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مایکل کوک مباحث فصل هجدهم را که حجیم‌ترین فصل کتاب، با حدود هشتاد و هفت صفحه را به خود اختصاص داده است، به دو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مربوط به جریان کلی و غالب اندیشه‌های اهل سنت و بخش دوم مربوط به شیعه امامیه است و سپس در بخش پایانی بین این دو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آقای کوک اگرچه به‌طور منطقی بررسی اندیشه‌های اسلامی بر حسب فرقه‌ها و گروه‌ها از فصل یک تا هفده انجام شد، ولی یکی از جنبه‌های متعدد نفوذ غرب که تحولی عظیم در جهان اسلام پدید آورد، این بود که وابستگی‌های فرقه‌ای به‌تدریج اهمیت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حنفی و شافعی یا اشعری و اهل حدیث و یا اهل سنت و زیدیه و اباضیه تأثیر زیادی در روش روبنایی فکری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شیعۀ امامیه از طیف وسیع اسلام امروز متمایز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w:t>
      </w:r>
      <w:bookmarkStart w:id="688" w:name="pg8666_122848"/>
    </w:p>
    <w:p>
      <w:pPr>
        <w:pStyle w:val="BookText"/>
        <w:rPr/>
      </w:pPr>
      <w:bookmarkEnd w:id="688"/>
      <w:r>
        <w:rPr>
          <w:rFonts w:ascii="IRNazanin" w:hAnsi="IRNazanin" w:eastAsia="IRNazanin"/>
          <w:color w:val="111111"/>
          <w:sz w:val="28"/>
          <w:sz w:val="28"/>
          <w:szCs w:val="28"/>
          <w:rtl w:val="true"/>
          <w:lang w:bidi="fa-IR"/>
        </w:rPr>
        <w:t>تقسيم‌بندی برجای مانده كاملاً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نيست كه ميراث اهل سنت و اماميه از نظر محتوا و خصوصيات، در موارد بسياری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تمايزی كه ما در اين فصل به بررسی آن می‌پردازيم تا حدّی مربوط به سرنوشت نابرابر اين دو سنت مدرسی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اهل سنت رسيده دقيقاً به‌صورت تراثی درآمده تا اندازه‌ای شبيه بنای تاريخی مقدسی كه مورد احترام مردمانی است كه اكنون در حقيقت در آن به سر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عكس، سنت مدرسی اماميه را می‌توان هنوز سنتی زنده توصيف كرد كه استمرار و سازگاری آن مديون علمايی است كه در درون آن عمل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آن باشد كه اين تفاوت از جهاتی بيشتر ظاهری است تا اصولی و در آينده‌ای دور از ميان خواهد رفت، اما تا به امروز سنتی درخور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معتقد است تراث قدیم اهل سنت دچار تحول و مقداری از بین رفته، اما در حقیقت سره از ناسره جدا شده است، ولی در رابطه با دوران معاصر چنین نیست</w:t>
      </w:r>
      <w:r>
        <w:rPr>
          <w:rFonts w:eastAsia="IRNazanin" w:cs="IRNazanin"/>
          <w:color w:val="111111"/>
          <w:sz w:val="28"/>
          <w:szCs w:val="28"/>
          <w:rtl w:val="true"/>
          <w:lang w:bidi="fa-IR"/>
        </w:rPr>
        <w:t>.</w:t>
      </w:r>
    </w:p>
    <w:p>
      <w:pPr>
        <w:pStyle w:val="Heading5"/>
        <w:numPr>
          <w:ilvl w:val="4"/>
          <w:numId w:val="1"/>
        </w:numPr>
        <w:rPr/>
      </w:pPr>
      <w:bookmarkStart w:id="689" w:name="__RefHeading___Toc2419972_653776707"/>
      <w:bookmarkStart w:id="690" w:name="_Toc266"/>
      <w:bookmarkEnd w:id="689"/>
      <w:r>
        <w:rPr>
          <w:rtl w:val="true"/>
        </w:rPr>
        <w:t>ب</w:t>
      </w:r>
      <w:r>
        <w:rPr>
          <w:rtl w:val="true"/>
        </w:rPr>
        <w:t xml:space="preserve">) </w:t>
      </w:r>
      <w:r>
        <w:rPr>
          <w:rtl w:val="true"/>
        </w:rPr>
        <w:t>ارزیابی</w:t>
      </w:r>
      <w:bookmarkEnd w:id="690"/>
    </w:p>
    <w:p>
      <w:pPr>
        <w:pStyle w:val="BookText"/>
        <w:rPr/>
      </w:pPr>
      <w:r>
        <w:rPr>
          <w:rFonts w:ascii="IRNazanin" w:hAnsi="IRNazanin" w:eastAsia="IRNazanin"/>
          <w:color w:val="111111"/>
          <w:sz w:val="28"/>
          <w:sz w:val="28"/>
          <w:szCs w:val="28"/>
          <w:rtl w:val="true"/>
          <w:lang w:bidi="fa-IR"/>
        </w:rPr>
        <w:t>بخش پنجم کتاب امر به معروف و نهی از منکر مایکل کوک، به‌ویژه فصل هجدهم آن را با عنوان تحولات جدید اسلامی، می‌توان بیت‌الغزل کار او معرفی کرد؛ گویا فصول هفده‌گانۀ گذشته، همگی مقدمه‌ای تمهیدی برای مطالب بخش پنجم و طولانی‌ترین فصل آن، یعنی فصل هجدهم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اساسی و قابل تأمل در مقام ارزیابی این بخش از کتاب همچون شیوۀ ارزیابی فصول پیشین در ضمن نکاتی بیان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نکتۀ اوّل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در طلیعۀ فصل هجدم، به تأثیر نفوذ غرب بر تحوّلات جهان اسلام اشاره می‌کند و از جملۀ آنها تغییر در آرایش فرقه‌گرایی اسلامی را تلقی می‌کند و معتقد است علی‌رغم اختلافات چند صدسالۀ فرق مختلف اسلامی، هم‌اکنون آنچه از گذشته بر جای مانده و واقعی است، تنها شیعه امامیه است که متمایز از طیف وسیع اسلامی است و در مقام تشبیه، تراث اهل سنت را شبیه بنای تاریخی مقدسی می‌داند که مورد احترام مردمانی </w:t>
      </w:r>
    </w:p>
    <w:p>
      <w:pPr>
        <w:pStyle w:val="BookText"/>
        <w:rPr/>
      </w:pPr>
      <w:r>
        <w:rPr>
          <w:rFonts w:ascii="IRNazanin" w:hAnsi="IRNazanin" w:eastAsia="IRNazanin"/>
          <w:color w:val="111111"/>
          <w:sz w:val="28"/>
          <w:sz w:val="28"/>
          <w:szCs w:val="28"/>
          <w:rtl w:val="true"/>
          <w:lang w:bidi="fa-IR"/>
        </w:rPr>
        <w:t>است که در آن به سر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امامیه که هنوز سنتی زنده دارند و آن‌گاه مأیوسانه احتمال می‌دهد که این تمایز هم بیشتر ظاهری باشد نه اصولی و در آینده‌ای دور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تحلیل مایکل از سیر تحوّلات جهان اسلام بر اثر نفوذ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طرف تراث فکری و قدرت غرب را فوق‌العاده در نظر جلوه می‌دهد و از طرف دیگر تراث فکری جهان اسلام را به جز یک مورد، بقیۀ آن را مرده و شکست‌خورده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ناشی از القاء به مخاطب یا خودباختگی نباشد، با واقعیّات چندان سازگار نیست؛ چون تراث اسلامیمسلمانان بسیار عمیق‌تر از آن است که بر اثر نفوذ غرب آن را مرده و بدون مردمانی که در آن ساکن هستند،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اسلامی، به‌ویژه جوانان آن امروزه در مقام بازگشت به هویت اصیل خویش و درمان عقب‌افتادگی و رفع نفوذ غرب‌اند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اگرچه اکنون بر اثر قدرت مادّی، خود را به‌عنوان فرهنگ مسلط جلوه می‌دهد، ولی فرهنگ چند صدسالۀ اسلامی با پشتوانۀ وحیانی کتاب و سنت و تمدن دیرینه‌ای که دارد از جهت غنا و استدلال و منطق و برهان قابل مقایسه با تمدّن غربی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دهه‌های اخیر و تلاش برای رهایی از یوغ استعمار و استثمار قدیم و جدید و یوغ استحمار و مدرنیتۀ غربی، به‌تدریج تبدیل به خواست عمومی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یمن، بحرین، فلسطین، لبنان، پاکستان، عراق، افغانستان، مصر، سودان و نیجریه و به‌طور کلی تمامی آفریقا، حتی در مناطق سنیان، همگی دلالت بر این حقیقت می‌کند؛ حتی گروه‌های تکفیری که به دست قدرتمندان و استکبار غربی پدید آمده‌اند، ولی گذشته از سردمداران و اتاق فکری که آنها را هدایت می‌کنند، لایه‌های پایین این گروه‌ها که جوانان فریب‌خورده و جاهل تشکیل می‌دهند، انگیزۀ آنها چیزی جز بازگشت به اسلام و هویت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نکتۀ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خود غرب در سراشیبی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هرگز آن ظرفیت سلطه بر جهان اسلام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مادّی‌گرایی، اصالت لذّت، خودخواهی، هواپرستی، انکار معنویت و قیامت، دست‌درازی به منافع دیگران و مواهب مظلومان عالم </w:t>
      </w:r>
    </w:p>
    <w:p>
      <w:pPr>
        <w:pStyle w:val="BookText"/>
        <w:rPr/>
      </w:pPr>
      <w:r>
        <w:rPr>
          <w:rFonts w:ascii="IRNazanin" w:hAnsi="IRNazanin" w:eastAsia="IRNazanin"/>
          <w:color w:val="111111"/>
          <w:sz w:val="28"/>
          <w:sz w:val="28"/>
          <w:szCs w:val="28"/>
          <w:rtl w:val="true"/>
          <w:lang w:bidi="fa-IR"/>
        </w:rPr>
        <w:t>که اساس و بنیان تمدن فردگرایی و اومانیزم و لیبرالیزم و سکولاریزم و مدرنیته غربی را تشکیل می‌دهد، چیزی نیست که قابل 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ولایبقی مع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خود غربیان منصف به‌ویژه جوانان حق‌طلب که فطرتاً به دنبال حقایق هستند، از این فرهنگ ابتذال سرخورده شده‌اند و به دنبال معنویت می‌گردند؛ به‌گونه‌ای که گویا مبتکران غرب به سراسیمه افتاده‌اند و در تکاپوی آن هستند که از سراشیبی سقوط جهان الحاد غربی جلوگیری کنند، ولی این سنت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كَتَبْنَا فِی الزَّبُورِ مِن بَعْدِ الذِّكْرِ أَنَّ الأَرْضَ يَرِثُهَا عِبَادِيَ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نکتۀ سابق این نکته را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عقاید امامیه که مبتنی بر معارف وحیانی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اسلام ناب را معرفی می‌کند، با سایر فرق اسلامی قابل مقایسه نیست، به‌ویژه در مسئلۀ امامت و اینکه آن را به نصب و جعل الهی و مشروط به عصمت می‌دانند، ولی اینکه مایکل کوک مأیوسانه به خوانندۀ خود القاء می‌کند این گروه متمایز که هنوز پایبند تراث اسلامی می‌باشند، تمایزشان بیشتر ظاهری است و در آیندۀ دور مضمحّل خواهند شد و آنها هم در برابر نفوذ غرب دستان خود را به علامت تسلیم بالا خواهند برد، این هم اگر ناشی از القاء یا خودباختگی نباشد، حداقل بسیار ناپخته و ناشی از عدم‌شناخت از اصولی اساسی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 بتوان آن را برای کسی که در فرهنگ و جغرافیایی متمایز زیسته است، طبیعی دانست، ولی حقیقت آن است که تفاوت امامیه با سایرین، تفاوتی اصولی و اساسی در تمامی اصول و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امامیه به تمامی امور از مبدأ تا معاد و تمامی ذرّات آفرینش و ولایت الهیه و ربوبیت تکوینی و تشریعی و هدف از خلقت عالم و آدم و خلافت انسان بر زمین و انسان کامل و ضرورت حجت در هر زمان و سرنوشت جامعۀ بشری در نهایت، در تمامی این امور تا برسد به مباحث فرعی شریعت و فقه، بسیار نگاهی متمایز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امامیه در طول تاریخ در مسیر رشد و تعالی قرار داشته است و اکنون نیز همچنان مسیر روبه‌رشد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بسیاری از جوامع اسلامی و جوانان پرشور حق‌طلب، به حقیقت مدرسه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برده‌اند، به‌گونه‌ای </w:t>
      </w:r>
      <w:bookmarkStart w:id="691" w:name="pg8666_122858"/>
    </w:p>
    <w:p>
      <w:pPr>
        <w:pStyle w:val="BookText"/>
        <w:rPr/>
      </w:pPr>
      <w:bookmarkEnd w:id="691"/>
      <w:r>
        <w:rPr>
          <w:rFonts w:ascii="IRNazanin" w:hAnsi="IRNazanin" w:eastAsia="IRNazanin"/>
          <w:color w:val="111111"/>
          <w:sz w:val="28"/>
          <w:sz w:val="28"/>
          <w:szCs w:val="28"/>
          <w:rtl w:val="true"/>
          <w:lang w:bidi="fa-IR"/>
        </w:rPr>
        <w:t>که سران و عالمان فرق دیگر را بیمناک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سایر جوامع، از جمله جوامع غربی نیز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اینکه در برابر نفوذ غرب مقاومت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متمایز است و پرچم مبارزه با غرب در اختیار ایشان است، همین اصالت درونی و ذاتی این مکتب است و این تمایز ذاتی و اصولی است نه ظاهری و ثانیاً خواب اضمحلال و نابودی آن هرگز تعبیر نخواهد شد و برعکس آنچه تمدن سلطه‌گر غربی را به اضمحلال خواهد کشانید، همین مدرسه مبتنی بر حق و حقیقت‌طلبی و مقاومت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کتاب امر به معروف مایکل، آنچه به‌خوبی گاهی خودنمایی می‌کند از جمله در مورد اضمحلال اسلام و امامیه، تحلیل‌های بی‌مستند و سست و ذهن‌گرایانه‌ای استکه در مواردی نویسنده بر اساس باورهای غیردقیق و یا بر اثر ترس‌ها و آرزوهای خود به خواننده تلقین می‌کند</w:t>
      </w:r>
      <w:r>
        <w:rPr>
          <w:rFonts w:eastAsia="IRNazanin" w:cs="IRNazanin"/>
          <w:color w:val="111111"/>
          <w:sz w:val="28"/>
          <w:szCs w:val="28"/>
          <w:rtl w:val="true"/>
          <w:lang w:bidi="fa-IR"/>
        </w:rPr>
        <w:t>.</w:t>
      </w:r>
    </w:p>
    <w:p>
      <w:pPr>
        <w:pStyle w:val="Heading4"/>
        <w:numPr>
          <w:ilvl w:val="3"/>
          <w:numId w:val="1"/>
        </w:numPr>
        <w:rPr/>
      </w:pPr>
      <w:bookmarkStart w:id="692" w:name="__RefHeading___Toc2419974_653776707"/>
      <w:bookmarkStart w:id="693" w:name="_Toc267"/>
      <w:bookmarkEnd w:id="692"/>
      <w:r>
        <w:rPr/>
        <w:t>2</w:t>
      </w:r>
      <w:r>
        <w:rPr>
          <w:rtl w:val="true"/>
        </w:rPr>
        <w:t xml:space="preserve">. </w:t>
      </w:r>
      <w:r>
        <w:rPr>
          <w:rtl w:val="true"/>
        </w:rPr>
        <w:t>تحولات اسلام اهل سنت</w:t>
      </w:r>
      <w:bookmarkEnd w:id="693"/>
    </w:p>
    <w:p>
      <w:pPr>
        <w:pStyle w:val="Heading5"/>
        <w:numPr>
          <w:ilvl w:val="4"/>
          <w:numId w:val="1"/>
        </w:numPr>
        <w:rPr/>
      </w:pPr>
      <w:bookmarkStart w:id="694" w:name="__RefHeading___Toc2419976_653776707"/>
      <w:bookmarkStart w:id="695" w:name="_Toc268"/>
      <w:bookmarkEnd w:id="694"/>
      <w:r>
        <w:rPr>
          <w:rtl w:val="true"/>
        </w:rPr>
        <w:t>الف</w:t>
      </w:r>
      <w:r>
        <w:rPr>
          <w:rtl w:val="true"/>
        </w:rPr>
        <w:t xml:space="preserve">) </w:t>
      </w:r>
      <w:r>
        <w:rPr>
          <w:rtl w:val="true"/>
        </w:rPr>
        <w:t>گزارش</w:t>
      </w:r>
      <w:bookmarkEnd w:id="69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اسلام تأثیر داشته، ما با این وجود، در این جنبه از اندیشۀ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کمتری داشته است؛ چون علمای دینی به نوشتن درباره نهی از منکر به روش سنتی ادامه دادند؛ مثلاً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حسن خان 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آیۀ بالا مطالبی را نوشته‌اند و ازسوی‌دیگر اندکی از مسلمان‌ها که از نظر فکری به‌شدّت متأثر از غرب بودند، نیز علاقۀ بیشتری به نهی از منکر نشان داده و از آثار پیشینیان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غزالی در بین نوشته‌ها،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المنار، حیدری‌زاده، عبدالقادر 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جلال‌الدین عَمْری، دانشمند هندی، سعید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علی‌بن‌حاج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مباحث غزالی در نهی از منکر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گرایش به افکار غزالی جای تعجب نیست، چون او روشی جذاب و عمل‌گرایی در </w:t>
      </w:r>
    </w:p>
    <w:p>
      <w:pPr>
        <w:pStyle w:val="BookText"/>
        <w:rPr/>
      </w:pPr>
      <w:r>
        <w:rPr>
          <w:rFonts w:ascii="IRNazanin" w:hAnsi="IRNazanin" w:eastAsia="IRNazanin"/>
          <w:color w:val="111111"/>
          <w:sz w:val="28"/>
          <w:sz w:val="28"/>
          <w:szCs w:val="28"/>
          <w:rtl w:val="true"/>
          <w:lang w:bidi="fa-IR"/>
        </w:rPr>
        <w:t>تفسیر و شرایط نهی از منکر ارائه داد که این امر سبب شد همه به او گرایش داشته و از نوشته‌ها و مطالبش اقتباس نمایند و از مرز فرقه‌ها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نوشته‌ها، گاهی ملایم و زمانی آزاردهنده این نکته را فریاد می‌زنند که مفاهیم کهن در بافت جدید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نفوذ غرب، به گنجینۀ سنتی منکر راه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مراد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به هنگام بد اقبالی نظامی، یکی از علمای گمنام الازهر، خدیو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در خلوت چنین بیان می‌کند که چگونه خدیو، انتظار یاری از خدا را دارد، درحالی‌که دادگاه‌ها برحسب قانونی کار می‌کنند که ربا را جایز می‌شمارد، زنا را مجاز و شرب خمر را قانونی می‌داند؟ خدیو در پاسخ عالم،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از ما ساخته است درحالی‌که در کنار خارجیانی زندگی می‌کنیم که تمدن آنها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فیصل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گروهی از مسلمانانی که در فرانسه زندگی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اروپایی جز منکرات چیز دیگری نیست و از جمله منکرات سینما را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نگرانی در مورد منکراتی چون عکس‌ها و پوستر‌های مبتذل و مکان‌های شلوغ و تماس مردان و زنان با هم و حرمت ریش‌تراشی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پاسخ به وظیفه روزنامه‌نگاران می‌پردازند که با زبان نهی از منکر می‌کنند و از کافه‌هایی که در آنها ورق‌بازی و شراب نیست، می‌گویند و از اصول اخلاقی پارک خودرو در خیابان می‌گویند و به این صورت از سبک زندگی غرب دفاع می‌کنند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افکار نو به قلمرو اندیشه‌ها نیز نفوذ می‌کند، مانند اینکه تفکر غرب در تغییر نظر عبده و اعتقاد شدید او مبنی بر وحیانی‌بودن نهی از منکر تأثیرگذار می‌شود و حوا از نفوذ اندیشۀ غرب در اندیشه اسلامی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آرای غربی که خود را نشان می‌دهد، از نظم اجتماعی تا ضمیر ناخودآگاه در تغییر است؛ البته در عین تأثیرگذاری به اندیشه‌های غربی نیز حمله می‌شود و از باب نمونه یکی از نویسندگان در باب نهی از منکر لازم می‌بیند در کتابش از رد مغالطه‌ها و اقوال باطلۀ شوپنهاور و اسپینوزا یاد کند و آن را نقد نماید</w:t>
      </w:r>
      <w:r>
        <w:rPr>
          <w:rFonts w:eastAsia="IRNazanin" w:cs="IRNazanin"/>
          <w:color w:val="111111"/>
          <w:sz w:val="28"/>
          <w:szCs w:val="28"/>
          <w:rtl w:val="true"/>
          <w:lang w:bidi="fa-IR"/>
        </w:rPr>
        <w:t xml:space="preserve">. </w:t>
      </w:r>
      <w:bookmarkStart w:id="696" w:name="pg8666_122863"/>
    </w:p>
    <w:p>
      <w:pPr>
        <w:pStyle w:val="Heading5"/>
        <w:numPr>
          <w:ilvl w:val="4"/>
          <w:numId w:val="1"/>
        </w:numPr>
        <w:rPr/>
      </w:pPr>
      <w:bookmarkStart w:id="697" w:name="__RefHeading___Toc2419978_653776707"/>
      <w:bookmarkStart w:id="698" w:name="_Toc269"/>
      <w:bookmarkEnd w:id="696"/>
      <w:bookmarkEnd w:id="697"/>
      <w:r>
        <w:rPr>
          <w:rtl w:val="true"/>
        </w:rPr>
        <w:t>ب</w:t>
      </w:r>
      <w:r>
        <w:rPr>
          <w:rtl w:val="true"/>
        </w:rPr>
        <w:t xml:space="preserve">) </w:t>
      </w:r>
      <w:r>
        <w:rPr>
          <w:rtl w:val="true"/>
        </w:rPr>
        <w:t>ارزیابی</w:t>
      </w:r>
      <w:r>
        <w:rPr>
          <w:rtl w:val="true"/>
        </w:rPr>
        <w:t xml:space="preserve">: </w:t>
      </w:r>
      <w:r>
        <w:rPr>
          <w:rtl w:val="true"/>
        </w:rPr>
        <w:t>گونه‌های مواجهه با غرب در جهان اسلام</w:t>
      </w:r>
      <w:bookmarkEnd w:id="698"/>
    </w:p>
    <w:p>
      <w:pPr>
        <w:pStyle w:val="BookText"/>
        <w:rPr/>
      </w:pPr>
      <w:r>
        <w:rPr>
          <w:rFonts w:ascii="IRNazanin" w:hAnsi="IRNazanin" w:eastAsia="IRNazanin"/>
          <w:color w:val="111111"/>
          <w:sz w:val="28"/>
          <w:sz w:val="28"/>
          <w:szCs w:val="28"/>
          <w:rtl w:val="true"/>
          <w:lang w:bidi="fa-IR"/>
        </w:rPr>
        <w:t>در بحثی تحت عنوان تحولات اسلام اهل سنت که نویسنده در مقام آن است که نفوذ غرب را در طول سالیان دراز در بخشی از جهان اسلام مرتبط با اندیشۀ سنیان بیان دارد، اگرچه از نظر زمان، بازۀ زمانی آن را از جهت ابتدا و انتها به ابهام خود وامی‌گذارد، ولی معتقد است نفوذ غرب به گنجینۀ سنتی منکر حیات تازه‌ای بخشیده است و عده‌ای از اندیشمندان و عالمان سنی از جمله چهره‌هایی همچون عبده و رشیدرضا متأثر از افکار نواندیشی غرب می‌شوند و برای اندازه‌گیری تأثیر اندیشۀ غربی یکی از ملاک‌ها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چیزهای شایسته‌ای که در غرب وجود دارد از مشروطه‌خواهی تا انقلاب و نظم اجتماعی و حقوق بشر و حق تشکیل انجمن‌ها و پارلمان و شوراها همگی اسلامی‌اند؛ ولی حقیقت آن است که در میان متفکران و اندیشمندان مسلمان، در مورد نگاه به غرب همواره افراط و تفریط‌هایی مشاهدهمی‌شود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عده‌ای با تمامی مظاهر مدرنیته جهان غرب و پیشرفت‌ها و فراورده‌های علمی و تکنولوژی آن مخالفت داشته‌اند و آن را مضرّ برای اخلاق و معنویت و انسانیت تلقی کرده‌اند، عده‌ای هم افراط‌گرایانه، سر تسلیم و خضوع به مظاهر تمدن غربی فروآورده و در برابر آن حاضر به ساییدن جبین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معتقدند برای پیشرفت باید از سر تا قدم فرنگی شد، احیاناً اگر در فرهنگ اسلامی نکاتی را می‌یابند که می‌توان آن را در مسیر نفوذ غرب توحیه کرد، به‌گونه‌ای که هموار کننده حرکت سلطه‌گر آن باشد، به آن می‌چسبند و مغرضانه و منافقانه، به آن استناد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روشنفکران غرب‌گرای عصر مشروطه در ایران همچون میرزاملکم خان از این قبیل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این میان یک طیف معتدل و آگاه وجود داشته و دارد که در برابر خودباختگی گروه دوم و جمود و جزم‌اندیشی گروه اول مقاومت کرده‌اند، از مواهب پیشرفت جهان مدرن خود را محروم نساخته‌اند، ولی درعین‌حال سر تعظیم و کرنش در برابر خداانگاری آنها نیز فرود نیاورده و حاضر به پرستش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طیف سوم به غنای فرهنگ خودی و بومی اسلامی واقف بوده‌اند و بر آن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این نکته تأکید دارند که برخی از ارزش‌ها، ارزش‌های جهانی است که حدّ و مرز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ارزش‌ها، برآمده از فطرت انسانی است که در عرف جمیع ملل و سیرۀ عقلای عالم مورد </w:t>
      </w:r>
      <w:bookmarkStart w:id="699" w:name="pg8666_122866"/>
    </w:p>
    <w:p>
      <w:pPr>
        <w:pStyle w:val="BookText"/>
        <w:rPr/>
      </w:pPr>
      <w:bookmarkEnd w:id="699"/>
      <w:r>
        <w:rPr>
          <w:rFonts w:ascii="IRNazanin" w:hAnsi="IRNazanin" w:eastAsia="IRNazanin"/>
          <w:color w:val="111111"/>
          <w:sz w:val="28"/>
          <w:sz w:val="28"/>
          <w:szCs w:val="28"/>
          <w:rtl w:val="true"/>
          <w:lang w:bidi="fa-IR"/>
        </w:rPr>
        <w:t>تأیید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عدالت و نظم و حقوق انسانی و آزادی بیان و غیره، اینها ارزش‌هایی نیستند که غرب آنها را کشف و خلق کرده باشد تا طرف‌داری از آنها را متأثر از نفوذ غرب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پیدایش مدرنیته و پیشرفت‌های جدید غربی، این ارزش‌ها وجود داشته و پس از آن هم وجود خواهد داشت و اصولاً بعثت پیامبران الهی در مسیر تحقق این ارزش‌ها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ارزش‌هایی‌اند که نه تأسیس فرهنگ غرب است و نه تأسیس فرهنگی دیگر؛ حتی در اسلام نیز که بر آنها تأکید و تأیید می‌شود، از باب تأسیس نیست، بلکه جزء امور امضایی اسلام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درون فرهنگ اسلامی و از ظرفیت و پتانسیل مؤلفه‌هایی همچون امر به معروف و نهی از منکر، می‌توان بهره جست و بسیاری از این ارزش‌های متعالی انسانی همچون عدالت و حقوق والای انسانی و آزادی و کرامت بشر را به سر دست گرفت و به‌وسیله امر به معروف آنها را فریاد کرد و با نهی از منکر نابودی فساد و ظلم و تبعیض را از تمامیجوامع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نکته در این میان آن است که در بسیاری موارد اگر غرب و غرب‌گرایان از این ارزش‌های انسانی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جنبه شعاری و رسانه‌ای و تبلیغاتی دارد و چه منافقانه است و الا اگر این شعارها حقیقیت داشت و واقعاً جزء اندیشۀ غرب بود، نباید اکنون جهان با مشکلات فقر، جنگ، فساد و تبعیض مواجه می‌شد؛ چون تمامی قدرت و تسلیحات و امکانات در اختیار سلطۀ غرب است و هرجا جنگ و خونریزی و فساد و فقر سامان‌یافته می‌بینیم، بدون شک، دست خون‌آلود قدرتمندان غربی را می‌توان به‌راحتی در پشت آن مشاهده کرد</w:t>
      </w:r>
      <w:r>
        <w:rPr>
          <w:rFonts w:eastAsia="IRNazanin" w:cs="IRNazanin"/>
          <w:color w:val="111111"/>
          <w:sz w:val="28"/>
          <w:szCs w:val="28"/>
          <w:rtl w:val="true"/>
          <w:lang w:bidi="fa-IR"/>
        </w:rPr>
        <w:t>.</w:t>
      </w:r>
    </w:p>
    <w:p>
      <w:pPr>
        <w:pStyle w:val="Heading4"/>
        <w:numPr>
          <w:ilvl w:val="3"/>
          <w:numId w:val="1"/>
        </w:numPr>
        <w:rPr/>
      </w:pPr>
      <w:bookmarkStart w:id="700" w:name="__RefHeading___Toc2419980_653776707"/>
      <w:bookmarkStart w:id="701" w:name="_Toc270"/>
      <w:bookmarkEnd w:id="700"/>
      <w:r>
        <w:rPr/>
        <w:t>3</w:t>
      </w:r>
      <w:r>
        <w:rPr>
          <w:rtl w:val="true"/>
        </w:rPr>
        <w:t xml:space="preserve">. </w:t>
      </w:r>
      <w:r>
        <w:rPr>
          <w:rtl w:val="true"/>
        </w:rPr>
        <w:t>تأثیر اندیشۀ غرب بر مفهوم نهی از منکر</w:t>
      </w:r>
      <w:bookmarkEnd w:id="701"/>
    </w:p>
    <w:p>
      <w:pPr>
        <w:pStyle w:val="Heading5"/>
        <w:numPr>
          <w:ilvl w:val="4"/>
          <w:numId w:val="1"/>
        </w:numPr>
        <w:rPr/>
      </w:pPr>
      <w:bookmarkStart w:id="702" w:name="__RefHeading___Toc2419982_653776707"/>
      <w:bookmarkStart w:id="703" w:name="_Toc271"/>
      <w:bookmarkEnd w:id="702"/>
      <w:r>
        <w:rPr>
          <w:rtl w:val="true"/>
        </w:rPr>
        <w:t>الف</w:t>
      </w:r>
      <w:r>
        <w:rPr>
          <w:rtl w:val="true"/>
        </w:rPr>
        <w:t xml:space="preserve">) </w:t>
      </w:r>
      <w:r>
        <w:rPr>
          <w:rtl w:val="true"/>
        </w:rPr>
        <w:t>گزارش</w:t>
      </w:r>
      <w:bookmarkEnd w:id="703"/>
    </w:p>
    <w:p>
      <w:pPr>
        <w:pStyle w:val="BookText"/>
        <w:rPr/>
      </w:pPr>
      <w:r>
        <w:rPr>
          <w:rFonts w:ascii="IRNazanin" w:hAnsi="IRNazanin" w:eastAsia="IRNazanin"/>
          <w:color w:val="111111"/>
          <w:sz w:val="28"/>
          <w:sz w:val="28"/>
          <w:szCs w:val="28"/>
          <w:rtl w:val="true"/>
          <w:lang w:bidi="fa-IR"/>
        </w:rPr>
        <w:t>سؤال این است که تأثیر اندیشه‌های غربی بر مفهوم نهی از منکر تا چه اندازه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تأثیرات غرب این بوده که هر چیزی شایسته که در غرب وجود دارد، بگویند اسلامی است و سعی بر اسلامی بودن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طیفی از ارزش‌های سیاسی غرب از مشروطه‌خواهی تا انقلاب، این اندیشه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تأثیرات تمدن غربی در اهل سنت در ساحت‌های سیاسی برجسته بوده است، مانند مشروطه‌خواهی، انقلاب، مجلس نمایندگی و حقوق بشر و ارتباط دادن آنها با نهی از منکر، مثل نوشتن کتاب‌های اسلامی دربارۀ حقوق بشر که از تمدن غربی الهام می‌گیرند و ازاین‌روست که شوکت حسین مهم‌ترین تضمین عملی برای حقوق بشر را نهی از منکر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استمداد‌های گسترده از این وظیفه در جاهای مختلف گرفته شده است و ما متوجه پیوند آن با حقوق سیاسی خاص بر اساس آزاداندیشی لیبرالیسم غربی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به‌عنوان مبنایی برای آزادی انجمن‌ها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مدیر کل پست و تلگراف پیشاور با نقل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به‌عنوان دلیل منصوص، برای آزادی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خداوند حق تشکیل انجمن‌ها را برای جست‌وجوی عدالت اعطا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حقوق سیاسی در تفسیر اسلامی، خود مایل است حقوقی باشد که مطالب اسلامی صحیحی بگوید یا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قاهره است روزنامه‌نگاری را شغلی می‌داند که در راستای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مشخص در کتاب سعید محمد احمد باناجه دیده می‌شود که اصل نوزدهم اعلامیۀ حقوق بشر را در مورد آزادی بیان و اندیشه، نقل نموده و دول شرقی و غربی را برای محدود نمودن آن متهم می‌کند و به اسلام بازمی‌گردد و یادآور می‌شود که این اصل، در اسلام تحت عنوان نهی از منکر آمده و آزادی بیان را محقق می‌سازد؛ ازاین‌رو باید جلو آن گرفته نشود، ولی این حق برای تبلیغ آرای مغایر اسلام و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بودند که سخن با حاکمان را در قالب نهی از منکر توجیه نموده و آن را روا دانستند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نتايج اين تلفيق متفاوت است؛ گاهی كاملاً موجه است، مانند زمانی كه نهی از منكر با اعتراض و انقلاب پيوند می‌خورد، امّا هنگامی كه همانندسازی آن با ارزش‌های آزادانديشی است، می‌تواند تأثير ناسازگاری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علت آن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محدوده‌هایی خاص، به مردم خود می‌گويد به چه چيزی معتقد باشند و چگونه زندگی </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آزادانديشی، در محدوده‌های خاصی، مردم را به حال خود وامی‌گذارد كه اين مسئله را خودشان حل كنند و همين ناهمانندی است كه در پشت اين مفهوم ناخوشايند حق آزادی انديشه‌ای قرار گرفته كه فقط از انديشه‌های شايسته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به نظر مایکل کوک، هدف نهی از نهی از منکر تحمیل اندیشه‌های موروثی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حجاب، شراب‌نخوردن، اینها ارزش‌های است که با آزاد اندیشی لیبرال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از نظر نویسندگان امروزی پنهان نمانده و آزادی بی‌حد و حصر غربی را به باد انتقاد گرفته‌اند، از جمله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 در دنیای جاهلی امروز هرزگی و گناه از مسائل شخصی شمرده می‌شود که کسی حق دخالت در آن ندارد، وقتی به مردم گفته شود این اشتباه است، جواب می‌دهند این اشتباه نیست در گذشته اشتباه بوده است اما امروز دنیا متحول شده است و جامعه پیشرفت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نویسنده‌ای دیگر، با صراحت بیشتری به نقد آزاداندیشی غرب می‌تازد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می‌گویند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 قمار و شراب مشکلی ندارد، برهنگی زنان در قطار شهری، بوسیدن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مشکلات چه می‌شود؟ اما مبنای اسلام این است که امت اسلامی را پیکر واحده می‌داند، گناهی که در منظر عام انجام می‌شود، کار شخصی نیست، بلکه برای همه مشکل‌آفرین است و به همه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آن حدیث معروفی است که جمعی در کشتی سوارند و کسی تبر برداشته شروع به سوراخ کردن کشتی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دیگران ساکت باشند، همه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مربوط به سوراخ کننده کشتی نیست که بگوید من جای خودم را سوراخ می‌کنم ربطی به کسی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بودند که عصر مدرن را، عصر جاهلیت مدرن نام گذاشتند که به نام آزادی، تمام هرزگی را مجاز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ایشان دشمن بشر امروز فقط هرزگی نیست بلکه مشکل فردگرایی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عبدالمعزّ عبدالستار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ابن‌حاج به كسانی می‌تازد که درصدد تضعیف وظیفه نهی از منکر هستند و بهانه می‌آورند که ما در دوران مردم‌سالاری و آزادی به سر می‌بریم و به کسانی که نهی از منکر را نوعی </w:t>
      </w:r>
    </w:p>
    <w:p>
      <w:pPr>
        <w:pStyle w:val="BookText"/>
        <w:rPr/>
      </w:pPr>
      <w:r>
        <w:rPr>
          <w:rFonts w:ascii="IRNazanin" w:hAnsi="IRNazanin" w:eastAsia="IRNazanin"/>
          <w:color w:val="111111"/>
          <w:sz w:val="28"/>
          <w:sz w:val="28"/>
          <w:szCs w:val="28"/>
          <w:rtl w:val="true"/>
          <w:lang w:bidi="fa-IR"/>
        </w:rPr>
        <w:t>دخالت در زندگی مردم می‌دانند،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لوئیس گارده معتقد است نهی از منکر به‌عنوان اصلاح اخلاق در بین مردم مسلمان زنده است و می‌تواند در شرایط مناسب دوباره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ممکن است به روشن شدن تغییر مفهوم این وظیفه از عکس‌العمل فردی به موقعیت فعلی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نویسنده‌ای به نام عبدالکریم زیدان است که می‌گوید مسلمان مکلّف است و باید همیشه برای این وظیفه آمادگی و تهیوء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به نتایج بلندمدت است که باید به‌صورت مستمر و با انسجام و سازماندهی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نمونه، توجه به سازماندهی و انسجام است که نشانۀ آغازین آن در تفسیره عبده و رشیدرضا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و فکر عبده که رشیدرضا در تفسیر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آن را بسط داده، نشانه آغازین این رویکرد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مبلغان دینی ارج‌گذاری بیشتری دارد و سخن از سازماندهی جمعیت و گروهی به میان می‌آورد که نیاز به رهبر و ریاست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نیز بر گروه سازمان یافته تأکید می‌کند و از جمله حوا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در یک دولت اسلامی منحرف زندگیمی‌کنند، باید نهی از منکر یدی را سازماندهی نمایند، ولی در این کار از اصطکاک با دولت خودداری شود و به نهی از منکر مردمی که منکرات را مرتکب می‌شوند مانند مشروب‌خواری، نمایش تصاویر برهنگان یا نمایش‌های جنسی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نویسندگانی از این دست که معتقد به تشکیل گروه و انسجام دادن به نهی از منکر است، آیا منظور تشکل‌های مردم‌نهاد بدون وابسته به دولت است یا وابسته به دولت و هماهنگ با آن منظور است؟ اوّلی مانند سازمان‌هایی که در مصر تشکیل شد یا در فلسطین تشکیل گردید و این مسئله در حقوق بشر اسلامی نیز دربارۀ آزادی انجمن‌ها ذکر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نویسنده‌ای به نام محمد احمد راشد که کتاب مبانی تبلیغ را نوشت، می‌توان فهمید که حرکت‌های جمعی و تشکیل گروه مورد تأیید علمای قدیم 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پیشنهاد می‌کند که در الفقه الحرکی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 خود را باید پیدا کند</w:t>
      </w:r>
      <w:r>
        <w:rPr>
          <w:rFonts w:eastAsia="IRNazanin" w:cs="IRNazanin"/>
          <w:color w:val="111111"/>
          <w:sz w:val="28"/>
          <w:szCs w:val="28"/>
          <w:rtl w:val="true"/>
          <w:lang w:bidi="fa-IR"/>
        </w:rPr>
        <w:t xml:space="preserve">. </w:t>
      </w:r>
      <w:bookmarkStart w:id="704" w:name="pg8666_122880"/>
    </w:p>
    <w:p>
      <w:pPr>
        <w:pStyle w:val="BookText"/>
        <w:rPr/>
      </w:pPr>
      <w:bookmarkEnd w:id="704"/>
      <w:r>
        <w:rPr>
          <w:rFonts w:ascii="IRNazanin" w:hAnsi="IRNazanin" w:eastAsia="IRNazanin"/>
          <w:color w:val="111111"/>
          <w:sz w:val="28"/>
          <w:sz w:val="28"/>
          <w:szCs w:val="28"/>
          <w:rtl w:val="true"/>
          <w:lang w:bidi="fa-IR"/>
        </w:rPr>
        <w:t>راشد سپس سخن غزالی را نقل می‌کند که از تشکیل گروه‌های مسلح، بدون اذن حاکم سخن گفته و می‌گوید که این جمله غزالی را باید با آب طلا نوشت و داعیان امروز باید آن را نصب‌العین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مایکل به دو نکته قابل تأمل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فاصله بين احكامی كه راشد به آنها استناد می‌كند با انجمن‌هايی رسمی كه بر اثر نفوذ غرب پيدا شدند؛ دوم، احساس تعجبی که راشد نشان می‌دهد که اینها از دو جهان متفاوت سرچشمه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عالمان سده‌های میانه و دنیای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کاملاً با هم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بدیهی نیست بلکه یک اکتشاف است که او به آن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راشد در ادامه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کسی باید نهی از منکر کند؟ در قدیم کار علما بود ولی الان به آن توجه 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سپس از دو نویسنده به نام سامرائی و محمدعلی مسعود نام می‌برد که می‌گویند بهتر آن است که این وظیفه را علما به عهده بگیرند و اگر منکر در جامعه فراگیر شود، افراد جامعه مکلف‌اند به کمک آنان بشتابند، اما به رهبری علمای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نیز نظر مشابه دارد و به همان تقسیم سه دسته اشاره دارد که وظیفه حاکمان اقدام و علما با زبان و مردم در دل است</w:t>
      </w:r>
      <w:r>
        <w:rPr>
          <w:rFonts w:eastAsia="IRNazanin" w:cs="IRNazanin"/>
          <w:color w:val="111111"/>
          <w:sz w:val="28"/>
          <w:szCs w:val="28"/>
          <w:rtl w:val="true"/>
          <w:lang w:bidi="fa-IR"/>
        </w:rPr>
        <w:t>.</w:t>
      </w:r>
    </w:p>
    <w:p>
      <w:pPr>
        <w:pStyle w:val="Heading5"/>
        <w:numPr>
          <w:ilvl w:val="4"/>
          <w:numId w:val="1"/>
        </w:numPr>
        <w:rPr/>
      </w:pPr>
      <w:bookmarkStart w:id="705" w:name="__RefHeading___Toc2419984_653776707"/>
      <w:bookmarkStart w:id="706" w:name="_Toc272"/>
      <w:bookmarkEnd w:id="705"/>
      <w:r>
        <w:rPr>
          <w:rtl w:val="true"/>
        </w:rPr>
        <w:t>ب</w:t>
      </w:r>
      <w:r>
        <w:rPr>
          <w:rtl w:val="true"/>
        </w:rPr>
        <w:t xml:space="preserve">) </w:t>
      </w:r>
      <w:r>
        <w:rPr>
          <w:rtl w:val="true"/>
        </w:rPr>
        <w:t>ارزیابی</w:t>
      </w:r>
      <w:r>
        <w:rPr>
          <w:rtl w:val="true"/>
        </w:rPr>
        <w:t xml:space="preserve">: </w:t>
      </w:r>
      <w:r>
        <w:rPr>
          <w:rtl w:val="true"/>
        </w:rPr>
        <w:t>تفاوت آزادی غربی و نهی از منکر اسلامی</w:t>
      </w:r>
      <w:bookmarkEnd w:id="706"/>
    </w:p>
    <w:p>
      <w:pPr>
        <w:pStyle w:val="BookText"/>
        <w:rPr/>
      </w:pPr>
      <w:r>
        <w:rPr>
          <w:rFonts w:ascii="IRNazanin" w:hAnsi="IRNazanin" w:eastAsia="IRNazanin"/>
          <w:color w:val="111111"/>
          <w:sz w:val="28"/>
          <w:sz w:val="28"/>
          <w:szCs w:val="28"/>
          <w:rtl w:val="true"/>
          <w:lang w:bidi="fa-IR"/>
        </w:rPr>
        <w:t>تطبیق امر به معروف و نهی از منکر بر ارزش‌های جهانی و بی‌مرز انسانی بسیار حساس است، چون برخی از تطبیقات کاملاً موجه است، ولی برخی از آنها چه بسا به التقاط و انحراف اسلامی می‌انجامد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ارزش‌های غربی اگرچه به ظاهر انسانی می‌نماید، ولی مبانی آن الحادی و کفرآمیز و اومانیزم و لیبرالیزم و اصالت فرد است؛ امّا اسلام اگر از ارزش‌های انسانی دفاع می‌کند و حتی به‌وسیله امر به معروف ونهی از منکر از آنها صیانت می‌کند و آنها را ترویج می‌دهد، بر اساس مبانی کرامت انسانی و ربوبیت تشریعی و ولایت الهیه است و اینکه تمامی انسان‌ها در پیشگاه الهی و عبودیت حضرت حق یکسان هستند، همه خالق و ربّ و مولای واحدی دارند؛ ولی آحاد انسان‌ها نسبت به یکدیگر هیچ سلطه و ولایت و برتری ندارند و معیار کرامت و فضیلت انسان‌ها، تقوای الهی و مجاهدت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مبانی </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تفاوت، کاملاً رودرروی مبانی لیبرالیزم غرب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دفاع از ارزش‌هایی نظیر آزادی و حقوق انسانی آدمیان باید مراقب التقاط بود و دانست که آبشخور هر یک کجاست و الاّ چنانچه در نکات بعدی می‌آید، خطر نفاق و نفوذ اندیشه غربی به اسم اسلام و دین بسیار جدّی است، به‌گونه‌ای که گروهی به نام اسلام و با پوستۀ دینی، در حقیقت جزء ایادی ترویج اندیشۀ الحادی غربی درمی‌آیند و در لبّ و لباب به سلطۀ استکبار غربی مدد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جملۀ مایکل که در مقام تفاوت و نابرابری آزاداندیشی غربی با امر به معروف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منکر دقیقاً عملی است که به مردم می‌گوید به چه چیزی معتقد باشند و چگونه زندگی کنند و هدف از آن تحمیل ارزش‌های موروثی است، نه اختیار دادن به آنان برای انتخاب روش زندگی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قابل تأمّل جدّی است؛ اولاً ترکیب عقیده و روش زندگی در مورد نهی از منکر، مغالطه‌آمیز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میان عقیده و سبک زندگی باید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اصل عقیده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إِكْرَاهَ فِی الدِّينِ</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نهی در کار نیست و هرکسی از جهتعقیده حق اختیار و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عقیده تا زمانی که در ضمیر شخص است و بروزی ندارد، در حیطۀ نهی از منکر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عقیده قابل تحمیل و اجبار و اکراه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مورد سبک زندگی و اینکه مردم چگونه زندگی کنند، نیز نهی از منکر به‌طور مطلق حضورندارد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از سبک زندگی که الزام شرعی وجود ندارد، هرکس در انتخاب آزاد است، از جهت لباس و زیّ زندگی و خانه و معماری و چیدمان آنها، اگرچه انتخاب شخص برخلاف متعارف و ارزش‌های موروث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نهی از منکر منحصر است به ارزش‌های الزامی شرعی که باید رعایت شود؛ به‌علاوه چنانچه شخص مخفیانه و در گوشه‌ای که هیچ‌کس او را نمی‌بیند، آن را انجام دهد، </w:t>
      </w:r>
    </w:p>
    <w:p>
      <w:pPr>
        <w:pStyle w:val="BookText"/>
        <w:rPr/>
      </w:pPr>
      <w:r>
        <w:rPr>
          <w:rFonts w:ascii="IRNazanin" w:hAnsi="IRNazanin" w:eastAsia="IRNazanin"/>
          <w:color w:val="111111"/>
          <w:sz w:val="28"/>
          <w:sz w:val="28"/>
          <w:szCs w:val="28"/>
          <w:rtl w:val="true"/>
          <w:lang w:bidi="fa-IR"/>
        </w:rPr>
        <w:t>اگرچه گناهکار است و باید به جهت معصیت توبه کند، ولی چون دیگران خبر ندارند و تجسّس هم حرام است، لذا در این صورت هم از دایرۀ نهی از منکر بیرون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اینکه در مورد معیار آزادی غربی 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دادن به مردم برای انتخاب روش زندگی خود، این هم نادرست است، چون مردم برای انتخاب روش زندگی خود اختیار کامل ندارند، آنها هم مقید به قیودی 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ارزش‌های پذیرفته شدۀ جامعه و متعارف را پاس دارند و از بسیاری از خطوط قرمز عبور نکنند، لذا در بسیاری از کشورهای غرب با حجاب اسلامی زنان مخالفت می‌شود، یا آنها را از تحصیل دانش در دانشگاه و مانند آن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کسی که برخی از خطوط قرمز همچون هولوکاست را به پرسش بکشاند، محاکمه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کارهایی که مخالف امنیت عمومی است، جلوگیری می‌شود و حق انتخاب نسبت به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کارهایی که مخالف نظم و مقررات عمومی است، جلوگیری می‌شود و حق انتخاب نسبت به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کارهایی که مخالف سلامت و بهداشت عمومی است، جلوگیری می‌شود و حق انتخاب نسبت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آزادی غربی بی‌حد و حصر نیست و آن هم قیود خود را دارد و نیروی پلیس و امنیت و بهداشت و غیره در برابر تخلف از آن ایستادگی می‌کنند و حق امتیاز را از مردم سلب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 غالب ارزش‌های الزامی اسلامی از ترک منکرات چون شرب خمر و قمار و فحشا و ظلم و فساد تا التزام به معروفاتی همچون اقامۀ صدق و راستی و امانت‌داری و حفظ حقوق‌الناس و حجاب و غیره همگی در چارچوب مصالح عمومی اجتماعی است که عقل و عقلا بر آن صحت می‌گذارند و تخلف از آنها را در ملأ عام ناروا می‌شمرند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عبارت مایکل کوک در مقام مقایسۀ نابرابری آزادی غربی و نهی از منکر اسلامی مملوّ از خطا و پرمغالطه است</w:t>
      </w:r>
      <w:r>
        <w:rPr>
          <w:rFonts w:eastAsia="IRNazanin" w:cs="IRNazanin"/>
          <w:color w:val="111111"/>
          <w:sz w:val="28"/>
          <w:szCs w:val="28"/>
          <w:rtl w:val="true"/>
          <w:lang w:bidi="fa-IR"/>
        </w:rPr>
        <w:t xml:space="preserve">. </w:t>
      </w:r>
      <w:bookmarkStart w:id="707" w:name="pg8666_122890"/>
    </w:p>
    <w:p>
      <w:pPr>
        <w:pStyle w:val="Heading4"/>
        <w:numPr>
          <w:ilvl w:val="3"/>
          <w:numId w:val="1"/>
        </w:numPr>
        <w:rPr/>
      </w:pPr>
      <w:bookmarkStart w:id="708" w:name="__RefHeading___Toc2419986_653776707"/>
      <w:bookmarkStart w:id="709" w:name="_Toc273"/>
      <w:bookmarkEnd w:id="707"/>
      <w:bookmarkEnd w:id="708"/>
      <w:r>
        <w:rPr/>
        <w:t>4</w:t>
      </w:r>
      <w:r>
        <w:rPr>
          <w:rtl w:val="true"/>
        </w:rPr>
        <w:t xml:space="preserve">. </w:t>
      </w:r>
      <w:r>
        <w:rPr>
          <w:rtl w:val="true"/>
        </w:rPr>
        <w:t>زنان و نهی از منکر</w:t>
      </w:r>
      <w:bookmarkEnd w:id="709"/>
    </w:p>
    <w:p>
      <w:pPr>
        <w:pStyle w:val="Heading5"/>
        <w:numPr>
          <w:ilvl w:val="4"/>
          <w:numId w:val="1"/>
        </w:numPr>
        <w:rPr/>
      </w:pPr>
      <w:bookmarkStart w:id="710" w:name="__RefHeading___Toc2419988_653776707"/>
      <w:bookmarkStart w:id="711" w:name="_Toc274"/>
      <w:bookmarkEnd w:id="710"/>
      <w:r>
        <w:rPr>
          <w:rtl w:val="true"/>
        </w:rPr>
        <w:t>الف</w:t>
      </w:r>
      <w:r>
        <w:rPr>
          <w:rtl w:val="true"/>
        </w:rPr>
        <w:t xml:space="preserve">) </w:t>
      </w:r>
      <w:r>
        <w:rPr>
          <w:rtl w:val="true"/>
        </w:rPr>
        <w:t>گزارش</w:t>
      </w:r>
      <w:bookmarkEnd w:id="711"/>
    </w:p>
    <w:p>
      <w:pPr>
        <w:pStyle w:val="BookText"/>
        <w:rPr/>
      </w:pPr>
      <w:r>
        <w:rPr>
          <w:rFonts w:ascii="IRNazanin" w:hAnsi="IRNazanin" w:eastAsia="IRNazanin"/>
          <w:color w:val="111111"/>
          <w:sz w:val="28"/>
          <w:sz w:val="28"/>
          <w:szCs w:val="28"/>
          <w:rtl w:val="true"/>
          <w:lang w:bidi="fa-IR"/>
        </w:rPr>
        <w:t>آقای کوک در ادامه از موضوعی سخن می‌گوید که در گذشته کمتر مورد توجه بوده و اکنون به‌طور چشمگیر مورد توجه قرار گرفته است و آن مسئله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نویسنده‌ای نیست که بگوید زنان شایستگی نهی از منکر را ندارند؛ اما برخی مانند عَمْری مردبودن را شرط می‌داند، ولی برخی نسبت به استثنای زنان توسط یکی از ائمۀ زیدی اعتراض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ادعا می‌کند از میان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سنی نوگرا، تنها مفسّر فلسطینی به نام دروزه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دلیلی برای اثبات برابری زن و مرد در خصوص نهی از منکر می‌داند؛ اما بقیه سخنی به میان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خارج از حوزه مفسّرین، کسانی هستند که به این آیه استناد می‌کنند، مانند ابن‌حاج که طرفدار نهی از منکر زنان‌اند، هرچند وی می‌افزاید که مورد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محمدشریف چوذری و فتحی عثمان نیز از جملۀ کسانی نام‌برده شده که طرف‌دار نهی از منکر زنان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طرف‌دار جدی نهی از منکر زنان است، عبدالحلیم محمد ابوشقه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به‌عنوان دلیل منصوص برای وظیفه زنان در نهی از منکر یاد می‌کند و از احادیث و داستان کمک می‌گیرد که این وظیفه را زنان انجام می‌داده‌اند، از جملۀ آن داستان‌ها، داستانی است که بعد از فتح مکه در بین قبیله‌ای برای امام جماعت، پسربچه‌ای شش یا هفت ساله را که قرائت قرآن را از مسافران یاد گرفته بود، به امام جماعت انتخابکردند، متأسفانه لباسش به‌اندازۀ کوتاه بوده که در وقت نماز نشیمنگاهش معلوم می‌شد در ارتباط با این مضحکه، زنی از میان قبیله جلو می‌آید و اعتراض می‌کند و می‌گوید آیا نمی‌خواهید نشیمنگاه قاری قرآن خود را از ما بپوشانید؟ پس از اعتراض آن زن پیراهن درازی برایش پیدا کردند</w:t>
      </w:r>
      <w:r>
        <w:rPr>
          <w:rFonts w:eastAsia="IRNazanin" w:cs="IRNazanin"/>
          <w:color w:val="111111"/>
          <w:sz w:val="28"/>
          <w:szCs w:val="28"/>
          <w:rtl w:val="true"/>
          <w:lang w:bidi="fa-IR"/>
        </w:rPr>
        <w:t xml:space="preserve">. </w:t>
      </w:r>
      <w:bookmarkStart w:id="712" w:name="pg8666_122892"/>
    </w:p>
    <w:p>
      <w:pPr>
        <w:pStyle w:val="BookText"/>
        <w:rPr/>
      </w:pPr>
      <w:bookmarkEnd w:id="712"/>
      <w:r>
        <w:rPr>
          <w:rFonts w:ascii="IRNazanin" w:hAnsi="IRNazanin" w:eastAsia="IRNazanin"/>
          <w:color w:val="111111"/>
          <w:sz w:val="28"/>
          <w:sz w:val="28"/>
          <w:szCs w:val="28"/>
          <w:rtl w:val="true"/>
          <w:lang w:bidi="fa-IR"/>
        </w:rPr>
        <w:t>از نظر نویسنده، باید منصفانه پذیرفت که بین این‌گونه موارد و انزوای سنتی زنان تنش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 از نهی از منکر زنان به میان آورده‌اند؛ اما آن را محدود به بستگان و خویشاوندان و افراد خانواده نمودند و برخی هم پیشنهاد جمعیة‌النسائیه را دادند و سخن از تربیت ناهیان از منکر در مدارس مخصوص گفته‌اند که در آن مدارس مخصوص باید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بیشتر در میان مصری‌ها وجود دارد؛ اما سعودی‌ها نسبت به این وظیفه برخورد محافظه‌کارانه‌تری داشته‌اند، مثلاً خالد السبت سعودی به تبعیت از غزالی تردید نمی‌کند که مردبودن از شرایط وجوب نیست و در ادامه اظهار می‌دارد که این موجب نمی‌شود که زنان برای انجام این وظیفه از خانه خارج شوند و خود را سرگرم امور دینی نمایند، کاری که امروزه متأسفانه بسیار زیاد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دیگر 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معمولی این وظیفه برای زنان در دل است و می‌تواند نسبت به زنان دیگر و مردان منسوب خود به‌ویژه فرزندان اقدام کند</w:t>
      </w:r>
      <w:r>
        <w:rPr>
          <w:rFonts w:eastAsia="IRNazanin" w:cs="IRNazanin"/>
          <w:color w:val="111111"/>
          <w:sz w:val="28"/>
          <w:szCs w:val="28"/>
          <w:rtl w:val="true"/>
          <w:lang w:bidi="fa-IR"/>
        </w:rPr>
        <w:t>.</w:t>
      </w:r>
    </w:p>
    <w:p>
      <w:pPr>
        <w:pStyle w:val="Heading5"/>
        <w:numPr>
          <w:ilvl w:val="4"/>
          <w:numId w:val="1"/>
        </w:numPr>
        <w:rPr/>
      </w:pPr>
      <w:bookmarkStart w:id="713" w:name="__RefHeading___Toc2419990_653776707"/>
      <w:bookmarkStart w:id="714" w:name="_Toc275"/>
      <w:bookmarkEnd w:id="713"/>
      <w:r>
        <w:rPr>
          <w:rtl w:val="true"/>
        </w:rPr>
        <w:t>ب</w:t>
      </w:r>
      <w:r>
        <w:rPr>
          <w:rtl w:val="true"/>
        </w:rPr>
        <w:t xml:space="preserve">) </w:t>
      </w:r>
      <w:r>
        <w:rPr>
          <w:rtl w:val="true"/>
        </w:rPr>
        <w:t>ارزیابی</w:t>
      </w:r>
      <w:r>
        <w:rPr>
          <w:rtl w:val="true"/>
        </w:rPr>
        <w:t xml:space="preserve">: </w:t>
      </w:r>
      <w:r>
        <w:rPr>
          <w:rtl w:val="true"/>
        </w:rPr>
        <w:t>تنش بین نظریات جدید و انزوای سنتی زنان</w:t>
      </w:r>
      <w:bookmarkEnd w:id="714"/>
    </w:p>
    <w:p>
      <w:pPr>
        <w:pStyle w:val="BookText"/>
        <w:rPr/>
      </w:pPr>
      <w:r>
        <w:rPr>
          <w:rFonts w:ascii="IRNazanin" w:hAnsi="IRNazanin" w:eastAsia="IRNazanin"/>
          <w:color w:val="111111"/>
          <w:sz w:val="28"/>
          <w:sz w:val="28"/>
          <w:szCs w:val="28"/>
          <w:rtl w:val="true"/>
          <w:lang w:bidi="fa-IR"/>
        </w:rPr>
        <w:t>یکی از امور مورد توجه مایکل کوک در تحولات جدید اسلامی، موضوع نهی از منکر زنان است و اینکه سنّیان نواندیش از آن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مایکل پس از نقل این موضوع یک مطلب مهم مطرح است و آن پذیرش منصفانۀ تنش بین این نظریات و وابستگی و انزوای سنتی زنان است؛ درحالی‌که اولاً با تأمل دقیق در مبانی و ادلۀ نهی از منکر و حقوق و وظایف و مسئولیت‌های زنان در اندیشۀ اسلامی آشکار می‌گردد که هیچ‌گونه تنشی در این مسئله قابل تصویر نیست؛ زیرا اولاً نهی از منکر همچون سایر فرائض است و اختصاص به مردان ندارد و ادله هم نسبت به مرد و زن شمول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وَالْمُؤْمِنَاتُ بَعْضُهُمْ أَوْلِيَاءُ بَعْضٍ يَأْمُرُونَبِالْمَعْرُوفِ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همان‌طور که در اقامۀ نماز و پرداخت زکات و اطاعت از خدا و رسول، تفاوتی میان زن و مرد نیست، در فریضۀ امر به معروف و نهی از منکر نیز چنین است و با انجام آن است که مرد و زن مسلمان مورد رحمت الهی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موضوع انزوای سنتی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سنتی زنان دو بخش دارد؛ بخشی که ربطی به اسلام و آموزه‌های کتاب و سنت ندارد و بر زنان تحمیل شده است مثل منع از دخالت در انتخابات یا فعالیت‌های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احیاناً در برخی جوامع سنتی این محرومیت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انزواها که در جوامع غربی نیز حتی تا قرون اخیر هم سابقه داشته است، امری نیست که مورد تأیید اسلام باشد؛ بنابراین در این موارد انزوای تحمیلی که ظلم و تجاوز به حقوق زنان محسوب می‌شود، تنشی وجود ندارد، بلکه از مصادیق لزوم نهی از منکر، جلوگیری از ظلم به زنان و دفاع از حقوق شرعی و اسلامی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 از انزوای سنتی اگر منظور حجاب و لزوم رعایت پوشش و منع از اختلاط زن و مرد است، این را نمی‌توان انزوا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اسلام تأیید می‌کند و جزء ارزش‌های لازم‌الرعایه جامعه می‌داند؛ ولی این ارزش‌ها قبل از آنکه به نفع مردان باشد، به نفع زنان و در مسیر دفاع از حقوق و فعالیت‌های اجتماعی، سیاسی، اقتصادی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اسلام از فعالیت منع نشده است، بلکه فعالیت او مقیّد به پوشش است برای صیانت خود او از تجاوز که اکنون در جوامع لیبرال، تبدیل به سکۀ رایج و روزانه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صیانت مردان از گناه و صیانت جامعه و خانواده از متلاشی شدن، این مقررات تنظیم شده است، همچنان که برای صیانت از بهداشت یا امنیت جامعه مقرراتی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ممکن است اندیشه‌های فمنیستی انزوا بشمرند، ولی واقع‌گرایان اجتماعی به‌خوبی از برکات این امور و ضرورت حفظ آنها آگاهی دارند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اموری هستند که اگرچه برخی آن را انزوا به شمار آورند، ولی واقع آن انزوا نیست، بلکه مصونیت از آسیب به زن و مرد و جامعه است و بدون شک، نهی از منکر برای حفظ آنها در تمامی جوامع حتی در زمان مدرنیزم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تنش در این قسمت نیز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تنش در این میان قابل تصویر باشد، تنش میان ارزش‌های فمنیستی و لیبرالیزم </w:t>
      </w:r>
    </w:p>
    <w:p>
      <w:pPr>
        <w:pStyle w:val="BookText"/>
        <w:rPr/>
      </w:pPr>
      <w:r>
        <w:rPr>
          <w:rFonts w:ascii="IRNazanin" w:hAnsi="IRNazanin" w:eastAsia="IRNazanin"/>
          <w:color w:val="111111"/>
          <w:sz w:val="28"/>
          <w:sz w:val="28"/>
          <w:szCs w:val="28"/>
          <w:rtl w:val="true"/>
          <w:lang w:bidi="fa-IR"/>
        </w:rPr>
        <w:t>فردگرایانه و ارزش‌های انسانی و عقلانی و اسلامی است و این تنش همواره در طول حیات انسان‌ها ظهور حضور داشته و اختصاص به تحولات جدید اسلامی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آنکه با تورّقی در سراسر کتاب مفصّل امر به معروف و نهی از منکر مایکل، به‌خوبی آشکار می‌شود که از موضوعات مورد اجماع تمامی فرق و مذاهب اسلامی در طول تاریخ، مسئلۀ مربوط به حفظ حیاء و عفّت و صیانت از حریم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طول تاریخ، در سر لیست گناهان و منکرات نزد فرق اسلامی، مسائل مرتبط با پوشش و حجاب زن، و جلوگیری از اختلاط زن و مرد و دفاع از حریم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حجاب خانواده و عدم‌اختلاط نامحرمان از مسائل متفق‌علیه در اندیشۀ اسلامی در طول تاریخ مذاهب از عصر اول اسلام تا دوران تحولات جدید اسلامی و پس از نفوذ سهمگین غرب بر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نیازمند تحلیلی اساسی است که ای‌کاش مایکل کوک به آن می‌پرداخت، به‌ویژه آنکه شروع کتاب مایکل هم با مسئلۀ تجاوز به یک زن در قطار شهری شیکاگو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در آنجا خود می‌پذیرد که یک وجدان عمومی انسانی می‌گوید باید در این موارد کاری کرد، ولی این در مقررات و فرهنگ غرب دیده نشده است؛ بنابراین چه مناسب بود، به این بُعد از نهی از منکر در مورد حجاب زن و حیاء و عفت او بیشتر پرداخته می‌شد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تنش واقعی نه میان تمامی مردم ساکن در غرب است، بلکه جدال در میان لایه‌هایی از ساکنان مغرب زمین همچون سردمداران حاکمیت غرب و طرف‌داران سلطۀ جهانی آن بر فرهنگ و اقتصاد جهانی، با استفاده از ابزار فمینیزم و همجنس‌گرایی و اباحه‌گری از یک سو و دسته‌ای دیگر از طرف‌داران اخلاق و روابط انسانی در میان خود مردم غرب و همچنین فرهنگ و اندیشۀ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برای ادامۀ سلطه و بهره‌مندی بیشتر از لذت‌های مادّی و انباشتن ثروت و قدرت، سیاست‌هایی را در مسائل جنسی پیگیری می‌کنند که به روابطآزاد زن و مرد می‌اندیشد و خانواده را از بنیان و اساس ریشه‌کن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فلسفه‌بافی و ترویج همجنس‌بازی و فمینیزم و آزادی بی‌حدّ و حصر جنسی، بشریت را به سراشیبی سقوط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خانواده واقعی و اصیل را که </w:t>
      </w:r>
      <w:bookmarkStart w:id="715" w:name="pg8666_122902"/>
    </w:p>
    <w:p>
      <w:pPr>
        <w:pStyle w:val="BookText"/>
        <w:rPr/>
      </w:pPr>
      <w:bookmarkEnd w:id="715"/>
      <w:r>
        <w:rPr>
          <w:rFonts w:ascii="IRNazanin" w:hAnsi="IRNazanin" w:eastAsia="IRNazanin"/>
          <w:color w:val="111111"/>
          <w:sz w:val="28"/>
          <w:sz w:val="28"/>
          <w:szCs w:val="28"/>
          <w:rtl w:val="true"/>
          <w:lang w:bidi="fa-IR"/>
        </w:rPr>
        <w:t xml:space="preserve">مرکب از یک زن و یک مرد در قالب ازدواج شکل گرفته نابود می‌کنند و خانواده‌هایی مرکب از دو مرد، دو زن، ازدواج با حیوانات و حتی ازدواج با خود را تشویق و به رسمیت می‌شناسند و با تصویب سندهای بین المللی در این زمینه همچون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مشروعیت می‌بخشند؛ ولی در مقابل، مصلحان خیرخواه اجتماعی که لایه‌های زیرین غرب هم در آن قرار دارند و جهان اسلام، به‌طور کلی، اعم از مذهب و عقیده آنها، تمامی فرق اسلامی، یک‌صدا از بنیاد خانواده و کرامت زن و انسان و روابط تعریف شدۀ زن و مرد و رعایت حریم پوشش، حمایت و صیانت می‌کنند و در مقام مصونیت‌بخشی به جامعه در مقابل این فساد و فحشاء گسترده و برنامه‌ریزی‌شده و سیاست‌گذاری‌شده، به دست غول‌های ثروت و قدرت می‌باشند و نهی از منکر را از جمله راه‌حل‌های این موضوع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 واقعی را در این دو جبهۀ گسترده و فعال در سراسر جهان می‌شود مشاهده کرد و ای‌کاش مایکل نیز که خود عضوی از این جبهۀ گستردۀ مصلحان و خیرخواهان سرنوشت انسان و زن و خانواده است، به تحلیل و بررسی این تنش می‌پرداخت</w:t>
      </w:r>
      <w:r>
        <w:rPr>
          <w:rFonts w:eastAsia="IRNazanin" w:cs="IRNazanin"/>
          <w:color w:val="111111"/>
          <w:sz w:val="28"/>
          <w:szCs w:val="28"/>
          <w:rtl w:val="true"/>
          <w:lang w:bidi="fa-IR"/>
        </w:rPr>
        <w:t>.</w:t>
      </w:r>
    </w:p>
    <w:p>
      <w:pPr>
        <w:pStyle w:val="Heading4"/>
        <w:numPr>
          <w:ilvl w:val="3"/>
          <w:numId w:val="1"/>
        </w:numPr>
        <w:rPr/>
      </w:pPr>
      <w:bookmarkStart w:id="716" w:name="__RefHeading___Toc2419992_653776707"/>
      <w:bookmarkStart w:id="717" w:name="_Toc276"/>
      <w:bookmarkEnd w:id="716"/>
      <w:r>
        <w:rPr/>
        <w:t>5</w:t>
      </w:r>
      <w:r>
        <w:rPr>
          <w:rtl w:val="true"/>
        </w:rPr>
        <w:t xml:space="preserve">. </w:t>
      </w:r>
      <w:r>
        <w:rPr>
          <w:rtl w:val="true"/>
        </w:rPr>
        <w:t>نقش دولت در نهی از منکر در دوران جدید</w:t>
      </w:r>
      <w:bookmarkEnd w:id="717"/>
    </w:p>
    <w:p>
      <w:pPr>
        <w:pStyle w:val="Heading5"/>
        <w:numPr>
          <w:ilvl w:val="4"/>
          <w:numId w:val="1"/>
        </w:numPr>
        <w:rPr/>
      </w:pPr>
      <w:bookmarkStart w:id="718" w:name="__RefHeading___Toc2419994_653776707"/>
      <w:bookmarkStart w:id="719" w:name="_Toc277"/>
      <w:bookmarkEnd w:id="718"/>
      <w:r>
        <w:rPr>
          <w:rtl w:val="true"/>
        </w:rPr>
        <w:t>الف</w:t>
      </w:r>
      <w:r>
        <w:rPr>
          <w:rtl w:val="true"/>
        </w:rPr>
        <w:t xml:space="preserve">) </w:t>
      </w:r>
      <w:r>
        <w:rPr>
          <w:rtl w:val="true"/>
        </w:rPr>
        <w:t>گزارش</w:t>
      </w:r>
      <w:bookmarkEnd w:id="719"/>
    </w:p>
    <w:p>
      <w:pPr>
        <w:pStyle w:val="BookText"/>
        <w:rPr/>
      </w:pPr>
      <w:r>
        <w:rPr>
          <w:rFonts w:ascii="IRNazanin" w:hAnsi="IRNazanin" w:eastAsia="IRNazanin"/>
          <w:color w:val="111111"/>
          <w:sz w:val="28"/>
          <w:sz w:val="28"/>
          <w:szCs w:val="28"/>
          <w:rtl w:val="true"/>
          <w:lang w:bidi="fa-IR"/>
        </w:rPr>
        <w:t>نقش دولت در انجام وظیفۀ نهی از منکر چیست؟ این موضوع همیشه تنش‌آفرین بوده و این تنش با ظهور دولت‌های جدید در کشور‌های اسلامی با حمایت عقیدتی،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حوا، دولت‌های معاصر به هرچیزی نفوذ یافته‌اند مانند تعلیم و تربیت، اقتصاد، ارتش، جامعه، سیاست، فعالیت‌های فکری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کشورهای سنی‌نشین این مسئله سبب شده که نهی از منکر به‌صورت عملکرد دولتی درآید، چنانچه در عربستان سالیان دراز چنین بوده و اخیراً در افغانستان چنین نظامی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حکومت طالبان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و تأسیس وزارت امر به معروف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طرح جدید دولت، دو روش مطرح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محدود کردن این وظیفه به مقتضیات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دست‌گرفتن حکومت برای اسلام از راه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با </w:t>
      </w:r>
    </w:p>
    <w:p>
      <w:pPr>
        <w:pStyle w:val="BookText"/>
        <w:rPr/>
      </w:pPr>
      <w:r>
        <w:rPr>
          <w:rFonts w:ascii="IRNazanin" w:hAnsi="IRNazanin" w:eastAsia="IRNazanin"/>
          <w:color w:val="111111"/>
          <w:sz w:val="28"/>
          <w:sz w:val="28"/>
          <w:szCs w:val="28"/>
          <w:rtl w:val="true"/>
          <w:lang w:bidi="fa-IR"/>
        </w:rPr>
        <w:t>واکنش حیدری‌زاده در بازنویسی آرای غزالی برای سازگار کردن این وظیفه با مقتضیات روز آشنا شدیم، اما نمود این وظیفه در جهان عرب این است که نهی از منکر با دست، مربوط به 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خارج از عقاید حنفیه قبلاً ناشناخته بود، ولی در نوشته‌های امروزی شهرت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کوک می‌گوید با تعجب باید گفت شهرت این نظریه مدیون حسن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جنبش اخوان 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پیش از جنگ جهانی دوم به دلیل اختلاف در روش اصلاحات اخلاقی،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انشعابیون بر اساس تفسیری که از حدیث سه مرحله‌ای داشتند، گفتند اقدام یدی مربوط به خود ما است؛ اما گروه حسن البنّاء معتقد به موعظه حسنه بودند و اقدام و عمل را مربوط به دولت می‌دانستند؛ لذا این نظریه گسترش یافت و حتی مفتی جمهوری مصر، آقای طنطاوی در مصاحبه‌ای اعلام کرد که اقدام عملی باعث هرج و مرج می‌شود و مصر مانند لبنان خواهد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مورد نیاز را تنها محدود به دولت نمی‌داند، بلکه می‌گوید هرکسی بر فرزندان خود نه فرزندان و همسران دیگران نیز از چنین ولایتی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پرسیده شد که ابن‌تیمیه انجام با دست را روا می‌دانست؟ جوابش این بود که مجتهد در رأی خود مصیب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مصر با نظر مفتی مخالف بودند و آن را بدعت جدید دانستند؛ ولی خیلی از علمای مصر و خارج مصر نیز به همین عقیده بودند که اقدام یدی مربوط به امرا است و نقش عامه مردم، نهی از منکر در امور شخصی و اخلاقی است که موجب هرج و مرج نمی‌شود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انشعابی آشكارا از جريان كلی عقايد سنتی اسلام و بيان روشنی از تسليم‌گرايی سياسی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تلفيق تأييدی بود بر اينكه در دوران تجديد حيات سياسی اسلام، اين نظريه به‌طور كامل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نويسندگانی هم كه توجه بيشتری به ميراث يا توجه كمتری به دولت‌های موجود داشتند، طبيعتاً مايل نبودند با مفهوم صريح حديث سه مرحله‌ای به مخالفت برخيزند؛ ازاين‌رو عوده با تكرار اين مخالفت رسمی با نظريه نياز به اذن حا كم، روشن می‌سازد كه به عقيده او، عوام حق انجام آن با دست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عمری معتقد به عدم‌انحصار نهی از منکر توسط امرا است و درعین‌حال مخالف خشونت و ارعاب و تروریسم است؛ لذا می‌گوید می‌شود نهی از منکر یدی را بدون خشونت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معنای امرا را به مدیر کارخانه یا مدرسه یا ادارات توسعه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نسبت به زیردستان خود در رابطه با منکری که اتفاق می‌افتد،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سرود انحرافی که با غناء خوانده می‌شود، از آن نهی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صریح‌تر، نگرش برخی از نویسندگان امروزی نسبت به کاربرد خشونت در نهی از منکر است که در واکنش به سخنان غزالی، برخی حرف‌های تند غزالی را حذف کرده‌اند و برخی آن را توجیه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اقدام یدی را منوط به شکستن اشیا می‌دانند نه زدن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سخن غزالی را تأیید و اما از تشکیل گروه مسلح اسم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تشکیل گروه مسلح را جایز اما آن را با اجازه امرا و حکما میسور می‌دانند که با هماهنگی دولت و دستگاه حاکمه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عوده موضع غزّالی را مبنی بر اینکه رعیّت نباید بر ضدّ سلطان قیام کند، دقیقاً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تناقض‌آمیز بنماید که یکی از اساسی‌ترین نگرش‌های بنیادگرایی در جهان امروز در جهت لغو این وظیفه از عامه مردم نسبت به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تفسیر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چنین وظیفه‌ای را انکار می‌کند و می‌گوید امر و نهی چیزی است که صاحبان قدرت می‌توانند انجام دهند؛ لذا برای انجام آن نیاز به قدرت و سلطه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ظاهراً جامعه اسلامی است؛ اما ایشان در تفسیر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با اظهار امیدواری بیان می‌دارد که جامعه اسلامی جامعه‌ای است که اگر کاری خطا در آن رخ می‌دهد، دیگران نمی‌توانند بگویند این چه ربطی به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اظهار می‌دارد که ایجاد جامعه مطلوب، مقدم بر اصلاح منکرات جزئی، شخصی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در جامعه فاسد و جاهلی امروزی بی‌اثر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مایکل، سید قطب که مخالف نهی از منکر فردی در جامعه است، این عدم فایدۀ نهی از منکر با اینکه روایاتی هم به این مضمون وجود دارد، ولی آن را منتسب به روایات نمی‌کند بلکه از آیه قرآن استفاده می‌کند</w:t>
      </w:r>
      <w:r>
        <w:rPr>
          <w:rFonts w:eastAsia="IRNazanin" w:cs="IRNazanin"/>
          <w:color w:val="111111"/>
          <w:sz w:val="28"/>
          <w:szCs w:val="28"/>
          <w:rtl w:val="true"/>
          <w:lang w:bidi="fa-IR"/>
        </w:rPr>
        <w:t xml:space="preserve">. </w:t>
      </w:r>
      <w:bookmarkStart w:id="720" w:name="pg8666_122912"/>
    </w:p>
    <w:p>
      <w:pPr>
        <w:pStyle w:val="BookText"/>
        <w:rPr/>
      </w:pPr>
      <w:bookmarkEnd w:id="720"/>
      <w:r>
        <w:rPr>
          <w:rFonts w:ascii="IRNazanin" w:hAnsi="IRNazanin" w:eastAsia="IRNazanin"/>
          <w:color w:val="111111"/>
          <w:sz w:val="28"/>
          <w:sz w:val="28"/>
          <w:szCs w:val="28"/>
          <w:rtl w:val="true"/>
          <w:lang w:bidi="fa-IR"/>
        </w:rPr>
        <w:t xml:space="preserve">نظریه سید قطب پیروانی دارد، اما به‌صورت آموزۀ مورد پذیرش بنیادگرایان قرار نگرفته است؛ ازاین‌رو، راشد بعد از نقل تفسیر سید قطب از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احساس می‌کند این موضوع را یادآوری نماید و توجیه می‌کند که این بدان معنا نیست که داعیان نباید خود و پیروانشان را از وظایف اسلامی‌شان آگاه سازند یا از نهی از منکرات فرعی که می‌توان از آن پیشگیری کرد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ابن‌حاج نیز به سید قطب خرده می‌گیرد و می‌گوید آیا در صدر اسلام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می‌کرده که تا زمانی که در مدینه حکومت تشکیل نشده از نهی از منکر اجتناب ورزند و به این بهانه که در دولت اسلامی زندگی نمی‌کنند، دست از نهی از منکر بردارند؟ ابن‌حاج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نهی از منکر را بلد باشد باید نهی از منکر نماید</w:t>
      </w:r>
      <w:r>
        <w:rPr>
          <w:rFonts w:eastAsia="IRNazanin" w:cs="IRNazanin"/>
          <w:color w:val="111111"/>
          <w:sz w:val="28"/>
          <w:szCs w:val="28"/>
          <w:rtl w:val="true"/>
          <w:lang w:bidi="fa-IR"/>
        </w:rPr>
        <w:t>.</w:t>
      </w:r>
    </w:p>
    <w:p>
      <w:pPr>
        <w:pStyle w:val="Heading5"/>
        <w:numPr>
          <w:ilvl w:val="4"/>
          <w:numId w:val="1"/>
        </w:numPr>
        <w:rPr/>
      </w:pPr>
      <w:bookmarkStart w:id="721" w:name="__RefHeading___Toc2419996_653776707"/>
      <w:bookmarkStart w:id="722" w:name="_Toc278"/>
      <w:bookmarkEnd w:id="721"/>
      <w:r>
        <w:rPr>
          <w:rtl w:val="true"/>
        </w:rPr>
        <w:t>ب</w:t>
      </w:r>
      <w:r>
        <w:rPr>
          <w:rtl w:val="true"/>
        </w:rPr>
        <w:t xml:space="preserve">) </w:t>
      </w:r>
      <w:r>
        <w:rPr>
          <w:rtl w:val="true"/>
        </w:rPr>
        <w:t>ارزیابی</w:t>
      </w:r>
      <w:bookmarkEnd w:id="722"/>
    </w:p>
    <w:p>
      <w:pPr>
        <w:pStyle w:val="BookText"/>
        <w:rPr/>
      </w:pPr>
      <w:r>
        <w:rPr>
          <w:rFonts w:ascii="IRNazanin" w:hAnsi="IRNazanin" w:eastAsia="IRNazanin"/>
          <w:color w:val="111111"/>
          <w:sz w:val="28"/>
          <w:sz w:val="28"/>
          <w:szCs w:val="28"/>
          <w:rtl w:val="true"/>
          <w:lang w:bidi="fa-IR"/>
        </w:rPr>
        <w:t>آقای مایکل کوک در بحث از نقش دولت در دوران جدید،</w:t>
      </w:r>
      <w:r>
        <w:rPr>
          <w:rStyle w:val="FootnoteAnchor"/>
          <w:rtl w:val="true"/>
        </w:rPr>
        <w:footnoteReference w:id="171"/>
      </w:r>
      <w:r>
        <w:rPr>
          <w:rFonts w:ascii="IRNazanin" w:hAnsi="IRNazanin" w:eastAsia="IRNazanin"/>
          <w:color w:val="111111"/>
          <w:sz w:val="28"/>
          <w:sz w:val="28"/>
          <w:szCs w:val="28"/>
          <w:rtl w:val="true"/>
          <w:lang w:bidi="fa-IR"/>
        </w:rPr>
        <w:t>نظریۀ کسانی همچون حسن البنّاء و طنطاوی را که مخالف اقدام عملی مردم برای نهی از منکر بودند و آن را موجب هرج و مرج می‌دانستند، انشعابی کلی از عقاید سنتی اسلام و بیانی روشن از تسلیم‌گرایی سیاسی</w:t>
      </w:r>
      <w:r>
        <w:rPr>
          <w:rStyle w:val="FootnoteAnchor"/>
          <w:rtl w:val="true"/>
        </w:rPr>
        <w:footnoteReference w:id="172"/>
      </w:r>
      <w:r>
        <w:rPr>
          <w:rFonts w:ascii="IRNazanin" w:hAnsi="IRNazanin" w:eastAsia="IRNazanin"/>
          <w:color w:val="111111"/>
          <w:sz w:val="28"/>
          <w:sz w:val="28"/>
          <w:szCs w:val="28"/>
          <w:rtl w:val="true"/>
          <w:lang w:bidi="fa-IR"/>
        </w:rPr>
        <w:t>می‌شمرد؛ درحالی‌که اگر منظور او از عقاید سنّتی اسلامی، عقاید قاطبه و اکثریت سنّیان و مذاهب سنّی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ارزیابی فصول پیشین متذکر شده‌ایم، نظریۀ تسلیم‌گرایی سیاسی، از مبانی اعتقادی مذاهب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عنوان خروج بر حاکم و انقلاب و هرج و مرج را نمی‌پذیرند و چنانچه بارها تذکر داده شده است، آنان بر اساس برخی از روایات و طبق مبانی فکری خود در امامت، امنیت را بر عدالت مقدم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نظریه امامیه و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امامت غیرمعصوم و نایبان او، فاقد مشروعیت است و حتی‌الامکان باید در برابر آن مقاومت کرد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اوّلاً این سخن که به‌طور کلی عقاید سنتی اسلام برخلاف تسلیم‌گرایی سیاسی است، باید نسبت به سنّیان و امامیه تفکیک شود</w:t>
      </w:r>
      <w:r>
        <w:rPr>
          <w:rFonts w:eastAsia="IRNazanin" w:cs="IRNazanin"/>
          <w:color w:val="111111"/>
          <w:sz w:val="28"/>
          <w:szCs w:val="28"/>
          <w:rtl w:val="true"/>
          <w:lang w:bidi="fa-IR"/>
        </w:rPr>
        <w:t xml:space="preserve">. </w:t>
      </w:r>
      <w:bookmarkStart w:id="723" w:name="pg8666_122916"/>
    </w:p>
    <w:p>
      <w:pPr>
        <w:pStyle w:val="BookText"/>
        <w:rPr/>
      </w:pPr>
      <w:bookmarkEnd w:id="723"/>
      <w:r>
        <w:rPr>
          <w:rFonts w:ascii="IRNazanin" w:hAnsi="IRNazanin" w:eastAsia="IRNazanin"/>
          <w:color w:val="111111"/>
          <w:sz w:val="28"/>
          <w:sz w:val="28"/>
          <w:szCs w:val="28"/>
          <w:rtl w:val="true"/>
          <w:lang w:bidi="fa-IR"/>
        </w:rPr>
        <w:t>ثانیاً باید غالب سنّیان را موافقان تسلیم‌گرایی دانست و در نتیجه، نظریه تسلیم‌گرایی انشعاب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مناسب بود به ریشۀ مباحث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اندیشه اسلامی از دولت بحث کرد، ولی به مبانی امامت هر مذهب اشاره نکرد؛ چون اندیشه و نظریات مطرح شدۀ مذاهب در دولت، همگی بر مبنای نظریۀ آنها در مسئلۀ امامت است که در علم کلام به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سید قطب</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اینکه مایکل، سید قطب را مخالف نهی از منکر توسط مردم معرفی می‌کند و معتقد است اول باید جامعۀ مطلوب ایجاد گردد و آن مقدم بر اصلاح منکر است، جزئی و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این سخن چندان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سید قطب آن است که اولویت مبارزۀ با علت‌ها است نه با معلول و الّا تلاش برای اصلاحات جزئی، اثربخشی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حکومت صالح تشکیل شود و آب از سرچشمه پاک و نظیف گردد، وگرنه مبارزه با آب گل‌آلود، در پایین، چندان مفید نخواهد بود و لذا به نقل خود مایکل، عده‌ای در مقام توجیه آن برآمده‌اند؛</w:t>
      </w:r>
      <w:r>
        <w:rPr>
          <w:rStyle w:val="FootnoteAnchor"/>
          <w:rtl w:val="true"/>
        </w:rPr>
        <w:footnoteReference w:id="174"/>
      </w:r>
      <w:r>
        <w:rPr>
          <w:rFonts w:ascii="IRNazanin" w:hAnsi="IRNazanin" w:eastAsia="IRNazanin"/>
          <w:color w:val="111111"/>
          <w:sz w:val="28"/>
          <w:sz w:val="28"/>
          <w:szCs w:val="28"/>
          <w:rtl w:val="true"/>
          <w:lang w:bidi="fa-IR"/>
        </w:rPr>
        <w:t>اما شاید این توجیه نباشد، بلکه لبّ و حقیقت نظریۀ سید قطب همین باشد</w:t>
      </w:r>
      <w:r>
        <w:rPr>
          <w:rFonts w:eastAsia="IRNazanin" w:cs="IRNazanin"/>
          <w:color w:val="111111"/>
          <w:sz w:val="28"/>
          <w:szCs w:val="28"/>
          <w:rtl w:val="true"/>
          <w:lang w:bidi="fa-IR"/>
        </w:rPr>
        <w:t>.</w:t>
      </w:r>
    </w:p>
    <w:p>
      <w:pPr>
        <w:pStyle w:val="Heading4"/>
        <w:numPr>
          <w:ilvl w:val="3"/>
          <w:numId w:val="1"/>
        </w:numPr>
        <w:rPr/>
      </w:pPr>
      <w:bookmarkStart w:id="724" w:name="__RefHeading___Toc2419998_653776707"/>
      <w:bookmarkStart w:id="725" w:name="_Toc279"/>
      <w:bookmarkEnd w:id="724"/>
      <w:r>
        <w:rPr/>
        <w:t>6</w:t>
      </w:r>
      <w:r>
        <w:rPr>
          <w:rtl w:val="true"/>
        </w:rPr>
        <w:t xml:space="preserve">. </w:t>
      </w:r>
      <w:r>
        <w:rPr>
          <w:rtl w:val="true"/>
        </w:rPr>
        <w:t>تحولات در عقاید شیعه امامیه</w:t>
      </w:r>
      <w:bookmarkEnd w:id="725"/>
    </w:p>
    <w:p>
      <w:pPr>
        <w:pStyle w:val="Heading5"/>
        <w:numPr>
          <w:ilvl w:val="4"/>
          <w:numId w:val="1"/>
        </w:numPr>
        <w:rPr/>
      </w:pPr>
      <w:bookmarkStart w:id="726" w:name="__RefHeading___Toc2420000_653776707"/>
      <w:bookmarkStart w:id="727" w:name="_Toc280"/>
      <w:bookmarkEnd w:id="726"/>
      <w:r>
        <w:rPr>
          <w:rtl w:val="true"/>
        </w:rPr>
        <w:t>الف</w:t>
      </w:r>
      <w:r>
        <w:rPr>
          <w:rtl w:val="true"/>
        </w:rPr>
        <w:t xml:space="preserve">) </w:t>
      </w:r>
      <w:r>
        <w:rPr>
          <w:rtl w:val="true"/>
        </w:rPr>
        <w:t>گزارش</w:t>
      </w:r>
      <w:bookmarkEnd w:id="72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مایکل کوک بخش مربوط به تحولات جدید اسلام در عقاید شیعۀ امامیه از فصل هجدهم کتاب را چنین گزارش می‌کند که در عصر غیبت، امامیه معتقدند نهی از 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دردسری با گفته‌های غزالی این عقیده را رد می‌کند؛ اما احمد حجازی السقا که آگاه‌تر از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زمان چنین عقیده‌ای را ندارند</w:t>
      </w:r>
      <w:r>
        <w:rPr>
          <w:rFonts w:eastAsia="IRNazanin" w:cs="IRNazanin"/>
          <w:color w:val="111111"/>
          <w:sz w:val="28"/>
          <w:szCs w:val="28"/>
          <w:rtl w:val="true"/>
          <w:lang w:bidi="fa-IR"/>
        </w:rPr>
        <w:t xml:space="preserve">. </w:t>
      </w:r>
      <w:bookmarkStart w:id="728" w:name="pg8666_122919"/>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علیه شاه، برای نهی از منکر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انقلاب جمهوری اسلامی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آمریکا را گرفت وبا راه‌اندازی سینما و تلویزیون، به سبک آمریکایی به اشاعه فحشا پرداخت، این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مقابل شاه به‌رغم پیشتیبانی آمریکا قیام کرد و همچنین حمایت آمریکا از صدام که می‌ترسید، خمینی زعامت سنیان و شیعیان را به عهده گیرد، این انقلاب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نمی‌تواند تحلیل درست از وضعیت شیعیان امروزی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نمی‌تواند یک تحلیل ظریف سیاسی باشد، او دو جنبۀ اصلی تحول نهی از منکر نزد امامیۀ این دوره، یعنی تأکید بر سیاست انقلابی و مخالفت با آلودگی فرهنگی را به درستی بیان می‌کند که هر دو مورد، در تجربه سنّیان سابقه دارد</w:t>
      </w:r>
      <w:r>
        <w:rPr>
          <w:rFonts w:eastAsia="IRNazanin" w:cs="IRNazanin"/>
          <w:color w:val="111111"/>
          <w:sz w:val="28"/>
          <w:szCs w:val="28"/>
          <w:rtl w:val="true"/>
          <w:lang w:bidi="fa-IR"/>
        </w:rPr>
        <w:t>.</w:t>
      </w:r>
    </w:p>
    <w:p>
      <w:pPr>
        <w:pStyle w:val="Heading5"/>
        <w:numPr>
          <w:ilvl w:val="4"/>
          <w:numId w:val="1"/>
        </w:numPr>
        <w:rPr/>
      </w:pPr>
      <w:bookmarkStart w:id="729" w:name="__RefHeading___Toc2420002_653776707"/>
      <w:bookmarkStart w:id="730" w:name="_Toc281"/>
      <w:bookmarkEnd w:id="729"/>
      <w:r>
        <w:rPr>
          <w:rtl w:val="true"/>
        </w:rPr>
        <w:t>ب</w:t>
      </w:r>
      <w:r>
        <w:rPr>
          <w:rtl w:val="true"/>
        </w:rPr>
        <w:t xml:space="preserve">) </w:t>
      </w:r>
      <w:r>
        <w:rPr>
          <w:rtl w:val="true"/>
        </w:rPr>
        <w:t>ارزیابی</w:t>
      </w:r>
      <w:bookmarkEnd w:id="730"/>
    </w:p>
    <w:p>
      <w:pPr>
        <w:pStyle w:val="BookText"/>
        <w:rPr/>
      </w:pPr>
      <w:r>
        <w:rPr>
          <w:rFonts w:ascii="IRNazanin" w:hAnsi="IRNazanin" w:eastAsia="IRNazanin"/>
          <w:color w:val="111111"/>
          <w:sz w:val="28"/>
          <w:sz w:val="28"/>
          <w:szCs w:val="28"/>
          <w:rtl w:val="true"/>
          <w:lang w:bidi="fa-IR"/>
        </w:rPr>
        <w:t>اگرچه برخی از نویسندگان، امامیه را متهم به عدم‌وجوب نهی از منکر در عصر غیبت کرده‌اند،</w:t>
      </w:r>
      <w:r>
        <w:rPr>
          <w:rStyle w:val="FootnoteAnchor"/>
          <w:rtl w:val="true"/>
        </w:rPr>
        <w:footnoteReference w:id="175"/>
      </w:r>
      <w:r>
        <w:rPr>
          <w:rFonts w:ascii="IRNazanin" w:hAnsi="IRNazanin" w:eastAsia="IRNazanin"/>
          <w:color w:val="111111"/>
          <w:sz w:val="28"/>
          <w:sz w:val="28"/>
          <w:szCs w:val="28"/>
          <w:rtl w:val="true"/>
          <w:lang w:bidi="fa-IR"/>
        </w:rPr>
        <w:t xml:space="preserve">ولی ردّ احمد حجازی السقا و نقل این ردّ توسط مایکل قابل توجه است که نشان می‌دهد چنین سخنی، حرف ناصواب و اتهام از روی بی‌اطلاعی و عدم‌تحقیق است؛ اما متأسفانه سخن احمد حجازی نیز ناصواب است که در این زمان شیعیان چنین عقیده‌ای ندارند، چون تراث فقهی و کلامی و تفسیری مدرسۀ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گواه این نکته است که دوران غیبت، دوران استثنا از تکالیف و تعطیل آنها از جمله فریضۀ نهی از منکر نیست</w:t>
      </w:r>
      <w:r>
        <w:rPr>
          <w:rFonts w:eastAsia="IRNazanin" w:cs="IRNazanin"/>
          <w:color w:val="111111"/>
          <w:sz w:val="28"/>
          <w:szCs w:val="28"/>
          <w:rtl w:val="true"/>
          <w:lang w:bidi="fa-IR"/>
        </w:rPr>
        <w:t>.</w:t>
      </w:r>
    </w:p>
    <w:p>
      <w:pPr>
        <w:pStyle w:val="Heading4"/>
        <w:numPr>
          <w:ilvl w:val="3"/>
          <w:numId w:val="1"/>
        </w:numPr>
        <w:rPr/>
      </w:pPr>
      <w:bookmarkStart w:id="731" w:name="__RefHeading___Toc2420004_653776707"/>
      <w:bookmarkStart w:id="732" w:name="_Toc282"/>
      <w:bookmarkEnd w:id="731"/>
      <w:r>
        <w:rPr/>
        <w:t>7</w:t>
      </w:r>
      <w:r>
        <w:rPr>
          <w:rtl w:val="true"/>
        </w:rPr>
        <w:t xml:space="preserve">. </w:t>
      </w:r>
      <w:r>
        <w:rPr>
          <w:rtl w:val="true"/>
        </w:rPr>
        <w:t>تأثیر غرب بر ایران</w:t>
      </w:r>
      <w:bookmarkEnd w:id="732"/>
    </w:p>
    <w:p>
      <w:pPr>
        <w:pStyle w:val="Heading5"/>
        <w:numPr>
          <w:ilvl w:val="4"/>
          <w:numId w:val="1"/>
        </w:numPr>
        <w:rPr/>
      </w:pPr>
      <w:bookmarkStart w:id="733" w:name="__RefHeading___Toc2420006_653776707"/>
      <w:bookmarkStart w:id="734" w:name="_Toc283"/>
      <w:bookmarkEnd w:id="733"/>
      <w:r>
        <w:rPr>
          <w:rtl w:val="true"/>
        </w:rPr>
        <w:t>الف</w:t>
      </w:r>
      <w:r>
        <w:rPr>
          <w:rtl w:val="true"/>
        </w:rPr>
        <w:t xml:space="preserve">) </w:t>
      </w:r>
      <w:r>
        <w:rPr>
          <w:rtl w:val="true"/>
        </w:rPr>
        <w:t>گزارش</w:t>
      </w:r>
      <w:bookmarkEnd w:id="73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نخستین تأثیر غرب بر ایران، احتمال این تحّول وجود نداشت و آنچه مشاهده می‌شد شبیه همان چیزی است که در سنّی‌ها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مستشارالدوله میرزا </w:t>
      </w:r>
      <w:bookmarkStart w:id="735" w:name="pg8666_122921"/>
    </w:p>
    <w:p>
      <w:pPr>
        <w:pStyle w:val="BookText"/>
        <w:rPr/>
      </w:pPr>
      <w:bookmarkEnd w:id="735"/>
      <w:r>
        <w:rPr>
          <w:rFonts w:ascii="IRNazanin" w:hAnsi="IRNazanin" w:eastAsia="IRNazanin"/>
          <w:color w:val="111111"/>
          <w:sz w:val="28"/>
          <w:sz w:val="28"/>
          <w:szCs w:val="28"/>
          <w:rtl w:val="true"/>
          <w:lang w:bidi="fa-IR"/>
        </w:rPr>
        <w:t xml:space="preserve">یوسف‌خان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برابر ظلم قانونی است که باعث خوشبختی در اروپا شده است و چندین آیه از قرآن کریم به این قانون شایسته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رادر این رابطه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این قانون را آزادی بیان و زبان و قلم می‌داند که این قانون نیز موافق با قانون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نیز با ذکر روایاتی از شیخ طوسی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مورد آزادی مطبوعات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یکصد روزنامه و ششصد کتاب‌فروشی وجود دارد که بعضی از جنبه‌های آن جزء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نظریه آزادی بیان و قلم توسط میرزا ملکم‌خان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که تمام ملل متمدن آن را ضروری می‌دانند، اصل آن را مسلمانان در دو جمله امر به معروف و نهی از منکر در جهان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قانون دولتی آزادی را روشن‌تر از این بیان کرده است؟ ایشان از انقلاب مشروطه بر مبنای نهی از منکر دفاع می‌کند</w:t>
      </w:r>
      <w:r>
        <w:rPr>
          <w:rFonts w:eastAsia="IRNazanin" w:cs="IRNazanin"/>
          <w:color w:val="111111"/>
          <w:sz w:val="28"/>
          <w:szCs w:val="28"/>
          <w:rtl w:val="true"/>
          <w:lang w:bidi="fa-IR"/>
        </w:rPr>
        <w:t>.</w:t>
      </w:r>
    </w:p>
    <w:p>
      <w:pPr>
        <w:pStyle w:val="Heading5"/>
        <w:numPr>
          <w:ilvl w:val="4"/>
          <w:numId w:val="1"/>
        </w:numPr>
        <w:rPr/>
      </w:pPr>
      <w:bookmarkStart w:id="736" w:name="__RefHeading___Toc2420008_653776707"/>
      <w:bookmarkStart w:id="737" w:name="_Toc284"/>
      <w:bookmarkEnd w:id="736"/>
      <w:r>
        <w:rPr>
          <w:rtl w:val="true"/>
        </w:rPr>
        <w:t>ب</w:t>
      </w:r>
      <w:r>
        <w:rPr>
          <w:rtl w:val="true"/>
        </w:rPr>
        <w:t xml:space="preserve">) </w:t>
      </w:r>
      <w:r>
        <w:rPr>
          <w:rtl w:val="true"/>
        </w:rPr>
        <w:t>ارزیابی</w:t>
      </w:r>
      <w:bookmarkEnd w:id="737"/>
    </w:p>
    <w:p>
      <w:pPr>
        <w:pStyle w:val="BookText"/>
        <w:rPr/>
      </w:pPr>
      <w:r>
        <w:rPr>
          <w:rFonts w:ascii="IRNazanin" w:hAnsi="IRNazanin" w:eastAsia="IRNazanin"/>
          <w:color w:val="111111"/>
          <w:sz w:val="28"/>
          <w:sz w:val="28"/>
          <w:szCs w:val="28"/>
          <w:rtl w:val="true"/>
          <w:lang w:bidi="fa-IR"/>
        </w:rPr>
        <w:t>این سخن، مایکل کوک در مورد تأثیر غرب بر شیعیان امامیه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پیدایش انقلاب در ایران بعید به نظر می‌رسید و احتمال چنین تحوّلی وجود نداشت،</w:t>
      </w:r>
      <w:r>
        <w:rPr>
          <w:rStyle w:val="FootnoteAnchor"/>
          <w:rtl w:val="true"/>
        </w:rPr>
        <w:footnoteReference w:id="176"/>
      </w:r>
      <w:r>
        <w:rPr>
          <w:rFonts w:ascii="IRNazanin" w:hAnsi="IRNazanin" w:eastAsia="IRNazanin"/>
          <w:color w:val="111111"/>
          <w:sz w:val="28"/>
          <w:sz w:val="28"/>
          <w:szCs w:val="28"/>
          <w:rtl w:val="true"/>
          <w:lang w:bidi="fa-IR"/>
        </w:rPr>
        <w:t>سخنی صواب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میان غربیان یا ایرانیان، سنّیان و شیعیان و حتی در میان انقلابیان، پیدایش چنین تحوّل بزرگی را باور نمی‌کرد و این ناباوری نه تنها در حدوث و پیدایش که در بقا و استمرار مطرح بوده و تداوم یافته است و اکنون که دهۀ چهل را پشت سر می‌گذارد نیز همچنان امیدهایی برای شکست آن از طرف محافل قدرت غربی مطرح می‌شود، ولی بسیار خوش‌باورانه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سخن مایکل که عده‌ای از ایرانیان مثل مستشارالدوله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ملکم‌خان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سنّیان خواستند مفاهیم مطرح شده در غرب مثل آزادی بیان و قلم و مشروطیت و پاره‌ای از قوانین اروپایی را بر نهی از منکر تحمیل کنند، این هم سخن </w:t>
      </w:r>
      <w:bookmarkStart w:id="738" w:name="pg8666_122923"/>
    </w:p>
    <w:p>
      <w:pPr>
        <w:pStyle w:val="BookText"/>
        <w:rPr/>
      </w:pPr>
      <w:bookmarkEnd w:id="738"/>
      <w:r>
        <w:rPr>
          <w:rFonts w:ascii="IRNazanin" w:hAnsi="IRNazanin" w:eastAsia="IRNazanin"/>
          <w:color w:val="111111"/>
          <w:sz w:val="28"/>
          <w:sz w:val="28"/>
          <w:szCs w:val="28"/>
          <w:rtl w:val="true"/>
          <w:lang w:bidi="fa-IR"/>
        </w:rPr>
        <w:t>درستی است که همان دو جبهۀ افراط و تفریطی که در میان سنّیان بود و شرح آن گذشت، در میان ایرانیان نیز مشاهده می‌شود، لکن سخنی که در این میان است آنکه آیا کسانی که به این قبیل تفاسیر روی می‌آوردند و درصدد برمی‌آمدند که از مقولات ارزشی غربی، تفسیر اسلامیارائه دهند، متعلق به چه محافلی بودند؟ به‌نظر می‌رسد، خاستگاه این طیف در درون جامعۀ ایرانیان باید روشن شود تا در تحلیل خود به بیراهه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این طیف، روشنفکران غرب‌گرایی بودند که راه پیشرفت را تبعیت از غرب و از سر تا به پا فرنگی شدن می‌دانستند، ولی این غیر از مراکز علمی و حوزوی متعلق به محافل اسلامی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جناب مایکل نام کتاب خود را امر به معروف و نهی از منکر در اندیشۀ اسلامی نهاده است، باید نسبت این قبیل اندیشه‌ها را با اندیشه‌های اسلامی روشن سازد وگرنه نمی‌توان هر سخن و کلامی را ولو از طرف کسی که چندان پایبندی به اسلام ندارد و اصولاً کارشناس اسلامی و آگاه از اندیشه اسلامی نیست، اندیشۀ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مذکور ایرانی بودند، ولی نمی‌توان آنها را در شعاع دائرۀ اندیشۀ اسلامی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آنها ایرانیان نویسنده و مسلمانی بودند که در توجیه ارزش‌های غربی و در تأثیر از فرهنگ آن دیار و به گفتۀ خود مایکل، ارائه اندیشۀ غربی در بافتی اسلامی،</w:t>
      </w:r>
      <w:r>
        <w:rPr>
          <w:rStyle w:val="FootnoteAnchor"/>
          <w:rtl w:val="true"/>
        </w:rPr>
        <w:footnoteReference w:id="177"/>
      </w:r>
      <w:r>
        <w:rPr>
          <w:rFonts w:ascii="IRNazanin" w:hAnsi="IRNazanin" w:eastAsia="IRNazanin"/>
          <w:color w:val="111111"/>
          <w:sz w:val="28"/>
          <w:sz w:val="28"/>
          <w:szCs w:val="28"/>
          <w:rtl w:val="true"/>
          <w:lang w:bidi="fa-IR"/>
        </w:rPr>
        <w:t>مطالبی را از قرآن کریم نقل می‌کردند، ولی خاستگاه و جایگاه سخن آنان، در حدّی نیست که بتوان آنها را سخنگوی اندیشۀ اسلامی دانست و از این زاویه سخنان آنها را تجزیه و تحلیل کرد</w:t>
      </w:r>
      <w:r>
        <w:rPr>
          <w:rFonts w:eastAsia="IRNazanin" w:cs="IRNazanin"/>
          <w:color w:val="111111"/>
          <w:sz w:val="28"/>
          <w:szCs w:val="28"/>
          <w:rtl w:val="true"/>
          <w:lang w:bidi="fa-IR"/>
        </w:rPr>
        <w:t>.</w:t>
      </w:r>
    </w:p>
    <w:p>
      <w:pPr>
        <w:pStyle w:val="Heading4"/>
        <w:numPr>
          <w:ilvl w:val="3"/>
          <w:numId w:val="1"/>
        </w:numPr>
        <w:rPr/>
      </w:pPr>
      <w:bookmarkStart w:id="739" w:name="__RefHeading___Toc2420010_653776707"/>
      <w:bookmarkStart w:id="740" w:name="_Toc285"/>
      <w:bookmarkEnd w:id="739"/>
      <w:r>
        <w:rPr/>
        <w:t>8</w:t>
      </w:r>
      <w:r>
        <w:rPr>
          <w:rtl w:val="true"/>
        </w:rPr>
        <w:t xml:space="preserve">. </w:t>
      </w:r>
      <w:r>
        <w:rPr>
          <w:rtl w:val="true"/>
        </w:rPr>
        <w:t>تشکیل حزب سیاسی و نهی از منکر</w:t>
      </w:r>
      <w:bookmarkEnd w:id="740"/>
    </w:p>
    <w:p>
      <w:pPr>
        <w:pStyle w:val="Heading5"/>
        <w:numPr>
          <w:ilvl w:val="4"/>
          <w:numId w:val="1"/>
        </w:numPr>
        <w:rPr/>
      </w:pPr>
      <w:bookmarkStart w:id="741" w:name="__RefHeading___Toc2420012_653776707"/>
      <w:bookmarkStart w:id="742" w:name="_Toc286"/>
      <w:bookmarkEnd w:id="741"/>
      <w:r>
        <w:rPr>
          <w:rtl w:val="true"/>
        </w:rPr>
        <w:t>الف</w:t>
      </w:r>
      <w:r>
        <w:rPr>
          <w:rtl w:val="true"/>
        </w:rPr>
        <w:t xml:space="preserve">) </w:t>
      </w:r>
      <w:r>
        <w:rPr>
          <w:rtl w:val="true"/>
        </w:rPr>
        <w:t>گزارش</w:t>
      </w:r>
      <w:bookmarkEnd w:id="74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حسینعلی منتظری که روحانی مخالف نظام است، از مردم خواسته است که تشکل‌ها و احزاب سیاسی را بر مبنای نهی از منکر تشکیل دهند و به روش امروزی نهی از منکر را به اجرا درآورند و محمدباقر حکیم نیز در مورد برتری اسلام در </w:t>
      </w:r>
      <w:bookmarkStart w:id="743" w:name="pg8666_122927"/>
    </w:p>
    <w:p>
      <w:pPr>
        <w:pStyle w:val="BookText"/>
        <w:rPr/>
      </w:pPr>
      <w:bookmarkEnd w:id="743"/>
      <w:r>
        <w:rPr>
          <w:rFonts w:ascii="IRNazanin" w:hAnsi="IRNazanin" w:eastAsia="IRNazanin"/>
          <w:color w:val="111111"/>
          <w:sz w:val="28"/>
          <w:sz w:val="28"/>
          <w:szCs w:val="28"/>
          <w:rtl w:val="true"/>
          <w:lang w:bidi="fa-IR"/>
        </w:rPr>
        <w:t>تضمین حقوق بشر وقتی به گفت‌وگو می‌پردازد، آیات مربوط به نهی از منکر را یادآوری می‌کند؛ البته احیای اسلام به‌عنوان عقیده سیاسی در امامیه همانند سنّیان در دو نسل اخیر به شکوفایی رسیده است</w:t>
      </w:r>
      <w:r>
        <w:rPr>
          <w:rFonts w:eastAsia="IRNazanin" w:cs="IRNazanin"/>
          <w:color w:val="111111"/>
          <w:sz w:val="28"/>
          <w:szCs w:val="28"/>
          <w:rtl w:val="true"/>
          <w:lang w:bidi="fa-IR"/>
        </w:rPr>
        <w:t>.</w:t>
      </w:r>
    </w:p>
    <w:p>
      <w:pPr>
        <w:pStyle w:val="Heading5"/>
        <w:numPr>
          <w:ilvl w:val="4"/>
          <w:numId w:val="1"/>
        </w:numPr>
        <w:rPr/>
      </w:pPr>
      <w:bookmarkStart w:id="744" w:name="__RefHeading___Toc2420014_653776707"/>
      <w:bookmarkStart w:id="745" w:name="_Toc287"/>
      <w:bookmarkEnd w:id="744"/>
      <w:r>
        <w:rPr>
          <w:rtl w:val="true"/>
        </w:rPr>
        <w:t>ب</w:t>
      </w:r>
      <w:r>
        <w:rPr>
          <w:rtl w:val="true"/>
        </w:rPr>
        <w:t xml:space="preserve">) </w:t>
      </w:r>
      <w:r>
        <w:rPr>
          <w:rtl w:val="true"/>
        </w:rPr>
        <w:t>ارزیابی</w:t>
      </w:r>
      <w:bookmarkEnd w:id="745"/>
    </w:p>
    <w:p>
      <w:pPr>
        <w:pStyle w:val="BookText"/>
        <w:rPr/>
      </w:pPr>
      <w:r>
        <w:rPr>
          <w:rFonts w:ascii="IRNazanin" w:hAnsi="IRNazanin" w:eastAsia="IRNazanin"/>
          <w:color w:val="111111"/>
          <w:sz w:val="28"/>
          <w:sz w:val="28"/>
          <w:szCs w:val="28"/>
          <w:rtl w:val="true"/>
          <w:lang w:bidi="fa-IR"/>
        </w:rPr>
        <w:t>بعضی خواسته‌اند مبنای اسلامی تشکیل حزب سیاسی را نهی از منکر معرفی کنند و مایکل در عکس‌العمل از این قبیل نظرات،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تمامی این موارد انگیزۀ این تقریب ارائه اندیشۀ غربی در بافتی اسلامی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نیّت‌خوانی در یک کار علمی و پژوهشی، کاری نه‌چندان صواب و صحیح است و تحلیل باید به خود فکر برخورد کند نه به انگیزۀ صاحب آن؛ ولی در مواردی تأثیرپذیری یک فکر و اندیشه از یک نگرش دیگر به‌قدری واضح است که می‌توان آن فکر و اندیشه را معلول و متأثر از آن اندیشه داشت و گویا در این مورد خاص، چنین تأثیرپذیری صادق است؛ به‌ویژه آنکه صاحب این اندیشه، در موارد دیگری نیز همچون نظام سیاسی اسلام و رأی و انتخاب مردم و آزادی و غیره نظرات و آرایی را ارائه کرده است که به نوعی در مسیر تقریب اندیشه‌های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یک نگاه اجمالی به مبانی و اهداف تشکیل حزب سیاسی نشان می‌دهد که تفاوت و فاصلۀ میان احزاب سیاسی با مبانی اسلامی نهی از منکر، بسیار گسترده و درّه‌ای عمیق میان این دو حائل است، به‌گونه‌ای که چه بسا گزافه نیست اگر گفته شود، باتوجه‌به عملکرد احزاب سیاسی،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میان نهی از منکر و حزب سیاسی تفاوت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تشکیل حزب سیاسی نقد حاکمیت و رقابت برای رسیدن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آمریکا که بستر خیزش و رشد احزاب سیاسی بوده است، احزاب سیاسی از هر ابزاری بهره می‌گیرند و به محافلی از قدرت و پول متصل می‌شوند، تا بتوانند فرشتۀ قدرت را در اختیار گیرند و چند روزی اگرچه اندک هر چقدر </w:t>
      </w:r>
    </w:p>
    <w:p>
      <w:pPr>
        <w:pStyle w:val="BookText"/>
        <w:rPr/>
      </w:pPr>
      <w:r>
        <w:rPr>
          <w:rFonts w:ascii="IRNazanin" w:hAnsi="IRNazanin" w:eastAsia="IRNazanin"/>
          <w:color w:val="111111"/>
          <w:sz w:val="28"/>
          <w:sz w:val="28"/>
          <w:szCs w:val="28"/>
          <w:rtl w:val="true"/>
          <w:lang w:bidi="fa-IR"/>
        </w:rPr>
        <w:t>می‌توانند از آن لذت ببرند و متمتّع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چیز را برای خود می‌خواهند و لذا به رقابت می‌پردازند و رقیبان خویش را در جبهه‌ای از دشمن فرض می‌کنند که می‌خواهند معشوقۀ آنها را بربایند و به کامیابی از این معشوقه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احزاب سیاسی در بسیاری از نقاط دنیا به‌ویژه در جهان اسلام و به‌خصوص در ایران از زمان مشروطه تا زمان پهلوی و حتی بعد از آن چنین بوده و احزاب چپ و راست در این حقیقت اشتراک مساعی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احزاب، با روش اخلاقی و به دور از طمع قدرت وکانون‌های ثروت برای رشد مکارم اخلاقی و عدالت و گسترش ارزش‌های دینی و قربةً الی‌الله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عملی دهه‌های گذشته این حقیقت را به‌خوبی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اهداف نوشته و نانوشتۀ احزاب نیز در مقام نظر و تئوریک بر این حقیقت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حزب اگرچه واژۀ اسلامی و حتی قرآنی است که در آیات مختلف همچون حزب‌الشیطان و حزب‌الله به آن اشاره شده است، ولی مفهوم اسلامی و قرآنی آن با آنچه که الآن به‌عنوان اصطلاح سیاسی از غرب وارد شده است،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حزب در همان معنای لغوی خود به معنای فئه و فرقه آمده است، ولی در انگلیسی به‌عنوان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Political party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اصطلاحی ویژه است که تعریف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مجموعه‌ای از شهروندان است که به‌وسیلۀ علایق و خواسته‌های جمعی و منافع مشترک دور هم جمع شده‌اند و با دیگر گروه‌ها و منافع آن 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احزاب به چنگ آوردن قدرت یا شرکت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یک قانون فعالیت احزاب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نهاد و سازمانی است منظم در درون یک نظام سیاسی که از اشخاص حقیقی که دارای یک هدف و آرمان خاصی هستند، تشکیل یافته و دارای شناسنامه و مرامنامه خاصی بوده و در سایۀ رعایت و پیروی کردن از قانون اساسی در پی فتح قدرت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احزاب سیاسی اصولاً بر اساس مبانی سکولاریستی بنیان نهاده می‌شوند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کارکرد نهی از منکر کاملاً متفاوت است و مبانی و اهداف ویژۀ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تکلیف و وظیفه‌ای الهی است که ناهی از منکر به هدف انجام وظیفه و اداء تکلیف در </w:t>
      </w:r>
    </w:p>
    <w:p>
      <w:pPr>
        <w:pStyle w:val="BookText"/>
        <w:rPr/>
      </w:pPr>
      <w:r>
        <w:rPr>
          <w:rFonts w:ascii="IRNazanin" w:hAnsi="IRNazanin" w:eastAsia="IRNazanin"/>
          <w:color w:val="111111"/>
          <w:sz w:val="28"/>
          <w:sz w:val="28"/>
          <w:szCs w:val="28"/>
          <w:rtl w:val="true"/>
          <w:lang w:bidi="fa-IR"/>
        </w:rPr>
        <w:t>برابر منکرات و فساد و فحشاء و ظلم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آن ایمان به مبدأ و معاد و تکلیف‌مداری است و هدف از آن گسترش صلاح و سداد و جلوگیری از فساد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می‌توان مبانی احزاب سیاسی را از درون نهی از منکر و مبانی آن استخراج کرد، درحالی‌که از زمینه‌های پیدایش و سر برآوردن تا مرحلۀ رسیدن به ثمره و بهره‌دهی و فرآورده‌دهی کاملاً با یکدیگر متفاوت‌اند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یک جامعه اسلامی واحد و در درون گروه‌های مسلمان و ملتزم و متشرع به دین، چگونه می‌توان احزاب متعدّد را که بر سر کسب قدرت به رقابت و جنگ و جدال می‌پردازند توجیه کرد؟ چگونه می‌توان همگی را ناهی از منکر دانست؟ چگونه می‌توان گفت آنان به‌خاطرنهی از منکر و جلوگیری از منکر با هم رقابت کرده‌اند؟ تنها پاسخ معقول و باورمند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رقیب که در حقیقت التزامی به دین و شریعت نداشته باشند و تنها قدرت‌طلبی را هدف قرار می‌دهند، اگر احیاناً هم سخن از مبارزه با منکر و فساد دارند، فقط در حد لفاظی و پوشش کلمات خوش‌رنگ و لعاب باقی می‌ماند و از حقیقت عاری و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نهی از منکر برای مبارزه با فساد و ستم است، درحالی‌که حزب سیاسی تلاش برای رسیدن به قدرت است که در بیشتر موارد تجربه نشان داده است که این تلاش خود به فساد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بزرگ‌ترین احزاب دنیا، خود تبدیل به مراکز فساد و ستم و بی‌عدالتی شده‌اند و حزبی که کارکردش چنین است کجا و نهی از منکر که از اصل و اساس بر اساس تقوای الهی و ورع و اجتناب از دنیاطلبی استوار گشته است، کجا؟ دنیاطلبی احزاب سیاسی کجا و پشت پا زدن ناهیان از منکر به دنیا، کجا ؟ چه بسیار ناهیان از منکری که بر سر این راه جان باخته‌اند و هستی خود را در این راه فدا کرده‌اند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یک صورت می‌توان تشکیل حزب سیاسی را بر مبنای نهی از منکر توجیه کرد و آن اینکه در جامعه‌ای فاسد یا کافر که حکومت، حکومت نامشروع و فاسد است، متدینان گرد هم آیند و با یکدیگر به هدف مبارزه با فساد تشکیل حزب سیاسی دهند تا جلوی منکر </w:t>
      </w:r>
    </w:p>
    <w:p>
      <w:pPr>
        <w:pStyle w:val="BookText"/>
        <w:rPr/>
      </w:pPr>
      <w:r>
        <w:rPr>
          <w:rFonts w:ascii="IRNazanin" w:hAnsi="IRNazanin" w:eastAsia="IRNazanin"/>
          <w:color w:val="111111"/>
          <w:sz w:val="28"/>
          <w:sz w:val="28"/>
          <w:szCs w:val="28"/>
          <w:rtl w:val="true"/>
          <w:lang w:bidi="fa-IR"/>
        </w:rPr>
        <w:t>را بگیرند ولو به این وسیله که قدرت را نقد کنند و به هدف بسط عدالت و گسترش معروف خود به قدرت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ممکن است حتی چند حزب سیاسی تشکیل شود، ولی این احزاب صالح و متشرع در درون خود، رقابتی ندارند، بلکه یکدیگر را کمک می‌کنند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وَالتَّقْوَى وَلاتَعَاوَنُوا عَلَى الْإِثْمِ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إِلَى مَغْفِرَةٍ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تلاش می‌کنند هرچه بیشتر با منکر مبارزه کنند و به برچیده شدن بساط فساد و ستم و بی‌داد و ناهنجاری‌های اسلامی و اخلاقی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تنها فشرده و مختصری از عنوان بحث بود که بی‌تردید نیازمند مباحثی عمیق و کارشناسانه در مورد مبانی حزب سیاسی در لیبرالیزم و مبانی نهی از منکر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آنچه گفته شد، به معنای مخالفت اسلام و مبانی فقهی با تشکیلات سیاسی و راه‌اندازی گروه‌های اجتماعی برای گسترش معروف و مبارزه با منکر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مردمی و اجتماعی که بر اساس تقوا تشکیل می‌شوند تا بسط معروف کنند و از منکر جلوگیری کنند، در میان مسلمانان همواره بوده و اکنون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عملکردهای متفاوت اجتماعی، تربیتی، فرهنگی و مذهبی دارند و یکی از جنبه‌های کارکرد آنها، کارکرد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مذهبی و دسته‌های عزاداران حسینی، مجالس مذهبی، روضه‌خوانی، مراسم دعای ندبه و کمیل، جلسات حفظ و تلاوت قرآن، نمازهای جمعه و جماعت، تشکل‌های دینی و صنفی، امامان جمعه و جماعت، مدّاحان و حتی جلسات فامیلی و سایر تشکل‌هایی که در میان اقوام و طوائف گوناگون تشکیل می‌شوند، همگی نمونه‌هایی از تشکل‌ها و گروه‌هایی هستند که در نوع خود، کارکرد سیاسی بالایی دارند، بدون اینکه مفاسد احزاب را دارا باشند و تالی فاسدی بر آنها مترتب شود، بلکه از کسان هستند که از مصادیق تشکل‌های مردمی و در مسیر اقامۀ معروف و مبارزه با منکر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گروه‌ها بودند که قیام‌هایی مثل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آوردند و تلاش آنها به پیروزی انقلاب اسلامی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گردید و در جنگ هشت ساله حزب بعث عراق علیه ایران موفق شدند، آن را به عقب رانند و هزاران خدمت را در ابعاد گوناگون </w:t>
      </w:r>
      <w:bookmarkStart w:id="746" w:name="pg8666_122939"/>
    </w:p>
    <w:p>
      <w:pPr>
        <w:pStyle w:val="BookText"/>
        <w:rPr/>
      </w:pPr>
      <w:bookmarkEnd w:id="746"/>
      <w:r>
        <w:rPr>
          <w:rFonts w:ascii="IRNazanin" w:hAnsi="IRNazanin" w:eastAsia="IRNazanin"/>
          <w:color w:val="111111"/>
          <w:sz w:val="28"/>
          <w:sz w:val="28"/>
          <w:szCs w:val="28"/>
          <w:rtl w:val="true"/>
          <w:lang w:bidi="fa-IR"/>
        </w:rPr>
        <w:t>فرهنگی، سیاسی، تربیتی، اقتصادی، نظامی و غیره، در طول قرن‌ها در کشورهای مختلف اسلامی و غیراسلامی ارائه داده و می‌دهند و برگزاری مراسم ده‌ها میلیونی، عاشورا و تاسوعا و اربعین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کار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بسیار مهم در این قبیل تشکل‌ها آن است که کاملاً مردمی، با تکیه بر توده‌های عمدتاً ضعیف و متوسط ایجاد می‌شوند و هدایت و گسترش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اولیای الهی از عالمان صالح و مصلحان بزرگ اجتماعی تا بزرگان دینی و حتی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 و اولیای الهی، همگی در مسیر تقویت این قبیل تشکل‌های مردمی بوده است؛ یعنی کار تشکیلاتی و گروهی صالحانه و عاری از فساد یا با درصد فساد بسیار پایین که قابل اغماض است</w:t>
      </w:r>
      <w:r>
        <w:rPr>
          <w:rFonts w:eastAsia="IRNazanin" w:cs="IRNazanin"/>
          <w:color w:val="111111"/>
          <w:sz w:val="28"/>
          <w:szCs w:val="28"/>
          <w:rtl w:val="true"/>
          <w:lang w:bidi="fa-IR"/>
        </w:rPr>
        <w:t>.</w:t>
      </w:r>
    </w:p>
    <w:p>
      <w:pPr>
        <w:pStyle w:val="Heading4"/>
        <w:numPr>
          <w:ilvl w:val="3"/>
          <w:numId w:val="1"/>
        </w:numPr>
        <w:rPr/>
      </w:pPr>
      <w:bookmarkStart w:id="747" w:name="__RefHeading___Toc2420016_653776707"/>
      <w:bookmarkStart w:id="748" w:name="_Toc288"/>
      <w:bookmarkEnd w:id="747"/>
      <w:r>
        <w:rPr/>
        <w:t>9</w:t>
      </w:r>
      <w:r>
        <w:rPr>
          <w:rtl w:val="true"/>
        </w:rPr>
        <w:t xml:space="preserve">. </w:t>
      </w:r>
      <w:r>
        <w:rPr>
          <w:rtl w:val="true"/>
        </w:rPr>
        <w:t>از فقیهان نامدار تا اعضای لژ فراماسونری</w:t>
      </w:r>
      <w:bookmarkEnd w:id="748"/>
    </w:p>
    <w:p>
      <w:pPr>
        <w:pStyle w:val="Heading5"/>
        <w:numPr>
          <w:ilvl w:val="4"/>
          <w:numId w:val="1"/>
        </w:numPr>
        <w:rPr/>
      </w:pPr>
      <w:bookmarkStart w:id="749" w:name="__RefHeading___Toc2420018_653776707"/>
      <w:bookmarkStart w:id="750" w:name="_Toc289"/>
      <w:bookmarkEnd w:id="749"/>
      <w:r>
        <w:rPr>
          <w:rtl w:val="true"/>
        </w:rPr>
        <w:t>الف</w:t>
      </w:r>
      <w:r>
        <w:rPr>
          <w:rtl w:val="true"/>
        </w:rPr>
        <w:t xml:space="preserve">) </w:t>
      </w:r>
      <w:r>
        <w:rPr>
          <w:rtl w:val="true"/>
        </w:rPr>
        <w:t>گزارش</w:t>
      </w:r>
      <w:bookmarkEnd w:id="750"/>
    </w:p>
    <w:p>
      <w:pPr>
        <w:pStyle w:val="BookText"/>
        <w:rPr/>
      </w:pPr>
      <w:r>
        <w:rPr>
          <w:rFonts w:ascii="IRNazanin" w:hAnsi="IRNazanin" w:eastAsia="IRNazanin"/>
          <w:color w:val="111111"/>
          <w:sz w:val="28"/>
          <w:sz w:val="28"/>
          <w:szCs w:val="28"/>
          <w:rtl w:val="true"/>
          <w:lang w:bidi="fa-IR"/>
        </w:rPr>
        <w:t>تجدید حیات به‌عنوان عقیده‌ای سیاسی با قیام و حرکات روحانیت امامیه در ایران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سنی‌ها که این تجدید حیات از طریق غیر روحانیان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شیعه امامیه افراد معدودی غیر روحانی هم در این حرکت شرکت داشتند، مانند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علاقه‌مند به تجدید تفکر نهی از منکر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حوادث انقلاب اسلامی ایران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روحانیون در جهت کنار نهادن متفکران غیر روحانی قدم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نقش روحانیان است که در استمرار سیر تحول آن تأثیرگذار است و ویژگی ذاتی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امامی در دو مورد اصلی به آموزۀ خود در موضوع نهی از منكر روح تازه‌ای دميدند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مایکل کوک، به‌طور كلی يک مورد مربوط به روندی است كه از طريق آن سرانجام توانستند به قدرت برسند و ديگری روشی است كه اكنون عمل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نوبه خود هر دو را مورد بحث قرار می‌دهيم</w:t>
      </w:r>
      <w:r>
        <w:rPr>
          <w:rFonts w:eastAsia="IRNazanin" w:cs="IRNazanin"/>
          <w:color w:val="111111"/>
          <w:sz w:val="28"/>
          <w:szCs w:val="28"/>
          <w:rtl w:val="true"/>
          <w:lang w:bidi="fa-IR"/>
        </w:rPr>
        <w:t xml:space="preserve">. </w:t>
      </w:r>
      <w:bookmarkStart w:id="751" w:name="pg8666_122942"/>
    </w:p>
    <w:p>
      <w:pPr>
        <w:pStyle w:val="Heading5"/>
        <w:numPr>
          <w:ilvl w:val="4"/>
          <w:numId w:val="1"/>
        </w:numPr>
        <w:rPr/>
      </w:pPr>
      <w:bookmarkStart w:id="752" w:name="__RefHeading___Toc2420020_653776707"/>
      <w:bookmarkStart w:id="753" w:name="_Toc290"/>
      <w:bookmarkEnd w:id="751"/>
      <w:bookmarkEnd w:id="752"/>
      <w:r>
        <w:rPr>
          <w:rtl w:val="true"/>
        </w:rPr>
        <w:t>ب</w:t>
      </w:r>
      <w:r>
        <w:rPr>
          <w:rtl w:val="true"/>
        </w:rPr>
        <w:t xml:space="preserve">) </w:t>
      </w:r>
      <w:r>
        <w:rPr>
          <w:rtl w:val="true"/>
        </w:rPr>
        <w:t>ارزیابی</w:t>
      </w:r>
      <w:bookmarkEnd w:id="753"/>
    </w:p>
    <w:p>
      <w:pPr>
        <w:pStyle w:val="BookText"/>
        <w:rPr/>
      </w:pPr>
      <w:r>
        <w:rPr>
          <w:rFonts w:ascii="IRNazanin" w:hAnsi="IRNazanin" w:eastAsia="IRNazanin"/>
          <w:color w:val="111111"/>
          <w:sz w:val="28"/>
          <w:sz w:val="28"/>
          <w:szCs w:val="28"/>
          <w:rtl w:val="true"/>
          <w:lang w:bidi="fa-IR"/>
        </w:rPr>
        <w:t>مایکل اگرچه عنوان کتاب خود را امر به معروف و نهی از منکر در اندیشۀ اسلامی نهاده است، ولی برخلاف آنچه از این نام به ذهن تبادر می‌کند که در منابع اسلامی همچون کتاب و سنت، به جست‌وجوی مقولۀ امر به معروف و نهی از منکر بپردازد، به جز فصل دوم و سوم که به منابع قرآنی و حدیثی این فریضه پرداخته است، با یک توسعۀ مجازی نسبت به مفهوم اندیشۀ اسلامی، به سراغ اندیشۀ مسلمانان نسبت به این فریضه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کتاب نه بحث از اندیشۀ اسلامی که بحث از اندیشه مسلمانان در مورد این دو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توجیه که برداشت و تفسیر گروه‌های مختلف از اندیشۀ اسلامی را مجازاً اندیشۀ اسلامی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دقت و تأمل آشکار می‌گردد که کتاب در مورد امر به معروف و نهی از منکر در اندیشۀ مسلمانان است نه در اندیشۀ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 در این میان آن است که در این کتاب مایکل کوک، به صرف اندیشۀ مسلمانان نیز اکتفا نمی‌کند و به سراغ عملکرد و رفتار ایشان نیز در مورد امر به معروف و نهی از منکر می‌رود و این رفتار را هم‌سنخی اندیشه می‌دانند و آن‌گاه آن را در شمار اندیشۀ اسلامی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مجاز دومی است که ما در نام کتاب با آن مواجهیم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در این میان آنکه منظور از مسلمانان هم به قدری گسترده و وسیع است که هر مسلمانی با هر روحیه از علم و معرفت و آگاهی از اسلام و معارف اسلامی و با هر درجه از التزام و ایمان به عقاید اسلامی را شامل می‌شود، حتی کسانی که خود اسلام آنها را کافر واقعی و یا منافق بنامد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اصطلاحاً از جهت شناسنامه‌ای مسلمان است و از پدر و مادر مسلمان شناسنامه‌ای تولد یافته و در میان مسلمانان متولد و رشد یافته است، مسلمان است و مایکل در کتاب خود در مورد لزوم حرف و سخن و رأی او را به‌عنوان اندیشۀ اسلامی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 فرد هیچ نسبتی با اسلام به جز همان مسلمان‌بودن والدین و در شناسنامه </w:t>
      </w:r>
    </w:p>
    <w:p>
      <w:pPr>
        <w:pStyle w:val="BookText"/>
        <w:rPr/>
      </w:pPr>
      <w:r>
        <w:rPr>
          <w:rFonts w:ascii="IRNazanin" w:hAnsi="IRNazanin" w:eastAsia="IRNazanin"/>
          <w:color w:val="111111"/>
          <w:sz w:val="28"/>
          <w:sz w:val="28"/>
          <w:szCs w:val="28"/>
          <w:rtl w:val="true"/>
          <w:lang w:bidi="fa-IR"/>
        </w:rPr>
        <w:t xml:space="preserve">مسلمان شمردن او نداشته باشد؛ بنابراین بهتر بود جناب مایکل کوک تمام کتاب خود را این‌چنین انتخاب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در اندیشه و رفتار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آنکه در کتاب امر به معروف مایکل کوک برای بیان رأی و اندیشۀ مسلمانان، به رأی هر مسلمانی مراجعه می‌شود، ولی منابع مسلمانان طبقه‌بندی نمی‌شود و بدون تفکیک و درجه‌بندی در اعتبار، همه یکسان و در یک ردیف قرار داده می‌شود؛ به‌گونه‌ای که خوانندۀ کتاب امر به معروف متوجه نمی‌شود، این افرادی که در کتاب از آنها یاد می‌شود و نظر و رأیی‌شان بیان می‌گردد، رأی و نظر آنها در نسبت با اسلام چه جایگاه و منزلتی دارد؟ درحالی‌که در یک پژوهش علمی، معیار منابع معتبر و دست‌اول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پژوهشگر است که به منابع دست‌اول مراجعه کند و در صورت لزوم با مراجعه به منابع دست‌دوم و سوم و چندم، در پژوهش خود، جایگاه هر منبع و مستند مشخص شود که این مدرک و مستند و منبع نزد اهل فن آن موضوع و آشنایان و خبرگان مورد تحقیق و پژوهش، از چه درجه‌ای از اعتبار و حجیت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موضوع و فن مورد پژوهش آن گوینده را به دیدۀ اهل رأی و نظر می‌نگرند یا به دیدۀ فرد معمولی یا حتی به دیدۀ کسی که رأیش کاملاً بی‌اعتبار و بی‌ارزش است؟ این شیوه‌ای است که در هر پژوهش علمی یا صنعتی یا هنری جریان دارد، از دانشمندان فیزیک و شیمی و ریاضی تا دانشمندان علوم انسانی تا موسیقی‌دانان و اهالی سینما و تئاتر و سایر امور تخصّصی باید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رویۀ عقلایی این است، چگونه است که جناب مایکل در کتاب خود هر رطب و یابسی را به اصطلاح خود در تحلیل اندیشۀ اسلامی از هر کس می‌آورد؟</w:t>
      </w:r>
    </w:p>
    <w:p>
      <w:pPr>
        <w:pStyle w:val="BookText"/>
        <w:rPr/>
      </w:pPr>
      <w:r>
        <w:rPr>
          <w:rFonts w:ascii="IRNazanin" w:hAnsi="IRNazanin" w:eastAsia="IRNazanin"/>
          <w:color w:val="111111"/>
          <w:sz w:val="28"/>
          <w:sz w:val="28"/>
          <w:szCs w:val="28"/>
          <w:rtl w:val="true"/>
          <w:lang w:bidi="fa-IR"/>
        </w:rPr>
        <w:t>با نگاهی اجمالی به نام‌هایی که مایکل در فصل اثرگذار هجدهم از آنها یاد می‌کند و رأی و نظر آنها را ذکر می‌کند، این نکته را کاملاً آشکار می‌گرداند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برای بیان صاحبان اندیشه و مباحث مرتبط با امر به معروف و نهی از منکر در این مرحله از میرزا یوسف‌خان مستشارالدوله و میرزا ملکم‌خان تا آیت‌الله حسینعلی منتظری و </w:t>
      </w:r>
    </w:p>
    <w:p>
      <w:pPr>
        <w:pStyle w:val="BookText"/>
        <w:rPr/>
      </w:pPr>
      <w:r>
        <w:rPr>
          <w:rFonts w:ascii="IRNazanin" w:hAnsi="IRNazanin" w:eastAsia="IRNazanin"/>
          <w:color w:val="111111"/>
          <w:sz w:val="28"/>
          <w:sz w:val="28"/>
          <w:szCs w:val="28"/>
          <w:rtl w:val="true"/>
          <w:lang w:bidi="fa-IR"/>
        </w:rPr>
        <w:t xml:space="preserve">از علی شریعتی و مهدی بازرگان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و کاظم شریعتمداری و ابوالقاسم خویی و خوانساری و محمدحسین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و علی تهرانی و محسن خرازی و حسین نوری همدانی و محمدحسین فضل‌الله و محسن طباطبایی حکیم و احمد طیّبی شبستری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تا فردی با نام سید حسن اسلامی اردکانی نام می‌برد؛</w:t>
      </w:r>
      <w:r>
        <w:rPr>
          <w:rStyle w:val="FootnoteAnchor"/>
          <w:rtl w:val="true"/>
        </w:rPr>
        <w:footnoteReference w:id="179"/>
      </w:r>
      <w:r>
        <w:rPr>
          <w:rFonts w:ascii="IRNazanin" w:hAnsi="IRNazanin" w:eastAsia="IRNazanin"/>
          <w:color w:val="111111"/>
          <w:sz w:val="28"/>
          <w:sz w:val="28"/>
          <w:szCs w:val="28"/>
          <w:rtl w:val="true"/>
          <w:lang w:bidi="fa-IR"/>
        </w:rPr>
        <w:t xml:space="preserve">درحالی‌که این اسامی در طیفی وسیع و بسیار متنوع قرار می‌گیرند، از اعضای لژهای فراماسونی که اعتقاد آنان به اسلام محرز نیست و اصولاً با قطع نظر از عقیده، نسبت به اسلام، اهل رأی و نظر نیستند و در این زمینه دانشی نیندوخته‌اند و اعتباری بر اظهار نظر آنها نسبت به معارف اسلامی نیست، تا افراد متوسط و تا دانشمندان اسلام‌شناس و در نهایت تا مراجع عظام تقلید و فقهایی که رأی و فتوای آنها مورد اعتبار و مشروعیت است، در تمامی این طیف‌ها اسامی نقل شده است بدون اینکه برای خوانندۀ بی‌خبر، از درجات اعتبار این اشخاص، سخن به میان آید و مشخص شود، نسبت میان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و سیدمحسن حکیم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مرتضیمطهری و تا سید حسن اسلامی و تا میرزا ملکم‌خان چه نسبتی است؟ و هرکدام چقدر رأی‌شان در میزان پژوهش ارزشمند و مورد اعتبار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عدم‌تفکیک میان منابع پژوهشی دست‌اول با منابع در رتبۀ دوم و سوم و چندم، از جهت درجۀ اعتبار و حجیت، اولاً به نوعی موجب اغراء به جهل خواننده می‌شود و به‌گونه‌ای که خواننده بی‌خبر چه بسا میرزا ملکم‌خان غرب‌پرست و بنیان‌گذار فراموش‌خانه در ایران</w:t>
      </w:r>
      <w:r>
        <w:rPr>
          <w:rStyle w:val="FootnoteAnchor"/>
          <w:rtl w:val="true"/>
        </w:rPr>
        <w:footnoteReference w:id="180"/>
      </w:r>
      <w:r>
        <w:rPr>
          <w:rFonts w:ascii="IRNazanin" w:hAnsi="IRNazanin" w:eastAsia="IRNazanin"/>
          <w:color w:val="111111"/>
          <w:sz w:val="28"/>
          <w:sz w:val="28"/>
          <w:szCs w:val="28"/>
          <w:rtl w:val="true"/>
          <w:lang w:bidi="fa-IR"/>
        </w:rPr>
        <w:t xml:space="preserve">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خویی از برجسته‌ترین مراجع و فقهای معاصر امامیه می‌پندارد و ثانیاً به اصل کتاب آسیب جدّی وارد می‌کند؛ چون خواننده نمی‌تواند از جهت درجۀ اعتبار منابع به آن اعتماد داشته باشد</w:t>
      </w:r>
      <w:r>
        <w:rPr>
          <w:rFonts w:eastAsia="IRNazanin" w:cs="IRNazanin"/>
          <w:color w:val="111111"/>
          <w:sz w:val="28"/>
          <w:szCs w:val="28"/>
          <w:rtl w:val="true"/>
          <w:lang w:bidi="fa-IR"/>
        </w:rPr>
        <w:t xml:space="preserve">. </w:t>
      </w:r>
      <w:bookmarkStart w:id="754" w:name="pg8666_122951"/>
    </w:p>
    <w:p>
      <w:pPr>
        <w:pStyle w:val="Heading4"/>
        <w:numPr>
          <w:ilvl w:val="3"/>
          <w:numId w:val="1"/>
        </w:numPr>
        <w:rPr/>
      </w:pPr>
      <w:bookmarkStart w:id="755" w:name="__RefHeading___Toc2420022_653776707"/>
      <w:bookmarkStart w:id="756" w:name="_Toc291"/>
      <w:bookmarkEnd w:id="754"/>
      <w:bookmarkEnd w:id="755"/>
      <w:r>
        <w:rPr/>
        <w:t>10</w:t>
      </w:r>
      <w:r>
        <w:rPr>
          <w:rtl w:val="true"/>
        </w:rPr>
        <w:t xml:space="preserve">. </w:t>
      </w:r>
      <w:r>
        <w:rPr>
          <w:rtl w:val="true"/>
        </w:rPr>
        <w:t>تحلیلی جدید از شرایط امر به معروف و نهی از منکر</w:t>
      </w:r>
      <w:bookmarkEnd w:id="756"/>
    </w:p>
    <w:p>
      <w:pPr>
        <w:pStyle w:val="Heading5"/>
        <w:numPr>
          <w:ilvl w:val="4"/>
          <w:numId w:val="1"/>
        </w:numPr>
        <w:rPr/>
      </w:pPr>
      <w:bookmarkStart w:id="757" w:name="__RefHeading___Toc2420024_653776707"/>
      <w:bookmarkStart w:id="758" w:name="_Toc292"/>
      <w:bookmarkEnd w:id="757"/>
      <w:r>
        <w:rPr>
          <w:rtl w:val="true"/>
        </w:rPr>
        <w:t>الف</w:t>
      </w:r>
      <w:r>
        <w:rPr>
          <w:rtl w:val="true"/>
        </w:rPr>
        <w:t xml:space="preserve">) </w:t>
      </w:r>
      <w:r>
        <w:rPr>
          <w:rtl w:val="true"/>
        </w:rPr>
        <w:t>گزارش</w:t>
      </w:r>
      <w:bookmarkEnd w:id="758"/>
    </w:p>
    <w:p>
      <w:pPr>
        <w:pStyle w:val="BookText"/>
        <w:rPr/>
      </w:pPr>
      <w:r>
        <w:rPr>
          <w:rFonts w:ascii="IRNazanin" w:hAnsi="IRNazanin" w:eastAsia="IRNazanin"/>
          <w:color w:val="111111"/>
          <w:sz w:val="28"/>
          <w:sz w:val="28"/>
          <w:szCs w:val="28"/>
          <w:rtl w:val="true"/>
          <w:lang w:bidi="fa-IR"/>
        </w:rPr>
        <w:t>آموزه نهی از منكر سنتی اماميه، از دو نظر مبيّن تسليم‌گرايی سياسی مشخصی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شرط خطر كه از نظر اماميه نه تنها تكليف اقدام به آن، بلكه فضيلت آن را نيز لغو می‌كرد و ديگری نياز به اجازه امام در مورد اقدام جدی به خشونت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ميراث اماميه به‌عنوان انديشه انقلاب سياسی، احتما لاً هر دو جنبه اين آموزه سنتی را تحت تأثير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آغاز برای تغییر در شرط خطر با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مطرح می‌کند که به وضوح مربوط به مسائلی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شاه است که خیلی از آنها ارتباط با نهی از منکر به‌صورت مشخص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مورد دیگر آن مربوط به نهی از منکر و شرط خطر می‌شود، هرچند ابتدا مشی همان مشی سنتی است که در صورت ضرر نهی از منکر را واجب نمی‌داند؛ اما این خطرپذیری تاجایی است که اصل دین در خطر نباشد وگرنه می‌گوید خطر را به جان باید پذیرفت خصوصاً علمای دین و رؤسای مذهب باید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ایشان که آقای 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معتقد است که هر ضرری موجب ازبین رفتن این وظیفه نمی‌شود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هم به جان خریدن خطر احتمالی را جایز می‌داند و معتقد است که باید اهم و مهم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اظهار می‌دارد که برخی منکر‌ها به‌گونه‌ای نیست که تنها به علت ضرر قابل تحمل از هر نوع آن نهی نشود و برای آن مسئله حج را مثال می‌زند که به علّت ضرر مالی که در گذشته بر حاجیان تحمیل می‌شد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در خطر است شرط خطر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مجمع المسائل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امر به معروف یا نهی از منکر موجب ضایع شدن حکمی از احکام دین شود، آن مسئلۀ دیگری است، مانند جهاد که باید خطر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محمد امین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جامعه اخباری بحرین در مورد شرط خطر و نهی از منکر اصل اهمیت را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 شگفتی نیست که اکثر روحانیون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از حرف ایشان پیروی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امام در سخنرانی خود با اظهار تأسف از علمای گذشته در مطلق مطرح کردن این شرط،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مرز و قید مطرح کردن این شرط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درصورتی‌که مفسده‌اش زیاد باشد می‌توان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معتقد است که صرف ضرر شخصی مانع از انجام این وظیفه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تهرانی و منتظری که زمانی به‌عنوان جانشین خمینی مطرح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 است باید در اولویت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همدانی در یک تک‌نگار پرسروصدایی که از همه تندتر سخن می‌گوید، معتقد است جلوگیری از زنا به یک خون دماغ می‌ارزد و مانند جهاد باید خطر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خرازی که نگرش او خشک و علمی است، در بحث از شرط خطر، ضعف سند حدیث را که مستند این شرط است، پنهان نمی‌کند؛ اما اصل اهمیت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طباطبایی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نهی از منکر را یادآوری می‌کند که برخی از آنها تابع شرایط خطر است، مانند برخی واجبات مثل نماز،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برخی منکراتکه تمام اساس دین و تمامیت سرزمین‌های اسلامی را تهدید می‌کند باید با وجود خطر نیز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طیبی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تقیه و نهی از منکر هم شرط علم و هم شرط ضرر را به‌صورت ناباورانه رد کرده است، همان‌گونه که شرایط تأثیر و معرفت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دیگر تسلیم‌گرایی امامیه مربوط به نیاز به اذن امام برای خشونت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قدیم‌الایام مسئله اذن امام در رابطه با مراحل خشونت‌آمیز یدی مطرح بوده است که مایکل کوک از آن تعبیر به اعتقاد سنتی می‌کند؛ اما علمای اخیر امامیه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 تندی که حتماً امام یا نائب خاص او در این مرحله اجازه بدهد، لازم نیست، ولی این طرز تفکر از زمان صفویه به بعد تغییر کرده و اجازه مجتهد جامع‌الشرایط را کافی می‌دانند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شايسته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خمينی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چنين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جلوگيری از منكرات موجب جرح يا قتل شود، جايز نيست مگر به اذن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ادامۀ گفتار خود می‌افزايد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مجتهد جامع‌الشرايط با حصول شرايط به جای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صراحت کمتری دارند، مثل خوانساری و خویی ولی توسط دیگران مثل گلپایانی و شیرازی و منتظری و مکارم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مخصوص ولی فقیه است نه سایر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و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اسلامی تكليف عامه مردم امر به معروف و نهی از منكر با لسان است، امّا اگر كار به برخورد بكشد، آن ديگر به عهده مسئولين است كه بايد وارد بشوند و آنها اين كار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دیگر در اندیشه‌های امامی در نهی از منکر، مربوط به روش روحانیان امامی است و آن تحول در سازماندهی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بحث سنّی‌ها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در سخنرانی خود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گفته که عمل فردی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مشارکت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نیروهای شیطانی، كاملاً مجهزند و ما هم باید مثل آنها مجهز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با استفاده از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نسبت به دو امر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تشکیل گروه‌های سپاه پاسداران اسلام و دیگری تشکیل وزارت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در قسمت تحوّل در نهی از منکر از جهت سازماندهی کار شیعیان را شبیه سنّیان می‌داند؛ اما تصریح می‌کند در میان سنی‌ها فقط سخن از سازماندهی به میان آمده است، ولی شیعیان در تدارک مبنایی فکری از طریق تحول در سنت علمی خود برآمده‌اند و در رابطه با سه شرط علم، تأثیر و خطر، یک تغییرات جدیدی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وضعیتی که این تکلیف به دلیلی از ما ساقط می‌شود، این کار به‌خاطر غفلت و عدم آمادگی ما است که این مشکلات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پیش از آن رنج این کار را به خود هموار می‌کردیم تا دچار این مشکلات نمی‌شدیم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روش فکری به آرای قدیم امامیه برمی‌گردد که در مواردی در بحث از شرط علم، آدمی موظف است چیزی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همین راه را پیش گرفت که شرط علم را باید آدمی خود محقق کند و در مورد شرط تأثیر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وظایف عمومی </w:t>
      </w:r>
      <w:bookmarkStart w:id="759" w:name="pg8666_122960"/>
    </w:p>
    <w:p>
      <w:pPr>
        <w:pStyle w:val="BookText"/>
        <w:rPr/>
      </w:pPr>
      <w:bookmarkEnd w:id="759"/>
      <w:r>
        <w:rPr>
          <w:rFonts w:ascii="IRNazanin" w:hAnsi="IRNazanin" w:eastAsia="IRNazanin"/>
          <w:color w:val="111111"/>
          <w:sz w:val="28"/>
          <w:sz w:val="28"/>
          <w:szCs w:val="28"/>
          <w:rtl w:val="true"/>
          <w:lang w:bidi="fa-IR"/>
        </w:rPr>
        <w:t>تعدادی باید آموزش داده شوند و از قبل اقدام‌های لازم را برای تحقق امر به معروف انجام دهند تا شرط تأثیر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خطر اظهار نظر نمی‌کند،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اسلامی باید برای تحقق بخشیدن به این وظیفه اجتماعی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شریعتمداری ظاهراً رواج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نویسنده جوان‌تر آن را پذیرفته‌اند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دیگری طیبی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در سخنرانی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مطالبی را در این رابطه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به تأمین قدرت برای تأثیر نهی از منکر در جامعه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نمی‌شود که قدرت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قدرت را به دست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هم شبیه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اندیشمند محافظه‌کار در تک‌نگاری که نوشته است، توجه زیادی به آن ندارد؛ اما نویسنده‌ای دیگر در شرحی بر یکی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می‌پذیرد</w:t>
      </w:r>
      <w:r>
        <w:rPr>
          <w:rFonts w:eastAsia="IRNazanin" w:cs="IRNazanin"/>
          <w:color w:val="111111"/>
          <w:sz w:val="28"/>
          <w:szCs w:val="28"/>
          <w:rtl w:val="true"/>
          <w:lang w:bidi="fa-IR"/>
        </w:rPr>
        <w:t>.</w:t>
      </w:r>
    </w:p>
    <w:p>
      <w:pPr>
        <w:pStyle w:val="Heading5"/>
        <w:numPr>
          <w:ilvl w:val="4"/>
          <w:numId w:val="1"/>
        </w:numPr>
        <w:rPr/>
      </w:pPr>
      <w:bookmarkStart w:id="760" w:name="__RefHeading___Toc2420026_653776707"/>
      <w:bookmarkStart w:id="761" w:name="_Toc293"/>
      <w:bookmarkEnd w:id="760"/>
      <w:r>
        <w:rPr>
          <w:rtl w:val="true"/>
        </w:rPr>
        <w:t>ب</w:t>
      </w:r>
      <w:r>
        <w:rPr>
          <w:rtl w:val="true"/>
        </w:rPr>
        <w:t xml:space="preserve">) </w:t>
      </w:r>
      <w:r>
        <w:rPr>
          <w:rtl w:val="true"/>
        </w:rPr>
        <w:t>ارزیابی</w:t>
      </w:r>
      <w:bookmarkEnd w:id="761"/>
    </w:p>
    <w:p>
      <w:pPr>
        <w:pStyle w:val="BookText"/>
        <w:rPr/>
      </w:pPr>
      <w:r>
        <w:rPr>
          <w:rFonts w:ascii="IRNazanin" w:hAnsi="IRNazanin" w:eastAsia="IRNazanin"/>
          <w:color w:val="111111"/>
          <w:sz w:val="28"/>
          <w:sz w:val="28"/>
          <w:szCs w:val="28"/>
          <w:rtl w:val="true"/>
          <w:lang w:bidi="fa-IR"/>
        </w:rPr>
        <w:t xml:space="preserve">جناب مایکل در بخش دیگری از فصل کلیدی کتاب خویش، فصل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 مسئله پدیدآورندگان انقلاب اسلامی در ابتدا و در استمرار آن می‌پردازد و معتقد است احیای اسلامی به‌عنوان عقیده‌ای سیاسی در میان امامیه برخلاف سنیان عمدتاً از طریق روحانیان بود، اگرچه غیر روحانیان نیز به این امر پرداختند، مثل علی شریعتی و مهدی بازرگان؛ ولی حوادث انقلابسال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تحکیم نظام روحانی در جهت کنار زدن متفکران غیرروحانی حرکت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با این تحلیل نه‌چندان دقیق که می‌پندارد پس از انقلاب اسلامی، روحانیون، متفکران غیرروحانی را کنار نهادند،</w:t>
      </w:r>
      <w:r>
        <w:rPr>
          <w:rStyle w:val="FootnoteAnchor"/>
          <w:rtl w:val="true"/>
        </w:rPr>
        <w:footnoteReference w:id="181"/>
      </w:r>
      <w:r>
        <w:rPr>
          <w:rFonts w:ascii="IRNazanin" w:hAnsi="IRNazanin" w:eastAsia="IRNazanin"/>
          <w:color w:val="111111"/>
          <w:sz w:val="28"/>
          <w:sz w:val="28"/>
          <w:szCs w:val="28"/>
          <w:rtl w:val="true"/>
          <w:lang w:bidi="fa-IR"/>
        </w:rPr>
        <w:t xml:space="preserve">وارد بحث عملکرد روحانیون امامیه در ارتباط با نهی از منکر در این دوران جدید می‌شود و به دو مورد کار اصلی و مهم اشاره می‌کند که یک </w:t>
      </w:r>
    </w:p>
    <w:p>
      <w:pPr>
        <w:pStyle w:val="BookText"/>
        <w:rPr/>
      </w:pPr>
      <w:r>
        <w:rPr>
          <w:rFonts w:ascii="IRNazanin" w:hAnsi="IRNazanin" w:eastAsia="IRNazanin"/>
          <w:color w:val="111111"/>
          <w:sz w:val="28"/>
          <w:sz w:val="28"/>
          <w:szCs w:val="28"/>
          <w:rtl w:val="true"/>
          <w:lang w:bidi="fa-IR"/>
        </w:rPr>
        <w:t>مورد آن موجب به قدرت رسیدن ایشان شده است و مورد دوم روشی است که پس از قدرت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تحلیل او این است که دو شرط از آموزه‌های نهی از منکر سنتی امامیه، مبیّن تسلیم‌گرایی سیاسی بود؛ یکی شرط خطر و دیگری نیاز به اجازۀ امام در مورد اقدام جدّی به خشونت و این هر دو شرط در دوران جدید توسط فقیهان و مراجع و سایر اندیشمندان مورد بازسازی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شرط خطر را تا جایی پذیرفت که اصل دین در خطر نباشد و سایر مراجع هم این نظر را مورد تأیید قرار دادند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تحلیل مایکل از جهات مختلف قابل مناقشه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بارها در ارزیابی فصول مختلف کتاب مایکل ثابت شده است که مسئله تسلیم‌گرایی سیاسی، بر اساس مبانی اعتقادی امامت امامیه، به هیچ‌وجه درست نیست، چون امامیه، امامت غیرمعصوم را نامشروع می‌دانند و هرگز سر تسلیم به سوی آن فرود نیاورده‌اند، فقط در شرایط سخت فشار و خفقان و تقیه وادار به سکوت شده‌اند و این غیر از تسلیم‌گرایی است و البته وقتی هم که توان و قدرت یافتند به تلاش خویش در مسیر اقامۀ دین الهی کوشیدند و مبانی ولایت فقیه که در طول تاریخ فقه شیعه وجود داشته است، مبیّن این حقیقت است که آنها در جهت مخالفتسلیم‌گرایی سیاسی در برابر نظام‌های جائر و فاسد و غیرقانونی ایستادگی کرده‌اند و حتی به شهادت رسیده‌اند و تحقق انقلاب‌های بزرگ از جمله مشروطه، نهضت ملی شدن نفت و انقلاب عراق علیه انگلیس و انقلاب اسلامی ایران همگی دلالت بر این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تسلیم‌گرایی سیاسی متوجه قاطبه سنیان است که هرگونه اقدام عملی در برابر حاکم جائر را نامشروع می‌دانند و به مشروعیت از روی قهر و غلبه معتقدند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آنکه، این سخن که شرط خطر در صورتی است که اصل دین در خطر نباشد وگرنه این شرط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فقط سخن روحانیان انقلابی که به قدرت </w:t>
      </w:r>
    </w:p>
    <w:p>
      <w:pPr>
        <w:pStyle w:val="BookText"/>
        <w:rPr/>
      </w:pPr>
      <w:r>
        <w:rPr>
          <w:rFonts w:ascii="IRNazanin" w:hAnsi="IRNazanin" w:eastAsia="IRNazanin"/>
          <w:color w:val="111111"/>
          <w:sz w:val="28"/>
          <w:sz w:val="28"/>
          <w:szCs w:val="28"/>
          <w:rtl w:val="true"/>
          <w:lang w:bidi="fa-IR"/>
        </w:rPr>
        <w:t>رسیدند،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بود که به نقل خود مایکل در این قسمت توسط بسیاری از فقیهان اعم از انقلابی و غیرانقلابی از امام خمینی تا آقایان شریعتمداری، خویی، خوانساری، محمدحسین شیرازی، گلپایگانی، نوری همدانی، محسن خرازی، محسن حکیم و حتی توسط اخباریان بحرین مورد تأکید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آشکار می‌کند که بر اساس مبانی امامیه شرط خطر هرگز اطلاق و عمومیت نداشته است، اگرچه در گذشته به قید و ویژگی‌های آن کمتر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رأیی است که بر اساس مبانی و ادله امامیه مورد توجه قاطبۀ فقیهان امامیه قرار گرفته است؛ اما شرط دیگری که از نگاه مایکل مورد بازسازی قرار گرفته است، اذن امام است که در گذشته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اقدام عملی به خشونت، نیاز به اذن امام است، امّا پس از صفویه این اندیشه تغییر یافت و اجازۀ مجتهد را هم کافی دانستند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ادعا ناشی از عدم غور در منابع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تاریخ و پیشینۀ این مباحث آشنایی دارند، می‌دانند بحث ولایت فقیه از زمان امامان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سازمان وکالت و با آغاز زمان غیبت کبرا، تحت عنوان نیابت عامۀ فقیه از زمان بزرگان فقه امامیه همچون شیخ مفید مطرح بوده است و اسناد این اندیشه به زمان صفویه و محقق کرکی کاملاً عاری از وجاهت علمی و پژوهشی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مایکل در ادامۀ این قسمت به نوآوری دیگری در اندیشۀ امامی اشاره می‌کند که مربوط به تحول در سازماندهی در نهی از منکر از طریق تحول در سنّت علمی است و اینکه باید برای انجام این فریضه آمادگی کسب کرد و خود مکلف باید شرط تأثیر را فراهم آورد و با تأمین قدرت، برای نهی از منکر تأثیرگذار اقدام کند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آرا و مبانی فقهی جدیدی که در امامیه مطرح می‌شود، باید گفت این اندیشه‌ها که بر اساس مبانی و آیات و روایات در مذهب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 می‌شود، حاوی یک </w:t>
      </w:r>
      <w:bookmarkStart w:id="762" w:name="pg8666_122969"/>
    </w:p>
    <w:p>
      <w:pPr>
        <w:pStyle w:val="BookText"/>
        <w:rPr/>
      </w:pPr>
      <w:bookmarkEnd w:id="762"/>
      <w:r>
        <w:rPr>
          <w:rFonts w:ascii="IRNazanin" w:hAnsi="IRNazanin" w:eastAsia="IRNazanin"/>
          <w:color w:val="111111"/>
          <w:sz w:val="28"/>
          <w:sz w:val="28"/>
          <w:szCs w:val="28"/>
          <w:rtl w:val="true"/>
          <w:lang w:bidi="fa-IR"/>
        </w:rPr>
        <w:t>نکتۀ اساسی در تفاوت میان اجتهاد امامیه با اجتهاد سایر مذاهب اسلامی است که مناسب بود مایکل پس از اشاره به تفاوت امامیه با دیگران دربارۀ این آرای جدید به آن اشاره می‌کرد و آن انسداد باب اجتهاد نزد سنّیان و مفتوح بودن باب اجتهاد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اجتهاد نزد سنّیان از نیمۀ دوم قرن چهارم هجری قمری آغاز شده است</w:t>
      </w:r>
      <w:r>
        <w:rPr>
          <w:rStyle w:val="FootnoteAnchor"/>
          <w:rtl w:val="true"/>
        </w:rPr>
        <w:footnoteReference w:id="186"/>
      </w:r>
      <w:r>
        <w:rPr>
          <w:rFonts w:ascii="IRNazanin" w:hAnsi="IRNazanin" w:eastAsia="IRNazanin"/>
          <w:color w:val="111111"/>
          <w:sz w:val="28"/>
          <w:sz w:val="28"/>
          <w:szCs w:val="28"/>
          <w:rtl w:val="true"/>
          <w:lang w:bidi="fa-IR"/>
        </w:rPr>
        <w:t xml:space="preserve">و همچنان این انسداد ادامه دارد و تأثیری عمیق و جدی در بازدارندگی حرکت فکری مذاهب سنّی داشته است؛ درحالی‌که در مدرسۀ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همواره مفتوح است و لذا فقیهان امامی با حرّیت کامل و با اندیشۀ باز و بدون تعصّب نسبت به آرای فقهی گذشتگان، همواره به بازخوانی مبانی و ادلّه می‌پردازند و بر اثر آنها همواره در حرکت اجتهادی امامیه شاهد نشاط و حیات با حفظ اتقان و استحکام هستیم؛ همچون رودی جاری و ساری در عمود زمان، به خلاف جریان فقهی مذاهب دیگر که از نوعی خمود و سکون و تقلید و عدم بازخوانی در منابع اولیه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اینکه فقه امامیه حیات دارد و رو به جلو در حرکت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علی‌رغم آنکه مایکل کوک ناامیدانه می‌پنداشت اگرچه امامیه برخلاف تراث سنّیان هنوز زنده و ساکن‌اند، ولی شاید در آینده‌ای دور از میان خواهد رفت،</w:t>
      </w:r>
      <w:r>
        <w:rPr>
          <w:rStyle w:val="FootnoteAnchor"/>
          <w:rtl w:val="true"/>
        </w:rPr>
        <w:footnoteReference w:id="187"/>
      </w:r>
      <w:r>
        <w:rPr>
          <w:rFonts w:ascii="IRNazanin" w:hAnsi="IRNazanin" w:eastAsia="IRNazanin"/>
          <w:color w:val="111111"/>
          <w:sz w:val="28"/>
          <w:sz w:val="28"/>
          <w:szCs w:val="28"/>
          <w:rtl w:val="true"/>
          <w:lang w:bidi="fa-IR"/>
        </w:rPr>
        <w:t>یکی از رموز ماندگاری و حیات آنها در تراث خویش، همین مفتوح بودن باب اجتهاد و عدم انسداد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منهج اجتهادی، امامیه را درمسائل جدید و تحولات زمان و مقتضیات عصر، زنده نگاه می‌دارد و با تکیه بر گذشته، آینده‌ای زیبا و متحول را ترسیم می‌کند</w:t>
      </w:r>
      <w:r>
        <w:rPr>
          <w:rFonts w:eastAsia="IRNazanin" w:cs="IRNazanin"/>
          <w:color w:val="111111"/>
          <w:sz w:val="28"/>
          <w:szCs w:val="28"/>
          <w:rtl w:val="true"/>
          <w:lang w:bidi="fa-IR"/>
        </w:rPr>
        <w:t>.</w:t>
      </w:r>
    </w:p>
    <w:p>
      <w:pPr>
        <w:pStyle w:val="Heading4"/>
        <w:numPr>
          <w:ilvl w:val="3"/>
          <w:numId w:val="1"/>
        </w:numPr>
        <w:rPr/>
      </w:pPr>
      <w:bookmarkStart w:id="763" w:name="__RefHeading___Toc2420028_653776707"/>
      <w:bookmarkStart w:id="764" w:name="_Toc294"/>
      <w:bookmarkEnd w:id="763"/>
      <w:r>
        <w:rPr/>
        <w:t>11</w:t>
      </w:r>
      <w:r>
        <w:rPr>
          <w:rtl w:val="true"/>
        </w:rPr>
        <w:t xml:space="preserve">. </w:t>
      </w:r>
      <w:r>
        <w:rPr>
          <w:rtl w:val="true"/>
        </w:rPr>
        <w:t>امر به معروف و نهی از منکر در قانون اساسی جمهوری اساسی ایران</w:t>
      </w:r>
      <w:bookmarkEnd w:id="764"/>
    </w:p>
    <w:p>
      <w:pPr>
        <w:pStyle w:val="Heading5"/>
        <w:numPr>
          <w:ilvl w:val="4"/>
          <w:numId w:val="1"/>
        </w:numPr>
        <w:rPr/>
      </w:pPr>
      <w:bookmarkStart w:id="765" w:name="__RefHeading___Toc2420030_653776707"/>
      <w:bookmarkStart w:id="766" w:name="_Toc295"/>
      <w:bookmarkEnd w:id="765"/>
      <w:r>
        <w:rPr>
          <w:rtl w:val="true"/>
        </w:rPr>
        <w:t>الف</w:t>
      </w:r>
      <w:r>
        <w:rPr>
          <w:rtl w:val="true"/>
        </w:rPr>
        <w:t xml:space="preserve">) </w:t>
      </w:r>
      <w:r>
        <w:rPr>
          <w:rtl w:val="true"/>
        </w:rPr>
        <w:t>گزارش</w:t>
      </w:r>
      <w:bookmarkEnd w:id="7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نوشتۀ مایکل کوک گذشته از مسائل اعتقادی، نهی از منکر در عمل، در قانون اساسی جمهوری اسلامی، به آن تصریح شده است؛ دعوت به خیر، امر به معروف و نهی از منکر، </w:t>
      </w:r>
    </w:p>
    <w:p>
      <w:pPr>
        <w:pStyle w:val="BookText"/>
        <w:rPr/>
      </w:pPr>
      <w:r>
        <w:rPr>
          <w:rFonts w:ascii="IRNazanin" w:hAnsi="IRNazanin" w:eastAsia="IRNazanin"/>
          <w:color w:val="111111"/>
          <w:sz w:val="28"/>
          <w:sz w:val="28"/>
          <w:szCs w:val="28"/>
          <w:rtl w:val="true"/>
          <w:lang w:bidi="fa-IR"/>
        </w:rPr>
        <w:t>وظیفه‌ای است همگانی و متقابل بر مردم نسبت به یکدیگر، دولت نسبت به مردم و مردم نسبت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سومی به علت جار و جنجال دومی، عملاً مسکوت مانده است نهی از منکر در ایران مانند عربستان نقش ابزار حکومتی دارد و درگیر نهادهایی شده که بین آنها هماهنگی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آنجایی که جامعه ایرانی از نظر فرهنگی، غنی‌تر از عربستان است و سیاست آن بازتر از آنجا است، در ایران بیشتر از عربستان زمینه گفت‌وگو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در این قسمت، به روایت یک داستان،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ايرانی متدينی كه در كنار چند زوج جوان در چله تابستان كوه‌های شمال تهران را درمی‌نورديد، وظيفه سنگينش برای امر به معروف را برای خبرنگار آمريكايی چنين تعريف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بدی است، دختران با كلاه بَيْس بال، با آرايش كامل و بدون حجاب مناسب از اينجا بالا می‌روند و پسران پيراهن‌هايشان را درآورده‌اند و حرف‌هايی می‌زنند كه من از تكرار آن شرم دارم، اين شغل كثيف و غم‌انگيزی است،</w:t>
      </w:r>
      <w:r>
        <w:rPr>
          <w:rStyle w:val="FootnoteAnchor"/>
          <w:rtl w:val="true"/>
        </w:rPr>
        <w:footnoteReference w:id="188"/>
      </w:r>
      <w:r>
        <w:rPr>
          <w:rFonts w:ascii="IRNazanin" w:hAnsi="IRNazanin" w:eastAsia="IRNazanin"/>
          <w:color w:val="111111"/>
          <w:sz w:val="28"/>
          <w:sz w:val="28"/>
          <w:szCs w:val="28"/>
          <w:rtl w:val="true"/>
          <w:lang w:bidi="fa-IR"/>
        </w:rPr>
        <w:t>امّا ما بايد آماده باشيم برای خدا جان ببازیم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منبعی که تا حدودی وظایف مردم را نسبت به همدیگر بیان می‌کند، مجموعه‌ای از 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بیست و سه سؤال، همراه جواب‌هایی است که در اوائل انقلاب از ایشان پرسیده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به بررسی تک تک سؤال‌ها و جواب‌هایی که ارائه شده، می‌پردازد و برداشت‌های خودش از این سؤالات و جواب‌ها را بیان می‌کند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مطالب، سؤالاتی است درباره وظايف ما نسبت به كسانی كه با آنها روابط اجتماعی داريم؛ مثلاً آيا ما می‌توانيم با مسلمانی كه فرايض دينی خود را انجام می‌دهد، ولی اعتقادی به ولايت فقيه ندارد و طرز فكر التقاطی دارد، دوست باشيم؟ بيشتر مسائل مربوط به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هر خانوادۀ ايرانی به نحوی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يا چند نفر </w:t>
      </w:r>
      <w:bookmarkStart w:id="767" w:name="pg8666_122975"/>
    </w:p>
    <w:p>
      <w:pPr>
        <w:pStyle w:val="BookText"/>
        <w:rPr/>
      </w:pPr>
      <w:bookmarkEnd w:id="767"/>
      <w:r>
        <w:rPr>
          <w:rFonts w:ascii="IRNazanin" w:hAnsi="IRNazanin" w:eastAsia="IRNazanin"/>
          <w:color w:val="111111"/>
          <w:sz w:val="28"/>
          <w:sz w:val="28"/>
          <w:szCs w:val="28"/>
          <w:rtl w:val="true"/>
          <w:lang w:bidi="fa-IR"/>
        </w:rPr>
        <w:t>از اعضای خانواده، گرفتار فساد اخلاق، بی‌دينی و يا دارای وابستگی به حكومت طاغوتی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كننده‌ای چهار پسر عمو و يک دختر عمو دارد كه اصلاً اهل عبادت نيستند و اكثر درآمد آنها از قمار و خريد و فروش مواد مخدر است و اكنون هم در انتظار بازگشت حكومت طاغوتی هستند كه ان‌شاءالله در خواب هم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سال‌هایی که از زمان جواب به این استفتائات می‌گذرد و مشاجراتی كه در اين سؤالات مطرح شده، احتمالاً كاهش يافته است، به‌حدی كه تضاد شديد در جامعۀ ايرانی به بدبينی مشترک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دخالت زنان در این وظیفه و نهی از منکر کردن آنان طبق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همه مکلف‌اند و آنان را وظیفه‌مند می‌دانند، درحالی‌که مفسّران سنی متعرض این بحث نمی‌شدند، اما شیعۀ امامی بیشتر به این مسئله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پانزده نفری که بررسی شده، پنج نفرآن به این عقیده‌اند که زنان می‌توانند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عقیده دارد که زنان دوشادوش مردان، می‌توانند نهی از منکر انجام دهند و یا پرستاری که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می‌کند که در میان مجروحانی که به اعتقاد کامل نماز نمی‌خوانند،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شما نهی از منکر است در بین آنان</w:t>
      </w:r>
      <w:r>
        <w:rPr>
          <w:rFonts w:eastAsia="IRNazanin" w:cs="IRNazanin"/>
          <w:color w:val="111111"/>
          <w:sz w:val="28"/>
          <w:szCs w:val="28"/>
          <w:rtl w:val="true"/>
          <w:lang w:bidi="fa-IR"/>
        </w:rPr>
        <w:t>.</w:t>
      </w:r>
    </w:p>
    <w:p>
      <w:pPr>
        <w:pStyle w:val="Heading5"/>
        <w:numPr>
          <w:ilvl w:val="4"/>
          <w:numId w:val="1"/>
        </w:numPr>
        <w:rPr/>
      </w:pPr>
      <w:bookmarkStart w:id="768" w:name="__RefHeading___Toc2420032_653776707"/>
      <w:bookmarkStart w:id="769" w:name="_Toc296"/>
      <w:bookmarkEnd w:id="768"/>
      <w:r>
        <w:rPr>
          <w:rtl w:val="true"/>
        </w:rPr>
        <w:t>ب</w:t>
      </w:r>
      <w:r>
        <w:rPr>
          <w:rtl w:val="true"/>
        </w:rPr>
        <w:t xml:space="preserve">) </w:t>
      </w:r>
      <w:r>
        <w:rPr>
          <w:rtl w:val="true"/>
        </w:rPr>
        <w:t>ارزیابی</w:t>
      </w:r>
      <w:bookmarkEnd w:id="76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در بحث از تحولات جدید در اندیشۀ امامیه نسبت به نهی از منکر، از آغاز دو نقطه را وجهۀ همت خویش قرار داد؛</w:t>
      </w:r>
      <w:r>
        <w:rPr>
          <w:rStyle w:val="FootnoteAnchor"/>
          <w:rtl w:val="true"/>
        </w:rPr>
        <w:footnoteReference w:id="190"/>
      </w:r>
      <w:r>
        <w:rPr>
          <w:rFonts w:ascii="IRNazanin" w:hAnsi="IRNazanin" w:eastAsia="IRNazanin"/>
          <w:color w:val="111111"/>
          <w:sz w:val="28"/>
          <w:sz w:val="28"/>
          <w:szCs w:val="28"/>
          <w:rtl w:val="true"/>
          <w:lang w:bidi="fa-IR"/>
        </w:rPr>
        <w:t>یکی تحوّلاتی که منجر به در دست گرفتن قدرت توسط آنان شد که این نقطه در نکات گذشته مورد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دوم مربوط به روشی است که امامیه اکنون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نقطه دوم هم گویا می‌خواهد در فرازهای پایانی این بخش بپردازد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در این قسمت هرچند مایکل تصریح می‌کند که جامعۀ ایرانی از </w:t>
      </w:r>
    </w:p>
    <w:p>
      <w:pPr>
        <w:pStyle w:val="BookText"/>
        <w:rPr/>
      </w:pPr>
      <w:r>
        <w:rPr>
          <w:rFonts w:ascii="IRNazanin" w:hAnsi="IRNazanin" w:eastAsia="IRNazanin"/>
          <w:color w:val="111111"/>
          <w:sz w:val="28"/>
          <w:sz w:val="28"/>
          <w:szCs w:val="28"/>
          <w:rtl w:val="true"/>
          <w:lang w:bidi="fa-IR"/>
        </w:rPr>
        <w:t>نظر فرهنگی غنی‌تر از عربستان سعودی و سیاست ایرانی آزادتر از آنجاست،</w:t>
      </w:r>
      <w:r>
        <w:rPr>
          <w:rStyle w:val="FootnoteAnchor"/>
          <w:rtl w:val="true"/>
        </w:rPr>
        <w:footnoteReference w:id="192"/>
      </w:r>
      <w:r>
        <w:rPr>
          <w:rFonts w:ascii="IRNazanin" w:hAnsi="IRNazanin" w:eastAsia="IRNazanin"/>
          <w:color w:val="111111"/>
          <w:sz w:val="28"/>
          <w:sz w:val="28"/>
          <w:szCs w:val="28"/>
          <w:rtl w:val="true"/>
          <w:lang w:bidi="fa-IR"/>
        </w:rPr>
        <w:t>ولی درعین‌حال با عباراتی کنایه گونه مطالبی قابل تأمّلی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ابتدا بحث خویش را از این نکته آغاز می‌کند که در قانون اساسی جمهوری اسلامی یک ماده در ارتباط با نهی از منکر وجود دارد و آن را وظیفه‌ای سه بُعدی و سه جنبه‌ای معرفی می‌کند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مردم نسبت به یکدیگر؛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دولت نسبت به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مردم نسبت به دولت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توجه به سه بُعدی و سه ضلعی بودن نهی از منکر از نکات شاخص و برجسته فقهی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اندیشه سایر مذاهب، همچنان که در کتاب مایکل نیز بارها به آن اشاره شده است، جنبۀ سوم تقریباً به قدری با قیود و شرایط و محدودیت، مطرح گردیده است که می‌توان گفت، تقریباً نادیده انگاشته شده است، ولی همین جنبۀ سوم جزء برجسته‌ترین و مهم‌ترین ضلع نهی از منکر تلقی می‌شود که در قانون اساسی جمهوری اسلامی که با قانون عادی از جهت سطح و اهمیت قابل مقایسه نیست، به آن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معتقد است جنبۀ اول و سوم جنجالی است و لذا جنبۀ دوم نیز عملاً مسکوت مانده است و ایران همانند عربستان به جامعه‌ای تبدیل شده که نهی از منکر شدیداً نقش ابزاری حکومتی دارد و درگیر نهادهایی شده که هرگز هماهنگ عمل نمی‌کنند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اظهار نظر مایکل از چند جهت جای تأمّل دارد؛ اولاً و مع‌الأسف عملاً نه تنها جنبۀ دوم مسکوت مانده است، بلکه تمامی جنبه‌های نهی از منکر در قانون اساسی تقریباً مسکوت مانده است و این اصل قانون اساسی را می‌توان از اصولی دانست که تاکنون به آن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عده‌ای تلاش کرده و کارهایی هم در این زمینه انجام داده‌اند، ولی متأسفانه این تلاش‌ها بسیار ناچیز بوده و در حدّی نبوده است که تمامی نهادها و </w:t>
      </w:r>
    </w:p>
    <w:p>
      <w:pPr>
        <w:pStyle w:val="BookText"/>
        <w:rPr/>
      </w:pPr>
      <w:r>
        <w:rPr>
          <w:rFonts w:ascii="IRNazanin" w:hAnsi="IRNazanin" w:eastAsia="IRNazanin"/>
          <w:color w:val="111111"/>
          <w:sz w:val="28"/>
          <w:sz w:val="28"/>
          <w:szCs w:val="28"/>
          <w:rtl w:val="true"/>
          <w:lang w:bidi="fa-IR"/>
        </w:rPr>
        <w:t>دستگاه‌های ذی‌ربط به زیر بار مسئولیت خویش در این زمینه رفته باشند و امکانات خود را در راه تحقق آن بسیج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قیاس جامعۀ امامیۀ ایران با حکومت قبیله‌ای و استبدادی سعودی قیاس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سعودی، حکومت فامیلی و وابسته به قبیلۀ آل‌سعود است و هیچ‌یک از مظاهر مردم‌سالاری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انتخابات و همه‌پرسی در آن برگزار نشده است و بدون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پارلمان و نماینده ندارند و برای مردم هیچ نقشی در ارکان حکومتی نمی‌توان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خارجی هم این رژیم وابسته به جهان قدرت و به‌شدت غرب‌گرا است و در مسیر سیاست‌های جهانی غرب و گسترش نفوذ غرب و صهیونیزم بین‌الملل در جهان و در منطقه غرب آسیا در جهت حفظ منافع آنها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تمامی این نقاط گفته شده، نظام ایران در نقطۀ مقابل سعودی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نظام سیاسی ایران به دنبال تظاهرات میلیونی مردم با همه‌پرسی و رأی بیش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برپا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خبرگان نمایندۀ مردم، قانون اساسی را نوشته‌اند و بعد به رأی مردم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و مجلس شورای اسلامی و مجلس خبرگان و سایر ارکان حکومتی با آرای مستقیم و غیرمستقیم مردم تشکیل شده است و تمامی مردم در تشکیل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قبیله و خانواده‌ای خاص حکومت می‌کند و نه استبداد حاکم است، بلکه کاملاً مردم‌سالارانهاست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این نظام نه‌تنها در راستای اهداف غرب و آمریکا قرار ندارد، بلکه در چهل سال مبارزۀ دائم و بی‌امان با دشمنی که در پی اسقاط این نظام بودند، به حیات خود ادامه داده و پیشرفت چشمگیری پیدا کرده است و در بسیاری از جهات به استقلال و خودکفایی رسیده است، به‌ویژه در سیاست‌های دفاعی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عربستان که کاملاً وابسته است و هر ساله میلیاردها دلار به کام ماشین‌افزار کشتار مردم در غرب و کارخانه‌های بزرگ اسلحه‌سازی آن دیار کمک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مقایسه این دو، مصداقی از این ضرب‌المثل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قیاسش خنده آمد خلق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نهی از منکر در فقه امامیه ابزار حکومت نیست، بلکه ابزار نظارت مردم و پاسخ‌گویی حکومت در مقابل دیدگان تیزبین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مع‌الأسف مایکل هیچ دلیلی بر اینکه نهی از منکر را ابزار قدرت در ایران فرض می‌کند،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کتاب در ظاهر پژوهشی و علمی، در دامن یک ابزار رسانه‌ای سیاسی درغلطیده است و پیمان خود در مسیر بیان عالمانه و استفاده از ابزار دانش را به فراموشی سپرده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همان‌طور که در نکته اول هم بیان شد، در ارتباط با نهی از منکر مطرح‌شده در قانون اساسی جمهوری اسلامی ایران، نهادهای حکومتی مگر مواردی محدود و اندک، در این ارتباط تاکنون به وظیفۀ خود عمل نکرده‌اند و چنین نیست که مشکل در درگیری نهادهای متعددی باشد که هماهنگ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کرد که نهادهای قانونی در هر سه قوه پای کار نهی از منکر تاکنون نیامده‌اند و به اصطلاح مسئله سالبه به انتفاء موضوع است؛ ولی این برخلاف رژیم سعودی است که نهادها هماهنگ نیستند، شاید یکی از ریشه‌های قضیه در این باشد که آنها به ضلع سوم نهی از منکر، یعنی نهی از منکر مردم نسبت به دولت، هیچ برنامه‌ای نداشته و ندارند و دولت تحت نظارت و پاسخ‌گویی و مسئولیت مردم نیست و لذا دولت سعودی دچار سیاست‌های متناقض و دوگانه و به نوعی منافقانه شده است، چنان‌که به برخی از ارزش‌های ظاهری و شکلی و آئینی توجه جدّی می‌کند و به مراسم‌های رسمی دینی بها می‌دهد و نهی از منکر را در مسیر توسعه و صیانت و حفظ ظاهری آنها بسیج می‌کند، ولی به ارزش‌های اصیل اسلامی همچون عدم‌سلطۀ کفار بر بلاد مسلمانان و هماهنگ نشدن باسیاست‌های سطله‌جویانه و ستمگرانۀ آنها و عدم‌ظلم و ستم به مردم و حفظ حقوق توده‌های مردم و عدم سوءاستفاده از ثروت و قدرت کشور و تلاش در جهت رفع فقر و محرومیت از توده‌های مردم و جلوگیری از اشرافی‌گری و زندگانی اسراف‌کارانه و انباشت ثروت‌های بیکران نامشروع و غیره، به این قبیل ارزش‌های اصیل که جنبۀ بنیادین دارد و نه جنبۀ شکلی و آئینی، کاملاً نه تنها بی‌تفاوت است که در جهت عکس آنها رفتار می‌کند؛ ازاین‌رو چالش و تناقض و پارادوکس در درون حاکمیت سعودی تاکنون </w:t>
      </w:r>
      <w:bookmarkStart w:id="770" w:name="pg8666_122987"/>
    </w:p>
    <w:p>
      <w:pPr>
        <w:pStyle w:val="BookText"/>
        <w:rPr/>
      </w:pPr>
      <w:bookmarkEnd w:id="770"/>
      <w:r>
        <w:rPr>
          <w:rFonts w:ascii="IRNazanin" w:hAnsi="IRNazanin" w:eastAsia="IRNazanin"/>
          <w:color w:val="111111"/>
          <w:sz w:val="28"/>
          <w:sz w:val="28"/>
          <w:szCs w:val="28"/>
          <w:rtl w:val="true"/>
          <w:lang w:bidi="fa-IR"/>
        </w:rPr>
        <w:t>موج می‌زده است و گویا در شرایط جدید و به نام اصلاحات می‌خواهند، پرده از آن ظاهرگرایی فریب‌کارانه بردارند و باطن خود را علناً هویدا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نظام ایران از این قبیل چالش‌های دوگانه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چالشی که وجود دارد، چالش غرب و غرب‌گرایی و دنیاطلبی و اشرافی‌گری با ضد غرب و غرب‌گرایی و مخالفت با دنیاطلبی و اشرافی‌گری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غرب‌گرایان درصدد نفوذ به ارکان نظام است و سیاست کلی جهانی همراه با آنها مبنی بر اسقاط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هزینه‌های مادی زیادی صرف می‌کنند و استراتژی و مدیریت و برنامه‌ریزی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یک چالش با غرب همواره وجود داشته است و اصولاً این چالش بر اساس مبانی اسلامی و امامیه جزء ماهیت این نظام است و تمام شدنی نیست</w:t>
      </w:r>
      <w:r>
        <w:rPr>
          <w:rFonts w:eastAsia="IRNazanin" w:cs="IRNazanin"/>
          <w:color w:val="111111"/>
          <w:sz w:val="28"/>
          <w:szCs w:val="28"/>
          <w:rtl w:val="true"/>
          <w:lang w:bidi="fa-IR"/>
        </w:rPr>
        <w:t>.</w:t>
      </w:r>
    </w:p>
    <w:p>
      <w:pPr>
        <w:pStyle w:val="Heading4"/>
        <w:numPr>
          <w:ilvl w:val="3"/>
          <w:numId w:val="1"/>
        </w:numPr>
        <w:rPr/>
      </w:pPr>
      <w:bookmarkStart w:id="771" w:name="__RefHeading___Toc2420034_653776707"/>
      <w:bookmarkStart w:id="772" w:name="_Toc297"/>
      <w:bookmarkEnd w:id="771"/>
      <w:r>
        <w:rPr/>
        <w:t>12</w:t>
      </w:r>
      <w:r>
        <w:rPr>
          <w:rtl w:val="true"/>
        </w:rPr>
        <w:t xml:space="preserve">. </w:t>
      </w:r>
      <w:r>
        <w:rPr>
          <w:rtl w:val="true"/>
        </w:rPr>
        <w:t>مقایسۀ سنّیان و شیعیان امامی در تحولات جدید اسلامی</w:t>
      </w:r>
      <w:bookmarkEnd w:id="772"/>
    </w:p>
    <w:p>
      <w:pPr>
        <w:pStyle w:val="Heading5"/>
        <w:numPr>
          <w:ilvl w:val="4"/>
          <w:numId w:val="1"/>
        </w:numPr>
        <w:rPr/>
      </w:pPr>
      <w:bookmarkStart w:id="773" w:name="__RefHeading___Toc2420036_653776707"/>
      <w:bookmarkStart w:id="774" w:name="_Toc298"/>
      <w:bookmarkEnd w:id="773"/>
      <w:r>
        <w:rPr>
          <w:rtl w:val="true"/>
        </w:rPr>
        <w:t>الف</w:t>
      </w:r>
      <w:r>
        <w:rPr>
          <w:rtl w:val="true"/>
        </w:rPr>
        <w:t xml:space="preserve">) </w:t>
      </w:r>
      <w:r>
        <w:rPr>
          <w:rtl w:val="true"/>
        </w:rPr>
        <w:t>گزارش</w:t>
      </w:r>
      <w:bookmarkEnd w:id="774"/>
    </w:p>
    <w:p>
      <w:pPr>
        <w:pStyle w:val="Heading6"/>
        <w:numPr>
          <w:ilvl w:val="5"/>
          <w:numId w:val="1"/>
        </w:numPr>
        <w:rPr/>
      </w:pPr>
      <w:bookmarkStart w:id="775" w:name="__RefHeading___Toc2420038_653776707"/>
      <w:bookmarkStart w:id="776" w:name="_Toc299"/>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مایکل کوک در این قسمت از فصل هجدهم که به تحولات جدید اسلامی اختصاص دارد، مقایسۀ بین عقاید شیعه و سنی و تفاوت‌ها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تحول نگرش‌های اهل سنت و شيعه اماميه را نسبت به نهی از منكر در جهان امروز به‌صورت دو قصۀ جداگانه مطرح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است كه باتوجه‌به رشته‌های پيوند بين اين دو و بررسی مشابهت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با يكديگر اين دو را با هم بسنجم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رشته‌های پيوند بين اين دو مذهب، همانند اختلاف بين شكل و اندازۀ اين دو جامعه، نابرابر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به‌ندرت اتفاق می‌افتد كه نشانی از آگاهی از نظريات اماميه در بين نويسندگان سنیديده شود، تا چه رسد به شوق فراگيری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به‌طوری كه ديديم احمد حجازی سقا از اين حقيقت آگاه است و خود تأييد می‌كند كه اماميه امروز از عقايدی كه علمای سنی سده‌های ميانه به آنها نسبت داده‌اند، پيروی نمی‌كنند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از دو نویسنده نام می‌برد که از نظرات امامیه استفاده کرده است؛ یکی ابراهیم‌بن‌قطّان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نقطه نظرات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p>
    <w:p>
      <w:pPr>
        <w:pStyle w:val="BookText"/>
        <w:rPr/>
      </w:pPr>
      <w:r>
        <w:rPr>
          <w:rFonts w:ascii="IRNazanin" w:hAnsi="IRNazanin" w:eastAsia="IRNazanin"/>
          <w:color w:val="111111"/>
          <w:sz w:val="28"/>
          <w:sz w:val="28"/>
          <w:szCs w:val="28"/>
          <w:rtl w:val="true"/>
          <w:lang w:bidi="fa-IR"/>
        </w:rPr>
        <w:t>دیگری به نام عادل السکّری همین قدر می‌گوید که علمای امامیه نهی از منکر را واجب عقلانی می‌دانند و از اینکه آن را وحیانی نمی‌دانند خرده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اغلب علما و دانشمندان امامی آماده‌اند که از نظرات سنی‌ها آگاهی داشته و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عباسعلی واعظ است که در تفسیر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مطالب زیادی را از عبده و رشیدرضا استفاده و اقتباس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همدانی به سازماندهی هیئت‌های مذکور اشاره می‌کند و گاهی حتی در روزنامه جمهوری اسلامی از آن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مطهری، عبدالکریم بی‌آزار شیرازی کسانی هستند که از نظرات اهل سنت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در جامعۀ علمی شیعه نظرات غزالی مطرح و نقد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نقل احادیث نبوی از طریق اهل سنت رغبت نشان می‌دهند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سنّيان و شيعيان امامی در دهه‌های اخير با روی آوردن به سياست، در دو موقعيت نسبتاً متفاوت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اماميه وضع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اين حقيقت كه ايران سرزمين اسلامی مهم و همچنين تنها كشور بزرگ امامی است، درجهان تشيع برتری انكارناپذيری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نقش فكری و اعتقادی آن كاملاً به چشم می‌خورد؛ بيشتر نويسندگانی كه در اين فصل از آنها سخن گفتيم، ايرانی‌اند و در وهله اول تفكر آنان مربوط به صحنه‌های سياسی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امامی در سرزمين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ديگر، خود را در درون مرزهای كشورهايی می‌بينند كه اكثريت با جوامع ديگر است كه رهبری مطلق را در دست دارند، موقعيتی كه در چند دهۀ اخير تغيير نيافته و در آينده نزديک هم اميدی به تغيير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در ايران زمينه تفكر امامی شديداً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اسلامی تشيع امامی با حكومتی روبه‌رو بود كه در بهترين شرايط مخالف روحانيان و در بدترين شرايط دشمن آنان بود و انتخاب ميان سازش يا رويارويی با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انقلاب، برحسبتعريف، حكومت اسلامی است و اكنون انقلاب برای صادر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در شكل‌گيری عقيده نهی از منكر به‌سادگی نمايان است، به‌طوری كه با جار و جنجال بسيار از بدبينی تسليم‌گرايانه به خوش‌بينی انقلابی تغيير موضع داد و سپس به‌صورتی نامحسوس، نگرانی پس از دوران انقلاب برای نظم اجتماعی جانشين آن شد</w:t>
      </w:r>
      <w:r>
        <w:rPr>
          <w:rFonts w:eastAsia="IRNazanin" w:cs="IRNazanin"/>
          <w:color w:val="111111"/>
          <w:sz w:val="28"/>
          <w:szCs w:val="28"/>
          <w:rtl w:val="true"/>
          <w:lang w:bidi="fa-IR"/>
        </w:rPr>
        <w:t xml:space="preserve">. </w:t>
      </w:r>
      <w:bookmarkStart w:id="777" w:name="pg8666_122993"/>
    </w:p>
    <w:p>
      <w:pPr>
        <w:pStyle w:val="BookText"/>
        <w:rPr/>
      </w:pPr>
      <w:bookmarkEnd w:id="777"/>
      <w:r>
        <w:rPr>
          <w:rFonts w:ascii="IRNazanin" w:hAnsi="IRNazanin" w:eastAsia="IRNazanin"/>
          <w:color w:val="111111"/>
          <w:sz w:val="28"/>
          <w:sz w:val="28"/>
          <w:szCs w:val="28"/>
          <w:rtl w:val="true"/>
          <w:lang w:bidi="fa-IR"/>
        </w:rPr>
        <w:t>دنياي اهل سنت، در مقايسه با جوامع امامی، شديداً متفاوت و گيج‌كننده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كشوری نيست كه سياست آن پيشتاز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رخداد مشخصی وجود ندارد و به جای تضاد شديد بين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خمينی، اختلافات جزئی كم‌رنگی ديده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حكومتی به اندازه حكومت شاه، قاطعانه غيردينی بود، در صورتی‌كه حكومت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اسلامی فقط در كشورهايی مانند سودان و افغانستان وجود دارد كه به لحاظ فعاليّت فكری جهان اسلام در حاشيه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ديگری كه خود را اسلامی می‌داند، يعنی دولت عربستان سعودی، اعتماد بسياری از عمل‌گرايان اسلامی را از خود سلب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نيست كه در تاريخ ارزش‌های سياسی اهل سنت، به‌طوری كه در آرای آنان درباره نهی از منكر ديده شد، نشانی از تحول روشن و صريح ديده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آنكه چشمگيرترين تحولات اهل سنت، كاملاً برخلاف گسترش آموزه‌های امامی، در جهت تسليم‌گرايی است، چناچه سید قطب انجام با دست را مختص به حکومت دانست و بقیه را موظف نمی‌دانست</w:t>
      </w:r>
      <w:r>
        <w:rPr>
          <w:rFonts w:eastAsia="IRNazanin" w:cs="IRNazanin"/>
          <w:color w:val="111111"/>
          <w:sz w:val="28"/>
          <w:szCs w:val="28"/>
          <w:rtl w:val="true"/>
          <w:lang w:bidi="fa-IR"/>
        </w:rPr>
        <w:t>.</w:t>
      </w:r>
    </w:p>
    <w:p>
      <w:pPr>
        <w:pStyle w:val="Heading6"/>
        <w:numPr>
          <w:ilvl w:val="5"/>
          <w:numId w:val="1"/>
        </w:numPr>
        <w:rPr/>
      </w:pPr>
      <w:bookmarkStart w:id="778" w:name="__RefHeading___Toc2420040_653776707"/>
      <w:bookmarkStart w:id="779" w:name="_Toc300"/>
      <w:bookmarkEnd w:id="778"/>
      <w:r>
        <w:rPr>
          <w:rtl w:val="true"/>
        </w:rPr>
        <w:t>سازماندهی نهی از منکر در دو نگرش شیعه و سنی</w:t>
      </w:r>
      <w:bookmarkEnd w:id="77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اصلی مشترک بین اهل سنت و امامیه، بحث سازماندهی است که در هر دو فرقه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طرف اقبال کمی نسبت به نهی از منکر سنتی که جنبه فردی داشت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امامی و نویسندگان آن مانند راشد از اینکه موضوع نهی از منکر در کتاب ابن‌شعبه نویسنده سده چهارم، از خطبه بلیغ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خطبه به حساب می‌آید،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کاستن نهی از منکر را در حد وظیفۀ فردی و تنزل دادن آن را به تراشیدن ریش، موی سر و نوع پوشش محکوم می‌کند؛ درحالی‌که از غرب‌زدگی، سلطه‌جویی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بین‌المللی و صهیونیسم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نیز نهی از منکر را یکی از اجتماعی‌ترین مسئله اجتماعی دانسته و تنزل آن را در سطح فردی درستنمی‌داند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از انجام این وظیفه به‌وسیله مردم عادی در موارد جزئی سخن می‌گوید؛ درحالی‌که هدف بزرگ از آن اصلاح جامعه و برانداختن فساد و منکر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نوری این نگرش را به دو حوزه تقسیم می‌کند؛ حوزۀ اول، برنامه کار اصلاح کلی وضعیت اخلاقی، اعتقادی، اقتصادی و اجتماعی است که از راه سازماندهی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دوم وقایع خاصی است که در جامعه اتفاق می‌افتد و ما مسئول آن هستیم و طبیعی است که نهی از منکر به شکل اول بیشتر مرضی رضای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نویسندگان نیز شبیه همین نظر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کتابی که با مفهومی رسا، بیان کنندۀ این تغییر در وظیفه است، کتاب یک جلدی کوچکی است که از بحث غزالی درباره نهی از منکر گردآوری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است که غزالی باتوجه‌به نگرانی‌های امروزی و متناسب با مقتضیات امروز جهان اسلام این کتاب را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مایکل به گردانندگان این کار سنگین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درحالی‌كه متفكران سنی و امامی امروز هر دو به يک اندازه به سازماندهی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انديشند، اختلاف زيادی در مورد هويّت سازمان دهندگان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اماميه روحانيت نقش اصلی را به عهده دارند، درحالی‌كه روحانيت در ميان سنيان كم‌اهميّت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ممكن است چنين استنباط شود كه اصول اعتقادی اماميه در اعطای نقش كاملاً برجسته‌تری به روحانيت در نهی از منكر احتمالاً بسيار متفاوت با اصول اعتقادی سنيان است؛ امّا موقعيت در زندگی واقعی هرچه هست، چنين اهميتی در اصول اعتقادی ديده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نهی از منکر، دیگر بابی از ابواب کتب فقهی همچون گذشته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اين تضاد در ارتباط بين انديشه‌های عالمانه امروز و گذشته به‌خوبی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دنيای اهل سنّت ميراث فكری سخت سنت‌گرای علما، همراه با انزوای آنان به علت تغييرات اجتماعی و سياسی، تدارک پاسخ‌های قانع‌كننده اسلامی به مشكلات عصر حاضر را برای نظام حوزوی آنان مشكل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مثلاً مطعنی تلاش کرده که در اندیشۀ اهل سنت، عمل با دست را که گفته‌اند بر عهدۀ مقامات است، مورد حمله قرار دهد و آن را توجیه سازد، ولی تلاشش بی‌فایده بوده و تفسیری ابداعی و غیرمعروف که مخالف با اندیشۀ قدیم اهل سنت است،می‌نمایاند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وقتی تفسیر جدید از این وظیفه ارائه </w:t>
      </w:r>
      <w:bookmarkStart w:id="780" w:name="pg8666_122999"/>
    </w:p>
    <w:p>
      <w:pPr>
        <w:pStyle w:val="BookText"/>
        <w:rPr/>
      </w:pPr>
      <w:bookmarkEnd w:id="780"/>
      <w:r>
        <w:rPr>
          <w:rFonts w:ascii="IRNazanin" w:hAnsi="IRNazanin" w:eastAsia="IRNazanin"/>
          <w:color w:val="111111"/>
          <w:sz w:val="28"/>
          <w:sz w:val="28"/>
          <w:szCs w:val="28"/>
          <w:rtl w:val="true"/>
          <w:lang w:bidi="fa-IR"/>
        </w:rPr>
        <w:t>می‌کند، در چارچوب تفکر سنتی سنی‌ها نمی‌تواند جای بگیرد، آن وقت جایگاه خلاقیت فکری به بیرون آن، جهت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شیعه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به شرایط سنتی نهی از منکر حمله کرده و فراتر از آن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بابی را تحت عنوان وجوب کفایی مطرح و تمامی زوایای آن را مورد بحث قرار داده‌اند که منطبق با شرایط روز است</w:t>
      </w:r>
      <w:r>
        <w:rPr>
          <w:rFonts w:eastAsia="IRNazanin" w:cs="IRNazanin"/>
          <w:color w:val="111111"/>
          <w:sz w:val="28"/>
          <w:szCs w:val="28"/>
          <w:rtl w:val="true"/>
          <w:lang w:bidi="fa-IR"/>
        </w:rPr>
        <w:t>.</w:t>
      </w:r>
    </w:p>
    <w:p>
      <w:pPr>
        <w:pStyle w:val="Heading5"/>
        <w:numPr>
          <w:ilvl w:val="4"/>
          <w:numId w:val="1"/>
        </w:numPr>
        <w:rPr/>
      </w:pPr>
      <w:bookmarkStart w:id="781" w:name="__RefHeading___Toc2420042_653776707"/>
      <w:bookmarkStart w:id="782" w:name="_Toc301"/>
      <w:bookmarkEnd w:id="781"/>
      <w:r>
        <w:rPr>
          <w:rtl w:val="true"/>
        </w:rPr>
        <w:t>ب</w:t>
      </w:r>
      <w:r>
        <w:rPr>
          <w:rtl w:val="true"/>
        </w:rPr>
        <w:t xml:space="preserve">) </w:t>
      </w:r>
      <w:r>
        <w:rPr>
          <w:rtl w:val="true"/>
        </w:rPr>
        <w:t>ارزیابی</w:t>
      </w:r>
      <w:bookmarkEnd w:id="782"/>
    </w:p>
    <w:p>
      <w:pPr>
        <w:pStyle w:val="BookText"/>
        <w:rPr/>
      </w:pPr>
      <w:r>
        <w:rPr>
          <w:rFonts w:ascii="IRNazanin" w:hAnsi="IRNazanin" w:eastAsia="IRNazanin"/>
          <w:color w:val="111111"/>
          <w:sz w:val="28"/>
          <w:sz w:val="28"/>
          <w:szCs w:val="28"/>
          <w:rtl w:val="true"/>
          <w:lang w:bidi="fa-IR"/>
        </w:rPr>
        <w:t xml:space="preserve">با صرف نظر از برخی تأملات دیگر که در سخنان مایکل در صفحات پایانی مربوط به تحولات جدید امامیه مطرح شده است، اینکه وی عنوان می‌کند گویا خانواده‌های ایرانی اوایل انقلاب گرفتار تضادّ شدید بوده‌اند و الآن هم بدبینی مشترک، میان آنها حاکم است، مستند این ادّعا را برخی از استفتائاتی ذکر می‌کند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صورت گرفته است؛</w:t>
      </w:r>
      <w:r>
        <w:rPr>
          <w:rStyle w:val="FootnoteAnchor"/>
          <w:rtl w:val="true"/>
        </w:rPr>
        <w:footnoteReference w:id="195"/>
      </w:r>
      <w:r>
        <w:rPr>
          <w:rFonts w:ascii="IRNazanin" w:hAnsi="IRNazanin" w:eastAsia="IRNazanin"/>
          <w:color w:val="111111"/>
          <w:sz w:val="28"/>
          <w:sz w:val="28"/>
          <w:szCs w:val="28"/>
          <w:rtl w:val="true"/>
          <w:lang w:bidi="fa-IR"/>
        </w:rPr>
        <w:t>درحالی‌که چند استفتاء هرگز آینه‌ای تمام‌نما از انعکاس مردم ایران و جامعه ایرانی نخواهد بود، اگرچه در برخی خانواده‌ها اختلاف و تضاد وجود داشته و یا بدبینی بین آنها مطرح باشد، ولی این را به کل جامعه ایرانی سرایت‌دادن، از اصول پژوهش به دور است و آمیخته‌ای از مغالطه در آن مشهود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هم که در پایان بحث می‌کند، قبلاً گزارش و ارزیابی این قلم مورد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ارزیابی خود را در این قسمت به بخش پایانی فصل هجدهم، تحت عنوان مقایسه اهل سنّت و شیعیان امامی</w:t>
      </w:r>
      <w:r>
        <w:rPr>
          <w:rStyle w:val="FootnoteAnchor"/>
          <w:rtl w:val="true"/>
        </w:rPr>
        <w:footnoteReference w:id="196"/>
      </w:r>
      <w:r>
        <w:rPr>
          <w:rFonts w:ascii="IRNazanin" w:hAnsi="IRNazanin" w:eastAsia="IRNazanin"/>
          <w:color w:val="111111"/>
          <w:sz w:val="28"/>
          <w:sz w:val="28"/>
          <w:szCs w:val="28"/>
          <w:rtl w:val="true"/>
          <w:lang w:bidi="fa-IR"/>
        </w:rPr>
        <w:t>اختصاص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مقایسه از نگاه نویسنده پیوند این دو مذهب همانند اختلاف بین شکل و اندازه این دو جامعه نابرابر است و براین‌اساس به مطالبی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سنّیان کمتر از آرای امامیان مطّلع‌اند و به تراث آنها کمتر مراجعه می‌کنند، برخلاف امامیه که اغلب دانشمندان ایشان به خوبی از آرا و تراث سنّیان آگاهی 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باتوجه‌به انقلاب اسلامی ایران و اهمیت این کشور و نقش فکری و اعتقادی آن، نقش این کشور بعد از انقلاب از جهت تفکر امامی تغییر یافته است و حکومت جدید برخلاف حکومت گذشته، اسلامی است و اکنون انقلاب برای صادر شدن است و از بدبینی تسلیم‌گرایانه به خوش‌بینی انقلابی تغییر موضع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سنّیان که در آنها هیچ کشور پیشتازی وجود ندارد و فقط کشورهایی مانند سودان و افغانستان حکومت انقلابی اسلامی وجود دارد که به لحاظ فکری در جهان اسلام در حاشیه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هم اعتماد بسیاری از عمل‌گرایان اسلامی را از خود سلب کرده است و در آرای آنها نسبت به نهی از منکر تحول صحیح دیده نمی‌شود و برخی هم به سمت تسلیم‌گرایی رفته‌اند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مشترک و مورد اقبال هر دو طرف سنّیان و امامیه، سازماندهی است و در هر دو طرف اقبال کمی نسبت به نهی از منکر سنّتی و فردی وجود دارد؛ ولی اختلاف این دو در هویت سازمان‌دهندگان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امامیه برخلاف سنّیان، نقش اصلی را روحانیون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سنّی، بر اثر تغییرات اجتماعی میراث فکری با انزوالی علما همراه بوده است، ولی در میان امامیان، مطالبی مطرح شده است که منطبق با شرایط امروز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نکات دیگر قابل مقایسه، بحث حقوق خصوصی است که در جبهۀ سنّیان مطالب قدیمی بدون جاذبه تکرار شده است، اما در جبهۀ امامیان ضمن تأکید بر محکومیت مذهب اصالت فرد و آزادی‌خواهی فردی که در غرب رواج دارد، در مقام پاسخ‌گویی به اتهام دخالت در امور شخصی از طرف مخالفان نهی از منکر مطالب جدیدی در مورد زندگی خصوصی دیده می‌شود</w:t>
      </w:r>
      <w:r>
        <w:rPr>
          <w:rFonts w:eastAsia="IRNazanin" w:cs="IRNazanin"/>
          <w:color w:val="111111"/>
          <w:sz w:val="28"/>
          <w:szCs w:val="28"/>
          <w:rtl w:val="true"/>
          <w:lang w:bidi="fa-IR"/>
        </w:rPr>
        <w:t>.</w:t>
      </w:r>
      <w:r>
        <w:rPr>
          <w:rStyle w:val="FootnoteAnchor"/>
          <w:rtl w:val="true"/>
        </w:rPr>
        <w:footnoteReference w:id="19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بدین‌صورت نویسنده در چهار محور، اندیشۀ امامیان و سنّیان را در تحولات جدید اسلامی مورد سنجش قرار می‌دهد و به اشتراک و تمایز هر یک در این چهار محور </w:t>
      </w:r>
    </w:p>
    <w:p>
      <w:pPr>
        <w:pStyle w:val="BookText"/>
        <w:rPr/>
      </w:pPr>
      <w:r>
        <w:rPr>
          <w:rFonts w:ascii="IRNazanin" w:hAnsi="IRNazanin" w:eastAsia="IRNazanin"/>
          <w:color w:val="111111"/>
          <w:sz w:val="28"/>
          <w:sz w:val="28"/>
          <w:szCs w:val="28"/>
          <w:rtl w:val="true"/>
          <w:lang w:bidi="fa-IR"/>
        </w:rPr>
        <w:t>می‌پردازد که درمجموع با صرف نظر از برخی جزئیات که نمی‌توان با نویسنده همراه شد، به کلیات هر چهار محور می‌توان مهر تأیید زد و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آنچه این تحلیل را با تأمّل مواجه می‌کند، آن است که مایکل کمتر به عمق می‌رود وکمتر با تجزیه و تحلیل داده‌ها به علّت و سبب این تفاوت‌ها اشاره می‌کند، درحالی‌که از نگاه خواننده انتظار آن است که موضوع علّت‌یابی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تفاوت عمیق در این چهار محور پدید آمده است؟ آن هم چهار محوری که به نظر مایکل تراث سنّیان را تبدیل به بنایی مقدس کرده است که کسی در آن به سر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امامیان که سنتی زنده دارند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سرّ مطلب در کجاست؟ با عمق‌پژوهی برای سرّ این تفاوت‌ها، قبلاً در ضمن ارزیابی‌ها در این اوراق به نکاتی اشاره شده است؛ ولی در یک جمع‌بندی کلی و با نگاه اجمالی می‌توان به رؤوس و سرفصل‌های آن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برخلاف جهان سنّی، برای دین در گسترۀ تاریخ، مرجعیت علمی و مرجعیت سیاسی امام معصوم و زنده قائل است، امامی که اشراف کامل به کتاب و سنت دارد و می‌تواند آن را با آگاهی از معارف وحیانی تفسیر کند و پاسخ‌گوی پرسش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سنّیان دین را در این جهت ابتر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ایشان کار تفسیر و برداشت از منابع کتاب و سنت مستقیماً به خود مسلمانان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معصوم برای آنها وجود ندارد و از امامت سیاسی معصوم نیز محرومند؛ ولی شیعه به امامت سیاسی معصوم معتقدند و همچنان در طول تاریخ منتظر آن روز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امامیان در دوران قبض ید و دوران سلطۀ حاکمان جائر بر مقدّرات جامعه و دوران غیبت، اگرچه مردم امکان دسترسی به امام معصوم خویش ندارند، ولی باتوجه‌به نیابت عام فقیهان و ولایت ایشان برمناصب فتوا و قضاوت و امامت سیاسی و سرپرستی، جامعه بن‌بست ندارند و همواره در امور اجتماعی و سیاسی خود دسترسی به عالمان صالح دارند و </w:t>
      </w:r>
    </w:p>
    <w:p>
      <w:pPr>
        <w:pStyle w:val="BookText"/>
        <w:rPr/>
      </w:pPr>
      <w:r>
        <w:rPr>
          <w:rFonts w:ascii="IRNazanin" w:hAnsi="IRNazanin" w:eastAsia="IRNazanin"/>
          <w:color w:val="111111"/>
          <w:sz w:val="28"/>
          <w:sz w:val="28"/>
          <w:szCs w:val="28"/>
          <w:rtl w:val="true"/>
          <w:lang w:bidi="fa-IR"/>
        </w:rPr>
        <w:t>می‌توانند در مسیر تحقق عدالت و بسط معروف و جلوگیری از منکر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جایگاهی نهبرای عالمان سنّی و نه برای هیچ‌کسی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منصوب و مأذون و نایب از کسی نیستند و بالاترین شأن آنها این است که کارشناس و خبرۀ دینی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امامیان به مشروعیت سلطان جور و امامتی با قهر و غلبه و حرمت خروج بر حاکم جائر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تمکن و شرایط و نبودن تقیّه، به اقدام می‌پردازند، ولی سنّیان همواره، در برابر سلطان جائر متوقف می‌شوند و امامت او را به رسمیت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امامی ادارۀ امور حوزه‌های دینی خود را از طریق دریافت خمس و وجوهات شرعی تأمین می‌کنند و شیعیان امامی هم خود را مکّلف می‌دانند که وجوهات خود را به ایشان پرداخت کنند و بدین‌صورت یک پیوند مهم اسلامی و دینی و ولایی و غیرقابل گسست میان مراجع و فقیهان به‌عنوان نائبان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برقرار می‌شود و با این شیوه امور مذهب همواره رو به رشد خواهد بود، حتی ادارۀ مساجد و حسینیه‌ها و امور امامان جمعه و جماعت و اقامۀ مراسم دینی همگی به عهدۀ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سنّیان که برای تحصیل و تدریس و تدرّس و تعلیم و تعلّم و مراسم دینی به بودجۀ دولت و سلطان چشم می‌دوزند و وابسته به حکومت، اگرچه فاسد و فاجر و نامشروع باشد،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امامیان در مسیر اجتهاد، استفاده از قیاس، استحسان، مصالح مرسله، فتح و سدّ ذرایع و فقه مقاصدی را حرام و غیرمعتبر می‌دانند و لذا فقه امامیه بسیار منضبط است و گرفتار فشار مقامات سیاسی و مصلحت‌های نادرست و غیرمشروع در تشریع احکام و تکیه به قیاسات و استحسانات ظنی عقلی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اجتهاد سنّیان که گرفتار اصول یادشده است و لذا فقه را به نوعی در اختیار عقول ناقص بشری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دوران سنّت را تا حدود دو قرن و نیم و تا آغاز زمان غیبت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می‌بخشند و از این جهت دستشان در عوض تکیه به استحسان و قیاس و مصالح مرسله و مانند آن، پُر از منابع وحیانی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با هزاران روایت مدوّن و پالایش شده، بر اساس موازین کاملاً علمی و پژوهشی که از زمان امامان خویش دارند، با دستی پر به اجتهاد و استنباط می‌پردازند و از جهت منابع مفلس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مذاهب </w:t>
      </w:r>
    </w:p>
    <w:p>
      <w:pPr>
        <w:pStyle w:val="BookText"/>
        <w:rPr/>
      </w:pPr>
      <w:r>
        <w:rPr>
          <w:rFonts w:ascii="IRNazanin" w:hAnsi="IRNazanin" w:eastAsia="IRNazanin"/>
          <w:color w:val="111111"/>
          <w:sz w:val="28"/>
          <w:sz w:val="28"/>
          <w:szCs w:val="28"/>
          <w:rtl w:val="true"/>
          <w:lang w:bidi="fa-IR"/>
        </w:rPr>
        <w:t>سنّی که دوران سنّت را در سال دهم هجری پایان یافته می‌بینند و لذا از جهت منابع سنّت در فقر شدید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امامیان از زمان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وحی بودند و همچنین پس از ایشان خود را ملزم به کتابت، حفظ و تدوین روایات امامان خویش می‌دیدند و از آن صیانت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أربع‌مأة محصول جهاد شبانه‌روزی ایشان، در حال تقیه و فشار خفقان دشمنان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سنّیان از همان روزهای پس از ارتحال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کتابت و حفظ سنّت و نقل روایت تا زمان خلافت عمر‌بن‌عبدالعزیز ممنوع شدند و نخستین کار حدیثی خود را از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موطّأ مالک شروع کردند و این دوران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از بین رفتن تراث واقعی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احادیث و اختلاق سنّت کافی بود و لذا تشخیص جعلیّات از سنت حقیقی بسیار دشوار بوده 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امامیان که امامان خویش را معصوم و دارای علوم وحیانی می‌دانند، نسبت به این منابع راه اجتهاد را در طول تاریخ مفتوح و گشاده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هیچ فرد بشری غیر از چهارده معصوم خویش، اعتبار و حجیّت صد در صد قائل نیستند و هر رأی و نظر را با میزان اجتهادی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ترسیم کرده‌اند،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سنّیان که راه اجتهاد را انسداد یافته می‌دانند و در مقابل چهار بشر که افرادی غیرمعصوم هستند، سر تعظیم فرود می‌آورند و از آنها عبور نمی‌کنند و در طول تاریخ رأی ایشان خط احمر فکر و اندیشه فقهی تلقی می‌شود که در چارچوب فکری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پیشوایان مذهبی خویش که همگی افراد غیرمعصوم و بی‌اطلاع از حقیقت معارف وحیانی و باطن کتاب و سنت‌اند، خود را ملزم به حرکت می‌بینند و چنین حصار سنگینی در مسیر اجتهاد امامیه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هر لحظه و هر ساعت خود را در مصیبت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می‌بینند و خود را برای خون‌خواهی آن امام هدایت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آن حضرت را مصباح هدایت و سفینۀ نجات می‌دانند و راه او و پیام او را که در مسیر اصلاح امت و احیای سنّت و امر به معروف و نهی از منکر است، تداوم می‌بخشند و با این فکر بر ستم و فساد و منکر می‌شورند و بر آن مظلوم می‌گریند و با تطهیر وجود خویش در اشک چشمان، همواره خود را شستشو </w:t>
      </w:r>
    </w:p>
    <w:p>
      <w:pPr>
        <w:pStyle w:val="BookText"/>
        <w:rPr/>
      </w:pPr>
      <w:r>
        <w:rPr>
          <w:rFonts w:ascii="IRNazanin" w:hAnsi="IRNazanin" w:eastAsia="IRNazanin"/>
          <w:color w:val="111111"/>
          <w:sz w:val="28"/>
          <w:sz w:val="28"/>
          <w:szCs w:val="28"/>
          <w:rtl w:val="true"/>
          <w:lang w:bidi="fa-IR"/>
        </w:rPr>
        <w:t>می‌دهند و شیطان و طمع دنیوی و لذت مادّی و پرستش هوای نفسانی را از خود دور می‌کنند تا در جبهۀ حق و حقیقت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معرکۀ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همچنان در هر زمان و مکان ادامه‌دار می‌دانند و آن امام همام را در تمامی تاریخ سلسله‌جنبان امر بهمعروف و نهی از منکر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مذاهب سنّی از نعمت عاشورای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اسوه‌ای این چنین که درس حیات و زندگی و فردی و اجتماعی را به‌صورت یک الگوی کامل و تمام‌عیار از او بیاموزند،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که معتقد به امام حیّ معصوم و بقیةالله فی ارضه صلوات الله علیه وآله می‌باشند،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کامل، عین‌الله ناظره و خلیفة‌الله و حجت الهی بر روی زمین و العِلْمُ المَصْبوب و العَلَمُ المَنْصُوب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امام دائماً توجه دارند، برای او دعا می‌کنند و از او استغاثه می‌جویند، با او روزانه بر سر اهداف انسانی و الهی و پایداری بر روی حقیقت بیعت و پیمان می‌بندند و در تمامی لحظات عمر، او را در کنار خود احساس می‌کنند و از برکات وجودی او که امام تمامی خلقت است،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امید در زوایای ایمان و عقیدۀ آنها به‌خوبی متلألئ و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آنان پیام داده است که ما شما را فراموش نمی‌کنیم، شما را دعا می‌کنیم و در بحران‌ها و طوفان‌های فردی و اجتماعی در کنار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مذاهب سنّی اگرچه به مهدویّت معتقدند، ولی به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حاضر ناظر که صاحب ولایت مطلقه کلیّه الهیه در تکوین و تشریع باشد و مظهر تامّ و تمام اسماء حسنای الهی، و خلیفة‌الله بر روی زمین باشد، ایمان ندارند؛ لذا پناهگاهی برای استغاثه و امیدواری و تلاش برای صلاح و سداد احساس نمی‌کنند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ده‌گانۀ بالا، اصول متفاوت امامیه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موارد دیگری را نیز می‌توان به این فهرست افزود، ولی این تفاوت‌ها به‌ویژه دو تفاوت آخر، تأثیری بس ژرف برای سرنوشت جوامع امامیه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نهم و دهم همچون دو بال یک پرنده،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پرواز درمی‌آورد</w:t>
      </w:r>
      <w:r>
        <w:rPr>
          <w:rFonts w:eastAsia="IRNazanin" w:cs="IRNazanin"/>
          <w:color w:val="111111"/>
          <w:sz w:val="28"/>
          <w:szCs w:val="28"/>
          <w:rtl w:val="true"/>
          <w:lang w:bidi="fa-IR"/>
        </w:rPr>
        <w:t xml:space="preserve">. </w:t>
      </w:r>
      <w:bookmarkStart w:id="783" w:name="pg8666_123017"/>
    </w:p>
    <w:p>
      <w:pPr>
        <w:pStyle w:val="BookText"/>
        <w:rPr/>
      </w:pPr>
      <w:bookmarkEnd w:id="783"/>
      <w:r>
        <w:rPr>
          <w:rFonts w:ascii="IRNazanin" w:hAnsi="IRNazanin" w:eastAsia="IRNazanin"/>
          <w:color w:val="111111"/>
          <w:sz w:val="28"/>
          <w:sz w:val="28"/>
          <w:szCs w:val="28"/>
          <w:rtl w:val="true"/>
          <w:lang w:bidi="fa-IR"/>
        </w:rPr>
        <w:t>براین‌اساس، هرگز تراث امامیه برخلاف پندار مایکل کوک همچون بنایی مقدس در نخواهد آمد که مردمانی در آن به سر نمی‌برند؛ بلکه این منهج، منهج حیات طیبه و راه زندگی است و همواره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امامیه و مذاهب سنی، تفاوت ظاهری نیست و کسی که خواب آن را می‌بیند که در آینده‌ای ولو دور از میان خواهد رفت، هرگز خوابشان تعبیر نخواهد شد</w:t>
      </w:r>
      <w:r>
        <w:rPr>
          <w:rFonts w:eastAsia="IRNazanin" w:cs="IRNazanin"/>
          <w:color w:val="111111"/>
          <w:sz w:val="28"/>
          <w:szCs w:val="28"/>
          <w:rtl w:val="true"/>
          <w:lang w:bidi="fa-IR"/>
        </w:rPr>
        <w:t>.</w:t>
      </w:r>
    </w:p>
    <w:p>
      <w:pPr>
        <w:pStyle w:val="Heading4"/>
        <w:numPr>
          <w:ilvl w:val="3"/>
          <w:numId w:val="1"/>
        </w:numPr>
        <w:rPr/>
      </w:pPr>
      <w:bookmarkStart w:id="784" w:name="__RefHeading___Toc2420044_653776707"/>
      <w:bookmarkStart w:id="785" w:name="_Toc302"/>
      <w:bookmarkEnd w:id="784"/>
      <w:r>
        <w:rPr/>
        <w:t>13</w:t>
      </w:r>
      <w:r>
        <w:rPr>
          <w:rtl w:val="true"/>
        </w:rPr>
        <w:t xml:space="preserve">. </w:t>
      </w:r>
      <w:r>
        <w:rPr>
          <w:rtl w:val="true"/>
        </w:rPr>
        <w:t>حقوق خصوصی، جامعۀ مدنی و جامعۀ اسلامی</w:t>
      </w:r>
      <w:bookmarkEnd w:id="785"/>
    </w:p>
    <w:p>
      <w:pPr>
        <w:pStyle w:val="Heading5"/>
        <w:numPr>
          <w:ilvl w:val="4"/>
          <w:numId w:val="1"/>
        </w:numPr>
        <w:rPr/>
      </w:pPr>
      <w:bookmarkStart w:id="786" w:name="__RefHeading___Toc2420046_653776707"/>
      <w:bookmarkStart w:id="787" w:name="_Toc303"/>
      <w:bookmarkEnd w:id="786"/>
      <w:r>
        <w:rPr>
          <w:rtl w:val="true"/>
        </w:rPr>
        <w:t>الف</w:t>
      </w:r>
      <w:r>
        <w:rPr>
          <w:rtl w:val="true"/>
        </w:rPr>
        <w:t xml:space="preserve">) </w:t>
      </w:r>
      <w:r>
        <w:rPr>
          <w:rtl w:val="true"/>
        </w:rPr>
        <w:t>گزارش</w:t>
      </w:r>
      <w:bookmarkEnd w:id="787"/>
    </w:p>
    <w:p>
      <w:pPr>
        <w:pStyle w:val="BookText"/>
        <w:rPr/>
      </w:pPr>
      <w:r>
        <w:rPr>
          <w:rFonts w:ascii="IRNazanin" w:hAnsi="IRNazanin" w:eastAsia="IRNazanin"/>
          <w:color w:val="111111"/>
          <w:sz w:val="28"/>
          <w:sz w:val="28"/>
          <w:szCs w:val="28"/>
          <w:rtl w:val="true"/>
          <w:lang w:bidi="fa-IR"/>
        </w:rPr>
        <w:t>در مورد حقوق خصوصی در جبهۀ اهل سنت مطالب قدیمی بدون جاذبه تکرار شده است و مطالب کمتری را در این قسمت می‌یابیم؛ اما در جبهۀ امامیه که در بحث سنتی، مبحثی خاص برای زندگی خصوصی وجود نداشته است، آنها هم همانند سنیان مذهب اصالت فرد یا همان فردگرایی و آزادی‌خواهی فردی را که در غرب رواج داشته، محکوم کرده و اتهام دخالت در امور شخصی را از طرف مخالفان نهی از منکر،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درباره موضوعاتی همچون زندگی خصوصی و تعیین مرزهای دخالت، در کتاب‌های امروز اسلامی مطالبی کم‌وبیش دیده می‌شود؛ اما در مورد سوءاستفاده افراد، خواه از طرف دستگاه حکومت و خواه از طرف افراد و متدینانی که نهی از منکر می‌کنند، تدبیری اندیشیده نشده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مایکل کوک از افرادی در پاروقی نام می‌برد که مطالبی در این رابطه نوشته و حد و مرز‌هایی را ظاهراً ترسیم کرده‌اند؛ مثلاً اکبری فهرستی از سخنان نهی‌شدگان مانند اینکه من آزادم، به تو ربطی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جمع کرده است و از کسانی دیگر مانند دستغیب، گلپایگانی، کورانی، محسن قرائتی، مصباح یزدی در این زمینه نام می‌برد و می‌گوید چه بسا در سایه آزادی که کلمه مقدسی است، هزاران کار نامقدس انجام شده است و یا در رابطه با منع جاسوسی از سخنان گلپایگانی مطالبی نقل کرده است</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مایکل از کتاب سید حسن اسلامی اردکانی به‌عنوان یک کتاب استثنایی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قم مرکز انتشارات مذهبی ایران به شکلی زیبا چاپ شده است و مدعی می‌شود که کتاب اردکانی با الهام از شهید مطهری مطالب را با مهارت نوشته و به‌صورت زیبا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شهری خفته آغاز و قصه‌ای را نقل می‌کند و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قصه کسی جز خلیفۀ دوم نیست که به‌خاطر نهی از منکر و جلوگیری از آن، وارد خانه‌ای شد درحالی‌که خود مرتکب سه گناه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ورود غیر قانونی از پشت بام و ورود مخفیانه و بدون سلام که با تذکر صاحب‌خانه، باید توبه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نهاد حسبه توجهزیاد دارد، ولی از دلایل فروپاشی این نهاد، خودِ کسانی را می‌داند که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ضمن طرح این سؤال که چرا این وظیفه در روزگار ما مهجور است با اینکه در زمان احیای اسلام و جمهوری اسلامی به سر می‌بریم، به بررسی خشونت و بدرفتاری می‌پردازد و مهم‌ترین مسئله را خشونت، فحاشی و بدزبانی می‌داند که این وظیفه را بدنام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شاهد نیست، با حداقل تجربه با کمال شرمندگی، با رفتار زشت و بددهنی کسانی روبه‌رو می‌شویم که در ظاهر مشغول نهی از منکرند، ولی رفتارشان موجب خرابی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به بیانات شهید مطهری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زمان خودش داستان طلبه‌های متعصبی را نقل می‌کند که از پشت بام وارد خانه‌ای می‌شوند که در آن عروسی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دایره و تنبک را شکسته و به‌صورت عروس هم سیلی جانانه‌ای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مورد سرزنش یکی از روحانیون بزرگ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اسلامی با این رفتارها بهتر است نهی از منکر متروک بماند تا مبادا امروز توسط کسانی که در جمهوری اسلامی زندگی می‌کنند و اسلام احیا شده است، گونه دیگری از این رفتار‌های زشت را مشاهده نماییم که این‌گونه بدرفتاری‌ها و فحش‌دادن‌ها دامن اسلام را لکه‌دارخواهد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به‌سختی می‌توانند روزهای تلخ پیش از انقلاب را به یاد بیاورند، حتی اگر به‌خاطر هم داشته باشند، سیاست مهار متعصبانه دین، به‌سادگی در زمرۀ جنایات رژیم ساقط شده قرار نخواهد گرفت</w:t>
      </w:r>
      <w:r>
        <w:rPr>
          <w:rFonts w:eastAsia="IRNazanin" w:cs="IRNazanin"/>
          <w:color w:val="111111"/>
          <w:sz w:val="28"/>
          <w:szCs w:val="28"/>
          <w:rtl w:val="true"/>
          <w:lang w:bidi="fa-IR"/>
        </w:rPr>
        <w:t xml:space="preserve">. </w:t>
      </w:r>
      <w:bookmarkStart w:id="788" w:name="pg8666_123023"/>
    </w:p>
    <w:p>
      <w:pPr>
        <w:pStyle w:val="BookText"/>
        <w:rPr/>
      </w:pPr>
      <w:bookmarkEnd w:id="788"/>
      <w:r>
        <w:rPr>
          <w:rFonts w:ascii="IRNazanin" w:hAnsi="IRNazanin" w:eastAsia="IRNazanin"/>
          <w:color w:val="111111"/>
          <w:sz w:val="28"/>
          <w:sz w:val="28"/>
          <w:szCs w:val="28"/>
          <w:rtl w:val="true"/>
          <w:lang w:bidi="fa-IR"/>
        </w:rPr>
        <w:t>اسلامی سپس به توصیه‌های شرعی می‌پردازد و ده ادب را در مورد نهی از منکر با استناد به سخنانی که بیشتر از غزالی و یا سعدی بهره می‌گیرد، بیان می‌دارد، مانند اینکه 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مهم‌ترین نکته دربارۀ نهی از منکر این است که ناهی از منکر از دخالت در زندگی خصوصی افراد و دخالت در امور دنیوی آنها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دربارۀ گناه پنهانی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در ادامه سخنی دارد که از بزنگاه‌های بحث این کتاب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با نقل این سخنان توجه ندارد که حضور شبح‌گونۀ آرای غربیان را در ورای این آرای اهل سنت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هم مانند ما انسان است و حقوقی دارد که نباید زیرپا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سپس سخنانش را این‌گونه به پایان می‌برد که سخنان مهم بوده و جالب است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آرای اسلامی اردكانی بيانگر فرهنگ مذهبی غالب در ايران نيست؛ امّا شايد تأثير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بخش مهمی از مردم فرهيخته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اين مطالب را برای آينده شايد بتوان با چند جمله شرطی این‌گونه بيان كرد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تقدير چنين است كه از جامعه مدنی، تصور جهانی مناسبی بر جای 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ايران و ديگر كشورهای اسلامی قرار است به نحو محسوسی جامعه‌ای مدنی شوند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 است كه در سايه اسلام اين كار انجام شود، آن وقت است كه آرای اسلامی اردكانی درباره نهی از منكر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ما كمک كند كه تصوری از اين تحول داشته باشيم</w:t>
      </w:r>
      <w:r>
        <w:rPr>
          <w:rFonts w:eastAsia="IRNazanin" w:cs="IRNazanin"/>
          <w:color w:val="111111"/>
          <w:sz w:val="28"/>
          <w:szCs w:val="28"/>
          <w:rtl w:val="true"/>
          <w:lang w:bidi="fa-IR"/>
        </w:rPr>
        <w:t>.</w:t>
      </w:r>
    </w:p>
    <w:p>
      <w:pPr>
        <w:pStyle w:val="Heading5"/>
        <w:numPr>
          <w:ilvl w:val="4"/>
          <w:numId w:val="1"/>
        </w:numPr>
        <w:rPr/>
      </w:pPr>
      <w:bookmarkStart w:id="789" w:name="__RefHeading___Toc2420048_653776707"/>
      <w:bookmarkStart w:id="790" w:name="_Toc304"/>
      <w:bookmarkEnd w:id="789"/>
      <w:r>
        <w:rPr>
          <w:rtl w:val="true"/>
        </w:rPr>
        <w:t>ب</w:t>
      </w:r>
      <w:r>
        <w:rPr>
          <w:rtl w:val="true"/>
        </w:rPr>
        <w:t xml:space="preserve">) </w:t>
      </w:r>
      <w:r>
        <w:rPr>
          <w:rtl w:val="true"/>
        </w:rPr>
        <w:t>ارزیابی</w:t>
      </w:r>
      <w:bookmarkEnd w:id="790"/>
    </w:p>
    <w:p>
      <w:pPr>
        <w:pStyle w:val="Heading6"/>
        <w:numPr>
          <w:ilvl w:val="5"/>
          <w:numId w:val="1"/>
        </w:numPr>
        <w:rPr/>
      </w:pPr>
      <w:bookmarkStart w:id="791" w:name="__RefHeading___Toc2420050_653776707"/>
      <w:bookmarkStart w:id="792" w:name="_Toc305"/>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آخرین نکته ارزیابی از فصل بسیار مهم و سرنوشت‌ساز کتاب امر به معروف مایکل کوک یعنی فصل هجدهم، مربوط به آخرین سطور این فصل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بحث مایکل از رعایت حقوق خصوصی در نهی از منکر شروع می‌شود و اینکه در جبهۀ اهل سنت حرف جدیدی جز تکرار مطالب قدیمی در دوران جدید مشاهده </w:t>
      </w:r>
    </w:p>
    <w:p>
      <w:pPr>
        <w:pStyle w:val="BookText"/>
        <w:rPr/>
      </w:pPr>
      <w:r>
        <w:rPr>
          <w:rFonts w:ascii="IRNazanin" w:hAnsi="IRNazanin" w:eastAsia="IRNazanin"/>
          <w:color w:val="111111"/>
          <w:sz w:val="28"/>
          <w:sz w:val="28"/>
          <w:szCs w:val="28"/>
          <w:rtl w:val="true"/>
          <w:lang w:bidi="fa-IR"/>
        </w:rPr>
        <w:t>نمی‌شود و در جبهۀ امامیه هم که در بحث سنتی خود، هرگز مبحث خاص برای زندگی خصوصی وجود نداشته است، مطالب کمتری دراین‌باره می‌شنویم، جز مخالفت با فردگرایی و مذهب اصالت فرد غربی؛ ولی بحث روشمندی برای تعیین مرزهای دخالت از نظر ارزش‌های اسلامی مطرح نمی‌کند و گامی در جهت جلوگیری از سوءاستفاده دولت و افراد متدین برداشته نشده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وی در ادامۀ این بحث یک استثنای عمده را مطرح می‌کند و آن کتابی است که سید حسن اسلامی اردکانی با مهارت نگاشته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به‌صورت زیبایی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الهام گرفته است، به رفتار زشت و تجاوزکارانۀ کسانی که علی‌الظاهر نهی از منکر می‌کنند، اشاره می‌کند که خود آنها مشکل‌آفرین هستند وتأکید می‌کند که ما فقط در مورد منکرات علنی حق تعرض داریم و دیگر در اموری که مربوط به زندگی خصوصی مردم است، حق تجسّس و مداخله نداریم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او در ادامه آدابی را در مورد نهی از منکر بیان می‌کند که تجسّس نکنید و پرده‌در‌ی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گفته‌های او به نقل از سعدی و غزالی است و در یک جمله شاید تا اندازه‌ای شیطنت‌گونه با تغییر نسبت به آقای اسلامی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این موضوع توجه ندارد که حضور شبح‌گونه غربیان را در ورای این آرای اهل سنت مشاهده کند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به‌نظر می‌رسد مایکل کوک با این جمله خدمت خوبی به نویسندگان مسلمان می‌کند که نشان دهد، غربیان از چه دریچه‌ای و چگونه ولو از طریق زبان دیگران در جوامع اسلامی نفوذ می‌کنند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مایکل کوک، آقای اسلامی بیانگر فرهنگ مذهبی غالب در ایران نیست، ولی شاید تأثیر عمدۀ بر بخش مهمی از فرهیختگان داشته باشد و در نهایت مطالب خود را در قالب سه جملۀ شرطیۀ دارای اهمیت به پایان می‌برد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تقدیر، باقی‌ماندن تصوری جهانی مناسبی از جامعۀ مدنی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قرار است ایران و جهان اسلام به نحو محسوسی جامعه‌ای مدنی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مقدر است که در سایه اسلام این کار انجام 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وی از این سه مقدمه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که آرای اسلامی اردکانی درباره نهی از منکر می‌تواند به ما کمک کند که تصوری از این تحول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بخش از نقطه نظرات مایکل آنچه می‌توان گفت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بی‌گمان باید با نویسندۀ این کتاب همراه شد که انسان اگرچه گناهکار باشد، حقوقی دارد که نباید زیر پای نهاده شود و در نهی از منکر هم باید این حقوق حفظ شود و در اسلام هم اموری از جمله نهی از تجسّس و پرده‌دری از جمله این قیود و شروط است که برای نهی از منکر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حقایقی هستند که همواره مورد تأیید و تأکید منابع اسلامی و ازجمله مبانی نهی از منکر نزد امامیه بوده است؛ بنابراین چگونه است که این مطالب را مایکل یک استثنا در برابر حفظ حریم و زندگی خصوصی انسان‌ها و جلوگیری از سوءاستفاده از نهی از منکر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ترجمه، عنوان حقوق خصوصی مطرح شده است؛</w:t>
      </w:r>
      <w:r>
        <w:rPr>
          <w:rStyle w:val="FootnoteAnchor"/>
          <w:rtl w:val="true"/>
        </w:rPr>
        <w:footnoteReference w:id="206"/>
      </w:r>
      <w:r>
        <w:rPr>
          <w:rFonts w:ascii="IRNazanin" w:hAnsi="IRNazanin" w:eastAsia="IRNazanin"/>
          <w:color w:val="111111"/>
          <w:sz w:val="28"/>
          <w:sz w:val="28"/>
          <w:szCs w:val="28"/>
          <w:rtl w:val="true"/>
          <w:lang w:bidi="fa-IR"/>
        </w:rPr>
        <w:t>ولی ظاهراً منظور حریم و زندگی خصوصی است وگرنه حقوق خصوصی اصطلاح خاص در برابر حقوق عمومی است که به تنظیم روابط میان مردم می‌پردازد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به‌هرصورت، گرچه بحث حریم خصوصی، چنانچه قبلاً هم در ارزیابی‌های این نوشتار مورد تأکید قرار گرفته است و خود مایکل نیز در جایی تصریح می‌کند، عنوانی ساخته شده در فرهنگ غربی است و مفهومی اسلامی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چیزی را به نام حریم خصوصی به رسمیت نمی‌شناسد تا جایی که مربوط به مفاهیم و اندیشۀ اسلامی است، اسلام تجسّس و پرده‌دری را در نهی از منکر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موضوع نهی از منکر محقق </w:t>
      </w:r>
    </w:p>
    <w:p>
      <w:pPr>
        <w:pStyle w:val="BookText"/>
        <w:rPr/>
      </w:pPr>
      <w:r>
        <w:rPr>
          <w:rFonts w:ascii="IRNazanin" w:hAnsi="IRNazanin" w:eastAsia="IRNazanin"/>
          <w:color w:val="111111"/>
          <w:sz w:val="28"/>
          <w:sz w:val="28"/>
          <w:szCs w:val="28"/>
          <w:rtl w:val="true"/>
          <w:lang w:bidi="fa-IR"/>
        </w:rPr>
        <w:t>می‌شود که گناه ولو غیرعلنی و در سرّ انجام شود، کسی که از آن باخبر می‌شود باید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خود مایکل در گذشته این حقیقیت را پذیرفته است، ولی اکنون بر آن می‌شود که از حریم خصوصی غربی دفاع کند و در مقام ارزیابی و دفاع از فرهنگ غرب بگوید در نوشته‌های سنّتی امامیه در مورد تعیین مرزهای دخالت در زندگی خصوصی مطلبی نیامده است و تنها نوشتۀ سید حسن اسلامی اردکانی یک استثنا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چنانچه در طلیعۀ این بحث نیز گذشت، انسان‌ها و لو گناهکار و حتی آدم مهدورالدم حقوق دارد، ولی مرجع تعیین این حقوق و حدود و ثغور آن را چه کسی باید تعریف کند؟ در جامعۀ غربی این حدود را عقاید و باورها و فرهنگ فردگرایی و لیبرالیزم تعیین می‌کند، ولی در اندیشۀ اسلامی این کار بر عهدۀ شریعت و منابع اسلامی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نیز از همان پایه و اساس به این حدود و ثغور تصریح شده است و تاریخی به بلندای تاریخ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تصریح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از پرده‌دری، آبروریزی، غیبت، ورود بدون اذن در خانۀ مردم، لزوم حفظ اموال،اعراض و نفوس مردم و حرمت تصرف در اموال دیگران بدون اذن و بسیاری موارد دیگر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شهید مطهری در ده‌های قبل از انقلاب اسلامی فرموده و منشأ الهام دیگران قرار گرفته است، مباحثی برگرفته از خود متون اسلامی است؛ پس چگونه مایکل اینها را بدون سابقه و یک استثنا می‌شمارد؟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مایکل آن است که حریم خصوصی به اصطلاح غرب در امر به معروف و نهی از منکر دیده نشده است و تعیین این حدود در نهی از منکر نشده است و این کار اولین بار است که توسط یک نویسندۀ ایرانی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انجام شده است، این سخن، متناقض و متهافت است با آن مطالبی که خود مایکل پذیرفت که حریم خصوصی غرب، متفاوت با اندیشه اسلامی است و در اسلام حریم خصوصی به معنای عدم‌دخالت در کارهای شخصی و رفتارهای خصوصی مردم نداریم، آنچه داریم نهی از تجسّس و آبروریزی و مانند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در این میان سرّ اعجاب مایکل از کتاب مزبور چیست؟ درحالی‌که عنوان آن در منابع اسلامی و حتی تراث فقهی و علمای امامیه بوده است و مطالب هم ملهم از شهید مطهری است و نویسنده هم ادّعای اجتهاد و فقاهت و صاحب‌نظر بودن در فقه را ندارد و سابقۀ تحصیلات حوزوی او نیز چنین چیزی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دانش‌آموختۀ دکتری فلسفه دین و پژوهشگر در حوزه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مسائل تخصصی فقهی که نیازمند ملکۀ اجتهاد و صاحب‌نظر بودن در فقه است، چرا مایکل به منابع دست‌چندم که فاقد وجاهت معتبر عرفی در حوزۀ تخصصی پژوهش موضوع نهی از منکر است متمسک می‌شود و آن را این چنین بر سر دست می‌گیرد و به‌عنوان اثری استثنایی و منحصر به فرد معرفی می‌کند؟</w:t>
      </w:r>
    </w:p>
    <w:p>
      <w:pPr>
        <w:pStyle w:val="BookText"/>
        <w:rPr/>
      </w:pPr>
      <w:r>
        <w:rPr>
          <w:rFonts w:ascii="IRNazanin" w:hAnsi="IRNazanin" w:eastAsia="IRNazanin"/>
          <w:color w:val="111111"/>
          <w:sz w:val="28"/>
          <w:sz w:val="28"/>
          <w:szCs w:val="28"/>
          <w:rtl w:val="true"/>
          <w:lang w:bidi="fa-IR"/>
        </w:rPr>
        <w:t xml:space="preserve">آیا نویسندۀ محترم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در اندیشۀ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تناقض شده یا به چرخش در مواضع گذشتۀ خود روی آورده است؟</w:t>
      </w:r>
    </w:p>
    <w:p>
      <w:pPr>
        <w:pStyle w:val="BookText"/>
        <w:rPr/>
      </w:pPr>
      <w:r>
        <w:rPr>
          <w:rFonts w:ascii="IRNazanin" w:hAnsi="IRNazanin" w:eastAsia="IRNazanin"/>
          <w:color w:val="111111"/>
          <w:sz w:val="28"/>
          <w:sz w:val="28"/>
          <w:szCs w:val="28"/>
          <w:rtl w:val="true"/>
          <w:lang w:bidi="fa-IR"/>
        </w:rPr>
        <w:t>ثالثاً مهم‌تر و شگفت‌آورتر از مطالب گذشته، جمله‌ای است که در کتاب مایکل آمده است که اگرچه نویسنده برای بیان حدود و ثغور و مرزهای دخالت، مطالبی را از غزالی و سعدیمی‌آورد ولی به این موضوع توجه ندارد که حضور شبح‌گونه غربیان را در ورای این آرای اهل سنت مشاهده کند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این جمله ابهام و ایهام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اگر منظور حدود و ثغوری است که اسلام تعیین کرده است و مربوط به عدم‌تجسّس و پرده‌دری است که این چه ربطی به حضور شبح‌گونه غربیان دارد؟ اینکه متن اسلام است و ربطی به حریم خصوصی در مفهوم غربی ندارد؟ و اگر مطالب این قسمت را برگرفته از غرب‌گرایی می‌شمارد، فرهنگی که لیبرالیزم در باب حریم خصوصی به آن قائل است، یعنی عدم‌دخالت در رفتار شخصی شهروندان که در لفافۀ مطالب سعدی و غزالی بیان شده است، این نوعی اتهام نفاق به مطالب است که ولو من‌حیث لایشعر و از روی غفلت و سهو مطالب غربیان را از زبان سعدی و غزلی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چنین است؟ </w:t>
      </w:r>
    </w:p>
    <w:p>
      <w:pPr>
        <w:pStyle w:val="BookText"/>
        <w:rPr/>
      </w:pPr>
      <w:r>
        <w:rPr>
          <w:rFonts w:ascii="IRNazanin" w:hAnsi="IRNazanin" w:eastAsia="IRNazanin"/>
          <w:color w:val="111111"/>
          <w:sz w:val="28"/>
          <w:sz w:val="28"/>
          <w:szCs w:val="28"/>
          <w:rtl w:val="true"/>
          <w:lang w:bidi="fa-IR"/>
        </w:rPr>
        <w:t>به‌هرحال، بر اساس مبانی اسلام نمی‌توان مبانی آزادی‌خواهی غربی را بر اسلام تحمیل کرد وگرنه سر از التقاط درمی‌آورد و اسلام پوششی خواهد شد برای گسترش فرهنگ غرب که باطنش کفر به معارف الهی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ارزش‌های اسلامی در نقطه مقابل ارزش‌های لیبرالیزم و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مایکل مدافع کدام‌یک از این ارزش‌ها است؟</w:t>
      </w:r>
    </w:p>
    <w:p>
      <w:pPr>
        <w:pStyle w:val="BookText"/>
        <w:rPr/>
      </w:pPr>
      <w:r>
        <w:rPr>
          <w:rFonts w:ascii="IRNazanin" w:hAnsi="IRNazanin" w:eastAsia="IRNazanin"/>
          <w:color w:val="111111"/>
          <w:sz w:val="28"/>
          <w:sz w:val="28"/>
          <w:szCs w:val="28"/>
          <w:rtl w:val="true"/>
          <w:lang w:bidi="fa-IR"/>
        </w:rPr>
        <w:t>رابعاً از همه عجیب‌تر، سطور پایانی فصل هجدهم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هجدهم چنانچه قبلاً گذشت طولانی‌ترین و مهم‌ترین فصل کتاب امر به معروف و نهی از منکر مایکل کوک است و به نظر می‌رسد، سطور پایانی این فصل در اوج اهمیت قرار دارد، چون در این چند سطر نقشۀ راه آینده غرب در تعامل با جهان اسلام به‌ویژه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امامیه و به‌خصوص انقلابیون ایران کاملاً منعکس شده است و به‌نوعی برای برنامه‌ریزان و مدیران تمدّن غربی نسخه و استراتژی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مایکل سه قضیه شرطیه به‌عنوان مقدمۀ هضم مسلمانان و امامیه در درون تمدن غرب و اضمحلال کامل ایشان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نخست آن است که اگر تقدیر این باشد که از جامعه مدنی تصور جهانی مناسبی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منظور از جامعۀ مدنی چیست؟ جامعۀ مدنی را اگر تفسیر به جامعۀ‌برآمده از جامعۀ مدینة‌النبی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تفسیر شاید خوب باشد، ولی بی‌تردید این برخلاف مصطلح جامعه مدنی است که در غرب رواج یافته است و اگر مورد تأیید مایکل بود باید به آن تصریح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از این تفسیر، جامعۀ مدنی هرگونه که در دنیای غرب تفسیر شود، اصطلاحی غربی و برآمده از مدنیّت و تمدن غرب و اومانیزم و اصالت فرد و لیبرالیزم غربی است و این در برابر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آن را با اسلام ناب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جامعۀ مدنی حاضر است با پوششی از نفاق در درون مفاهیم اسلامی ریشه بدواند و آنها را از درون پوک و بی‌خاصیت گرداند و با التقاط و پوشش ظاهری از اسلام، مقصود خود را به خورد مسلمانان دهد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آنکه در این میان خواننده شاهد نوعی چرخش در کار مایکل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در طلیعۀ بحث، مایکل به‌عنوان اعتراض به جامعۀ مدنی </w:t>
      </w:r>
    </w:p>
    <w:p>
      <w:pPr>
        <w:pStyle w:val="BookText"/>
        <w:rPr/>
      </w:pPr>
      <w:r>
        <w:rPr>
          <w:rFonts w:ascii="IRNazanin" w:hAnsi="IRNazanin" w:eastAsia="IRNazanin"/>
          <w:color w:val="111111"/>
          <w:sz w:val="28"/>
          <w:sz w:val="28"/>
          <w:szCs w:val="28"/>
          <w:rtl w:val="true"/>
          <w:lang w:bidi="fa-IR"/>
        </w:rPr>
        <w:t>غرب که به فریاد خانمی که در قطار شهری مورد تجاوز قرار گرفته است، بی‌اعتنایی دارد و از این همه انحطاط جامعۀ غربی می‌شورد و معتقد است که وجدان اخلاقی همۀ انسان‌ها می‌گویند باید کاری کرد ولی فریادخواهی وجود ندارد و تمامی مردم بی‌توجه به فریادخواهی آن زن، به راه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مایکل در آنجا علیه جامعۀ مدنی می‌شورد و انگیزۀ خود از این کتاب امر به معروف را کاری برای سکوت مرگ‌بار غربیان در برابر خشونت و تجاوز علیه یک زن می‌داند، ولی اکنون در پایان فصل هجدهم طرف‌دار جامعۀ مدنی غربی است و برای آن ماندگاری و پایانی آرزو می‌کند که در تقدیر چنین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 شرطیه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و دیگر کشورهای اسلامی قرار است به نحو محسوسی جامعۀ مدنی شوند، این قضیه به‌مراتب شگفت‌آورتر از قضیۀ شرطیۀ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 آن است که این قرار را چه کسی مقرر کرده است؟ آیا برنامه‌ریزان و سردمداران دنیای غرب قرار گذاشته‌اند که ایران و به تبع آن کشورهای اسلامی را از درون تهی کنند و با پوسته‌ای از اسلام آن را به‌طور محسوس و کاملاً علنی و آشکار تبدیل به جامعۀ مدنی کنند، به‌گونه‌ای که از ارزش‌های اسلامی در پیکرۀ اسلام باقی نماند؟ چه کسانی چنین قرار و خوابیرا برای ایران و دیگر کشورهای اسلامی دیده‌اند؟ آیا مایکل از چنین قراری مطلع است یا حدس می‌زند؟ آیا او راهبردی برای این قرار می‌نویسد یا استراتژی را برای رسیدن به آن توصیه می‌کند؟ همه چیز در ابهام است و پرسش‌هایی بی‌پاسخ</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چیزی که با کمال اطمینان از آن می‌توان سخن گفت آن است که هرگز چنین خوابی تعبیر نمی‌شود و کسانی که قرار گذشته‌اند، هرچند راهبردهای مهمی داشته باشند و راهبردنویسان ماهری را به استخدام خود درآورده باشند، هرگز به چنین هدف خیال‌پردازانه‌ای نایل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هویت اسلامی کشورهای اسلامی این را اجازه می‌دهد و بالاتر از آن نه هویت ایرانی با تراث عظیمی اسلامی و وجوه ده‌گانۀ تفاوتی که با مذاهب دیگر اسلامی دارد، به‌ویژه دو بال عاشورا و مهدویّت چنین قراری را نمی‌گذارد به واقعیت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مایکل در ابتدای فصل هجدهم می‌گوید تفاوت امامیه با دیگران </w:t>
      </w:r>
    </w:p>
    <w:p>
      <w:pPr>
        <w:pStyle w:val="BookText"/>
        <w:rPr/>
      </w:pPr>
      <w:r>
        <w:rPr>
          <w:rFonts w:ascii="IRNazanin" w:hAnsi="IRNazanin" w:eastAsia="IRNazanin"/>
          <w:color w:val="111111"/>
          <w:sz w:val="28"/>
          <w:sz w:val="28"/>
          <w:szCs w:val="28"/>
          <w:rtl w:val="true"/>
          <w:lang w:bidi="fa-IR"/>
        </w:rPr>
        <w:t>ظاهری است و چه بسا در آینده دوری تراث سنتی امامیه نیز خالی از سکنه شود همچون تراث اهل تسنن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لکن چنان‌که پیش از این نیز گذشت، این سخن نه تنها در مورد اهل سنت صواب و صحیح است، بلکه در مورد امامیه محال است که تعبیر و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 شرطیه سوم که از همه فاجعه‌آمیزتر است، این است که مایکل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مقدّر است که در سایۀ اسلام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ایران و جهان اسلام به جامعۀ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آن وقت است که آرای اسلامی اردکانی دربارۀ نهی از منکر می‌تواند به ما کمک کند که تصوری از این تحوّل داشته باشیم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واقعی این قضیه شرطیۀ سرشار از ایهام چیست؟ مقدّر یعنی چه؟ تقدیر از کجا تعیین شده است؟ این مقدّر که خبر از آینده است، چه زمانی محقّق می‌شود؟ برنامۀ آن چیست و برنامه‌ریزان آن چه کسانی هستند؟ بودجه آن از کجا تأمین می‌شود؟ شیوه و ابزار نیل به آن چیست؟ این پرسش‌ها و ده‌ها پرسش دیگر از این قبیل، در برابر این قضیه شرطیۀ سوم عرض اندام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پاسخ این پرسش‌ها هرچه باشد، ولی از یک نقطه نمی‌توان به‌راحتی عبور کرد و آن اینکه آسان‌ترین و کوتاه‌ترین راه برای رسیدن به این تقدیر، خطّ نفوذ در فرهنگ وتراث اسلامی ایرانیان از طریق مطالبی است که در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استراتژی و راهبردی که در این جملات مشاهده می‌شود، برنامۀ غرب آن است که با نفوذ رسانه‌ای، و تبلیغ و هدایت فرهنگی و ابزارهای فرهنگی همچون کتاب، روزنامه، ماهواره و وسایل ارتباط جمعی مانند موبایل، نرم افزار، فیلم و موسیقی و حتی از طریق مساجد و بلندگوهای مذهبی و غیرمذهبی و منبرها، دامنۀ نفوذ خود را در جامعه به‌ویژه در ارگان‌هایی که جنبۀ مرجعیت فکری و فرهنگی دارند همچون دانشگاه‌ها و حوزه‌های علمیه و مدارس و ارگان‌های فرهنگی مثل وزارت ارشاد و سازمان تبلیغات و دفتر تبلیغات و شورای انقلاب فرهنگی و غیره، گسترش دهد و با حفظ نام اسلام در ظاهر، اسلام سازگار با منافع غرب و همراه با مدرنیزم غربی را حاکم گرداند، اسلام تسلیم‌گرا و بیگانه با جهاد و مقاومت، اسلام </w:t>
      </w:r>
    </w:p>
    <w:p>
      <w:pPr>
        <w:pStyle w:val="BookText"/>
        <w:rPr/>
      </w:pPr>
      <w:r>
        <w:rPr>
          <w:rFonts w:ascii="IRNazanin" w:hAnsi="IRNazanin" w:eastAsia="IRNazanin"/>
          <w:color w:val="111111"/>
          <w:sz w:val="28"/>
          <w:sz w:val="28"/>
          <w:szCs w:val="28"/>
          <w:rtl w:val="true"/>
          <w:lang w:bidi="fa-IR"/>
        </w:rPr>
        <w:t>رحمانی به اصطلاح برخی غرب‌گرایان، اسلام عاری از امر به معروف و نهی از منکر، اسلام به‌ظاهر، مدافع حریم خصوصی با نگاه غربی، اسلام مدافع حقوق بشر غربی، اسلام همراه با لیبرالیزم و آزادی‌خواهی غربی، اسلام ضد تروریزم و خشونت غربی و در یک کلمه، اسلام آمریکایی، به هدف اضمحلال ایران و دیگر کشورهای اسلامی و پوکی و پوسیدگی از درون جامعه اسلامی ایرانی تا بر سرنوشت آنها سلطه یابد و در نتیجه دوباره به آغوش غرب برگردد و مجدداً پس از انقراض رژیم شاهنشاهی، منافع آن به اسم جامعه مدنی به چنگال غرب درآید و به دست آنان به یغما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راهبرد درازمدت غرب است که در لابلای سخنان مایکل کوک می‌توان دریافت و البته بصیرت و هوشیاری مقاومت اسلامی همچون سدّی آهنین و دژی استوار مانع تحقق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مایکل سه قضیۀ شرطیۀ خود را به‌عنوان مقدمه طرح راهبردی و استراتژیک خود بیان می‌دارد، می‌رسد به اصل نقشۀ راه و راهبرد دقیقی که برای غرب دارد و به ایشان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راهبرد و استراتژی برای نفوذ در اسلام و تهی کردن اسلام از ارزش‌ها، برای تبدیل ایران و کشورهای اسلامی به جامعۀ محسوس مدنی که قرار و مقدر این است که چنین اتفاقاتی بیفتد و تقدیر آن است که جامعۀ مدنی به‌عنوان بالاترین قلّۀ جامعه در اختیار مدرنیزم غرب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راه نیل به این مسیر چیست؟ از نگاه مایکل راه رسیدن به این مسیر آن است که آرای اسلامی اردکانی، دربارۀ نهی از منکر می‌تواند به ما کمک کند که تصوری از این تحول داشته باشیم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گویا به نظر مایکل آرای شخص مزبور همچون دوربینی است که افق آینده را به ترسیم می‌کشد و از زاویۀ دریچۀ آن می‌توان این تحول را که تحول به جامعه مدنی است، تصور کرده و مشاهده نمود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مایکل در این نتیجه‌گیری هم گرفتار خطاهای بزرگ استراتژیک شده است</w:t>
      </w:r>
      <w:r>
        <w:rPr>
          <w:rFonts w:eastAsia="IRNazanin" w:cs="IRNazanin"/>
          <w:color w:val="111111"/>
          <w:sz w:val="28"/>
          <w:szCs w:val="28"/>
          <w:rtl w:val="true"/>
          <w:lang w:bidi="fa-IR"/>
        </w:rPr>
        <w:t xml:space="preserve">: </w:t>
      </w:r>
      <w:bookmarkStart w:id="793" w:name="pg8666_123050"/>
    </w:p>
    <w:p>
      <w:pPr>
        <w:pStyle w:val="BookText"/>
        <w:rPr/>
      </w:pPr>
      <w:bookmarkEnd w:id="793"/>
      <w:r>
        <w:rPr>
          <w:rFonts w:ascii="IRNazanin" w:hAnsi="IRNazanin" w:eastAsia="IRNazanin"/>
          <w:color w:val="111111"/>
          <w:sz w:val="28"/>
          <w:sz w:val="28"/>
          <w:szCs w:val="28"/>
          <w:rtl w:val="true"/>
          <w:lang w:bidi="fa-IR"/>
        </w:rPr>
        <w:t>اولاً آنچه در کتاب نویسنده مزبور آمده است، از پایگاه اسلام و آموزه‌های اسلامی است که در منابع کتاب و سنت به وفور وجود دارد و هرگز نمی‌توان آن را غرب‌گرایانه و بر اساس حقوق بشر غربی و حریم خصوصی آن دیار،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آرا از زاویۀ تفسیر غرب‌گرایانه آن‌قدر بی‌مقدار و فراموش شده است که جز اندکی از غرب‌زدگان و غرب‌گرایان، کسی را نمی‌تواند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میان آن هدف دست‌نایافتنی بزرگ و میان این مسیر و استراتژی هیچ تناسبی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نسخۀ پیچیده‌شده به‌قدری حقیر و ضعیف است که در همان دهۀ هفتاد آزمایش خود را پس داد و اکنون جز جسمی بی‌رمق و اسمی بی‌محتوا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آن را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 و ظهور امواج سهمگین مقاومت اسلامی در لبنان، عراق و سوریه، جایی برای آن اسلام با ورژن غرب و نسخه‌ای را که غرب پیچیده است،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آنچه در این میان برای این قلم به‌صورت معمّایی لاینحل درآمده است، چرخشی است که در کتاب امر به معروف و نهی از منکر شاهدیم</w:t>
      </w:r>
      <w:r>
        <w:rPr>
          <w:rFonts w:eastAsia="IRNazanin" w:cs="IRNazanin"/>
          <w:color w:val="111111"/>
          <w:sz w:val="28"/>
          <w:szCs w:val="28"/>
          <w:rtl w:val="true"/>
          <w:lang w:bidi="fa-IR"/>
        </w:rPr>
        <w:t>:</w:t>
      </w:r>
    </w:p>
    <w:p>
      <w:pPr>
        <w:pStyle w:val="Heading6"/>
        <w:numPr>
          <w:ilvl w:val="5"/>
          <w:numId w:val="1"/>
        </w:numPr>
        <w:rPr/>
      </w:pPr>
      <w:bookmarkStart w:id="794" w:name="__RefHeading___Toc2420052_653776707"/>
      <w:bookmarkStart w:id="795" w:name="_Toc306"/>
      <w:bookmarkEnd w:id="794"/>
      <w:r>
        <w:rPr>
          <w:rtl w:val="true"/>
        </w:rPr>
        <w:t>مایکل و معمّای لاینحل</w:t>
      </w:r>
      <w:bookmarkEnd w:id="79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شگفت‌آور دیگری نیز در این میان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تا اندازه‌ای بر پیچیدگی مطالب بخش پایانی فصل هجدهم می‌افزاید و فضای آن را مه‌آلودتر می‌کند و آن این است کهعلی‌رغم آنکه کتاب مایکل کتابی پژوهشی با عنوان امر به معروف و نهی از منکر در اندیشۀ اسلامی است، موضوع آن، کاری توصیفی و حداکثر تحلیلی است از آنچه در گذشته تا کنون بر سر موضوع نهی از منکر در میان مسلمانان رخ داده است، ولی این نقش توصیفی و تحلیلی که کتاب برای خود تعریف کرده است، چرا به یک‌باره جابه‌جا می‌شود و به توصیه نسبت به آینده تبدیل می‌گردد تا جایی که راهبردی به دیگران نشان دهد که برای تحقق جامعۀ مدنی غربی در ایران و کشورهای اسلامی با پوسته و لفافۀ اسلامی، به‌گونه‌ای که از اسلام به‌عنوان سایه استفاده شود، در زیر چتر آن حرکت واقعی ارزش‌های غربی پمپاژ </w:t>
      </w:r>
      <w:bookmarkStart w:id="796" w:name="pg8666_123053"/>
    </w:p>
    <w:p>
      <w:pPr>
        <w:pStyle w:val="BookText"/>
        <w:rPr/>
      </w:pPr>
      <w:bookmarkEnd w:id="796"/>
      <w:r>
        <w:rPr>
          <w:rFonts w:ascii="IRNazanin" w:hAnsi="IRNazanin" w:eastAsia="IRNazanin"/>
          <w:color w:val="111111"/>
          <w:sz w:val="28"/>
          <w:sz w:val="28"/>
          <w:szCs w:val="28"/>
          <w:rtl w:val="true"/>
          <w:lang w:bidi="fa-IR"/>
        </w:rPr>
        <w:t>گردد، آرایی نظیر آنچه آن نویسندۀ ایرانی گفته است، می‌تواند به ایشان و دوستانشان کمک کند تا تصوری از این تحول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جناب مایکل کتاب را شروع کرد تا شاهد تحوّلی در غرب باشیم و غرب را از این حالت رخوت و بی‌اعتنایی اخلاقی در برابر خشونت علیه زنان و فساد و فحشاء در پرتو نهی از منکر بیرون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چرخشی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کتاب را از دید انتقادی در طلیعۀ کتاب به تمدن غربی و فراورده‌های اجتماعی آن در ماجرای حادثۀ قطار شهری تا نسخه پیچیدن و راهبرد تعریف‌کردن برای کنش‌گران این تمدن جهت حفظ آن و تغییر نهی از منکر به نفع آن تمدن را می‌توان توجیه کرد؟ چگونه برای تحول در ایران و جهان اسلام برنامه می‌نویسد؟ این معمّای لاینحلّ کتاب مایکل است</w:t>
      </w:r>
      <w:r>
        <w:rPr>
          <w:rFonts w:eastAsia="IRNazanin" w:cs="IRNazanin"/>
          <w:color w:val="111111"/>
          <w:sz w:val="28"/>
          <w:szCs w:val="28"/>
          <w:rtl w:val="true"/>
          <w:lang w:bidi="fa-IR"/>
        </w:rPr>
        <w:t>.</w:t>
      </w:r>
    </w:p>
    <w:p>
      <w:pPr>
        <w:pStyle w:val="Heading6"/>
        <w:numPr>
          <w:ilvl w:val="5"/>
          <w:numId w:val="1"/>
        </w:numPr>
        <w:rPr/>
      </w:pPr>
      <w:bookmarkStart w:id="797" w:name="__RefHeading___Toc2420054_653776707"/>
      <w:bookmarkStart w:id="798" w:name="_Toc307"/>
      <w:bookmarkEnd w:id="797"/>
      <w:r>
        <w:rPr>
          <w:rtl w:val="true"/>
        </w:rPr>
        <w:t>آخرین سخن</w:t>
      </w:r>
      <w:bookmarkEnd w:id="79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آخر آنکه شاید حدود دو دهه از این راهبرد پیشنهادی مایکل می‌گذرد و بسیاری از حوادث شگفت‌آور جهانی در این دو دهه رخ داده است که چه بسا دوباره اگر مایکل به راهبرد خویش مراجعه کند، در آن احتمالاً تجدید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ایران، پس از حوادث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رخ داد که ممکن است تأثیر در ارائه این راهبرد توسط مایکل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تلاش فرهنگی فراوانی را از سوی جبهۀ غرب علیه ایران و آموزه‌های امامیه در جهت گسترش جامعۀ مدنی در سایۀ اسلام، شاهد بودیم؛ ولی آن طرح‌ها و نقشه‌ها کمتر راه به جایی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آن حوادث و فشار پیچیدۀ غرب به اسم حقوق بشر و جامعۀ مدنی، داعش سر درآورد، برای آنکه به اسم یک دولت اسلامی وهابی سلفی ولی ساختۀ غرب حرکت امامیهبه عقب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درون این تهدید فرصت خوبی برای اندیشۀ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تا خود را در جبهه‌ای سراسری بازسازی کنند و در یک مقاومت منطقه‌ای حرکت مدافعان حرم را در سوریه پدید آورند و جبهۀ غربی را در کشورهای عراق، سوریه، لبنان و یمن به‌شدت به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نشان می‌دهد برخلاف تصور مایکل تراث اسلامی به‌ویژه تراث امامیه هرگز بدون ساکن و راهرو و پیرو </w:t>
      </w:r>
      <w:bookmarkStart w:id="799" w:name="pg8666_123056"/>
    </w:p>
    <w:p>
      <w:pPr>
        <w:pStyle w:val="BookText"/>
        <w:rPr/>
      </w:pPr>
      <w:bookmarkEnd w:id="799"/>
      <w:r>
        <w:rPr>
          <w:rFonts w:ascii="Amiri" w:hAnsi="Amiri" w:eastAsia="Amiri" w:cs="Amiri"/>
          <w:color w:val="111111"/>
          <w:sz w:val="28"/>
          <w:sz w:val="28"/>
          <w:szCs w:val="28"/>
          <w:rtl w:val="true"/>
          <w:lang w:bidi="ar-SA"/>
        </w:rPr>
        <w:t xml:space="preserve">نخواهد ماند و طبق وعدۀ الهی در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دین اسلام بر تمامی ادیان چیره خواهد شد، اگرچه مشرکان از شنیدن این حقیقت ناخشنود باشند</w:t>
      </w:r>
      <w:r>
        <w:rPr>
          <w:rFonts w:eastAsia="IRNazanin" w:cs="IRNazanin"/>
          <w:color w:val="111111"/>
          <w:sz w:val="28"/>
          <w:szCs w:val="28"/>
          <w:rtl w:val="true"/>
          <w:lang w:bidi="fa-IR"/>
        </w:rPr>
        <w:t>.</w:t>
      </w:r>
    </w:p>
    <w:p>
      <w:pPr>
        <w:pStyle w:val="Heading5"/>
        <w:numPr>
          <w:ilvl w:val="4"/>
          <w:numId w:val="1"/>
        </w:numPr>
        <w:rPr/>
      </w:pPr>
      <w:bookmarkStart w:id="800" w:name="__RefHeading___Toc2420056_653776707"/>
      <w:bookmarkStart w:id="801" w:name="_Toc308"/>
      <w:bookmarkEnd w:id="800"/>
      <w:r>
        <w:rPr>
          <w:rtl w:val="true"/>
        </w:rPr>
        <w:t>قصۀ نیمه‌تمام مایکل</w:t>
      </w:r>
      <w:bookmarkEnd w:id="801"/>
    </w:p>
    <w:p>
      <w:pPr>
        <w:pStyle w:val="BookText"/>
        <w:rPr/>
      </w:pPr>
      <w:r>
        <w:rPr>
          <w:rFonts w:ascii="IRNazanin" w:hAnsi="IRNazanin" w:eastAsia="IRNazanin"/>
          <w:color w:val="111111"/>
          <w:sz w:val="28"/>
          <w:sz w:val="28"/>
          <w:szCs w:val="28"/>
          <w:rtl w:val="true"/>
          <w:lang w:bidi="fa-IR"/>
        </w:rPr>
        <w:t xml:space="preserve">مایکل در طلیعۀ کتاب خود، به شکل بسیار جذّاب سخنش را از یک صحنۀ تراژدی و غم انگیز بیان کرد که در شامگاه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ایستگاه قطار شهری شیکاگو در حضور جمعی از مردم زنی مورد تجاوز قرار گرفت، ولی هیچ‌کس برای کمک به قربانی از جای خود حرکت نکرد با وجود آنکه تجاوز در ساعت‌های پر رفت و آمد روز انجام شد و درحالی‌که عده‌ای به آن صحنه می‌نگریستند و زن از آنها کمک خواست، اما هیچ‌کس به او پاسخ نداد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مایکل پس از بیان آن گزارش‌های مختلف، نتیجه می‌گیرد که در این موارد شالودۀ یک اجماع کلی اخلاقی وجود دارد که آدمی نمی‌تواند فقط در کناری بایستند و ببیند زنی حتی کاملاً ناشناس در منظر عام مورد تجاوز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می‌کنیم به نوعی وظیفه داریم علاوه بر آنکه خود باید به شایستگی رفتار کنیم، دیگران را نیز از ارتکاب کارهای ناشایست نسبت به همنوعان خود بازداریم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روزمره ما نامی برای این وظیفه نداریم، ولی اسلام برعکس، نام و تعالیمی ویژه برای چنین وظیفه اخلاقی گسترده دارد و نام آن امر به معروف و نهی از منکر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طلیعه نشانگر چیست؟ آیا چنین نیست که مایکل در قامت یک مصلح اجتماعی در ابتدا به نقد جامعۀ غرب و فرهنگ آن مرز و بوم می‌پردازد و آن را به چالش می‌کشد و از اتفاقی که در آن دیار رخ داده رنج می‌برد و در فکر اصلاح و راه حلّ برای این مشکل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مشکلی که بی‌تردید تنها به این حادثه منحصر نیست، بلکه این یک علامت و نشانه‌ای از یک بیماری مزمن در فرهنگ و تعامل اجتماعی غرب در برابر ناهنجاری است که روند رایج غربی در میان مردم بی‌اعتنایی به این قبیل حوادث است و در هر زمان و مکان دیگر هم امکان بروز دارد، بلکه زمان‌ها و مکان‌هایی که امکان وقوع این جرم‌ها بیشتر است، بی‌اعتنایی هم چه بسا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این تجاوز مربوط به شهروند و هموطن خودشان و فردی سفیدپوست است، چنین بی‌اعتنایی دارند، درصورتی‌که این جرم مربوط به فردی بیگانه و غیرغربی و یا رنگین‌پوست باشد، آیا درصد بی‌اعتنایی و شرمسار نبودن و به‌سادگی در کناری ایستادن و اجازۀ وقوع این حادثه را دادن، بالاتر نخواهد رفت؟ آیا در همین قبیل حوادث اجتماعی درصورتی‌که منافع و لذّت مادّی رهگذران نیز در گرو وقوع آن باشد، در این صورت، رفتار آنها چگونه خواهد بود؟ آیا دست‌کم عده‌ای از رهگذران به تشویق و تأیید مجرم در مسیر حفظ منافع خود نمی‌پردازند؟ آیا رفتار آنها چگونه پیش‌بینی می‌شود؟ آیا این حادثه نشان نمی‌دهد که فرهنگ غربی و جامعۀ برآمده از مدرنیزم، در ادّعا از حقوق بشر می‌گوید و سخن از جامعۀ مدنی و آزادی‌خواهی مطرح است، ولی از درون با دمل چرکینی مواجه است که اگر سر باز کند، چه اتفاقی خواهد افتاد؟ آیا نمی‌توان گفت جامعۀ غربی با سرگرم شدن به فردگرایی مفرط، از درون با سرطانی مواجه است که چه بسا اگر درمان نگردد، آن را به نابودی می‌کشاند یا همچون موریانه‌ای آن را از درون می‌خورد، ولی خود در غفلت تام در خواب خرگوشی خویش آرمیده است؟ آیا جامعۀ مدنی غرب توانسته است که مشکلات خود را درمان خود کند تا اینکه بتواند نسخه‌ای باشد برای جوامع دیگر و به گفتۀ مایکل تقدیر چنین باشد که جامعۀ مدنی آن به کشورهای اسلامی و ایران ورود پیدا کند؟ آیا داستان مایکل نیمه تمام، رها نشده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که در طلیعۀ کتاب، امر به معروف و نهی از منکر را به‌عنوان وظیفه‌ای دانست که در اندیشه اسلام وجود دارد و جای آن در غرب خالی است، برخلاف انتظار خواننده که منتظراست به تبیین راه درمان بیماری مزمن غرب بپردازد و آن مسیر اولیه را ادامه دهد، ولی </w:t>
      </w:r>
    </w:p>
    <w:p>
      <w:pPr>
        <w:pStyle w:val="BookText"/>
        <w:rPr/>
      </w:pPr>
      <w:r>
        <w:rPr>
          <w:rFonts w:ascii="IRNazanin" w:hAnsi="IRNazanin" w:eastAsia="IRNazanin"/>
          <w:color w:val="111111"/>
          <w:sz w:val="28"/>
          <w:sz w:val="28"/>
          <w:szCs w:val="28"/>
          <w:rtl w:val="true"/>
          <w:lang w:bidi="fa-IR"/>
        </w:rPr>
        <w:t>برخلاف انتظار، پس از آنکه در طول تاریخ اندیشه امر به معروف را در میان مسلمانان تشریح می‌کند در پایان فصل هجدهم، چگونه است که گویا چرخشی رخ داده و برخلاف اینکه بیماری غرب درمان شود، رویکردی متفاوت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مایکل آن است که جامعۀ مدنی به ایران و جهان اسلام صادر شود ولو در لفافه و سایۀ اسلام تا اینکه آنجا هم مثل غرب شود؟</w:t>
      </w:r>
    </w:p>
    <w:p>
      <w:pPr>
        <w:pStyle w:val="BookText"/>
        <w:rPr/>
      </w:pPr>
      <w:r>
        <w:rPr>
          <w:rFonts w:ascii="IRNazanin" w:hAnsi="IRNazanin" w:eastAsia="IRNazanin"/>
          <w:color w:val="111111"/>
          <w:sz w:val="28"/>
          <w:sz w:val="28"/>
          <w:szCs w:val="28"/>
          <w:rtl w:val="true"/>
          <w:lang w:bidi="fa-IR"/>
        </w:rPr>
        <w:t>آیا فرهنگ غرب خود با بن‌بست مواجه نشده است که بخواهد درمان دیگر جوامع را بر عهده گیرد و برای آنها نسخه بپیچد؟ یا آنها را هم همراه با خود به وادی نابودی و هلاکت می‌کشاند و آن وجدان اخلاقی که در جامعه اسلامی وجود دارد که نمی‌توانند از کنار این حوادث بی‌اعتنا باشند و کاری نکنند، بلکه دست به اقدام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نتیجۀ این راهبرد مایکل آن نیست که این حس مسئولیت اجتماعی از مسلمانان نیز گرفته شود و آنها هم به همین بیماری جوامع غربی مبتلا شوند؟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پرسش‌های بسیار گسترده و فراوانی در این میان مطرح است که در داستان نویسندۀ محترم کتاب امر به معروف و نهی از منکر ناتمام مانده و خواننده را در حیرتی شگفت‌انگیز رها می‌کند</w:t>
      </w:r>
      <w:r>
        <w:rPr>
          <w:rFonts w:eastAsia="IRNazanin" w:cs="IRNazanin"/>
          <w:color w:val="111111"/>
          <w:sz w:val="28"/>
          <w:szCs w:val="28"/>
          <w:rtl w:val="true"/>
          <w:lang w:bidi="fa-IR"/>
        </w:rPr>
        <w:t xml:space="preserve">. </w:t>
      </w:r>
      <w:bookmarkStart w:id="802" w:name="pg8666_123066"/>
    </w:p>
    <w:p>
      <w:pPr>
        <w:pStyle w:val="Heading3"/>
        <w:numPr>
          <w:ilvl w:val="2"/>
          <w:numId w:val="1"/>
        </w:numPr>
        <w:rPr/>
      </w:pPr>
      <w:bookmarkStart w:id="803" w:name="__RefHeading___Toc2420058_653776707"/>
      <w:bookmarkStart w:id="804" w:name="_Toc309"/>
      <w:bookmarkEnd w:id="802"/>
      <w:bookmarkEnd w:id="803"/>
      <w:r>
        <w:rPr>
          <w:rtl w:val="true"/>
        </w:rPr>
        <w:t>گزارش و ارزیابی فصل نوزدهم</w:t>
      </w:r>
      <w:r>
        <w:rPr>
          <w:rtl w:val="true"/>
        </w:rPr>
        <w:t xml:space="preserve">: </w:t>
      </w:r>
      <w:r>
        <w:rPr>
          <w:rtl w:val="true"/>
        </w:rPr>
        <w:t>سرچشمه‌ها و سنجش‌ها</w:t>
      </w:r>
      <w:bookmarkEnd w:id="804"/>
    </w:p>
    <w:p>
      <w:pPr>
        <w:pStyle w:val="Heading4"/>
        <w:numPr>
          <w:ilvl w:val="3"/>
          <w:numId w:val="1"/>
        </w:numPr>
        <w:rPr/>
      </w:pPr>
      <w:bookmarkStart w:id="805" w:name="__RefHeading___Toc2420060_653776707"/>
      <w:bookmarkStart w:id="806" w:name="_Toc310"/>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گزارش و ارزیابی 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سرچشمه‌ها و سنجش‌ها</w:t>
      </w:r>
      <w:r>
        <w:rPr>
          <w:rStyle w:val="FootnoteAnchor"/>
          <w:rtl w:val="true"/>
        </w:rPr>
        <w:footnoteReference w:id="213"/>
      </w:r>
    </w:p>
    <w:p>
      <w:pPr>
        <w:pStyle w:val="Heading4"/>
        <w:numPr>
          <w:ilvl w:val="3"/>
          <w:numId w:val="1"/>
        </w:numPr>
        <w:rPr/>
      </w:pPr>
      <w:bookmarkStart w:id="807" w:name="__RefHeading___Toc2420062_653776707"/>
      <w:bookmarkStart w:id="808" w:name="_Toc311"/>
      <w:bookmarkEnd w:id="807"/>
      <w:r>
        <w:rPr/>
        <w:t>1</w:t>
      </w:r>
      <w:r>
        <w:rPr>
          <w:rtl w:val="true"/>
        </w:rPr>
        <w:t xml:space="preserve">. </w:t>
      </w:r>
      <w:r>
        <w:rPr>
          <w:rtl w:val="true"/>
        </w:rPr>
        <w:t>مقدمه</w:t>
      </w:r>
      <w:bookmarkEnd w:id="808"/>
    </w:p>
    <w:p>
      <w:pPr>
        <w:pStyle w:val="Heading5"/>
        <w:numPr>
          <w:ilvl w:val="4"/>
          <w:numId w:val="1"/>
        </w:numPr>
        <w:rPr/>
      </w:pPr>
      <w:bookmarkStart w:id="809" w:name="__RefHeading___Toc2420064_653776707"/>
      <w:bookmarkStart w:id="810" w:name="_Toc312"/>
      <w:bookmarkEnd w:id="809"/>
      <w:r>
        <w:rPr>
          <w:rtl w:val="true"/>
        </w:rPr>
        <w:t>الف</w:t>
      </w:r>
      <w:r>
        <w:rPr>
          <w:rtl w:val="true"/>
        </w:rPr>
        <w:t xml:space="preserve">) </w:t>
      </w:r>
      <w:r>
        <w:rPr>
          <w:rtl w:val="true"/>
        </w:rPr>
        <w:t>گزارش</w:t>
      </w:r>
      <w:bookmarkEnd w:id="81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کوک در فصل نوزدهم کتاب امر به معروف و نهی از منکر در اندیشۀ اسلامی به سرچشمه‌های نهی از منکر اشاره می‌کند</w:t>
      </w:r>
      <w:r>
        <w:rPr>
          <w:rStyle w:val="FootnoteAnchor"/>
          <w:rtl w:val="true"/>
        </w:rPr>
        <w:footnoteReference w:id="214"/>
      </w:r>
      <w:r>
        <w:rPr>
          <w:rFonts w:ascii="IRNazanin" w:hAnsi="IRNazanin" w:eastAsia="IRNazanin"/>
          <w:color w:val="111111"/>
          <w:sz w:val="28"/>
          <w:sz w:val="28"/>
          <w:szCs w:val="28"/>
          <w:rtl w:val="true"/>
          <w:lang w:bidi="fa-IR"/>
        </w:rPr>
        <w:t>و گویا به این سؤال پاسخ می‌دهد که آیا نهی از منکر در خارج از اندیشه اسلامی و بیرون از حوزه تفکر اسلامی هم وجود داشته است یا نه؟ وی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نمود و اهمیت امر به معروف در اسلام، ولی در خارج از اسلام بی‌همتا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در سال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پیشنهاد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جلوگیری از گناه و حمایت از دین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سند قانونی در سال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وظیفۀ یک قاضی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حق و نهی از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امر به نیکی و نهی از بدی در زبان فیلسوفانی مانند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خروسیپوس نیز آمده است و شبیه آن در بین بودائیان و پیروان کنفوسیوس نیز شاید دیده شود که در لابلای مکتوبات جهانی رسوخ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اصل چنين بازتابی در فرهنگ‌های ديگر دارد، آيا نبايد تصور كنيم كه اين وظيفه خود يک ارزش بشری جهانی باشد يا در حقيقت اين مطلبی عمدتاً اسلامی است؟ اصل بنيادی در اين ارزش، آن است كه اگر كسی ببيند ديگری مشغول كار خطايی است، لازم است برای بازداشتن او از خطا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اين است كه اين اصل يا چيزی شبيه به اين به همه فرهنگ‌های بشری راه يافته، هرچند الزاماً به روشنی بيان نشده است؛ اما پیدا کردن شواهد تجربی که در همه فرهنگ‌ها به‌صورت یکسان به‌کار می‌رفته،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اگر بر این باور باشیم که شبیه به نهی از منکر در همه فرهنگ‌ها وجود دارد، با وجود اين همانندی، باز هم جايی برای تنوع بسيار در بين فرهنگ‌ها، صرف نظر از افرادی كه در درون اين فرهنگ‌ها به سر می‌برند، وجود دارد؛ به‌عبارتی روشن‌تر، تفاوت‌های بسياری در بين فرهنگ‌ها نسبت به آنچه صواب يا خطا به شمار می‌آيد، ديده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بين نگرش آفريقای شمالی و اسلام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نسبت به برهنگی زنان درنظر بگیرید که چه مقدار تفاوت وجود دارد یا مانند اینکه در برخی فرهنگ‌ها دیده می‌شود هرکسی به دین خودش بوده و به کار دیگران مداخله نمی‌کند و مانند آن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می‌خواهیم به این پی ببریم که چه فرهنگ‌هایی سبب ایجاد ارزش‌هایی به نام آموزه‌های مدرسی شده‌اند؟ مثلاً راهبان باستان همچون پارسایان اسلامی، قدرتمندان را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دو نظریه را در این ارتباط مطرح می‌کند و می‌گوید پدیده‌هایی ممکن است وجود داشته که بر اسلام تأثیرگذار بوده است؛ یکی ریشه‌ای است و آن اینکه آیا مفهوم اسلامی امر به معروف و نهی از منکر ریشه‌های شناخته شده‌ای در دوران جاهلیت داشته است؟ دیگری مقایسه‌ای است که با استقصا از فرهنگ‌های ماقبل اسلام بدون ارتباط ریشه‌ای، اطلاع حاصل نماییم سپس آن را با مفهوم اسلامی‌اش مقایسه کنیم و پیشینه آن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کار را با روش دوم یعنی مقایسه‌ای شروع می‌کند</w:t>
      </w:r>
      <w:r>
        <w:rPr>
          <w:rFonts w:eastAsia="IRNazanin" w:cs="IRNazanin"/>
          <w:color w:val="111111"/>
          <w:sz w:val="28"/>
          <w:szCs w:val="28"/>
          <w:rtl w:val="true"/>
          <w:lang w:bidi="fa-IR"/>
        </w:rPr>
        <w:t xml:space="preserve">. </w:t>
      </w:r>
      <w:bookmarkStart w:id="811" w:name="pg8666_123074"/>
    </w:p>
    <w:p>
      <w:pPr>
        <w:pStyle w:val="Heading5"/>
        <w:numPr>
          <w:ilvl w:val="4"/>
          <w:numId w:val="1"/>
        </w:numPr>
        <w:rPr/>
      </w:pPr>
      <w:bookmarkStart w:id="812" w:name="__RefHeading___Toc2420066_653776707"/>
      <w:bookmarkStart w:id="813" w:name="_Toc313"/>
      <w:bookmarkEnd w:id="811"/>
      <w:bookmarkEnd w:id="812"/>
      <w:r>
        <w:rPr>
          <w:rtl w:val="true"/>
        </w:rPr>
        <w:t>ب</w:t>
      </w:r>
      <w:r>
        <w:rPr>
          <w:rtl w:val="true"/>
        </w:rPr>
        <w:t xml:space="preserve">) </w:t>
      </w:r>
      <w:r>
        <w:rPr>
          <w:rtl w:val="true"/>
        </w:rPr>
        <w:t>ارزیابی</w:t>
      </w:r>
      <w:bookmarkEnd w:id="813"/>
    </w:p>
    <w:p>
      <w:pPr>
        <w:pStyle w:val="BookText"/>
        <w:rPr/>
      </w:pPr>
      <w:r>
        <w:rPr>
          <w:rFonts w:ascii="IRNazanin" w:hAnsi="IRNazanin" w:eastAsia="IRNazanin"/>
          <w:color w:val="111111"/>
          <w:sz w:val="28"/>
          <w:sz w:val="28"/>
          <w:szCs w:val="28"/>
          <w:rtl w:val="true"/>
          <w:lang w:bidi="fa-IR"/>
        </w:rPr>
        <w:t>مایکل در این فصل بسیار تلاش می‌کند تا ریشه‌ها و سرچشمه‌های امر به معروف و نهی از منکر را در سایر فرهنگ‌ها و در میان ملل مختلف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اگرچه علمی و پر زحمت است، ولی فائدۀ چندانی بر آن مترتب نیست؛ درحالی‌که اگر نهی از منکر را امری عقلی به شمار آوریم بلکه آن را مرتبط با وجدان اخلاقی و فطرت انسانی بدانیم، توجیه بهتریخواهد داشت؛ چنانچه عده‌ای از اندیشمندان اسلامی برآنند و خود نویسنده نیز در صفحات اولیه کتاب به آن اعتراف کرده که یک اجماع کلی اخلاقی وجود دارد که آدمی نمی‌تواند فقط در کناری بایستد و ببیند جرمی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می‌کنیم که باید دیگران را نیز از ارتکاب کار ناشایست بازداریم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بنا بر احساس و وجدان اخلاقی یا حکم عقلی، نه تنها می‌توان سرچشمه‌های این فریضه را در قبل از اسلام سراغ گرفت، بلکه می‌توان آن را به تمامی ملل و فرهنگ‌های قبل و بعد از اسلام به‌نوعی سرایت داد و آن را امری عقلانی و عقلایی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می‌توان اصل امر به معروف و نهی از منکر را از احکام امضایی شمرد، چنان‌که قرآن کریم نیز در مواردی به این حقیقت اشارت دارد، مثل سفارش لقمان حکیم به 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بُنَی أَقِمْ الصَّلاةَ وَأْمُرْ بِالْمَعْرُوفِ وَانْهَ عَنْ الْمُنكَرِ</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اگرچه اسلام با نگاهی نو به حقیقت فطری و عقلانی، احکام، ویژگی‌ها و جزئیات آن را تشریع و تبیین کرده و دست به احکام تأسیسی فراوان نسبت به آن زده تا آن را برای ابد کارآمد و به‌روز کند و بر اساس شرایط لازم زندگی انسانی تنظیم و چابک گرداند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چنانچه لزوم نهی از منکر حکمی از احکام عقلی محسوب شود، از بایدها و نبایدهای عقلی شمرده می‌شود و مبتنی بر حسن و قبح عقلی خواهد بود و بازگشت این </w:t>
      </w:r>
    </w:p>
    <w:p>
      <w:pPr>
        <w:pStyle w:val="BookText"/>
        <w:rPr/>
      </w:pPr>
      <w:r>
        <w:rPr>
          <w:rFonts w:ascii="IRNazanin" w:hAnsi="IRNazanin" w:eastAsia="IRNazanin"/>
          <w:color w:val="111111"/>
          <w:sz w:val="28"/>
          <w:sz w:val="28"/>
          <w:szCs w:val="28"/>
          <w:rtl w:val="true"/>
          <w:lang w:bidi="fa-IR"/>
        </w:rPr>
        <w:t xml:space="preserve">لزوم عقلی، به عدل و ظلم خواهد بود، خواه عدل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الشئ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کسی که اقدام به نهی از منکر می‌کند، به حکم عقل عملی حقی را ادا کرده و در جایگاه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بنا بر عقلی دانستن فریضۀ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نقلی بودن آن که به نظر همین رأی نزدیک‌تر به صواب است، اگرچه این فریضه، فریضه‌ای است که اسلام آن را تشریع کرده است، ولی باتوجه‌به برخی از ادله از جمله وصیت لقمان حکیم به فرزندش در قرآن آشکار می‌گردد که این فریضه یا چارچوب کلی آن در شرایعآسمانی گذشته نیز وجود داشته است و چنانچه از این وظیفه سرپیچی نمود، ظلمی را روا داشته است، ظلمی به مرتکب منکر و ظلمی به جامعه و ظلمی در حق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اگرچه شالودۀ این فریضه را چنانچه در ادامۀ گزارش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بتوان در جاهلیت عرب یا در آیین کنفوسیون یا یهودیان ربّیانی یافت و تشابه‌هایی را با نکوهش برادرانه در میان مسیحیت جست‌وجو کرد، ولی به‌طور قطع آن نظام قانونی متکامل و دقیقی را که در این فریضۀ اسلامی داریم، در جای دیگری نمی‌توان سراغ گرفت، بلکه چه بسا بسیاری از ملل حتی مسیحیان کاتولیک بر اثر همجواری با مسلمانان، این فریضه یا بخش‌هایی از آن را از آنان اقتباس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حکم ادیان توحیدی یهود، مسیحیت و اسلام با سایر ادیان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یهودیت و مسیحیت قبل از تحریف مورد تأیید اسلام نیز هست؛ اما مسئله در مورد ادیان غیرتوحیدی چین و هند متفاوت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به‌هرحال، اسلام به تصریح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با سایر ملل و ادیان کاملاً متمایز است و سیستم امر به معروف در این دین در قالب یک نظام متکامل ارائه شده است که به هیچ‌وجه قابل مقایسه با سایر ادیان و فرهنگ‌ها نیست</w:t>
      </w:r>
      <w:r>
        <w:rPr>
          <w:rFonts w:eastAsia="IRNazanin" w:cs="IRNazanin"/>
          <w:color w:val="111111"/>
          <w:sz w:val="28"/>
          <w:szCs w:val="28"/>
          <w:rtl w:val="true"/>
          <w:lang w:bidi="fa-IR"/>
        </w:rPr>
        <w:t xml:space="preserve">. </w:t>
      </w:r>
      <w:bookmarkStart w:id="814" w:name="pg8666_123080"/>
    </w:p>
    <w:p>
      <w:pPr>
        <w:pStyle w:val="Heading4"/>
        <w:numPr>
          <w:ilvl w:val="3"/>
          <w:numId w:val="1"/>
        </w:numPr>
        <w:rPr/>
      </w:pPr>
      <w:bookmarkStart w:id="815" w:name="__RefHeading___Toc2420068_653776707"/>
      <w:bookmarkStart w:id="816" w:name="_Toc314"/>
      <w:bookmarkEnd w:id="814"/>
      <w:bookmarkEnd w:id="815"/>
      <w:r>
        <w:rPr/>
        <w:t>2</w:t>
      </w:r>
      <w:r>
        <w:rPr>
          <w:rtl w:val="true"/>
        </w:rPr>
        <w:t xml:space="preserve">. </w:t>
      </w:r>
      <w:r>
        <w:rPr>
          <w:rtl w:val="true"/>
        </w:rPr>
        <w:t>سرچشمه‌های امر به معروف و نهی از منکر در جاهلیت</w:t>
      </w:r>
      <w:bookmarkEnd w:id="816"/>
    </w:p>
    <w:p>
      <w:pPr>
        <w:pStyle w:val="Heading5"/>
        <w:numPr>
          <w:ilvl w:val="4"/>
          <w:numId w:val="1"/>
        </w:numPr>
        <w:rPr/>
      </w:pPr>
      <w:bookmarkStart w:id="817" w:name="__RefHeading___Toc2420070_653776707"/>
      <w:bookmarkStart w:id="818" w:name="_Toc315"/>
      <w:bookmarkEnd w:id="817"/>
      <w:r>
        <w:rPr>
          <w:rtl w:val="true"/>
        </w:rPr>
        <w:t>الف</w:t>
      </w:r>
      <w:r>
        <w:rPr>
          <w:rtl w:val="true"/>
        </w:rPr>
        <w:t xml:space="preserve">) </w:t>
      </w:r>
      <w:r>
        <w:rPr>
          <w:rtl w:val="true"/>
        </w:rPr>
        <w:t>گزارش</w:t>
      </w:r>
      <w:bookmarkEnd w:id="818"/>
    </w:p>
    <w:p>
      <w:pPr>
        <w:pStyle w:val="BookText"/>
        <w:rPr/>
      </w:pPr>
      <w:r>
        <w:rPr>
          <w:rFonts w:ascii="IRNazanin" w:hAnsi="IRNazanin" w:eastAsia="IRNazanin"/>
          <w:color w:val="111111"/>
          <w:sz w:val="28"/>
          <w:sz w:val="28"/>
          <w:szCs w:val="28"/>
          <w:rtl w:val="true"/>
          <w:lang w:bidi="fa-IR"/>
        </w:rPr>
        <w:t>در دوران جاهلیت با دو سؤال مواجه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واژۀ نهی از منکر در عربستان پیش از اسلام بوده یا زبان عربی جدیدی است که از منابع فراعربی گرفته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مربوط به هدف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از این وظیفه در دوران جاهلی این بود که کسی که کاری ناشایست را انجام داده باید اصلاح گردد یا اینکه اهمیت آن فقط در صورتی بود که در درون مرزهای روابط اجتماعی که لازمه آن بود اتفاق می‌افتاد؟</w:t>
      </w:r>
    </w:p>
    <w:p>
      <w:pPr>
        <w:pStyle w:val="BookText"/>
        <w:rPr/>
      </w:pPr>
      <w:r>
        <w:rPr>
          <w:rFonts w:ascii="IRNazanin" w:hAnsi="IRNazanin" w:eastAsia="IRNazanin"/>
          <w:color w:val="111111"/>
          <w:sz w:val="28"/>
          <w:sz w:val="28"/>
          <w:szCs w:val="28"/>
          <w:rtl w:val="true"/>
          <w:lang w:bidi="fa-IR"/>
        </w:rPr>
        <w:t>برای روشن شدن جواب پرسش نخست دو روایت مطرح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اول مربوط به حکیم ابن‌امیّه، عضوی از خاندان سُلَمی مکه و هم‌پیمان قبیله اموی در مکۀ پیش از اسلام است که مسئول تأدیب و تربیت سفیهان قریش و جوانان لجام گسیخته بوده و به او در منابع محتسب می‌گفته‌اند و سپس از او به آمر به معروف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نویسندگان منابع همان کاربرد واقعی جاهلی را نقل می‌کنند یا کاربرد اسلامی آن را بر پدیده جاهلی به کار می‌برند؟ ازآنجاکه در منابع، مسئله صراحت ندارد و مبهم است، نزدیک‌تر آن به نظر می‌رسد که همان کاربرد اسلامی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مربوط به پیمان حلف‌الفضول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قبيله يمنی بنی‌زُبَيْد همراه با كالای تجاری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كالای خود را به مردی قريشی از قبيله بنی‌سهم فروخت؛ امّا مرد قريشی از پرداخت بهای مال‌التجارة او خودداری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آشكار اين بازرگان ستمديده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به‌صورت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كه قريشيان به اين موضوع توجه كنند و چهار قبيله و در بعضی منابع پنج قبيله، گردهم آمدند و با اين شرايط پيمان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كسی در مكه مورد ستم قرار گرفت، ما از ستمديده دفاع خواهيم کرد، تا حق او را از ستمگر بازستانيم، خواه شریف باشد یا وضیع، از قبیله ما باشد یا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پیمان سهم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با استناد به این پیمان می‌گوید که اعراب جاهلی نهی از منکر را می‌شناختند، ولی وی این واژگان را به اعراب جاهلی نسبت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زبیر‌بن‌بکار که دقیقاً چنین نسبتی را داده و می‌گوید که یکی از شرایط این پیمان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خبر واحد است و می‌توانیم آن را سهو تاریخی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دیگر اَشعار است که نشان می‌دهد این واژه در اشعار جاهلیت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صحت استناد اشعار به شاعران پیش از اسلام مشتبه است؛ اما خیلی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شاعری به نام مرقشّ الأکبر، قدیمی‌ترین شاعر عرب، آمده است که در گفت‌وگو از صحراهای خاکی از گذشتن از بیابانی ناشناخته و رسیدن به سرزمین شناخته شده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الی معروفِها منکراتِها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بیابان‌های شناخته شده به ناشناخته‌هایش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دیگر مانند زبیربن‌سلمی، حاتم طایی، نابغة‌بن‌ذبیانی نیز کاربرد واژه‌های معروف و منکر،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به لفظ انکر المنکر نیز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استعمالاین واژه در سخنان شاعران با عنوان امروزی امر به معروف و نهی از منکر شناخته شده نیست و گشتن به دنبال آن در اشعار عرب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دوران جاهلیت واژگان معروف و منکر را می‌شناختند و آنها را در کنار هم می‌آوردند؛ اما اینکه امر به معروف و نهی از منکر در شعر پیدا شود،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حمایت از ستمدیدگان در دوران جاهلیت عرب چیزی عادی بود و از مظلوم حمایت می‌شد اما نه تحت عنوان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اين بخش گفته شد، می‌توان نتيجه گرفت كه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عربستان دوران جاهليّت گرفته است؛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چه می‌دانيم؟ ما پيشينه مهمی برای چنين كاربردی در داخل جزيرة‌العرب نداريم و تا آنجا كه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 خارج از جزيرة‌العرب هم هيچ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كه بتواند از نظر تاريخی احتمالاً مربوط به آن باشد، ديده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فرض روشن امّا نه فرضی كه اميد به اثبات آن باشد، اين است كه كاربرد آن به‌عنوان وظيفۀ اسلامی و نام آن ابداع قرآن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 این است که آنچه امروز در اندیشۀ اسلامی تعبیر به امر به معروف و نهی از منکر می‌کنیم، آیا در قرآن نیز به همین معنا است که امروزه در اندیشۀ اسلامی دیده می‌شود </w:t>
      </w:r>
      <w:bookmarkStart w:id="819" w:name="pg8666_123086"/>
    </w:p>
    <w:p>
      <w:pPr>
        <w:pStyle w:val="BookText"/>
        <w:rPr/>
      </w:pPr>
      <w:bookmarkEnd w:id="819"/>
      <w:r>
        <w:rPr>
          <w:rFonts w:ascii="IRNazanin" w:hAnsi="IRNazanin" w:eastAsia="IRNazanin"/>
          <w:color w:val="111111"/>
          <w:sz w:val="28"/>
          <w:sz w:val="28"/>
          <w:szCs w:val="28"/>
          <w:rtl w:val="true"/>
          <w:lang w:bidi="fa-IR"/>
        </w:rPr>
        <w:t>یا تفاوت وجود دارد؟ مسئله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ریشه‌شناسی قرآن را کنار بگذاریم و به دنبال خارج از آن برویم</w:t>
      </w:r>
      <w:r>
        <w:rPr>
          <w:rFonts w:eastAsia="IRNazanin" w:cs="IRNazanin"/>
          <w:color w:val="111111"/>
          <w:sz w:val="28"/>
          <w:szCs w:val="28"/>
          <w:rtl w:val="true"/>
          <w:lang w:bidi="fa-IR"/>
        </w:rPr>
        <w:t>.</w:t>
      </w:r>
    </w:p>
    <w:p>
      <w:pPr>
        <w:pStyle w:val="Heading5"/>
        <w:numPr>
          <w:ilvl w:val="4"/>
          <w:numId w:val="1"/>
        </w:numPr>
        <w:rPr/>
      </w:pPr>
      <w:bookmarkStart w:id="820" w:name="__RefHeading___Toc2420072_653776707"/>
      <w:bookmarkStart w:id="821" w:name="_Toc316"/>
      <w:bookmarkEnd w:id="820"/>
      <w:r>
        <w:rPr>
          <w:rtl w:val="true"/>
        </w:rPr>
        <w:t>ب</w:t>
      </w:r>
      <w:r>
        <w:rPr>
          <w:rtl w:val="true"/>
        </w:rPr>
        <w:t xml:space="preserve">) </w:t>
      </w:r>
      <w:r>
        <w:rPr>
          <w:rtl w:val="true"/>
        </w:rPr>
        <w:t>ارزیابی</w:t>
      </w:r>
      <w:bookmarkEnd w:id="821"/>
    </w:p>
    <w:p>
      <w:pPr>
        <w:pStyle w:val="BookText"/>
        <w:rPr/>
      </w:pPr>
      <w:r>
        <w:rPr>
          <w:rFonts w:ascii="IRNazanin" w:hAnsi="IRNazanin" w:eastAsia="IRNazanin"/>
          <w:color w:val="111111"/>
          <w:sz w:val="28"/>
          <w:sz w:val="28"/>
          <w:szCs w:val="28"/>
          <w:rtl w:val="true"/>
          <w:lang w:bidi="fa-IR"/>
        </w:rPr>
        <w:t xml:space="preserve">این سخن عجیب است که مصطلح قرآن را از اندیشۀ اسلامی جدا بدانیم؛ درحالی‌که اگر منظور از اندیشۀ اسلامی، معارف خود دین اسلام است، بی‌شک اساس اندیشۀ اسلامی همان آیات قرآن و روایات و احادیث سنّت است و میان اندیشۀ اسلامی و معارف قرآن و سنّت ملازمه، بلکه تطابق حاکم است؛ اما اگر مقصود از اندیشۀ اسلامی، اندیشۀ مسلمانان باشد، این احتمال وجود دارد که میان معنای نزد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نزد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باشد و به اصطلاح علمای دانش اصول میان حقیقت شرعیه و حقیقت متشرعه تفاوت باشد و این معنای نزد متشرعه، جدید و حادث باشد، ولی این هم در علم اصول پذیرفتهنیست؛ چون به قول صاحب‌جواهر</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تا زمانی که علم به جدید بودن پیدایش و معنای جدید نداریم، ظاهر آن است که همان معنای شرعی در نزد متشرعه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اطلاق اندیشۀ اسلامی به اندیشۀ مسلمانان مجاز و غیرواقعی بوده و نیازمند قرینه است</w:t>
      </w:r>
      <w:r>
        <w:rPr>
          <w:rFonts w:eastAsia="IRNazanin" w:cs="IRNazanin"/>
          <w:color w:val="111111"/>
          <w:sz w:val="28"/>
          <w:szCs w:val="28"/>
          <w:rtl w:val="true"/>
          <w:lang w:bidi="fa-IR"/>
        </w:rPr>
        <w:t>.</w:t>
      </w:r>
    </w:p>
    <w:p>
      <w:pPr>
        <w:pStyle w:val="Heading4"/>
        <w:numPr>
          <w:ilvl w:val="3"/>
          <w:numId w:val="1"/>
        </w:numPr>
        <w:rPr/>
      </w:pPr>
      <w:bookmarkStart w:id="822" w:name="__RefHeading___Toc2420074_653776707"/>
      <w:bookmarkStart w:id="823" w:name="_Toc317"/>
      <w:bookmarkEnd w:id="822"/>
      <w:r>
        <w:rPr/>
        <w:t>3</w:t>
      </w:r>
      <w:r>
        <w:rPr>
          <w:rtl w:val="true"/>
        </w:rPr>
        <w:t xml:space="preserve">. </w:t>
      </w:r>
      <w:r>
        <w:rPr>
          <w:rtl w:val="true"/>
        </w:rPr>
        <w:t>همانندی امر به معروف و نهی از منکر در ادیان توحیدی</w:t>
      </w:r>
      <w:bookmarkEnd w:id="823"/>
    </w:p>
    <w:p>
      <w:pPr>
        <w:pStyle w:val="Heading5"/>
        <w:numPr>
          <w:ilvl w:val="4"/>
          <w:numId w:val="1"/>
        </w:numPr>
        <w:rPr/>
      </w:pPr>
      <w:bookmarkStart w:id="824" w:name="__RefHeading___Toc2420076_653776707"/>
      <w:bookmarkStart w:id="825" w:name="_Toc318"/>
      <w:bookmarkEnd w:id="824"/>
      <w:r>
        <w:rPr>
          <w:rtl w:val="true"/>
        </w:rPr>
        <w:t>الف</w:t>
      </w:r>
      <w:r>
        <w:rPr>
          <w:rtl w:val="true"/>
        </w:rPr>
        <w:t xml:space="preserve">) </w:t>
      </w:r>
      <w:r>
        <w:rPr>
          <w:rtl w:val="true"/>
        </w:rPr>
        <w:t>گزارش</w:t>
      </w:r>
      <w:bookmarkEnd w:id="825"/>
    </w:p>
    <w:p>
      <w:pPr>
        <w:pStyle w:val="BookText"/>
        <w:rPr/>
      </w:pPr>
      <w:r>
        <w:rPr>
          <w:rFonts w:ascii="IRNazanin" w:hAnsi="IRNazanin" w:eastAsia="IRNazanin"/>
          <w:color w:val="111111"/>
          <w:sz w:val="28"/>
          <w:sz w:val="28"/>
          <w:szCs w:val="28"/>
          <w:rtl w:val="true"/>
          <w:lang w:bidi="fa-IR"/>
        </w:rPr>
        <w:t>گلدتسیهر معتقد است که در خارج از اسلام نیز این وظیفه بوده و دو نمونه از آن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کنفوسیوس در چین سازمانی به نام سازمان ممیزی وجود داشته و می‌توان به نظام آشناتری در دوران جمهوری روم نیز اشاره کرد که هر دو سازمان‌های مورد حمایت دولت وقت بوده است و می‌توان آن را در ردیف سازمان حسبه اسلامی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ربّیانی که فرقه‌ای از یهود است نکاتی را در این رابطه دارند و در کتاب آنها به نام سفر لاویان به شبیه وظیفۀ نهی از منکر اشاره شده است؛ مثلا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خود را تنبیه کن به سبب او متحمل گناه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ناشایست همسایه‌ات را سرزنش کنید و اگر نشد تکرار نمایید؛ اما اینکه این سرزنش تاکجا پیش رود، در حد زدن، دشنام‌دادن، خشمگین‌ساختن،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شخصیت افراد درنظر گرفته شود، حتی شاگرد می‌تواند و موظف است به استاد تذکر دهد؛ زیرا ممکن است مورد ملامت دیگران قرار گیرد و آمده است که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معبد‌های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نبود نهی از منکر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نشان می‌دهد ترک نهی از منکر مورد ملامت بوده است، داستان گاوی منتسب به رِبّی اَلِعاذاربن عَزَریا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با نواری که بین شاخ‌هایش بود روزهای شنبه در کوچه‌ها گردش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طرف عاقلان مورد مذمت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تلمود بابلی این بحث مطرح شده که این گاو در حقیقت از آن خود ربّی او نبوده است بلکه مال زنی در همسایگی ربّی بوده؛ اما از اینکه ربّی می‌توانست، کار زشت او را گوشزد نماید، خودداری ورزیده است وازاین‌رو این گاو به ربّی منسوب شده است و این دلالت دارد که در ادیان توحیدی دیگر نیز چنین وظایفی بوده که در صورت انجام نشدن آن سرزنش مردم را درپی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سرزنش نکردن دیگری توسط کسی که توان آن را دارد، به گردن خود او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یک مسئولیت ناخواسته به دوش او می‌آید که به‌خاطر سکوت در برابر کار دیگران است و خداوند مشایخ قوم را به سبب خودداری از مخالفت با رفتار زشت سروران محاکمه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دیگری نیز ممکن است مطرح شود که یهودیانی که در دوره اسلامی به زبان عربی مطلب می‌نوشتند، ممکن است به‌سادگی این واژگان را از اسلام اقتباس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مسحیان تأثیرپذیری کمتری مطرح است؛ اما روایتی سریانی در باره نهی از منکر از عبری به دست داریم که انتظار می‌رود از سخنان غزالی گرفته شده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احتمال سرآغاز يهودی در شرح و بيان جزمی پيرامون اين وظيفه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منتفی دانست، درعین‌حال ديدگاهی تطبيقی وجود دارد كه اين وظيفه را به‌شدت تضعيف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يهوديت و اسلام تنها دين‌هايی نيستند كه در آنها چنين وظيفه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شكل رسمی آموزشی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 غربی لاتين نيز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برادرانه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ديگران به سبب ارتكاب گناه، عادتی بسيار قدیمی در مسیحیت شالوده‌ای دینی بر اساس کتاب مقدس 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ادامه نویسنده بین نکوهش برادرانه که در مسحیت وجود داشته با نهی از منکر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برادرانه يک وظيفه است؛ اما نه وظيفه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بدون توجه به مكان و زمان انجام داد و نبايد ما خود را مأمور بازرسی زندگی ديگران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يک گناهكار، به‌خاطر خود آن شخص، با هشدارهای ملايم، وظيفۀ هر شخص نيكوكاری است، خواه فرومايه باشد خواه بلندپايه، هرچند اين وظيفه بيشتر بر دوش بلند پايگان است؛ ازاين‌رو فرومايه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می‌تواند بلندپايه‌ای را نكوهش كند به شرط آنكه اين كار در خلوت، به‌نرمی و به شكلی مؤدبانه باشد و بدون گستاخی و خشونت؛ امّا ا گر دين در خطر است بايد آشكار بيانشود ولی ظاهراً بدون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گناهكار می‌تواند گناهكاری را نكوهش كند؟ اگر او را به‌نرمی نكوهش كند، دست‌كم مرتكب خطايی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بترسيم وضع گناهكار بدتر خواهد شد، آيا موظفيم از نکوهش خودداری کنیم؟ آیا این وظیفه ایجاب می‌کند که پیش از محکوم کردن علنی، در خلوت اورا ملامت کنیم؟ پاسخ به‌طور کلی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اخیر کاتولیک شباهت بیشتری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 این است که عقل و وحی هر دو این وظیفه را استحکام می‌بخشند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آکویناس به آن توجه نداشته، مسئله نکوهش برادرانه در مورد گناه صغیره نیز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آکویناس در مورد مطالبی که درباره شرایط وجوب ذکر می‌کند، طبق معیارهای اسلامی خیلی روشمند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دیگری را که مایکل کوک مطرح می‌کند، آن است که نهی از منکر چه تفاوت بانکوهش برادرانه دارد؟ مطلب اول بیان تفصیلی از دو سؤال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نهی از منکر عملی از روی عطوفت است یا عدالت؟ آکویناس اولی را تأیید می‌کند و عطوفت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آیا در نکوهش برادرانه شاهد هم لازم است که حضور پیدا کند پیش از محکوم کردن علنی؟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باید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تفاوت در موضوع یکسان و جواب‌های متفاوت در اسلام و مسحیت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عذر محسوب می‌شود یا نه؟ در اسلام گفته شد که عذر و ترس وظیفه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مذهب کاتولیک ترس و عذر وظیفه را برنمی‌دارد و باید شخص با قدرت و توان تمام این کار را انجام دهد، البته در کاتولیک بعدی آن را تعدیل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حاکم را می‌شود نکوهش کرد؟ در اسلام و قصه زرگر مرو گذشت که می‌شود؛ اما در مسیحیت آمده است که در خفاء و مؤدبانه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ساختاری نهی از منکر با نکوهش برادرانه این است که یک مرحله، نکوهش به‌خاطر گنهکار و از روی خیرخواهی با ملامت و بدون خشونت است و دومین مرتبه نکوهش برای مصلحت عمومی و در نتیجۀ عدالت است و آن مخصوص نیروی قهری و کار دولت است که آکویناس از آن به نکوهش قضایی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نکوهش مسلحانه به دستمردم عادی نیز نام‌برده شده است، درحالی‌که در دیدگاه کاتولیک که آکویناس مطرح می‌کند سعی بر این است که دامنۀ تکلیف افراد عادی برای انجام نکوهش برادرانه به کمترین مقدار برسد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سخن در اين باب كه آموزۀ علمی مسيحيت به نوبه خود از انديشه اسلام الهام گرفته، ممكن است بيانی قانع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لاتين و اسلام در مجاورت هم قرار داشتند و آكويناس در دورانی زندگی می‌كرد كه مطالب زيادی از عربی به لاتين ترجمه شده بود و با شور و هيجان از آن استقبال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موقعيت تاريخی تأثير اسلام بر گسترش آموزه مسيحی نكوهش برادرانه كاملاً پذيرفتنی است؛ امّا اثبات اين بحث موضوع ديگری </w:t>
      </w:r>
      <w:bookmarkStart w:id="826" w:name="pg8666_123098"/>
    </w:p>
    <w:p>
      <w:pPr>
        <w:pStyle w:val="BookText"/>
        <w:rPr/>
      </w:pPr>
      <w:bookmarkEnd w:id="8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روند ترجمه از عربی به لاتين به‌خوبی آگاهيم و كتاب‌های ترجمه‌شده عمدتاً آثار علمی و فلسفی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محدودی از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دينی كه با حمایت پطر معزز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 شامل کتاب‌های تعلیماتی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نویسندۀ دیگری را به نام ویلیا دوز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اندکی پیش از پطر معزّز می‌زیسته است که از نصیحت برادرانه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مایکل کوک خلاصۀ کلام اینکه نظریه وحدت اصل و ریشۀ دامنه آموزه‌های علمی‌ای را که بررسی کردیم نمی‌توان رد کرد، حقیقت این است که احتمال کمتری برای اثبات چنین فرضیه‌ای وجود دارد</w:t>
      </w:r>
      <w:r>
        <w:rPr>
          <w:rFonts w:eastAsia="IRNazanin" w:cs="IRNazanin"/>
          <w:color w:val="111111"/>
          <w:sz w:val="28"/>
          <w:szCs w:val="28"/>
          <w:rtl w:val="true"/>
          <w:lang w:bidi="fa-IR"/>
        </w:rPr>
        <w:t>.</w:t>
      </w:r>
    </w:p>
    <w:p>
      <w:pPr>
        <w:pStyle w:val="Heading5"/>
        <w:numPr>
          <w:ilvl w:val="4"/>
          <w:numId w:val="1"/>
        </w:numPr>
        <w:rPr/>
      </w:pPr>
      <w:bookmarkStart w:id="827" w:name="__RefHeading___Toc2420078_653776707"/>
      <w:bookmarkStart w:id="828" w:name="_Toc319"/>
      <w:bookmarkEnd w:id="827"/>
      <w:r>
        <w:rPr>
          <w:rtl w:val="true"/>
        </w:rPr>
        <w:t>ب</w:t>
      </w:r>
      <w:r>
        <w:rPr>
          <w:rtl w:val="true"/>
        </w:rPr>
        <w:t xml:space="preserve">) </w:t>
      </w:r>
      <w:r>
        <w:rPr>
          <w:rtl w:val="true"/>
        </w:rPr>
        <w:t>ارزیابی</w:t>
      </w:r>
      <w:bookmarkEnd w:id="828"/>
    </w:p>
    <w:p>
      <w:pPr>
        <w:pStyle w:val="BookText"/>
        <w:rPr/>
      </w:pPr>
      <w:r>
        <w:rPr>
          <w:rFonts w:ascii="IRNazanin" w:hAnsi="IRNazanin" w:eastAsia="IRNazanin"/>
          <w:color w:val="111111"/>
          <w:sz w:val="28"/>
          <w:sz w:val="28"/>
          <w:szCs w:val="28"/>
          <w:rtl w:val="true"/>
          <w:lang w:bidi="fa-IR"/>
        </w:rPr>
        <w:t>همان‌گونه که در نکتۀ نخست ارزیابی این فصل گذشت، چنانچه ریشه‌های نهی از منکر را عقلی و فطری و مبتنی بر وجدان اخلاقی بشر بدانیم نظریۀ وحدت اصل و ریشه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باتوجه‌به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قطع نظر از یهودیت و مسیحیت تحریف شده، نزد خداوند یک دین بیشتر وجود ندارد که اسلام است و در نتیجه، اساس آموزه‌های دینی مذاهب توحیدی و آسمانی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مسیحیت دارای شریعت نبوده است و شریعت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شریعت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29" w:name="__RefHeading___Toc2420080_653776707"/>
      <w:bookmarkStart w:id="830" w:name="_Toc320"/>
      <w:bookmarkEnd w:id="829"/>
      <w:r>
        <w:rPr/>
        <w:t>4</w:t>
      </w:r>
      <w:r>
        <w:rPr>
          <w:rtl w:val="true"/>
        </w:rPr>
        <w:t xml:space="preserve">. </w:t>
      </w:r>
      <w:r>
        <w:rPr>
          <w:rtl w:val="true"/>
        </w:rPr>
        <w:t>همانندی نهی از منکر در ادیان غیر توحیدی</w:t>
      </w:r>
      <w:bookmarkEnd w:id="830"/>
    </w:p>
    <w:p>
      <w:pPr>
        <w:pStyle w:val="Heading5"/>
        <w:numPr>
          <w:ilvl w:val="4"/>
          <w:numId w:val="1"/>
        </w:numPr>
        <w:rPr/>
      </w:pPr>
      <w:bookmarkStart w:id="831" w:name="__RefHeading___Toc2420082_653776707"/>
      <w:bookmarkStart w:id="832" w:name="_Toc321"/>
      <w:bookmarkEnd w:id="831"/>
      <w:r>
        <w:rPr>
          <w:rtl w:val="true"/>
        </w:rPr>
        <w:t>الف</w:t>
      </w:r>
      <w:r>
        <w:rPr>
          <w:rtl w:val="true"/>
        </w:rPr>
        <w:t xml:space="preserve">) </w:t>
      </w:r>
      <w:r>
        <w:rPr>
          <w:rtl w:val="true"/>
        </w:rPr>
        <w:t>گزارش</w:t>
      </w:r>
      <w:bookmarkEnd w:id="83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در این مبحث وظیفه نهی از منکر را در ادیان غیرتوحیدی مانند چین، هند و زردشت بررسی می‌کند؛</w:t>
      </w:r>
      <w:r>
        <w:rPr>
          <w:rStyle w:val="FootnoteAnchor"/>
          <w:rtl w:val="true"/>
        </w:rPr>
        <w:footnoteReference w:id="221"/>
      </w:r>
      <w:r>
        <w:rPr>
          <w:rFonts w:ascii="IRNazanin" w:hAnsi="IRNazanin" w:eastAsia="IRNazanin"/>
          <w:color w:val="111111"/>
          <w:sz w:val="28"/>
          <w:sz w:val="28"/>
          <w:szCs w:val="28"/>
          <w:rtl w:val="true"/>
          <w:lang w:bidi="fa-IR"/>
        </w:rPr>
        <w:t>هرچند به‌روشنی و به‌طور قطع نمی‌توان گفت در رابطه با این وظیفه شرح تفصیلی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هندیان با مطالعه مختصر در سنت کلی برگرفته از وداها مطلب قابل‌توجهی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بودائی‌ها بیشتر نوشته‌هایشان مربوط به راهبان است؛ اما استثناهایی وجود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سِگالوا دَسوتّا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قانون تراوده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حدود سدۀ پنجم قبل از میلاد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فضیلت‌های دوست خوب این است که آدمی را از کارهای زشت بازمی‌دارد و به کارهای خوب وامی‌دارد و بهترین دوست والدین است که نسبت به فرزندانش چنین رفتاری دارد؛ البته این مطلب در قوانین دینی‌شان رایج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دیگر به نام قوانین پالی در باره نهی از منکر در آنها چیزی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آیین جَین مطلب مهم ندارم که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پیشینه جَینی تا آنجا که من می‌دانم چیزی فراتر از این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کنفوسیوس مطلبی دارد که آدم باید به دوستانش پند و اندرز دهد و اگر قبول نکردند از آنها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سدۀ چهارم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حاکم توسط وزیرانش را به همین روش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اعتراض مکرر به گوش‌های ناشنوا درآید او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تاینگ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تشویق به کار خوب و جلوگیری از کار بد وظیفه مورخان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چیزی که ارزش بنیادی داشته باشد پیدا نمی‌شود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مربوط به مطالب هندی و چينی ممكن است گفته شود، اين است كه در شكوفايی اين وظيفه در يهوديت، مسيحيت و اسلام چيزی ديده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كه با خصوصيات سنت يكتاپرستی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ويژگی‌های مربوط به اين سنت شامل عناوين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استنباطاخلاقی متعالی، امّا شخصی از خداوند، پرداختن خدا و انسان به اداره امور اين جهان و احساسی جدّی نسبت به جامعه دينی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نگهبانان برادران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اين مجموعه نسبت به پيام اصلی، بودائی، جينی و جريان كلی ودايی و كنفوسيوسی بيگانه يا حاشيه‌ای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نگرش اگرچه تا حدی منطقی است، به‌دقت به نتيجه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ادامه مایکل به بحث در باره زردشتیان پرداخته،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دينی سروكار داريم كه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بنيادين آن دارای ویژگی‌های مطرح در سنت يكتاپرستی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حقيقت اين است كه اهورا مزدا خدای اختصاصی سلطه‌جويی به شيوه يكتاپرستی اسراييلی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اكنون برای عمل‌گرايی اخلاقی چه تضمينی بهتر از مفهوم زندگانی اخلاقی فرد به‌عنوان جزء جدايی‌ناپذيری از مبارزه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پايان بين خير و شر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هركسی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كجا آمده‌ام؟ برای چه منظوری اينجا هستم؟ به كجا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سهم خود می‌دانم كه از نزد اورمزد پروردگار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می‌دانم كه در اينجا هستم تا ديوان را ناتوان سازم و در آخر به نزد اورمزد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زردشتی که شامل چند صد گفتار اخلاقی است، جملۀ مشخصی که در رابطه با ارزش بازداشتن دیگران از کار ناشایست را بیان کند،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به‌صورت پراکنده دیده می‌شود که موظفیم از افرادی که از شرورها به حساب می‌آیند، برحذر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آدمی دوست خوب انتخاب کند که عیب اورا بگوید و او بتواند آن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سرزنش گنهکاران در کل رذیلت است نه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گفتاری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خیر و ریشه کندن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کار قدرتمندان و حاکمان است نه وظیفه فرد عادی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كلی همانندی‌های ادیان غيرتوحيدی، تأييد اين مطلب است كه بين آموزه‌ها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نهی از منكر با تعميم دادن اصطلاح اسلامی آن پيوندی برقرار است؛ امّا اين همانندی‌ها ما را راهنمايی نمی‌کند كه چگونه اين پيوند را بررسی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هندی و چينی با اين نظريه سازگار است كه شباهت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انتخابی بين نهی از منكر و يكتاپرستی وجود دارد، درحالی‌كه همانندی زردشتی اين گمان را تقويت می‌كند كه ممكن است ريشۀ واحد درباره ارزش‌های توحيدی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از مسئله سرچشمه بدون نتيجه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گيری بگذريم</w:t>
      </w:r>
      <w:r>
        <w:rPr>
          <w:rFonts w:eastAsia="IRNazanin" w:cs="IRNazanin"/>
          <w:color w:val="111111"/>
          <w:sz w:val="28"/>
          <w:szCs w:val="28"/>
          <w:rtl w:val="true"/>
          <w:lang w:bidi="fa-IR"/>
        </w:rPr>
        <w:t xml:space="preserve">. </w:t>
      </w:r>
      <w:bookmarkStart w:id="833" w:name="pg8666_123106"/>
    </w:p>
    <w:p>
      <w:pPr>
        <w:pStyle w:val="Heading4"/>
        <w:numPr>
          <w:ilvl w:val="3"/>
          <w:numId w:val="1"/>
        </w:numPr>
        <w:rPr/>
      </w:pPr>
      <w:bookmarkStart w:id="834" w:name="__RefHeading___Toc2420084_653776707"/>
      <w:bookmarkStart w:id="835" w:name="_Toc322"/>
      <w:bookmarkEnd w:id="833"/>
      <w:bookmarkEnd w:id="834"/>
      <w:r>
        <w:rPr/>
        <w:t>5</w:t>
      </w:r>
      <w:r>
        <w:rPr>
          <w:rtl w:val="true"/>
        </w:rPr>
        <w:t xml:space="preserve">. </w:t>
      </w:r>
      <w:r>
        <w:rPr>
          <w:rtl w:val="true"/>
        </w:rPr>
        <w:t>امتیاز اسلام</w:t>
      </w:r>
      <w:bookmarkEnd w:id="835"/>
    </w:p>
    <w:p>
      <w:pPr>
        <w:pStyle w:val="Heading5"/>
        <w:numPr>
          <w:ilvl w:val="4"/>
          <w:numId w:val="1"/>
        </w:numPr>
        <w:rPr/>
      </w:pPr>
      <w:bookmarkStart w:id="836" w:name="__RefHeading___Toc2420086_653776707"/>
      <w:bookmarkStart w:id="837" w:name="_Toc323"/>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مایکل تحت عنوان امتیاز اسلام نتیجه کلی مقایسه بین اسلام و ادیان توحیدی و غیرتوحیدی را بیان داشته و با استفاده از سخن غزالی و قفال،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اسلام در این است که با وجود اینکه نهی از منکر در ادیان دیگر نیز وجود داشته، اما امت اسلامی بهترین امت شمرده شده است؛ به دلیل اینکه مسلمانان به شدیدترین صورت و با قتال این وظیفه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برخی مانند رشیدرضا آن را نمی‌پسندد، اما این نحو رفتاری که افراد عادی مسلمان نسبت به نهی از منکر دارند، در مسیحیت خصوصاً کاتولیک مشابهت وجود ندارد؛ به‌ویژه آنجایی که این وظیفه با جهاد گره می‌خورد، همانند آن در یهودیت نیز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وظیفه با مفهوم طبقاتی جامعه در تضاد است و مبنای کار مسلمانان بر این استوار است که هر فرد مسلمان و مکلف از توان اجرای شریعت الهی برخوردار است و این وظیفه موقعیت اجتماعی را درنظر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حدیث سه مرحله‌ای را خواندیم و افراد را طبقه‌بندی نمودیم که عالمان با زبان و مردم با دل و حاکمان باید این کار را عملاً انجام دهند، اما کمتر عالمی پیدا می‌شود که به آن، در مرحله عمل پایبند باشد، ولی این وظیفه موقعیت اجتماعی را درنظر نمی‌گیرد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به‌هرحال، در جامعه‌ای که از جهت‌های بسیاری طبقاتی بود، گرایش برابری‌طلبی این وظیفه تأثیر خود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خصوصیتی استثنایی دارد و از قدرتی بالقوه برای خشونت، براندازی و مساوات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ممتاز مفهوم اسلامی این وظیفه در این مجموعه قرار گرفته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به‌طور کلی مسئله خاستگاه‌ها روشن‌تر است و آن خصلت مردم‌سالاری این وظیفه است و ریشۀ آن در ترکیبی از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گرایش‌های فرهنگ مردم‌سالاری عربی نسبت به قانون جنگل و دیگری نظریه جامعۀ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دربارۀ اهمیت جامعۀ دینی گفتیم و اکنون در مورد فرهنگ جامعه جاهلی باید بگوییم</w:t>
      </w:r>
      <w:r>
        <w:rPr>
          <w:rFonts w:eastAsia="IRNazanin" w:cs="IRNazanin"/>
          <w:color w:val="111111"/>
          <w:sz w:val="28"/>
          <w:szCs w:val="28"/>
          <w:rtl w:val="true"/>
          <w:lang w:bidi="fa-IR"/>
        </w:rPr>
        <w:t xml:space="preserve">. </w:t>
      </w:r>
      <w:bookmarkStart w:id="838" w:name="pg8666_123109"/>
    </w:p>
    <w:p>
      <w:pPr>
        <w:pStyle w:val="BookText"/>
        <w:rPr/>
      </w:pPr>
      <w:bookmarkEnd w:id="838"/>
      <w:r>
        <w:rPr>
          <w:rFonts w:ascii="IRNazanin" w:hAnsi="IRNazanin" w:eastAsia="IRNazanin"/>
          <w:color w:val="111111"/>
          <w:sz w:val="28"/>
          <w:sz w:val="28"/>
          <w:szCs w:val="28"/>
          <w:rtl w:val="true"/>
          <w:lang w:bidi="fa-IR"/>
        </w:rPr>
        <w:t>جامعۀ جاهلی عربی، قبيله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تا حد زيادی باديه‌نشينی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سرزمينی سكونت داشتند كه منابع ناچيز آن نه برای ايجاد دولتی نيرومند مناسب بود و نه برای طبقه اجتماعی پيشرفته؛ ازاين‌رو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كه در آن هر فردی سلطانی بی‌سرير بود يا به عبارتی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مشاركت سياسی و نظامی در جريان كلی جوامع انسانی شبيه به آن مانند باديه‌نشينان استپها و جهان اسلام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يا غرب امروز بسيار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آميختگی اين برابری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فرهنگ ستيزه‌جويی قبيله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سنت يكتاپرستی بود كه قدرت سياسی خاصی به اسلام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برای آسودگی وجدان در هيچ تمدن ديگری مانند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آغازين تاريخ اسلام گسترش نيافت</w:t>
      </w:r>
      <w:r>
        <w:rPr>
          <w:rStyle w:val="FootnoteAnchor"/>
          <w:rtl w:val="true"/>
        </w:rPr>
        <w:footnoteReference w:id="225"/>
      </w:r>
      <w:r>
        <w:rPr>
          <w:rFonts w:ascii="IRNazanin" w:hAnsi="IRNazanin" w:eastAsia="IRNazanin"/>
          <w:color w:val="111111"/>
          <w:sz w:val="28"/>
          <w:sz w:val="28"/>
          <w:szCs w:val="28"/>
          <w:rtl w:val="true"/>
          <w:lang w:bidi="fa-IR"/>
        </w:rPr>
        <w:t>و هيچ سنت مذهبی عمده ديگری مناسب تجديد حيات به‌عنوان انديشه‌ا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سياسی و نه‌تنها هويتی سياسی در جهان امروز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بي‌نظير بودن آموزه نهی از منكر در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كنار اين پيشينه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اسلام حكومت الهی به معنای آن است كه سلطنت برای هيچ انسان ديگری روا نيست؛ امّا ابن‌عربی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اين‌گونه بيان می‌كند كه در نهی از منكر هر فردی به نيابت از خدا عمل می‌کند</w:t>
      </w:r>
      <w:r>
        <w:rPr>
          <w:rFonts w:eastAsia="IRNazanin" w:cs="IRNazanin"/>
          <w:color w:val="111111"/>
          <w:sz w:val="28"/>
          <w:szCs w:val="28"/>
          <w:rtl w:val="true"/>
          <w:lang w:bidi="fa-IR"/>
        </w:rPr>
        <w:t>.</w:t>
      </w:r>
    </w:p>
    <w:p>
      <w:pPr>
        <w:pStyle w:val="Heading5"/>
        <w:numPr>
          <w:ilvl w:val="4"/>
          <w:numId w:val="1"/>
        </w:numPr>
        <w:rPr/>
      </w:pPr>
      <w:bookmarkStart w:id="839" w:name="__RefHeading___Toc2420088_653776707"/>
      <w:bookmarkStart w:id="840" w:name="_Toc324"/>
      <w:bookmarkEnd w:id="839"/>
      <w:r>
        <w:rPr>
          <w:rtl w:val="true"/>
        </w:rPr>
        <w:t>ب</w:t>
      </w:r>
      <w:r>
        <w:rPr>
          <w:rtl w:val="true"/>
        </w:rPr>
        <w:t xml:space="preserve">) </w:t>
      </w:r>
      <w:r>
        <w:rPr>
          <w:rtl w:val="true"/>
        </w:rPr>
        <w:t>ارزیابی</w:t>
      </w:r>
      <w:bookmarkEnd w:id="84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تصریح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امّت اسلامی در طول تاریخ حیات بشر بهترین امتی است که خداوند آن را در برابر دیدگان تمامی انسان‌ها، اظهار کرده و آشکار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آن است که رمز بهترین امت بودن و امتیاز اساسی آن که برای تمامی آدمیان، شاخص است و می‌توانند این امتیاز بزرگ را به‌خوبی مشاهده کنند، در چیست؟ </w:t>
      </w:r>
    </w:p>
    <w:p>
      <w:pPr>
        <w:pStyle w:val="BookText"/>
        <w:rPr/>
      </w:pPr>
      <w:r>
        <w:rPr>
          <w:rFonts w:ascii="IRNazanin" w:hAnsi="IRNazanin" w:eastAsia="IRNazanin"/>
          <w:color w:val="111111"/>
          <w:sz w:val="28"/>
          <w:sz w:val="28"/>
          <w:szCs w:val="28"/>
          <w:rtl w:val="true"/>
          <w:lang w:bidi="fa-IR"/>
        </w:rPr>
        <w:t>مایکل پس از توضیحاتی، این ویژگی را در قدرت بالقوه نهی از منکر در خشونت، براندازی و مساوات می‌پندارد و به نقل از اشتردتمان، خصلت مردم‌سالاری این وظیفه را در دو عنصر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گرایش‌های فرهنگ مردم‌سالاری عربی نسبت به قانون جنگل و دیگری، نظریۀ جامعۀ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فرهنگ جامعه جاهلی معتقد است که این جامعه قبیله‌ای و بادیه‌نشین بود و آمیختگی برابرطلبی و فرهنگ ستیزه‌جویی قبیله‌ای و سنت یکتاپرستی بود که قدرت سیاسی خاص به اسلام بخشید و قیام برای آسودگی وجدان در هیچ تمدن دیگری در گذشتۀ اوایل تاریخ اسلام نبوده و هیچ سنت مذهبی دیگری هم مناسب تجدید حیات به‌عنوان اندیشه سیاسی در جهان امروز نمی‌باشد و معتقد است بی‌نظیر بودن آموزۀ نهی از منکر در اسلام می‌تواند در کنار این پیشینه شناخته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مورد این تحلیل از امتیاز اسلام که در مرحلۀ اول نهی از منکر را به خشونت و براندازی و مساوات برمی‌گرداند و در مرحلۀ دوم آن را به گرایش مردم‌سالاری عربی نسبت به قانون جنگل تفسیر می‌کند و در مرحلۀ سوم منشأ قدرت سیاسی اسلام را در آمیخته‌بودن از برابری‌طلبی و فرهنگ ستیزه‌جویی قبیله‌ای با توحید و یکتاپرستی می‌داند و در نتیجه، بی‌نظیر بودن نهی از منکر را با این پیشینه می‌شناسد، به نظر می‌رسد چنین تحلیلی از اسلام و خیر امّت بودن امت اسلامی و نهی از منکر، تحریفی آشکار است هم در فریضۀ نهی از منکر و هم در پیشینۀ امت اسلامی؛ زیرا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قرآن امتیاز امت اسلامی را در خود ویژگی امر به معروف و نهی از منکر می‌داند؛ یعنی جامعه‌ای که از این ویژگی و امتیاز برخوردار باشد که تمامی مردم در هر طبقه و موقعیتی که باشند، فقیر یا غنی، صاحب قدرت یا ضعیف، زن یا مرد، جوان یا پیر، این جامعه که به معروف و نیکی و خوبی امر می‌کند و دیگران را از منکر و شرّ و بدی بازمی‌دارد، چنین امتی، بهترین امت‌ها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بیان حقیقت ارزشمند امر به معروف و نهی از منکر را در آینه‌ای به تصویر کشانیده تا دیگران آن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برتری و امتیاز اسلام در خود این حس مسئولیت و وجدان اخلاقی نهفته است که مردم همچون مردگان نسبت به یکدیگر نیستند، بلکه در حیات و نشاط نسبت به یکدیگر احساس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ویژگی و امتیاز، در هیچ امتی دیگر وجود ندارد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خود نویسندۀ کتاب هم در جریان حادثۀ قطار شهری شیکاگو به آن اعتراف کرد که در تمدّن غربی انسان‌ها تجاوز را مشاهده کردند و اقدام نکردند؛ درحالی‌که وظیفۀ آنها اقدام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که باید دست به اقدام زد و کاری کرد، در فرهنگ خفتۀ غرب وجود ندارد و در اندیشۀ اسلامی با نام امر به معروف و نهی از منکر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امتیاز اسلام را در خود این آموزه باید جست و این چه ربطی به پیشینۀ جاهلیت عرب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به‌نظر می‌رسد یک توهین بزرگ در اینجا نسبت به جامعۀ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چند میلیارد نفری اسلامی انجام شده است که در حقیقت جفایی بزرگ در حق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تمامی این دوران طولانی را که اسلام در میان اقوام و ملل گوناگون از شرق و غرب عالم رسوخ کرده و در مدتی محدود مرزهای امپراطوری‌های ایران و روم آن زمان را درنوردیده است، به گرایش‌های عربی نسبت به قانون جنگل نسبت دادن و جامعۀ قبیله‌ای و جاهل عربی با ویژگی ستیزه‌جویی در کنار برابری‌طلبی و یکتاپرستی معرفی کردن، ظلمی مضاعف است؛ چراکه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زندگی قبیله‌ای، اصالت فرد مطرح نیست، زندگی قبیله‌ای زندگی اجتماعی و بر اساس اصالت جامعه شکل می‌گیرد که تمامی آحاد و افراد قبیله پیرو قوانین و آداب و عرفیات آن قبیله بوده و در یک سیستم هرمی، از رئیس خانواده تا رئیس عشیره و طائفه و تارئیس قبیله اطاعت می‌کنند و از او پیروی می‌نمایند و ملاک در آن شیخوخیت و نظام ریش‌سفیدی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اینکه نظام قبیله‌های جاهلی را قانون جنگل دانستن که</w:t>
      </w:r>
    </w:p>
    <w:p>
      <w:pPr>
        <w:pStyle w:val="BookText"/>
        <w:rPr/>
      </w:pPr>
      <w:r>
        <w:rPr>
          <w:rFonts w:ascii="IRNazanin" w:hAnsi="IRNazanin" w:eastAsia="IRNazanin"/>
          <w:color w:val="111111"/>
          <w:sz w:val="28"/>
          <w:sz w:val="28"/>
          <w:szCs w:val="28"/>
          <w:rtl w:val="true"/>
          <w:lang w:bidi="fa-IR"/>
        </w:rPr>
        <w:t>در آن هر درنده‌ای بر اساس قدرت خود اقدام می‌کند و ستیزه‌جویی در ذات حیوانات جنگل نهفته است، قیاس مع‌الفارق است؛ به‌علاوه هر فردی را ستیزه‌جو و به‌عنوان سلطان بی‌سریر شمردن خطایی فاحش است، بلکه همه افراد قبیله در پوشش نظام قبیله اقدام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اگرچه در سال‌های نخستین از جزیرة‌العرب شروع شد، ولی منحصر به جامعۀ جاهلی عربی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متمدن آن روزگار نه از روی ستیزه و خشونت، بلکه با منطق و عقل آن 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جامعۀ جاهلی جزیرة‌العرب چیزی از مظاهر تمدن وجود نداشت که بخواهد سنگ تمدن اسلامی را بنا نهد و تمدن‌های آن زمان را تحت سیطرۀ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اسلام دوام یافت و تمدن‌های مشهور آن زمان را به تعظیم واداشت، نه از روی ترس از خصلت جامعۀ جاهلی عربی و ستیزه‌جویی آنها بود و نه از جهت گرایش عرب‌ها به قانون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حقیقت وحیانی قرآن و اسلام و آموزه‌های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درک می‌کردند و می‌یافتند که برای آنها بی‌نظیر و شگت‌آور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آمیخته‌ای از شرافت و کرامت انسانی و عقل و منطق و برهان می‌دیدند که با وجدان اخلاقی و فطرت توحیدی آنها هماهنگ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آیا تمدن بزرگ اسلامی را که منشأ گسترش علم و دانش و فرهنگ بود در عصری که اروپا و غرب در توحش قرون وسطی به سر می‌برد، انصاف است که منشأ تمامی این ره‌آورد و فراوردۀ بزرگ بشری را که ریشه در وحی و آموزه‌های اسلامی داشت، به جامعه جاهلی عربی و قانون جنگل و روحیه ستیزه‌جویی آنان نسبت داده شود و سرّ بی‌نظیر بودن نهی از منکر را در این پیشینه جست‌وجو گردد؟ چرا بی‌نظیر بودن آموزۀ نهی از منکر را در خود آن و تصویری از حقیقت انسانی آن که جامعه را به راستی سوق می‌دهد و هدایت می‌کند، نجوییم و به سراغ پیشینۀ قبیله و جاهلیت عربی برویم؟ چرا ریشۀ آن را در تعلیم </w:t>
      </w:r>
    </w:p>
    <w:p>
      <w:pPr>
        <w:pStyle w:val="BookText"/>
        <w:rPr/>
      </w:pPr>
      <w:r>
        <w:rPr>
          <w:rFonts w:ascii="IRNazanin" w:hAnsi="IRNazanin" w:eastAsia="IRNazanin"/>
          <w:color w:val="111111"/>
          <w:sz w:val="28"/>
          <w:sz w:val="28"/>
          <w:szCs w:val="28"/>
          <w:rtl w:val="true"/>
          <w:lang w:bidi="fa-IR"/>
        </w:rPr>
        <w:t xml:space="preserve">کتاب و حکمت ندانیم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الَّذِی بَعَثَ فِی الْأُمِّيِّينَ رَسُولاً مِنْهُمْ يَتْلُو عَلَيْهِمْ آيَاتِهِ وَيُزَكِّيهِمْوَيُعَلِّمُهُمْ الْكِتَابَ وَالْحِكْمَةَ وَإِنْ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خداوند متعال در میان مردمانی درس نخوانده و جاهلیت عرب، رسولی از خود ایشان برانگیخت که آیاتش را بر آنها می‌خواند و آنها را تزکیه می‌کند و به آنان کتاب و حکمت می‌آموزد، هرچند پیش از این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امتیاز اسلام را در این حقایق قرآنی نجوییم و به سراغ جامعه جاهلی عرب برویم؟ چرا در گذشتۀ اسلام، جامعۀ جزیرةالعرب را دارای گرایش قانون جنگل معرفی کنیم و آنها را حیوان‌خصلت و درنده‌خو و خشونت‌طلب و ستیزه‌جو معرفی کنیم و بدین‌سان توهین بزرگ در حق مسلمانان روا داریم؟ درحالی‌که آن حالت ستیزه‌جویی آنها با آمدن اسلام تبدیل شد به آدم‌هایی متمدن و تاریخ‌ساز که توانستند دنیای آن زمان را در سرپنجه فکر و اندیشه و منطق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همه گذشته، ستیزه‌جویی عدّۀ معدودی از جامعۀ قبل از اسلام را به تمامی مسلمانان بعد از بعثت در طول قرون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در گسترۀ شرق و غرب، سرایت دادند این چقدر با منطق علمی و پژوهش سازگار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در کتاب مایکل به جای تحلیل امتیاز اسلام در نهی از منکر، گویا آنچه رقم خورده است، تحریف تاریخ، توهین به امت اسلامی و بی‌انصافی در حق میلیاردها مسلمان در طول تاریخ بوده است و این از کسانی که ادعای پژوهش عالمانه و بی‌حب و بغض دارند و خود را سردمدار آزادی‌خواهی و آزادی‌طلبی اندیشه و فکر می‌شمرند، بسیار شگفت‌آور است؛ اگرچه چندان هم جای شگفتی نیست</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1" w:name="pg8666_123128"/>
      <w:bookmarkStart w:id="842" w:name="pg8666_123128"/>
      <w:bookmarkEnd w:id="842"/>
    </w:p>
    <w:p>
      <w:pPr>
        <w:pStyle w:val="Heading3"/>
        <w:numPr>
          <w:ilvl w:val="2"/>
          <w:numId w:val="1"/>
        </w:numPr>
        <w:rPr/>
      </w:pPr>
      <w:bookmarkStart w:id="843" w:name="pg8666_123128"/>
      <w:bookmarkStart w:id="844" w:name="__RefHeading___Toc2420090_653776707"/>
      <w:bookmarkStart w:id="845" w:name="_Toc325"/>
      <w:bookmarkEnd w:id="843"/>
      <w:bookmarkEnd w:id="844"/>
      <w:r>
        <w:rPr>
          <w:rtl w:val="true"/>
        </w:rPr>
        <w:t>گزارش و ارزیابی فصل بیستم</w:t>
      </w:r>
      <w:r>
        <w:rPr>
          <w:rtl w:val="true"/>
        </w:rPr>
        <w:t xml:space="preserve">: </w:t>
      </w:r>
      <w:r>
        <w:rPr>
          <w:rtl w:val="true"/>
        </w:rPr>
        <w:t>خاتمه</w:t>
      </w:r>
      <w:bookmarkEnd w:id="845"/>
    </w:p>
    <w:p>
      <w:pPr>
        <w:pStyle w:val="Heading4"/>
        <w:numPr>
          <w:ilvl w:val="3"/>
          <w:numId w:val="1"/>
        </w:numPr>
        <w:rPr/>
      </w:pPr>
      <w:bookmarkStart w:id="846" w:name="__RefHeading___Toc2420092_653776707"/>
      <w:bookmarkStart w:id="847" w:name="_Toc326"/>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گزارش و ارزیابی 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Style w:val="FootnoteAnchor"/>
          <w:rtl w:val="true"/>
        </w:rPr>
        <w:footnoteReference w:id="229"/>
      </w:r>
    </w:p>
    <w:p>
      <w:pPr>
        <w:pStyle w:val="Heading4"/>
        <w:numPr>
          <w:ilvl w:val="3"/>
          <w:numId w:val="1"/>
        </w:numPr>
        <w:rPr/>
      </w:pPr>
      <w:bookmarkStart w:id="848" w:name="__RefHeading___Toc2420094_653776707"/>
      <w:bookmarkStart w:id="849" w:name="_Toc327"/>
      <w:bookmarkEnd w:id="848"/>
      <w:r>
        <w:rPr/>
        <w:t>1</w:t>
      </w:r>
      <w:r>
        <w:rPr>
          <w:rtl w:val="true"/>
        </w:rPr>
        <w:t xml:space="preserve">. </w:t>
      </w:r>
      <w:r>
        <w:rPr>
          <w:rtl w:val="true"/>
        </w:rPr>
        <w:t>مقدمه</w:t>
      </w:r>
      <w:bookmarkEnd w:id="849"/>
    </w:p>
    <w:p>
      <w:pPr>
        <w:pStyle w:val="Heading5"/>
        <w:numPr>
          <w:ilvl w:val="4"/>
          <w:numId w:val="1"/>
        </w:numPr>
        <w:rPr/>
      </w:pPr>
      <w:bookmarkStart w:id="850" w:name="__RefHeading___Toc2420096_653776707"/>
      <w:bookmarkStart w:id="851" w:name="_Toc328"/>
      <w:bookmarkEnd w:id="850"/>
      <w:r>
        <w:rPr>
          <w:rtl w:val="true"/>
        </w:rPr>
        <w:t>الف</w:t>
      </w:r>
      <w:r>
        <w:rPr>
          <w:rtl w:val="true"/>
        </w:rPr>
        <w:t xml:space="preserve">) </w:t>
      </w:r>
      <w:r>
        <w:rPr>
          <w:rtl w:val="true"/>
        </w:rPr>
        <w:t>گزارش</w:t>
      </w:r>
      <w:bookmarkEnd w:id="851"/>
    </w:p>
    <w:p>
      <w:pPr>
        <w:pStyle w:val="BookText"/>
        <w:rPr/>
      </w:pPr>
      <w:r>
        <w:rPr>
          <w:rFonts w:ascii="IRNazanin" w:hAnsi="IRNazanin" w:eastAsia="IRNazanin"/>
          <w:color w:val="111111"/>
          <w:sz w:val="28"/>
          <w:sz w:val="28"/>
          <w:szCs w:val="28"/>
          <w:rtl w:val="true"/>
          <w:lang w:bidi="fa-IR"/>
        </w:rPr>
        <w:t xml:space="preserve">مایکل در آخرین فصل کتاب خویش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سنجش‌هايی كه در فصل پيش به عمل آمد، آنچه غيبت آشكاری داشت،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فرهنگ غیر دینی و لیبرال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ممكن است در اصل اهميّت زيادی نداشته باشد، امّا به‌خاطر اینکه از خود ما است، توجه ما را می‌طلبد؛ بنابراین من سعی می‌کنم با شناخت بعضی راه‌های اصلی كه نگرش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وابسته به نهی از منكر در آن با جريان كلی فرهنگ امروز غربی وجه اشترا ک يا افتراق دارد، اين كتاب را به پايان ببرم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قابل فهم و در حقيقت قابل قبول بودن نظريۀ اصلی اين ارزش‌ها در فرهنگ غربی مشكلی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نويسندگان مسلمان معاصر داستانی درباره يک سوئدی نقل می‌کند كه جهانگردی آمريكايی ثروتمندی را برای رانندگی با سرعت غيرمجاز در </w:t>
      </w:r>
    </w:p>
    <w:p>
      <w:pPr>
        <w:pStyle w:val="BookText"/>
        <w:rPr/>
      </w:pPr>
      <w:r>
        <w:rPr>
          <w:rFonts w:ascii="IRNazanin" w:hAnsi="IRNazanin" w:eastAsia="IRNazanin"/>
          <w:color w:val="111111"/>
          <w:sz w:val="28"/>
          <w:sz w:val="28"/>
          <w:szCs w:val="28"/>
          <w:rtl w:val="true"/>
          <w:lang w:bidi="fa-IR"/>
        </w:rPr>
        <w:t>جاده‌های روستايی در سوئد،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را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امر به معروف و نهی از منكر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هر مطلبی كه تعاليم سنتی اسلام برای گفتن درباره اين آموزه داشته باشد برای خواننده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غربی كه چيزی از اسلام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مفهوم، و در مواردی كاملاً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اطمينان از اين ادعا كافی است آدمی فقط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به‌عنوان مثال، علمای قديم اماميه را به انگليسی ساده ترجمه كند؛ مثلاً اين‌گونه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ببينيد كسی مرتكب خطايی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بايد بكوشيد تا او را از آن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چيزی بگوييد، و اگر تأثيری نبخشيد بايد كاری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بی‌فايده بود، فقط آرزو كنيد كه از اين كار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 وارد خشونت نشويد، اين بر عهده نيروی انتظامی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زيادی در آنجا هستند و ديگری علناً اعتراض می‌کند، شما نبايد چنين كنيد؛ امّا اگر هيچ كس اعتراض نمی‌کند، بر عهده شما است كه آن را انجام دهيد؛ امّا فكر نكنيد كه شما بايد يک دفعه توی حرف كسی بپريد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دلايل قانع كننده ديگری برای جلوگيری از اين كار وجود داشته باشد، مانند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چه خطايی از او سرزده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آنها به‌هرحال، دست 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مرتبه كسی به آنها گفت دست از اين كار بردارند و آنها خودش را داغون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 كن، امّا تو وضع را بدتر از اين خواهی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فرهنگ غرب و اسلامی در چیست؟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مایکل کوک يک مورد از آموزه نهی از منكر اسلامی كه بی‌درنگ به نظر ما بيگانه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روش بيان سنتی آن است؛ ازاين‌رو سعی می‌كنم كه به جای ترجمه علمی، با ترجمه ساده آن به زبان انگليسی آن را به صورتی آشنا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 حدی، حكايت از موضوع گسترده تفكر اخلاقی مردم غرب در جهان امروز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هر چه می‌خواهند بگويند، ما ارزش‌های اخلاقی خود را داريم، ما می‌انديشيم، و درباره آنها بحث و گفت و گو می‌كنيم امّا با زبانی فنی بر اساس تعاريف و قواعدی صوری عمل نمی‌کنيم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پرداختن ما به مسائل اخلاقی چه خوب و چه بد، روشی نامربوط است، آنچه روشن است اين است كه مسلمانان از اين جهت چيزی دارند كه ما نداريم</w:t>
      </w:r>
      <w:r>
        <w:rPr>
          <w:rFonts w:eastAsia="IRNazanin" w:cs="IRNazanin"/>
          <w:color w:val="111111"/>
          <w:sz w:val="28"/>
          <w:szCs w:val="28"/>
          <w:rtl w:val="true"/>
          <w:lang w:bidi="fa-IR"/>
        </w:rPr>
        <w:t xml:space="preserve">. </w:t>
      </w:r>
      <w:bookmarkStart w:id="852" w:name="pg8666_123134"/>
    </w:p>
    <w:p>
      <w:pPr>
        <w:pStyle w:val="BookText"/>
        <w:rPr/>
      </w:pPr>
      <w:bookmarkEnd w:id="852"/>
      <w:r>
        <w:rPr>
          <w:rFonts w:ascii="IRNazanin" w:hAnsi="IRNazanin" w:eastAsia="IRNazanin"/>
          <w:color w:val="111111"/>
          <w:sz w:val="28"/>
          <w:sz w:val="28"/>
          <w:szCs w:val="28"/>
          <w:rtl w:val="true"/>
          <w:lang w:bidi="fa-IR"/>
        </w:rPr>
        <w:t>البته ما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هايمان فيلسوفان اخلاق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مطالب پيچيده و ناتمام بسياری برای گفتن درباره اصول اخلاقی دارند كه در بين خود بر هيچ يکی از آنها اتفاق نظر ندارند، امّا هنگامی كه بحث انديشيدن درباره مسائل اخلاقی كه ما با آن روبه‌رو هستیم پیش می‌آید، کمک ناچیزی به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عادت نداریم که مشکلات اخلاقی خود را با یک فیلسوف اخلاق مطرح کنیم و آنها نیز این انتظار را ندارند که با آنان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تقابل آشكار بين انديشه اخلاقی سنتی در اسلام و انديشه رايج در اروپا، به‌هرحال، كاملاً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طرف می‌توان پذيرفت كه اكثريت قاطع مسلمانان در طول قرن‌هاسنتی فكر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نويسندگان دانشگاهی در غرب در حقيقت معياری برای انديشه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نظام‌يافته فراهم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كه برای ما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دقيقاً مربوط به وظيفۀ ما نيست، امّا با موضوعی كه رابطه نزديكی با اين مسئله دارد كاملاً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مورد بحث اين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اينكه چنين وظيفه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است</w:t>
      </w:r>
      <w:r>
        <w:rPr>
          <w:rFonts w:eastAsia="IRNazanin" w:cs="IRNazanin"/>
          <w:color w:val="111111"/>
          <w:sz w:val="28"/>
          <w:szCs w:val="28"/>
          <w:rtl w:val="true"/>
          <w:lang w:bidi="fa-IR"/>
        </w:rPr>
        <w:t>.</w:t>
      </w:r>
    </w:p>
    <w:p>
      <w:pPr>
        <w:pStyle w:val="Heading5"/>
        <w:numPr>
          <w:ilvl w:val="4"/>
          <w:numId w:val="1"/>
        </w:numPr>
        <w:rPr/>
      </w:pPr>
      <w:bookmarkStart w:id="853" w:name="__RefHeading___Toc2420098_653776707"/>
      <w:bookmarkStart w:id="854" w:name="_Toc329"/>
      <w:bookmarkEnd w:id="853"/>
      <w:r>
        <w:rPr>
          <w:rtl w:val="true"/>
        </w:rPr>
        <w:t>ب</w:t>
      </w:r>
      <w:r>
        <w:rPr>
          <w:rtl w:val="true"/>
        </w:rPr>
        <w:t xml:space="preserve">) </w:t>
      </w:r>
      <w:r>
        <w:rPr>
          <w:rtl w:val="true"/>
        </w:rPr>
        <w:t>ارزیابی</w:t>
      </w:r>
      <w:bookmarkEnd w:id="854"/>
    </w:p>
    <w:p>
      <w:pPr>
        <w:pStyle w:val="Heading6"/>
        <w:numPr>
          <w:ilvl w:val="5"/>
          <w:numId w:val="1"/>
        </w:numPr>
        <w:rPr/>
      </w:pPr>
      <w:bookmarkStart w:id="855" w:name="__RefHeading___Toc2420100_653776707"/>
      <w:bookmarkStart w:id="856" w:name="_Toc330"/>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به‌نظر می‌رسد، فصل بیستم با عنوان خاتمه که در مقام سنجش و مقایسۀ میان فرهنگ غرب و اندیشۀ اسلامی برآمده است، از فصول بسیار مهم و دقیق در تقابل میان دو اندیشه و فرهنگ است که اکنون در کار جدالی سهمگین و حتی جنگی تمام عیار، در تمامی عرصه‌های زندگی انسانی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می‌توان همچون فصل هجدهم بسیار حیاتی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اهمّ نکات این فصل مطالب قابل تأمّل و ملاحظه که به ذهن خطور می‌کند، به شرح ذیل تقدیم می‌شود</w:t>
      </w:r>
      <w:r>
        <w:rPr>
          <w:rFonts w:eastAsia="IRNazanin" w:cs="IRNazanin"/>
          <w:color w:val="111111"/>
          <w:sz w:val="28"/>
          <w:szCs w:val="28"/>
          <w:rtl w:val="true"/>
          <w:lang w:bidi="fa-IR"/>
        </w:rPr>
        <w:t>:</w:t>
      </w:r>
    </w:p>
    <w:p>
      <w:pPr>
        <w:pStyle w:val="Heading6"/>
        <w:numPr>
          <w:ilvl w:val="5"/>
          <w:numId w:val="1"/>
        </w:numPr>
        <w:rPr/>
      </w:pPr>
      <w:bookmarkStart w:id="857" w:name="__RefHeading___Toc2420102_653776707"/>
      <w:bookmarkStart w:id="858" w:name="_Toc331"/>
      <w:bookmarkEnd w:id="857"/>
      <w:r>
        <w:rPr>
          <w:rtl w:val="true"/>
        </w:rPr>
        <w:t>تحمل‌پذیری اسلامی و تمدن غربی</w:t>
      </w:r>
      <w:bookmarkEnd w:id="85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نویسنده در صفحات نخست فصل بیستم تا حدودی به نقد فرهنگ مدرنیتۀ غرب پرداخته، مهم و غنیمت است و او را برای رسیدن به اهداف طلیعۀ کتاب چند گامی نزدیک می‌کند؛ اگرچه او با اعتماد به نفس فراوان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ماه هر چه می‌خواهند، بگویند، </w:t>
      </w:r>
      <w:bookmarkStart w:id="859" w:name="pg8666_123137"/>
    </w:p>
    <w:p>
      <w:pPr>
        <w:pStyle w:val="BookText"/>
        <w:rPr/>
      </w:pPr>
      <w:bookmarkEnd w:id="859"/>
      <w:r>
        <w:rPr>
          <w:rFonts w:ascii="IRNazanin" w:hAnsi="IRNazanin" w:eastAsia="IRNazanin"/>
          <w:color w:val="111111"/>
          <w:sz w:val="28"/>
          <w:sz w:val="28"/>
          <w:szCs w:val="28"/>
          <w:rtl w:val="true"/>
          <w:lang w:bidi="fa-IR"/>
        </w:rPr>
        <w:t>ما ارزش‌های اخلاقی خود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ولی روشن است که این سخن، ناپذیرفتنی است و نشان از دگماتیسمی دارد که هرگز گفت‌وگو و تعامل فرهنگی و دادوستد گفتمانی را میسر نخواهد کرد و نشان از غروری نابجا دارد که ریشه‌های آن در تمدن غرب چه بسا مشهود باشد، ولی در پایان با اقرار به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روشن است، این است که مسلمانان از این جهت چیزی دارند که ما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به مزیت نسبی مقولۀ تحمّل‌پذیری و جدال احسن در نظام معرفتی اسلامیاعتراف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اینجا در نکتۀ سوم ناامیدی خود را از فیلسوفان اخلاق غرب اعلام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کمک نسبتاً ناچیزی به ما می‌کنند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پایان این بخش، نویسنده مایل است که میان جبهۀ اندیشۀ اسلامی با اندیشۀ رایج در اروپا صلح و سازش ایجاد کند و لذا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تقابل آشکار بین اندیشۀ اخلاقی سنتی در اسلام و اندیشه رایج در اروپا به‌هرحال، کاملاً درست نیست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قصۀ تقابل مقایسۀ میان این دو را تا پایان این فصل ادامه می‌دهد و در آنجا این قلم به برخی از ملاحظات اشارت خواهد داشت</w:t>
      </w:r>
      <w:r>
        <w:rPr>
          <w:rFonts w:eastAsia="IRNazanin" w:cs="IRNazanin"/>
          <w:color w:val="111111"/>
          <w:sz w:val="28"/>
          <w:szCs w:val="28"/>
          <w:rtl w:val="true"/>
          <w:lang w:bidi="fa-IR"/>
        </w:rPr>
        <w:t>.</w:t>
      </w:r>
    </w:p>
    <w:p>
      <w:pPr>
        <w:pStyle w:val="Heading4"/>
        <w:numPr>
          <w:ilvl w:val="3"/>
          <w:numId w:val="1"/>
        </w:numPr>
        <w:rPr/>
      </w:pPr>
      <w:bookmarkStart w:id="860" w:name="__RefHeading___Toc2420104_653776707"/>
      <w:bookmarkStart w:id="861" w:name="_Toc332"/>
      <w:bookmarkEnd w:id="860"/>
      <w:r>
        <w:rPr/>
        <w:t>2</w:t>
      </w:r>
      <w:r>
        <w:rPr>
          <w:rtl w:val="true"/>
        </w:rPr>
        <w:t xml:space="preserve">. </w:t>
      </w:r>
      <w:r>
        <w:rPr>
          <w:rtl w:val="true"/>
        </w:rPr>
        <w:t>امداد و نهی از منکر</w:t>
      </w:r>
      <w:bookmarkEnd w:id="861"/>
    </w:p>
    <w:p>
      <w:pPr>
        <w:pStyle w:val="Heading5"/>
        <w:numPr>
          <w:ilvl w:val="4"/>
          <w:numId w:val="1"/>
        </w:numPr>
        <w:rPr/>
      </w:pPr>
      <w:bookmarkStart w:id="862" w:name="__RefHeading___Toc2420106_653776707"/>
      <w:bookmarkStart w:id="863" w:name="_Toc333"/>
      <w:bookmarkEnd w:id="862"/>
      <w:r>
        <w:rPr>
          <w:rtl w:val="true"/>
        </w:rPr>
        <w:t>الف</w:t>
      </w:r>
      <w:r>
        <w:rPr>
          <w:rtl w:val="true"/>
        </w:rPr>
        <w:t xml:space="preserve">) </w:t>
      </w:r>
      <w:r>
        <w:rPr>
          <w:rtl w:val="true"/>
        </w:rPr>
        <w:t>گزارش</w:t>
      </w:r>
      <w:bookmarkEnd w:id="8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آقای مایکل کوک تفاوت بين امداد و نهی از منكر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تعريف، امداد تكليفی است برای كمک‌رسانی به مردمی كه دچار مشكلی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خواه پيامد خطای عمدی يا غيرعمدی انسانی باشد، در آن مورد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تجاوز جنسی در ايستگاه قطار شهری در شيكاگو كه كتاب را با آن آغاز كرديم، در نظر بگيريد اگر آن زن، قربانی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تجاوز نبود، بلكه در زلزله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زير آوار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چيزهای ديگر </w:t>
      </w:r>
    </w:p>
    <w:p>
      <w:pPr>
        <w:pStyle w:val="BookText"/>
        <w:rPr/>
      </w:pPr>
      <w:r>
        <w:rPr>
          <w:rFonts w:ascii="IRNazanin" w:hAnsi="IRNazanin" w:eastAsia="IRNazanin"/>
          <w:color w:val="111111"/>
          <w:sz w:val="28"/>
          <w:sz w:val="28"/>
          <w:szCs w:val="28"/>
          <w:rtl w:val="true"/>
          <w:lang w:bidi="fa-IR"/>
        </w:rPr>
        <w:t>شبيه به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رهگذران وظيفه داشتند به ياری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نهی از منكر وظيفه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كمک به مردم گرفتار نيست، بلكه تكليفی است برای جلوگيری از كار زشت؛ ازاين‌رو دامنه گسترش هر یک نسبت به منطقه ديگر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زير آوار مانده است، منكری وجود ندارد كه از آن نهی شود، وقتی زنی با رضایت تن به عمل جنسی داده، قربانی‌ای وجود ندارد که به او 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تلاقی امداد و نهی از منکر هنگامی است كه مردی به زور به زنی تجاوز می‌کند، هم گناهكار و هم قربانی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زمينۀ مشترک، دو وظيفه در اصل متمايز از هم قرارمی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بر بازداشتن از گناه تأكيد می‌کند و ديگری بر كمک كردن به قربانی؛ امّا در عمل ممكن است كارها با اين دقت قسمت‌بندی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كه اين دو وظيفه به سادگی با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آميخته، و نتايج آن در انديشه ما و در انديشه مسلمانان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ميانه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ما، جمع اين دو با يكديگر در اختلاف بين گفتار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رندی كايلز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قصه تجاوز شيكاگو، به نحو چشمگيری نمود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كرد اين بود كه از محاكمه شدن خلاف‌كار اطمينان يابد؛ امّا دليلی كه بعداً برای رفتارش ارائه كرد اين بود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زن 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انديشۀ روشمند درباره وظيفه امداد وجود دارد و در اصل در بازشناسی آن از آموزه نهی ازمنكر نبايد مشكلی وجود داشته باشد؛ امّا در حقيقت، بيشتر آنچه من از آرای مسلمانان درباره امداد آگاهی يافته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برگرفته از مطالبی است كه در روايات نهی از منكر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این نیست که اگر علمای مسلمان بخواهند، نمی‌توانند بین نهی از منکر و امداد تمایز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این مرز کاملاً مشخص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كه در زمان خليفه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خياطی در بغداد، برای رويارويی با يک سردار بلند پايه ترک، كه زنی زيبا را پس از بيرون آمدن از حمام ربوده بود، از مردم كمک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خود را به اين صورت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دانيد كه اين مرد چه كرده است، پس با من بياييد تا برويم و به او اعتراض كنيم و زن را از چنگ او </w:t>
      </w:r>
      <w:bookmarkStart w:id="864" w:name="pg8666_123142"/>
    </w:p>
    <w:p>
      <w:pPr>
        <w:pStyle w:val="BookText"/>
        <w:rPr/>
      </w:pPr>
      <w:bookmarkEnd w:id="864"/>
      <w:r>
        <w:rPr>
          <w:rFonts w:ascii="IRNazanin" w:hAnsi="IRNazanin" w:eastAsia="IRNazanin"/>
          <w:color w:val="111111"/>
          <w:sz w:val="28"/>
          <w:sz w:val="28"/>
          <w:szCs w:val="28"/>
          <w:rtl w:val="true"/>
          <w:lang w:bidi="fa-IR"/>
        </w:rPr>
        <w:t xml:space="preserve">درآوريم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فقوموا معی اليه لننكر عليه و نُخلّص المرأة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شباهت نزديک بين امداد و نهی از منكر، شايد ارتباطی با خصلت ويژۀ كسانی داشته باشد كه بر حسب عادت آن را به كار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جديد غربی درباره امدادگران حكايت از آن دارد كه آنان علاوه بر شجاعت، دارای ويژگی‌ها خاصی هستند كه می‌توان آن را نداشتن قوة تبعيض اجتماعی خواند كه معمولاً در افراد عادی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بانويی سيلزيايی كه در جنگ دوم جهانی به يهوديان كمک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 علت رفتار خود را مورد شكنجه و آزار قرار گرفتن يهوديان بيان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 نه يهودی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تأكيد می‌كرد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قوميّت آنان برای من اصلاً اهميتی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قوميت از نظر بسياری از يهوديان و غيريهوديان، در آن زمان بی‌ترديد اهميّت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حكايت از آن دارد كه امدادگران تأييد شده، نه تنها قوميت را ناديده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گيرند بلكه برخلافساير مردم، دوستان و آشنايان را بر بيگانگان ترجيح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می‌توان در بسياری از مسلمانان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ميانه كه نهی از منكر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مشخصی چنين بی‌توجهی‌ای را ستايش می‌کنيم و گاهی آماده‌ايم كه در سطح قوميت با آن رقابت كنيم؛ زيرا برای دانش‌آموخته غربی معمولاً كار چندان مشكلی نيست؛ امّا حتی این غربیان وقتی پای دوستان و خویشاوندانشان در میان است، احتمال بسیار کمتری دارد که بر این بی‌تفاوتی اصرار ورزند</w:t>
      </w:r>
      <w:r>
        <w:rPr>
          <w:rFonts w:eastAsia="IRNazanin" w:cs="IRNazanin"/>
          <w:color w:val="111111"/>
          <w:sz w:val="28"/>
          <w:szCs w:val="28"/>
          <w:rtl w:val="true"/>
          <w:lang w:bidi="fa-IR"/>
        </w:rPr>
        <w:t>.</w:t>
      </w:r>
    </w:p>
    <w:p>
      <w:pPr>
        <w:pStyle w:val="Heading5"/>
        <w:numPr>
          <w:ilvl w:val="4"/>
          <w:numId w:val="1"/>
        </w:numPr>
        <w:rPr/>
      </w:pPr>
      <w:bookmarkStart w:id="865" w:name="__RefHeading___Toc2420108_653776707"/>
      <w:bookmarkStart w:id="866" w:name="_Toc334"/>
      <w:bookmarkEnd w:id="865"/>
      <w:r>
        <w:rPr>
          <w:rtl w:val="true"/>
        </w:rPr>
        <w:t>ب</w:t>
      </w:r>
      <w:r>
        <w:rPr>
          <w:rtl w:val="true"/>
        </w:rPr>
        <w:t xml:space="preserve">) </w:t>
      </w:r>
      <w:r>
        <w:rPr>
          <w:rtl w:val="true"/>
        </w:rPr>
        <w:t>ارزیابی</w:t>
      </w:r>
      <w:bookmarkEnd w:id="866"/>
    </w:p>
    <w:p>
      <w:pPr>
        <w:pStyle w:val="BookText"/>
        <w:rPr/>
      </w:pPr>
      <w:r>
        <w:rPr>
          <w:rFonts w:ascii="IRNazanin" w:hAnsi="IRNazanin" w:eastAsia="IRNazanin"/>
          <w:color w:val="111111"/>
          <w:sz w:val="28"/>
          <w:sz w:val="28"/>
          <w:szCs w:val="28"/>
          <w:rtl w:val="true"/>
          <w:lang w:bidi="fa-IR"/>
        </w:rPr>
        <w:t>از نگاه مایکل، مقوله‌ای که در فرهنگ غرب قابل قیاس با مقولۀ نهی از منکر در فرهنگ اسلامی است، مقولۀ امداد است به نظر وی این دو اگرچه تفاوت‌هایی با هم دارند، ولی به‌اندازه کافی همخوانی‌هایی دارند که می‌توان در کل آنها را با هم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امداد و نهی از منکر حائز اهمیت است، این است که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اسلام بسیار مفصّل به مقولۀ امداد و کمک به نیازمندان و کسانی که در معرض آسیبی قرار گرفته اند، خواه بلایای طبیعی مثل سیل و زلزله یا فقر اجتماعی، یا بیماری و گرفتاری، پرداخته است و در این میان احکام الزامی و غیرالزامی و تکالیف و توصیه‌های فراوانی، هم بر عهدۀ مدیران و دولتمردان و هم بر دوش آحاد مردم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گفتۀ مشهور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یُنَادی یَا لَلْمُسلِمین فَلَمْ یُجبه فَلَیسَ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به اساس و مبنای اصل امداد اشاره دارد که در مقام تکلیف، فریادرسی به ندای فریادخواهان معیار مسلمانی است که مسلمان به فریاد هر انسانی ولو غیر مسلمان برسد و آن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ادّعای مایکل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از آرای مسلمانان دربارۀ امداد آگاهی دارم، برگرفته از مطالبی است که در روایات نهی از منکر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نشان از بی‌اطلاعیو آگاهی اندک نویسنده از آموزه‌های اسلامی و انبوهی از آیات و روایات مرتبط با امداد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مطالبی که قطعاً از امر به معروف و نهی از منکر، بسیار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بسیاری از فرائض و واجبات مثل پرداخت خمس، زکات، کفّارات، نجات نفس محترمه و جهاد دفاعی از اموال و اعراض و انفس دیگران، در مقولۀ امداد قرار می‌گیرد و دراین‌باره می‌توان کتاب‌ها نوشت؛ درحالی‌که در غرب به هیچ وجه این امور را مردم متصدّی نمی‌شوند و به‌عنوان وظیفه بر عهده نمی‌گیرند، حداکثر در قالب تأمین اجتماعی وظیفه دولت محسوب می‌شود، نه مردم؛ مگر اینکه افرادی داوطلبانه کمک کنند، ولی وظیفه نیست، فقط وظیفه آنها پرداخت مالیات است، اما در اسلام همه مسئولیت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ازسوی‌دیگر بسیاری از عناوین و مقولات دیگر مثل صدقه ولو با یک دانۀ خرما، نذورات، انواع انفاقات، اطعام مسلمانان و افطاری دادن، هبه و بخشش به دیگران، عیادت بیماران، و کمک به نیازمندان، در هر زمینه‌ای که نیاز دارند، مادّی و معنوی، پولی و غیرپولی، منعکس است، به قول سعدی شیرازی شاعر بلند آوازۀ ایرانی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به جز خدمت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تسبیح و سجاده و دلق نیست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که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نکتۀ مهم آن است که این امداد عمومی که در قالب فرائض و مستحبات سنن اسلامی مطرح است، از چند جهت توسعه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و یاری‌رسانی شامل هر انسانی می‌شود اعم از مسلمان و غیرمسلمان، فارغ از دین، زبان، رنگ و قومیت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وظیفه‌ای همگانی است که هم مدیران و دولت‌ها و هم تمامی مکلفان جامعه را مورد خطاب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امداد، تمامی امور مختلف اقتصادی، فرهنگی، بهداشتی، اخلاقی را شامل می‌شود، از سواد آموختن، تا معالجه بیماران، کمک به سالمندان، رفع فقر نیازمندان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جهت محدودیتی ندارد، نه در کمیت و نه در کیفیت و نه در موضوع، ملاکش فقط نیاز یک انسان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فرد ابن‌سبیل و در راه‌مانده تا کسی که نیازش به محبتی اندکولو با یک لبخند، مرتفع می‌شود، همین روی گشاده در اسلام، به‌عنوان چیزی که می‌توان به دیگران هدیه کرد مطرح است و آموزه‌های قرآن و سنت دراین‌باره بسیار فراوان است که مجال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امام و خلیفۀ مسلمانان همچون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شبانه در تاریکی، نان و خرما و انبان آرد به دوش می‌کشند و به‌طور ناشناس به نیازمندان و یتیمان و بیوه‌زنان می‌رسانند تا آنجا که اثر و پینۀ آن تا لحظه شهادت بر شانه‌های مبارک ایشان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وقتی نابینایی را می‌بیند که دست نیاز به سمت دیگران دراز کرده است و دربارۀ او از دیگران سؤال می‌کند و پاسخ می‌شنود که این مردی مسیحی و غیرمسلمان است که نابینا شده و با گدایی، امور خود را می‌گذراند، به مسلمانان عتاب می‌کند که تا وقتی سالم بود از نیروی کار او استفاده کردید، ولی الآن او را به حال خود رها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گسترش دیگر آنکه امداد اسلامی مرز نمی‌شناسد و هر نقطه‌ای در هر جای عالم که نیاز به کمک باشد، در اعماق دریا یا در دل زمین یا قلّۀ کوه‌ها یا در دل جنگل‌ها یا در هر کشور و منطقه‌ای ولو غیر مسلمان، همه را شامل می‌شود</w:t>
      </w:r>
      <w:r>
        <w:rPr>
          <w:rFonts w:eastAsia="IRNazanin" w:cs="IRNazanin"/>
          <w:color w:val="111111"/>
          <w:sz w:val="28"/>
          <w:szCs w:val="28"/>
          <w:rtl w:val="true"/>
          <w:lang w:bidi="fa-IR"/>
        </w:rPr>
        <w:t xml:space="preserve">. </w:t>
      </w:r>
      <w:bookmarkStart w:id="867" w:name="pg8666_123151"/>
    </w:p>
    <w:p>
      <w:pPr>
        <w:pStyle w:val="BookText"/>
        <w:rPr/>
      </w:pPr>
      <w:bookmarkEnd w:id="86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اسلامی تنها به افراد زنده اختصاص ندارد، بلکه مردگان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به محتضر و کسی که جان می‌دهد تا میّتی که باید با احترام کامل تجهیز شود و غسل و کفن داده شود و بر او به نشانۀ احترام نماز گزارده شود و برای او دعا کنند تا اینکه در جایی آبرومند دفن شود، تکالیفی بر عهدۀ دولت و ملت گذارده است و حتی پس از مرگ هم این امداد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وصیت او عمل شود، دیون او پرداخت گردد و همواره دیگران از او به نیکی یاد کنند و به او در برزخ با اهدای نماز و تلاوت قرآن و اطعام و کمک به نیازمندان، امداد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دیگر مربوط به مبانی امداد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امداد از روی منّت‌گذاری نیست و بر مبنای عقاید توحیدی انجام می‌پذیرد و هر چقدر مخفیانه و غیر رسانه‌ای انجام شود،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اسم و رسم و شهرت نیست حتی برای ارزش‌های انسانی یا تشفّی خاطر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در اسلام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واجبات تعبّدی مثل پرداخت زکات و خمس و کفارات اگر پرداخت مال بدون قصد تقرّب باشد، آن امداد، مردود است و دوباره باید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مطلبی با این گستردگی و فراوانی بسیار تعجب و شگفت‌انگیز است که نویسنده محترم می‌خواهد آرای مسلمانان را دراین‌باره در ضمن روایات نهی از منکر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بسیار بخیلانه نیست؟</w:t>
      </w:r>
      <w:r>
        <w:rPr>
          <w:rFonts w:eastAsia="IRNazanin" w:cs="IRNazanin"/>
          <w:color w:val="111111"/>
          <w:sz w:val="28"/>
          <w:szCs w:val="28"/>
          <w:rtl w:val="true"/>
          <w:lang w:bidi="fa-IR"/>
        </w:rPr>
        <w:t>!</w:t>
      </w:r>
    </w:p>
    <w:p>
      <w:pPr>
        <w:pStyle w:val="Heading4"/>
        <w:numPr>
          <w:ilvl w:val="3"/>
          <w:numId w:val="1"/>
        </w:numPr>
        <w:rPr/>
      </w:pPr>
      <w:bookmarkStart w:id="868" w:name="__RefHeading___Toc2420110_653776707"/>
      <w:bookmarkStart w:id="869" w:name="_Toc335"/>
      <w:bookmarkEnd w:id="868"/>
      <w:r>
        <w:rPr/>
        <w:t>3</w:t>
      </w:r>
      <w:r>
        <w:rPr>
          <w:rtl w:val="true"/>
        </w:rPr>
        <w:t xml:space="preserve">. </w:t>
      </w:r>
      <w:r>
        <w:rPr>
          <w:rtl w:val="true"/>
        </w:rPr>
        <w:t>تفاوت نهی از منکر و امداد</w:t>
      </w:r>
      <w:bookmarkEnd w:id="869"/>
    </w:p>
    <w:p>
      <w:pPr>
        <w:pStyle w:val="Heading5"/>
        <w:numPr>
          <w:ilvl w:val="4"/>
          <w:numId w:val="1"/>
        </w:numPr>
        <w:rPr/>
      </w:pPr>
      <w:bookmarkStart w:id="870" w:name="__RefHeading___Toc2420112_653776707"/>
      <w:bookmarkStart w:id="871" w:name="_Toc336"/>
      <w:bookmarkEnd w:id="870"/>
      <w:r>
        <w:rPr>
          <w:rtl w:val="true"/>
        </w:rPr>
        <w:t>الف</w:t>
      </w:r>
      <w:r>
        <w:rPr>
          <w:rtl w:val="true"/>
        </w:rPr>
        <w:t xml:space="preserve">) </w:t>
      </w:r>
      <w:r>
        <w:rPr>
          <w:rtl w:val="true"/>
        </w:rPr>
        <w:t>گزارش</w:t>
      </w:r>
      <w:bookmarkEnd w:id="87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پس از بیان نهی از منکر در اندیشۀ اسلامی و امداد در فرهنگ غربی،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می‌توانيم به اين نتيجه برسيم كه امداد و نهی از منكر هرچند از نظر مفهوم متفاوت‌اند، به اندازه كافی همخوانی دارند كه در كل با هم سنجيده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همين اندازه كه به اثبات رسيد، می‌توانيم به سؤال درباره اهميّت نسبی انديشۀ روشمند اين دو وظيفه در </w:t>
      </w:r>
      <w:bookmarkStart w:id="872" w:name="pg8666_123154"/>
    </w:p>
    <w:p>
      <w:pPr>
        <w:pStyle w:val="BookText"/>
        <w:rPr/>
      </w:pPr>
      <w:bookmarkEnd w:id="872"/>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قاطع من اين است كه آموزه سنتی نهی از منكر در فرهنگ اسلام بسيار مهم‌تر از بحث قابل قياس امداد در فرهنگ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آن شرح تجربيات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كه در آغاز يادآوری كردم، تنها در نتيجۀ پژوهشم درباره نهی از منكر در اسلام بود كه از وجود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آثار علمی درباره وظيفه امداد در فرهنگ خودمان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نوبه خود تحقيقات فصل پيش را تقويت می‌كند كه امر دقيقاً شگفت‌انگيزی درباره گسترش وظيفۀ نهی از منكر در اسلام وجود دارد</w:t>
      </w:r>
      <w:r>
        <w:rPr>
          <w:rFonts w:eastAsia="IRNazanin" w:cs="IRNazanin"/>
          <w:color w:val="111111"/>
          <w:sz w:val="28"/>
          <w:szCs w:val="28"/>
          <w:rtl w:val="true"/>
          <w:lang w:bidi="fa-IR"/>
        </w:rPr>
        <w:t>.</w:t>
      </w:r>
    </w:p>
    <w:p>
      <w:pPr>
        <w:pStyle w:val="Heading5"/>
        <w:numPr>
          <w:ilvl w:val="4"/>
          <w:numId w:val="1"/>
        </w:numPr>
        <w:rPr/>
      </w:pPr>
      <w:bookmarkStart w:id="873" w:name="__RefHeading___Toc2420114_653776707"/>
      <w:bookmarkStart w:id="874" w:name="_Toc337"/>
      <w:bookmarkEnd w:id="873"/>
      <w:r>
        <w:rPr>
          <w:rtl w:val="true"/>
        </w:rPr>
        <w:t>ب</w:t>
      </w:r>
      <w:r>
        <w:rPr>
          <w:rtl w:val="true"/>
        </w:rPr>
        <w:t xml:space="preserve">) </w:t>
      </w:r>
      <w:r>
        <w:rPr>
          <w:rtl w:val="true"/>
        </w:rPr>
        <w:t>ارزیابی</w:t>
      </w:r>
      <w:bookmarkEnd w:id="874"/>
    </w:p>
    <w:p>
      <w:pPr>
        <w:pStyle w:val="Heading6"/>
        <w:numPr>
          <w:ilvl w:val="5"/>
          <w:numId w:val="1"/>
        </w:numPr>
        <w:rPr/>
      </w:pPr>
      <w:bookmarkStart w:id="875" w:name="__RefHeading___Toc2420116_653776707"/>
      <w:bookmarkStart w:id="876" w:name="_Toc338"/>
      <w:bookmarkEnd w:id="875"/>
      <w:r>
        <w:rPr>
          <w:rtl w:val="true"/>
        </w:rPr>
        <w:t>بازگشت نهی از منکر به امداد</w:t>
      </w:r>
      <w:bookmarkEnd w:id="87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بینش عمیق و دقیق که در آموزه‌های وحیانی اسلامی وجود دارد، نهی از منکر نوعی از امداد است و نمی‌توان موضوع آنها را متفاوت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اسلامی اگر موضوع امداد کمک کردن به کسی است که نیازی دارد و از عهدۀ آن برنمی‌آید، فرد گناهکار نیز فردی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همچون بیماری است که نیاز به معالجه و طبابت دارد و همان‌طور که باید به امداد بیماران جسمی شتافت، لازم است به معالجۀ بیماران روحی و روانی و رفتاری نیز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گناه همچون آلودگی به ویروس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فرد مبتلای به سرطان وآلزایمر و ایدز و اعتیاد و غیره را باید کمک کرد و امدادرسانی نمود، افراد مبتلای به خمر و آلودۀ به شهوت و گرفتار در انواع گناهان زبانی مثل دروغ و غیبت تا ظلم، خیانت، ربا، رشوه و کم‌فروشی و سایر گناهان اقتصادی و اجتماعی تا زنا و لواط و غیره از گناهان جنسی، همگی را باید امداد کرد و آنها را از این مهلکه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قطار شهری شیکاگو، در مورد زنی که مورد تجاوز واقع شده است و نظر نویسندۀ کتاب را به خود جلب کرده است، در این قصه در حقیقت هم متجاوز و هم زن مورد تجاوز، هر دو نیازمند امداد می‌باشند، یکی را باید از ظلم و تجاوز رهانید و امداد رساند و دیگری را هم از دست شهوت و شیطان و هوای نفس باید آزاد کرد و او را از ارزش‌های بهیمی و حیوانی رهانید و به </w:t>
      </w:r>
    </w:p>
    <w:p>
      <w:pPr>
        <w:pStyle w:val="BookText"/>
        <w:rPr/>
      </w:pPr>
      <w:r>
        <w:rPr>
          <w:rFonts w:ascii="IRNazanin" w:hAnsi="IRNazanin" w:eastAsia="IRNazanin"/>
          <w:color w:val="111111"/>
          <w:sz w:val="28"/>
          <w:sz w:val="28"/>
          <w:szCs w:val="28"/>
          <w:rtl w:val="true"/>
          <w:lang w:bidi="fa-IR"/>
        </w:rPr>
        <w:t>مرزهای انسانی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از منکر در واقع بخشی از امداد محسوب می‌شود و همۀ مردم نسبت به آن وظیفه و مسئولیت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مطلب مهم دیگری که قابل تأمل است و باید ملاحظه شود آن است که در گناه، تنها جنبۀ فردی آن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باید به امداد گناهکار و مجرم شتافت، یک جهت، خود فرد گناهکار است که در بالا توضیح داده شد که باید با امداد دیگران، انسان خاطی از این غل و زنجیر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مهم‌تر دیگر آنکه این آلودگی رفتاری، چه بسا همچون ویروسی است که کل جامعه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و مردم و کل جامعه در برابر ویروس ایدز یا میکروب مالاریا مسئولیت دارند و کسی نمی‌تواند خود را فارغ از مسئولیت امداد به مبتلایان به وبا کند، چون خطری است که هر آن و لحظه، کل جامعه را با زیان و آسیب مواجه می‌کند، گناهان نیز ویروس و میکروب‌هایی مسری هستند و همان‌طور که در بحث بهداشت و درمان، عده‌ای باید مراقب سلامت جسمانی و بهداشت مردم باشند، در بخش امراض روحی نیز ناهیان از منکر به بهداشت روحی مردم توجه می‌کنند و مانع از این می‌شوند که ابتلای یک گناهکار، دیگران را نیز به خود مبتلا گرداند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نگاهی است که چه بسا مدرنیتۀ غرب و نظام لیبرالیزم از آن بیگانه است و برای آنها قابل هضم نیست و نمی‌تواند آن را درک کند؛ درحالی‌که غرب همان‌گونه که با گناهی که به دیگران آسیب می‌رساند، مقابله می‌کنند و از دزدی و خیانت و رشوه و غیره جلوگیری می‌نماید، سایر گناهان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نکات بعدی این مطلب را بیشتر توضیح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حائز اهمیت دیگری که در نوشتۀ مایکل در بحث امداد مورد غفلت قرار گرفته است، آن است که موضوع امداد در فرهنگ غرب را نمی‌توان مجزّا و بریده از سایر بخش‌های فرهنگ آن دیار مشاهده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غرب بحث امداد مطرح است و از این جهت موضوعی ارزشمند و اخلاقی و انسانی محسوب می‌شود و زبان همگان را به تقدیر وامی‌دارد، اما نمی‌توان این بخش از فرهنگ غرب را از سایر بخش‌های آن قیچی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موضوعات و مقولات فرهنگی در یک سیستم و نظامی شکل می‌گیرند که </w:t>
      </w:r>
    </w:p>
    <w:p>
      <w:pPr>
        <w:pStyle w:val="BookText"/>
        <w:rPr/>
      </w:pPr>
      <w:r>
        <w:rPr>
          <w:rFonts w:ascii="IRNazanin" w:hAnsi="IRNazanin" w:eastAsia="IRNazanin"/>
          <w:color w:val="111111"/>
          <w:sz w:val="28"/>
          <w:sz w:val="28"/>
          <w:szCs w:val="28"/>
          <w:rtl w:val="true"/>
          <w:lang w:bidi="fa-IR"/>
        </w:rPr>
        <w:t>همچون قطعه‌های پازل به یکدیگر مربوط‌اند و در مقام بررسی و مطالعه و اظهار نظر باید مجموعۀ قطعه‌ها را با هم مشاهده و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بشر معاصر به دور از حبّ و بغض بلکه با یک داوری صحیح و منصفانه از فرهنگ غرب سراغ دارد آن است که در کنار امداد و صلیب سرخ جهانی که حتی به فریاد زلزله‌زدگان و جنگ‌زدگان و مصیبت‌دیدگان در اقصا نقاط جهان می‌رسند، ولی در کنار همۀ اینها، آنچه بشر تجربه کرده است، تجربۀ جنگ و کشتار و استعمار و استثمار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با استعمار و استثمار منافع دیگران، عادت کرده‌اند و به این راحتی دست از این عادت برنخواهند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کوته‌نظرانه است که کسی فکر کند، پدران آنها متجاوز بوده‌اند، ولی نسل‌های بعدی همه انسان‌دوست و طرف‌دار حقوق بشر و ضد خشونت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باور کند؟</w:t>
      </w:r>
    </w:p>
    <w:p>
      <w:pPr>
        <w:pStyle w:val="BookText"/>
        <w:rPr/>
      </w:pPr>
      <w:r>
        <w:rPr>
          <w:rFonts w:ascii="IRNazanin" w:hAnsi="IRNazanin" w:eastAsia="IRNazanin"/>
          <w:color w:val="111111"/>
          <w:sz w:val="28"/>
          <w:sz w:val="28"/>
          <w:szCs w:val="28"/>
          <w:rtl w:val="true"/>
          <w:lang w:bidi="fa-IR"/>
        </w:rPr>
        <w:t>تمامی جنگ‌های بزرگ جهانی را فرهنگ غربی و لیبرالیزم بر ملت‌های دیگر و فقیران و محرومان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جنگ‌ها، دخالت مستقیم و غیرمستقیم غرب را می‌توان کاملاً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اول و دوم و حادثۀ هیروشیما و ناکازاکی، تا ماجرای ویتنام، جنگ خلیج فارس، اشغال ایران و عراق و کشورهای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صدام علیه ایران، جنگ بوسنی و هرزگوین و مسئله فلسطین و اشغال یک کشور و کشتار و آواره کردن مردمان بومی آن، همه و همه در فرهنگ غرب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تنها امداد را مشاهده کرد و بخش‌های دیگر از پازل فرهنگ مدرن غرب را ندید؟ آیا می‌توان استعمار و استثمار و ظلمی را که تمدن مغرب زمین بر آفریقا روا داشته است و جنگ‌های الجزایر و ایتالیا و حوادث مختلف آن دیار را ندید و تنها به امداد توجه کرد؟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تحلیل دقیقاً برخلاف آنچه در غرب مشاهده می‌شود، جهان غرب را گرفتار یک نوع پارادوکس انسانی و اخلاقی می‌کند، به‌گونه‌ای که پازل فرهنگی که از غرب مشاهده می‌شود، همچون کاریکاتوری می‌نماید که اجزای آن بسیار بی‌تناسب است؛ درحالی‌که مغزی کوچک دارد، ولی شکمی فربه، چشمانی خون‌آلود و دستانی تا مرفق به خون آغشته، </w:t>
      </w:r>
      <w:bookmarkStart w:id="877" w:name="pg8666_123163"/>
    </w:p>
    <w:p>
      <w:pPr>
        <w:pStyle w:val="BookText"/>
        <w:rPr/>
      </w:pPr>
      <w:bookmarkEnd w:id="877"/>
      <w:r>
        <w:rPr>
          <w:rFonts w:ascii="IRNazanin" w:hAnsi="IRNazanin" w:eastAsia="IRNazanin"/>
          <w:color w:val="111111"/>
          <w:sz w:val="28"/>
          <w:sz w:val="28"/>
          <w:szCs w:val="28"/>
          <w:rtl w:val="true"/>
          <w:lang w:bidi="fa-IR"/>
        </w:rPr>
        <w:t>منظرۀ ناخوشایندی از آن در برابر دیدگان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اندیشۀ اسلامی تمامی امور با یکدیگر در یک پازل هماهنگ قرار می‌گیرد، همان‌طور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خداوند و ربوبیت تشریعی الهی و اطاعت از فرامین او، همه چیز را در جهت امر به معروف قرار می‌دهد و امداد نیز وجهه الهی پیدا می‌کند و به عبادت تبدیل می‌شود، همان‌طور که نهی از منکر هم یک مقوله‌ای انسانی و بخش‌هایی از امداد تلقی خواهد شد</w:t>
      </w:r>
      <w:r>
        <w:rPr>
          <w:rFonts w:eastAsia="IRNazanin" w:cs="IRNazanin"/>
          <w:color w:val="111111"/>
          <w:sz w:val="28"/>
          <w:szCs w:val="28"/>
          <w:rtl w:val="true"/>
          <w:lang w:bidi="fa-IR"/>
        </w:rPr>
        <w:t>.</w:t>
      </w:r>
    </w:p>
    <w:p>
      <w:pPr>
        <w:pStyle w:val="Heading6"/>
        <w:numPr>
          <w:ilvl w:val="5"/>
          <w:numId w:val="1"/>
        </w:numPr>
        <w:rPr/>
      </w:pPr>
      <w:bookmarkStart w:id="878" w:name="__RefHeading___Toc2420118_653776707"/>
      <w:bookmarkStart w:id="879" w:name="_Toc339"/>
      <w:bookmarkEnd w:id="878"/>
      <w:r>
        <w:rPr>
          <w:rtl w:val="true"/>
        </w:rPr>
        <w:t>فراتر از اخلاق و فرهنگ</w:t>
      </w:r>
      <w:bookmarkEnd w:id="879"/>
    </w:p>
    <w:p>
      <w:pPr>
        <w:pStyle w:val="BookText"/>
        <w:rPr/>
      </w:pPr>
      <w:r>
        <w:rPr>
          <w:rFonts w:ascii="IRNazanin" w:hAnsi="IRNazanin" w:eastAsia="IRNazanin"/>
          <w:color w:val="111111"/>
          <w:sz w:val="28"/>
          <w:sz w:val="28"/>
          <w:szCs w:val="28"/>
          <w:rtl w:val="true"/>
          <w:lang w:bidi="fa-IR"/>
        </w:rPr>
        <w:t>تمامی آنچه تا اینجا بیان گردید، تنها به یک بخش از حقیقت نهی از منکر اشاره داشت و آن بخش فرهنگی و اجتماعی نهی از منکر بود که در ارتباط با امداد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مهم‌تر نهی از منکر بخش عملکرد سیاسی آن در ارتباط با سیاست و دولتمردان است که متأسفانه مورد توجه مایکل قرار نگرفته است؛ درحالی‌که بخش اعظم نهی از منکر، بخش تأثیر سیاسی آن در رفتار دولتمردان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چنانچه در فصل هجدهم نیز گذشت، شامل سه بخش است؛ آنچه مورد توجه مایکل در این فصل و مسئله مقایسۀ آن با امداد قرار گرفته است، مسئله نهی از منکر مردم نسبت به یکدیگر است؛ درحالی‌که دو بخش دیگر نهی از منکر، نیز مطرح است، نهی از منکر دولت و مدیران و امیران توسط مردم و نهی از منکر مردم و جامعه توسط دولت و رهبران و مدیران و جامعه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این است که به هیچ وجه قابل مقایسه با مسئلۀ امدادی که مایکل به آن می‌اندیشد،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بخش در مقولۀ امداد با تعریفی که ما از آن کردیم، می‌گنجد؛ چون نصیحت و خیرخواهی نسبت به ائمه مسلمین و امداد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لائمة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مهمی است که جزء مقولۀ امداد اسلامی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کمک و امداد و نیازدولت بشتابند و نهی از منکر دولت در برابر ظلم و فساد و تجاوز و سوء استفاده از زر و زور و قدرت مردم از همین باب است، ولی مایکل متأسفانه این امداد را مطرح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تعریف مایکل از امداد، مقایسۀ نهی از منکر با امداد بسیار قیاس مع‌الفارق می‌شود؛ چون به بخش اعظم نهی از منکر که جلوگیری از تجاوز دولت به حقوق مردم است، هیچ اشارتی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نهی از منکر دولت توسط مردم، مایکل ممکن بود مقوله‌ای را که در غرب مطرح است به‌گونه‌ای با نهی از منکر مقایسه کند و آن عبارت از فعالیت رسانه‌ها و مطبوعات و گروه‌ها و احزاب سیاسی است که گویا از ارکان دموکراسی و آزادی بیان و عقیده تلقی می‌شوند و به کار نقد دولت می‌پردازند و از این جهت ممکن است کسی آن را با نهی از منکر مشابه بداند و مقایسه کند؛ ولی چنانچه پیش از این در ارزیابی فصل هجدهم به این مطلب که توسط عده‌ای از غرب‌گرایان و روشنفکران مطرح گردیده بود، اشاره شد که از جهت اساس و شالوده و مبانی و حتی از جهت عملکرد و اهداف، مکانیزم و کارکرد این دو با هم ماهیتاً متفاوت است؛ لذا مقایسۀ احزاب و رسانه‌ها به شکلی که در غرب رایج است، با شالوده و کارکرد نهی از منکر کاملاً متغایر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رسانه‌های اسلامی صالح شکل گیرد، رسانه‌های صالح و مردمی به معنای واقعی می‌توانند همانند چشمان تیزبین مردم، بر عملکرد رهبران و مدیران سیاسی نظارت کنند و به دور از اهداف قدرت‌طلبی و رسیدن به مطامع، بلکه برای رواج معروف و جلوگیری از منکر در پیکرۀ دولت و نظام سیاسی به فریضۀ نهی از منکر در این بخش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دیگری از نهی از منکر که در کتاب امر به معروف مایکل مورد غفلت قرار گرفته است، نهی از منکر مردم، توسط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صالح عادل همان‌طور که نسبت به امنیت، بهداشت، غذا، مسکن و امور رفاهی مردم وظیفه دارد، نسبت به امور فرهنگی، اخلاقی و تربیتی مردم نیز وظیفه دارد که در جامعه اقامۀ معروف کند و از منکرات جلوگیری نماید و این با امداد که در غرب رایج است و مایکل به آن پرداخته، کاملاً متفاوت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مقایسۀ امداد و نهی از منکر از یک‌سو مغالطۀ جزء و کل است و تنها به یک سوم از کارکرد نهی از منکر منحصر می‌شود و ازسوی‌دیگر در همان یک سوم هم که مقایسه </w:t>
      </w:r>
      <w:bookmarkStart w:id="880" w:name="pg8666_123169"/>
    </w:p>
    <w:p>
      <w:pPr>
        <w:pStyle w:val="BookText"/>
        <w:rPr/>
      </w:pPr>
      <w:bookmarkEnd w:id="880"/>
      <w:r>
        <w:rPr>
          <w:rFonts w:ascii="IRNazanin" w:hAnsi="IRNazanin" w:eastAsia="IRNazanin"/>
          <w:color w:val="111111"/>
          <w:sz w:val="28"/>
          <w:sz w:val="28"/>
          <w:szCs w:val="28"/>
          <w:rtl w:val="true"/>
          <w:lang w:bidi="fa-IR"/>
        </w:rPr>
        <w:t>صورت گرفته، یعنی نهی از منکر مردم توسط مردم، آن هم به‌خوبی تبیین و تحلیل نشده است و جای نقد و ملاحظات فراوانی دارد</w:t>
      </w:r>
      <w:r>
        <w:rPr>
          <w:rFonts w:eastAsia="IRNazanin" w:cs="IRNazanin"/>
          <w:color w:val="111111"/>
          <w:sz w:val="28"/>
          <w:szCs w:val="28"/>
          <w:rtl w:val="true"/>
          <w:lang w:bidi="fa-IR"/>
        </w:rPr>
        <w:t>.</w:t>
      </w:r>
    </w:p>
    <w:p>
      <w:pPr>
        <w:pStyle w:val="Heading4"/>
        <w:numPr>
          <w:ilvl w:val="3"/>
          <w:numId w:val="1"/>
        </w:numPr>
        <w:rPr/>
      </w:pPr>
      <w:bookmarkStart w:id="881" w:name="__RefHeading___Toc2420120_653776707"/>
      <w:bookmarkStart w:id="882" w:name="_Toc340"/>
      <w:bookmarkEnd w:id="881"/>
      <w:r>
        <w:rPr/>
        <w:t>4</w:t>
      </w:r>
      <w:r>
        <w:rPr>
          <w:rtl w:val="true"/>
        </w:rPr>
        <w:t xml:space="preserve">. </w:t>
      </w:r>
      <w:r>
        <w:rPr>
          <w:rtl w:val="true"/>
        </w:rPr>
        <w:t>معروف و منکر</w:t>
      </w:r>
      <w:bookmarkEnd w:id="882"/>
    </w:p>
    <w:p>
      <w:pPr>
        <w:pStyle w:val="Heading5"/>
        <w:numPr>
          <w:ilvl w:val="4"/>
          <w:numId w:val="1"/>
        </w:numPr>
        <w:rPr/>
      </w:pPr>
      <w:bookmarkStart w:id="883" w:name="__RefHeading___Toc2420122_653776707"/>
      <w:bookmarkStart w:id="884" w:name="_Toc341"/>
      <w:bookmarkEnd w:id="883"/>
      <w:r>
        <w:rPr>
          <w:rtl w:val="true"/>
        </w:rPr>
        <w:t>الف</w:t>
      </w:r>
      <w:r>
        <w:rPr>
          <w:rtl w:val="true"/>
        </w:rPr>
        <w:t xml:space="preserve">) </w:t>
      </w:r>
      <w:r>
        <w:rPr>
          <w:rtl w:val="true"/>
        </w:rPr>
        <w:t>گزارش</w:t>
      </w:r>
      <w:bookmarkEnd w:id="884"/>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و غربی وظيفۀ جلوگيری از جرم در حوزه مهم ديگری نيز متفاوت است و آن درک مفهوم معروف و منكر در هر یک از اين فرهنگ‌ها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واقعاً وجود دارد؛ امّا به آن اندازه كه تصور می‌شود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بديهی است كه تفاوت‌های چشمگيری وجود دارد كه چه چيزهای خاص معروف و چه چیزی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اين تفاوت‌ها در مورد شراب، زن و موسيقی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حتی در اينجا معيارهای مسلمانان، تا حدی كه ما نيز آن را خطرهای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دانيم، برای ما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رايج در غرب، قانون منع مشروبات الكلی را قاطعانه اعمال نمی‌کند؛ امّا ما رانندگی در حال مستی را تأييد نمی‌کنيم و يا دوست نداريم با معتادان به الكل معاشرت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درباره چگونگی لباس پوشيدن زنان و ميزان جداسازی آنان، درحالی‌كه نسبت به بعضی از معيارهای غرب آفریقا، زهدگرايانه است، با آداب و رسوم سنتی اسلام فاصله زيادی دارد؛ با وجود اين ما نگران نتايج نه‌چندان خوشايند روابط متقابلی هستيم كه آن را بين زنان و مردان جايز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شماريم؛ امّا در مورد موسیقی مسئله متفاوت است، تفاهم بین فرهنگ‌ها کاملاً از میان می‌رود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ممکن است رفتار مسلمان‌ها در رابطه با شکستن ساز دهنی بچه‌های جدّه در نظر ما شبیه یک طنز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يک موضوع هرچند مهم امّا يک همگرايی اتفاقی انديشه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متوسط آمريكا به اين نتيجه رسيده كه با نگرشی شبيه وهابی‌های مرتجع، دخانيات را ناروا بشمارند؛ امّا خواه ما به شباهت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بپردازيم، خواه به تفاوت‌ها، واقعيت اين است كه مسائل مربوط به درستی و نادرستی اعمال خاص، بستگی به شيوۀ درک خود اين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وجود تضاد بين آرای اسلامی و غربی درباره نهی از منكر است كه ما را به عمق اين ارزش نزديک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ناشی از مفهوم زندگی اجتماعی و زندگی خصوصی است با </w:t>
      </w:r>
      <w:bookmarkStart w:id="885" w:name="pg8666_123173"/>
    </w:p>
    <w:p>
      <w:pPr>
        <w:pStyle w:val="BookText"/>
        <w:rPr/>
      </w:pPr>
      <w:bookmarkEnd w:id="885"/>
      <w:r>
        <w:rPr>
          <w:rFonts w:ascii="IRNazanin" w:hAnsi="IRNazanin" w:eastAsia="IRNazanin"/>
          <w:color w:val="111111"/>
          <w:sz w:val="28"/>
          <w:sz w:val="28"/>
          <w:szCs w:val="28"/>
          <w:rtl w:val="true"/>
          <w:lang w:bidi="fa-IR"/>
        </w:rPr>
        <w:t xml:space="preserve">مروری بر اين اصل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غيراخلاقی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كار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اغلب موجب بدنامی نهی از منكر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می‌توانيم بهتر به اين بحث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به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می‌گوید ابن‌تومرت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 مشاهده كرد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دشرقلال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گروهی مختلط به رقص و پايكوبی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يارانش را فرستاد كه آنان را از اين منكر نهی كنند، امّا آنها با اين جواب روبه‌رو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شاگردان با تأكيد، به گناهكاران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آنان را امر به معروف می‌کند، اين جواب تند را شنيدند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اساس معروف خود رفتار می‌کنيم و شما بر اساس معروف خود رفتارکنید،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گفتن به كار خود بودن، ناشی از خشم گناهکار است که قصد اصلاح خود را ندارد یا بی‌حرمتی اخلاقی کسی است که دخالت در امور خصوصی مجرم کرده است؟ به‌هرحال، نظریۀ به کار خود بودن، پيچيده‌تر از آن است كه در فرهنگ اسلامی یا غربی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نكته مهمی كه بايد گفته شود اين است كه اين وظيفه، هرچند ممكن است فردگرايانه يا تنگ‌نظرانه به نظر برسد، الزاماً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ايجاب می‌کند كه با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كه به آن تعلق دارم و مخصوصاً با كاری كه در حال تکميل آن هستم، ارتباط داشته باشم، و اين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ممكن است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همين دستورالعمل به کار خود بودن زمانی که به‌عنوان كودكی انگليسی در كشوری مديترانه‌ای دوران نوجوانی را می‌گذراندم، هم‌وطنانم به من توصيه می‌كردند وقتی اهالی محل به حيوانی آزار می‌رسانند، در كار آنها دخالت نكنم</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886" w:name="__RefHeading___Toc2420124_653776707"/>
      <w:bookmarkStart w:id="887" w:name="_Toc342"/>
      <w:bookmarkEnd w:id="886"/>
      <w:r>
        <w:rPr>
          <w:rtl w:val="true"/>
        </w:rPr>
        <w:t>ب</w:t>
      </w:r>
      <w:r>
        <w:rPr>
          <w:rtl w:val="true"/>
        </w:rPr>
        <w:t xml:space="preserve">) </w:t>
      </w:r>
      <w:r>
        <w:rPr>
          <w:rtl w:val="true"/>
        </w:rPr>
        <w:t>ارزیابی</w:t>
      </w:r>
      <w:bookmarkEnd w:id="88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آقای مایکل کوک نیز معتقد است در تفاوت فرهنگ‌ها، از جهت مصداقی میان معروف و منکر تردیدی نیست، ولی همواره می‌توان یک نقاط مرکزی و </w:t>
      </w:r>
    </w:p>
    <w:p>
      <w:pPr>
        <w:pStyle w:val="BookText"/>
        <w:rPr/>
      </w:pPr>
      <w:r>
        <w:rPr>
          <w:rFonts w:ascii="IRNazanin" w:hAnsi="IRNazanin" w:eastAsia="IRNazanin"/>
          <w:color w:val="111111"/>
          <w:sz w:val="28"/>
          <w:sz w:val="28"/>
          <w:szCs w:val="28"/>
          <w:rtl w:val="true"/>
          <w:lang w:bidi="fa-IR"/>
        </w:rPr>
        <w:t>کانونی را یافت که در آن نقاط، تمامی ملل و اقوام و فرهنگ‌ها یک‌صدا به معروف یا منکر بودن کاریاذعان داشته باشند؛ آنجا که سخن از ارزش‌های اخلاقی انسانی و وجدانی و فطری در بُعد جهانی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به نسبیت گزاره‌های اخلاقی و ارزشی معتقدند و پوزیتویست‌ها، روشن نیست که به چنین گزاره‌هایی باور داشته باشند، ولی نمی‌توان این نقاط کانونی را در مصداق معروف و منکر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نقاط کانونی مشترک میان تمامی انسان‌ها و مورد پذیرش تمامی عرف‌ها و فرهنگ‌ها، قبح ظلم و پایمال کردن حقوق دیگران و لزوم التزام و پایبندی به عدالت و ظلم‌ستیزی است که همین را می‌توان محور گفت‌وگوهای تمدنی و گفتمان‌های نظری نخبگانی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که تمدن لیبرالیزم غرب، چندان حاضر به گفت‌وگو و صحبت پیرامون آن نیست و بیشتر مایل است آن را در هاله‌ای از ابهام و عدم‌شفافیت رها کرده و به جای آن به مفاهیمی لرزان و ژله‌ای و انعطاف‌پذیر و قابل تغییرهای گوناگون و دوپهلو، همچون آزادی و حقوق بشر و جامعۀ مدنی تکیه کند تا بتواند مسیر خود را در فضایی تیره و گل‌آلود و مه‌آلود بیابد و ماهی خود را صید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چه مناسب بود مایکل در این بخش به این کانون‌های مرکزی توافق بین انسانی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سه مسلۀ شراب، زن و موسیقی اشاره می‌کند و اینکه در جوامع غربی و اسلامی نیز در مورد دو مسئله شراب و زن توافق و تفاهماتی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این صراحت کلام مایکل در مسئلۀ زن بسیار قابل اهمیت است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پوشش زن در غرب، نسبت به آفریقا زهدگرایانه است، ولی با آداب و فرهنگ اسلامی فاصلۀ زیادی دارد، با وجود این ما نیز نگران نتایج ناخوشایند روابط مجاز زن و مرد می‌باشیم</w:t>
      </w:r>
      <w:r>
        <w:rPr>
          <w:rFonts w:eastAsia="IRNazanin" w:cs="IRNazanin"/>
          <w:color w:val="111111"/>
          <w:sz w:val="28"/>
          <w:szCs w:val="28"/>
          <w:rtl w:val="true"/>
          <w:lang w:bidi="fa-IR"/>
        </w:rPr>
        <w:t>.</w:t>
      </w:r>
      <w:r>
        <w:rPr>
          <w:rStyle w:val="FootnoteAnchor"/>
          <w:rtl w:val="true"/>
        </w:rPr>
        <w:footnoteReference w:id="23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اظهار نگرانی نکته‌ای مهم است که در مسئله خانواده و روابط نامحرمان با یکدیگر، از طرف یک نخبه و دانشمند فرهیختۀ غرب به آن اشاره شده است و نشان می‌دهد که </w:t>
      </w:r>
    </w:p>
    <w:p>
      <w:pPr>
        <w:pStyle w:val="BookText"/>
        <w:rPr/>
      </w:pPr>
      <w:r>
        <w:rPr>
          <w:rFonts w:ascii="IRNazanin" w:hAnsi="IRNazanin" w:eastAsia="IRNazanin"/>
          <w:color w:val="111111"/>
          <w:sz w:val="28"/>
          <w:sz w:val="28"/>
          <w:szCs w:val="28"/>
          <w:rtl w:val="true"/>
          <w:lang w:bidi="fa-IR"/>
        </w:rPr>
        <w:t>نمی‌توان آزادی روابط و اختلاط آنها را به اسم لیبرالیزم و فردگرایی تا بی‌نهایت و بدون حدّ یقف، ادامه داد و این نگرانی‌ها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مسائل جنسی در غرب و مسائل نوظهور از همجنس‌بازی و تشکیل خانواده‌های جدید مرکب از دو مرد یا دو زن و یا ازدواج با حیوان و یا باخود و مانند آنکه سیاسیون غربی به آن دامن می‌زنند و حتی حقوق‌دانان آن دیار نیز در اندیشۀ رسمیت‌بخشی به آنها هستند و فیلسوفان را هم به خدمت گرفته‌اند تا با قدرت قلم و فکر شیطانی، درصدد توجیه و فلسفه‌بافی برای گسترش جنس‌گرایی و سکس باشند و حتی کنوانسیون‌های بین‌المللی را هم در مسیر عادی‌سازی این‌گونه انحرافات و امیال بی‌پایان جنسی به استخدام گرفته‌اند، این خطری است که جوامع غربی و کل بشریت را به‌شدت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غریزۀ سیری‌ناپذیر شهوت جنسی، حدّ یقف ندارد و شهوت ثروت‌اندوزی و مال‌پرستی سرمایه‌داران و تولیدکنندگان و صاحبان کارخانجات نیز حدّ یقف ندارد و این گروه دوم سیری‌ناپذیر از انباشت ثروت است که مراکز تحقیق و پژوهش و افراد اهل تولید فکر و اندیشه و فلسفه‌بافی را به استخدام خود درآورده و پول خرج می‌کند تا گروه اول را به استثمار خویش درآورد و در یوغ بردگی جنسی و استفاده از عنصر جذابیت جنسی زن و مرد، هر روز با تولید کالاهای متنوع در این رابطه و فروش بیشتر به ثروت خویش بیفزاید و بردگی برهنگی را توسعه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مصلحان اجتماعی غربی و دلسوزان نخبۀ تمدّن مدرنیته است که برای این خطر خانمانسوز و آتش نابودگر، باید بیندیشند و بدانند که این لیبرالیزم برهنگی و بردگی سکس که اسیر دست لیبرالیزم اقتصادی و امپریالیسم سرمایه‌داری است، بشریت را به کجا می‌کشاند؟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نه‌تنها غرب که جوامع اسلامی و شرعی را نیز تهدید می‌کند و با مدل جهانی‌سازی و تحمیل فرهنگ مدرنیته بر همگان، می‌خواهند همه را در این آتش بی‌مهار خاکستر کنند و شگفت‌آور، عدم عکس‌العمل کافی و بجایی دلسوزان جوامع غربی در این وانفسای فرهنگی است؛ اگرچه برخی از زنگ‌های خطر همچون سخن نویسندۀ محترم در این قسمت به صدا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مسئلۀ حریم و حفظ پوشش و حجاب زن و مرد نه‌تنها از نقاط مهم و اجماعی میان مسلمانان و فرق و مذاهب مختلف در طول تاریخ اسلامی بوده است بلکه حساسیّت شدید نسبت به آن و توجه مسلمانان در نهی از منکر به این نقطۀ کانونی نشان از اهمیت و جایگاهی والای زن و خانواده در اندیشۀ اسلامی دارد که علی‌رغم تمامی اختلافات عقیدتی و فقهی و آداب و مناسک در این قسمت میان مسلمانان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اتفاق در عصرمدرنیته مورد تحدّی غرب‌گرایان قرار گرفته و می‌خواهند تا این نقطه کانونی را که زیربنای تمدّن اسلامی است، مضمحل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مغرب زمین و مهد آزادی زن عفیف و باحیا نمی‌تواند آزادی داشته باشد و آزادی او در حفظ پوشش و حجاب مورد تمسخر قرار می‌گیرد و حق شهروندی او را سلب می‌کنند و نمی‌تواند آزادانه به تحصیل خود ادامه دهد یا شغل مورد علاقۀ خویش را برگزیند، ریشه در این حقیقت دارد که امروزه بردگی برهنگی، بر مقدّرات جامعۀ بشری مسلّط شده است و با الوهیت و خداپنداری خود، حاضر نیست به حقوق انسانی زنان در این ارتباط اعتراف کند و شگفتا که در تمدّن طاووس‌گونۀ غربی، به اعتراف نویسنده، یکی از اصول کاملاً مشخص به‌عنوان مرزبندی وظیفه که با قدرت تمام حکومت می‌کند، آن است که هر جا خلافی موجب آزار دیگران می‌شود، وظیفۀ همگانی ایجاب می‌کند از آن جلوگیری کنند و به موجب این اصل، نسبت به تجاوز به حقوق بشر، دخالت می‌کنیم و در اینجا وظیفۀ ما، وظیفۀ نژاد انسانی است و عیب‌جویی ما مرز فرهنگی و جغرافیایی نمی‌شناسد</w:t>
      </w:r>
      <w:r>
        <w:rPr>
          <w:rFonts w:eastAsia="IRNazanin" w:cs="IRNazanin"/>
          <w:color w:val="111111"/>
          <w:sz w:val="28"/>
          <w:szCs w:val="28"/>
          <w:rtl w:val="true"/>
          <w:lang w:bidi="fa-IR"/>
        </w:rPr>
        <w:t>.</w:t>
      </w:r>
      <w:r>
        <w:rPr>
          <w:rStyle w:val="FootnoteAnchor"/>
          <w:rtl w:val="true"/>
        </w:rPr>
        <w:footnoteReference w:id="23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چنین است، چرا زنان نمی‌توانند آزادانه پوشش خود را در فرانسه و کشورهای اروپایی انتخاب کنند و چرا باتوجه‌به این اصل کسی وظیفه خود نمی‌بیند که از آن جلوگیری کند؟ در اینجا است که حتی داد مترجم هم درآمده و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کسانی که </w:t>
      </w:r>
      <w:bookmarkStart w:id="888" w:name="pg8666_123184"/>
    </w:p>
    <w:p>
      <w:pPr>
        <w:pStyle w:val="BookText"/>
        <w:rPr/>
      </w:pPr>
      <w:bookmarkEnd w:id="888"/>
      <w:r>
        <w:rPr>
          <w:rFonts w:ascii="IRNazanin" w:hAnsi="IRNazanin" w:eastAsia="IRNazanin"/>
          <w:color w:val="111111"/>
          <w:sz w:val="28"/>
          <w:sz w:val="28"/>
          <w:szCs w:val="28"/>
          <w:rtl w:val="true"/>
          <w:lang w:bidi="fa-IR"/>
        </w:rPr>
        <w:t>مدعی پایبندی به چنین اصلی هستند، چگونه این همه جنایتی را که صهیونیست‌ها نسبت به مردم فسلطین روا می‌دارند، نادیده می‌گیرند؟</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 باید اضافه کرد که فلسطین تنها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ده‌ها و صدها مکان دیگر از زندان ابوغریب تا یمن، بحرین، سعودی و میانمار و غیره، هر روز ده‌ها و صدها زن و کودک به خاک و خون کشیده می‌شوند ولی کسی دم برنمی‌آورد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موردی منافع غرب ایجاب کند، برای کشته شدن یک خبرنگار به اسم جمال خاشقجی، روزها امپراطوری رسانه‌ای خود را در خون‌خواهی و فریاد وانفسا سر دادن، بسیج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قصه کجا است؟ چرا تمدن لیبرالیزم معیارهای دوگانه دارد؟متأسفانه نویسندۀ محترم، در این قسمت‌ها ساکت است و حاضر به تحلیل و باز کردن موضوع نمی‌شود؛ درحالی‌که حقوق بشر، از همان مفاهیم ژله‌ای است که بر اساس منافع غرب قابل تفسیر است و طبق تفسیر خود هر جا لازم باشد، هیچ مرز فرهنگی و جغرافیایی نمی‌شناسند و حاضر به دخالت و حتی کشتار بی‌پایان خواهند بود و استفاده از سلاح‌های کشتار جمعی و بمباران بی‌خانمان‌ها را حق مشروع خود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نویسنده کتاب امر به معروف و نهی از منکر در قامت یک اندیشمند مصلح، برخلاف طلیعۀ کتاب خود، لب به سخن می‌گشاید، سؤال جدّی هر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اگر غرب به جای حقوق بشر که مفهومی با قابلیت تفسیرهای گوناگون است، مفاهیمی فطری و وجدانی مثل عدالت و ستم را اصل خویش قرار می‌داد و برای آن یقه می‌درید و مرزهای فرهنگی و جغرافیایی را نادیده می‌انگاشت، اکنون سرنوشت بشریت چیز دیگری بود</w:t>
      </w:r>
      <w:r>
        <w:rPr>
          <w:rFonts w:eastAsia="IRNazanin" w:cs="IRNazanin"/>
          <w:color w:val="111111"/>
          <w:sz w:val="28"/>
          <w:szCs w:val="28"/>
          <w:rtl w:val="true"/>
          <w:lang w:bidi="fa-IR"/>
        </w:rPr>
        <w:t>.</w:t>
      </w:r>
    </w:p>
    <w:p>
      <w:pPr>
        <w:pStyle w:val="Heading4"/>
        <w:numPr>
          <w:ilvl w:val="3"/>
          <w:numId w:val="1"/>
        </w:numPr>
        <w:rPr/>
      </w:pPr>
      <w:bookmarkStart w:id="889" w:name="__RefHeading___Toc2420126_653776707"/>
      <w:bookmarkStart w:id="890" w:name="_Toc343"/>
      <w:bookmarkEnd w:id="889"/>
      <w:r>
        <w:rPr/>
        <w:t>5</w:t>
      </w:r>
      <w:r>
        <w:rPr>
          <w:rtl w:val="true"/>
        </w:rPr>
        <w:t xml:space="preserve">. </w:t>
      </w:r>
      <w:r>
        <w:rPr>
          <w:rtl w:val="true"/>
        </w:rPr>
        <w:t>دو اصل حاکم بر غرب، جهت برخورد با معضلات جهانی</w:t>
      </w:r>
      <w:bookmarkEnd w:id="890"/>
    </w:p>
    <w:p>
      <w:pPr>
        <w:pStyle w:val="Heading5"/>
        <w:numPr>
          <w:ilvl w:val="4"/>
          <w:numId w:val="1"/>
        </w:numPr>
        <w:rPr/>
      </w:pPr>
      <w:bookmarkStart w:id="891" w:name="__RefHeading___Toc2420128_653776707"/>
      <w:bookmarkStart w:id="892" w:name="_Toc344"/>
      <w:bookmarkEnd w:id="891"/>
      <w:r>
        <w:rPr>
          <w:rtl w:val="true"/>
        </w:rPr>
        <w:t>الف</w:t>
      </w:r>
      <w:r>
        <w:rPr>
          <w:rtl w:val="true"/>
        </w:rPr>
        <w:t xml:space="preserve">) </w:t>
      </w:r>
      <w:r>
        <w:rPr>
          <w:rtl w:val="true"/>
        </w:rPr>
        <w:t>گزارش</w:t>
      </w:r>
      <w:bookmarkEnd w:id="89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مایکل کوک در انديشه غربی امروز، دو اصل كاملاً مشخص بر مرزبندی وظيفه ما با قدرت تمام، حكومت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اول آنكه در جايی كه عمل خلافی موجب آزار ديگران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یک وظیفه همگانی است که از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به‌موجب اين اصل، ما نسبت به تجاوز به حقوق بشر در مناطقی كه فرهنگی متعارف دارند مانند آسيای شرقی، خاورميانه و آفریقا دخالت می‌کنيم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در اينجا همانند وظيفه نژاد انسانی است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ما هیچ مرز فرهنگی و جغرافیایی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این است که عمل خلافی كه تنها بر خلاف‌كار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به كسی جز خودش مربوط نيست و توجیهی بر خطا دانستن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کوک بر این باور است که بر اساس اصل دوم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پذيريم تنگ‌نظران در مسائل اخلاقی، محافظه‌كاران اجتماعی، مبلغان مذهبی و پدرمآبان از هر گروهی حق تجاوز به حقوق ما را داشته باشند كه تصميم بگيريم چگونه زندگی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در تصميم ديگران برای خودشان هم دخالت نمی‌کنيم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وظيفه خود را در درون خانه امن خود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دهيم و كسانی كه به‌زعم خود بر امور اخلاقی نظارت می‌کنند، نظر آنها را 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اصل با يكديگر تضاد آشكار دارند، امّا اين آميختگی برای ما نامعقول نيست و بسيار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در انديشه سنتی اسلام تا حدی متفاوت است، هرچند باز هم ناشناختنی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جرمی كه سبب آزار ديگران می‌شود و گناهی كه فقط بر گناهكار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وجود دارد؛ اولی وظيفه گروه عظيمی از مردم هرچند نه گروهی فراگير یعنی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اندیشۀ اسلام سنتی وضعیت جرمی که زیانی به دیگران ندارد، پیچیده‌تر است؛ اگرچه این جرم گناه است و مربوط به حق الهی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مایکل کوک اسلام تعريف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خاصی از زندگی خصوصی دارد و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دقيقی برای آن تعيين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كه در خطوط كلی زير، تفاوت‌هايی بين تفكر اسلامی و غربی وجود داشته باشد</w:t>
      </w:r>
      <w:r>
        <w:rPr>
          <w:rFonts w:eastAsia="IRNazanin" w:cs="IRNazanin"/>
          <w:color w:val="111111"/>
          <w:sz w:val="28"/>
          <w:szCs w:val="28"/>
          <w:rtl w:val="true"/>
          <w:lang w:bidi="fa-IR"/>
        </w:rPr>
        <w:t xml:space="preserve">. </w:t>
      </w:r>
      <w:bookmarkStart w:id="893" w:name="pg8666_123191"/>
    </w:p>
    <w:p>
      <w:pPr>
        <w:pStyle w:val="BookText"/>
        <w:rPr/>
      </w:pPr>
      <w:bookmarkEnd w:id="893"/>
      <w:r>
        <w:rPr>
          <w:rFonts w:ascii="IRNazanin" w:hAnsi="IRNazanin" w:eastAsia="IRNazanin"/>
          <w:color w:val="111111"/>
          <w:sz w:val="28"/>
          <w:sz w:val="28"/>
          <w:szCs w:val="28"/>
          <w:rtl w:val="true"/>
          <w:lang w:bidi="fa-IR"/>
        </w:rPr>
        <w:t>در چشم‌انداز غرب، بعضی از رفتارها اساساً موضوعی خصوصی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آيد، خواه همه از آن با خبر باشند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اسلامی، به عكس، چنين رفتاری ممكن است فقط برحسب اتفاق، خصوصی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كه زيانی به ديگران ندارد، به همين علت در حوزه خصوصی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به‌طور كلی توصيه می‌شود كه بايد اجازه داد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كه راز گشوده شد، تير از شست به در رفته و ممكن است ضابطه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به معنای دقيق كلمه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پاسخ ابتدايی به مزاحمی عيب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كه بايد به كار خود بپردازد، در حقيقت نشان‌دهندۀ انزجار اخلاقی موجهی است؛ امّا خانه مسلمان در اين رخداد ممكن است ديگر خانه امنی برای او نباشد</w:t>
      </w:r>
      <w:r>
        <w:rPr>
          <w:rFonts w:eastAsia="IRNazanin" w:cs="IRNazanin"/>
          <w:color w:val="111111"/>
          <w:sz w:val="28"/>
          <w:szCs w:val="28"/>
          <w:rtl w:val="true"/>
          <w:lang w:bidi="fa-IR"/>
        </w:rPr>
        <w:t>.</w:t>
      </w:r>
    </w:p>
    <w:p>
      <w:pPr>
        <w:pStyle w:val="Heading5"/>
        <w:numPr>
          <w:ilvl w:val="4"/>
          <w:numId w:val="1"/>
        </w:numPr>
        <w:rPr/>
      </w:pPr>
      <w:bookmarkStart w:id="894" w:name="__RefHeading___Toc2420130_653776707"/>
      <w:bookmarkStart w:id="895" w:name="_Toc345"/>
      <w:bookmarkEnd w:id="894"/>
      <w:r>
        <w:rPr>
          <w:rtl w:val="true"/>
        </w:rPr>
        <w:t>ب</w:t>
      </w:r>
      <w:r>
        <w:rPr>
          <w:rtl w:val="true"/>
        </w:rPr>
        <w:t xml:space="preserve">) </w:t>
      </w:r>
      <w:r>
        <w:rPr>
          <w:rtl w:val="true"/>
        </w:rPr>
        <w:t>ارزیابی</w:t>
      </w:r>
      <w:bookmarkEnd w:id="895"/>
    </w:p>
    <w:p>
      <w:pPr>
        <w:pStyle w:val="BookText"/>
        <w:rPr/>
      </w:pPr>
      <w:r>
        <w:rPr>
          <w:rFonts w:ascii="IRNazanin" w:hAnsi="IRNazanin" w:eastAsia="IRNazanin"/>
          <w:color w:val="111111"/>
          <w:sz w:val="28"/>
          <w:sz w:val="28"/>
          <w:szCs w:val="28"/>
          <w:rtl w:val="true"/>
          <w:lang w:bidi="fa-IR"/>
        </w:rPr>
        <w:t>از نگاه مایکل دو اصل بر اندیشۀ غربی به‌عنوان وظیفۀ همگانی حاکم است؛ یکی جلوگیری از عمل خلاف موجبِ آزار دیگران و حساسیت شدید نسبت به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درنکتۀ قبل مورد تحلیل و ارزیابی قرار گرفت و مشخص شد که جایگاه این اصل و مبانی و ملاک اعتبار و بالاتر از این، چگونگی قرائت و تفسیر این اصل همه و همه از امور بسیار چالش‌برانگیز است و مشخص نیست غرب با چه معیاری چنین اصلی را بر مرزبندی‌ها حاکم می‌داند؟ لذا اصل مزبور، هم در بُعد نظری و هم در بُعد عملی، با تأملات فراوان روبه‌رو است و مع‌الأسف نویسنده ارزیابی خود را صریحاً اعلام نمی‌کند و به‌گونه‌ای باورمندانه و با رضایت از آن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دوم اندیشۀ غربی مورد ادّعای نویسنده، عبارت است از عمل خلافی که فقط برخلاف‌کار اثر می‌گذارد که به کسی جز خودش مربوط نیست و طبق این اصل، هیچ‌کس از تنگ‌نظران اخلاقی و محافظه‌کاران اجتماعی و مبلغان مذهبی و پدرمآبان حق تجاوز به حقوق و آزادی دیگران را ندارند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اصل نیز همچون اصل نخست مبانی و ادله و شرح و تفسیر آن بازگو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پرسش اساسی در مورد این اصل آن است که اگر ما آزادی افراد را بر اساس مبانی لیبرالیزم آن‌قدر توسعه دهیم که حتی افراد جامعه بتوانند هرگونه خلافی را مرتکب شوند، </w:t>
      </w:r>
    </w:p>
    <w:p>
      <w:pPr>
        <w:pStyle w:val="BookText"/>
        <w:rPr/>
      </w:pPr>
      <w:r>
        <w:rPr>
          <w:rFonts w:ascii="IRNazanin" w:hAnsi="IRNazanin" w:eastAsia="IRNazanin"/>
          <w:color w:val="111111"/>
          <w:sz w:val="28"/>
          <w:sz w:val="28"/>
          <w:szCs w:val="28"/>
          <w:rtl w:val="true"/>
          <w:lang w:bidi="fa-IR"/>
        </w:rPr>
        <w:t>مادامی که خلاف آنها موجب آزار دیگران نیست، حقّ ممانعت و حتی حق موعظه و نصیحت و راهنمایی و ارشاد نسبت به کار خلاف او وجود نداشته باشد، این کار به‌عنوان تجاوز به حق آزادی دیگری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سرنوشت جامعه به کجا می‌انجامد؟</w:t>
      </w:r>
    </w:p>
    <w:p>
      <w:pPr>
        <w:pStyle w:val="BookText"/>
        <w:rPr/>
      </w:pPr>
      <w:r>
        <w:rPr>
          <w:rFonts w:ascii="IRNazanin" w:hAnsi="IRNazanin" w:eastAsia="IRNazanin"/>
          <w:color w:val="111111"/>
          <w:sz w:val="28"/>
          <w:sz w:val="28"/>
          <w:szCs w:val="28"/>
          <w:rtl w:val="true"/>
          <w:lang w:bidi="fa-IR"/>
        </w:rPr>
        <w:t>طبق این اصل، فردی که تصمیم به انتحار خود دارد و با اسلحه یا سمّ می‌خواهد خود را از میان بردارد، چون کار او مربوط به خود اوست و ربطی به ما ندارد، ما حق ممانعت و حتی گفت‌وگو و نصیحت با او را نداریم و باید او را رها کنیم تا خود را به نیستی و فنا بسپارد یا چنانچه فردی تصمیم دارد دست و پای خود را قطع کند و جنایتی بر خود وارد کند یا اموال و دارایی خود را نابود گرداند و آتش بزند، مادامی که به آزار دیگری منجر نمی‌شود، آیا حق ممانعت نداریم و این کار پدرمآبی و قیمومت و تنگ‌نظر اخلاقی و محافظه‌کار اجتماعی تلقی می‌شود؟ این اصل غربی تا کجا توسعه دارد و آیا حیطه و قلمرو آن شامل ارشاد و موعظۀ خیرخواهانی همچون والدین و مربیان اخلاقی و پدران روحانی هم می‌شود؟آیا به‌راستی عقل و خرد آدمی و وجدان اخلاقی آدمیان چنین اجازه‌ای را می‌دهد که آدمی خود را به قتل برساند و دیگران مانع از کار او نشوند؟ یا خلاف‌کار به حال خود رها شود تا خودش دست از خلافش بردارد؟</w:t>
      </w:r>
    </w:p>
    <w:p>
      <w:pPr>
        <w:pStyle w:val="BookText"/>
        <w:rPr/>
      </w:pPr>
      <w:r>
        <w:rPr>
          <w:rFonts w:ascii="IRNazanin" w:hAnsi="IRNazanin" w:eastAsia="IRNazanin"/>
          <w:color w:val="111111"/>
          <w:sz w:val="28"/>
          <w:sz w:val="28"/>
          <w:szCs w:val="28"/>
          <w:rtl w:val="true"/>
          <w:lang w:bidi="fa-IR"/>
        </w:rPr>
        <w:t>پس جایگاه ارشاد و موعظه و نصیحت و تعلیم و تربیت چه می‌شود؟ حدّ یقف این اصل لیبرالیستی غربی کجا است؟ آیا رأی و نظر نویسنده در این ارتباط چیست؟ آیا او هم چنانچه از ظاهر عبارت‌هایش آشکار می‌گردد، با این اصل همراه است و به اطلاق و قلمرو وسیع آن اعتقاد دارد؟ متأسفانه نویسندۀ محترم به شکلی جانب‌دارانه این اصل را با اطلاقش مطرح کرده و از آن عبور 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فرض موضوع چنین اصلی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خلافی را سراغ گرفت که تنها مربوط به خود شخص باشد و آن جرم و خلاف بر سرنوشت دیگران بی‌اثر بوده و هیچ ارتباطی با دیگری نداشته باشد؟ یا آنکه افراد جامعه، چون سلول‌های به‌هم پیوسته هستند و تخلف یک نفر، بر سرنوشت و حقوق دیگران هم تأثیرگذار است؟ </w:t>
      </w:r>
    </w:p>
    <w:p>
      <w:pPr>
        <w:pStyle w:val="BookText"/>
        <w:rPr/>
      </w:pPr>
      <w:r>
        <w:rPr>
          <w:rFonts w:ascii="IRNazanin" w:hAnsi="IRNazanin" w:eastAsia="IRNazanin"/>
          <w:color w:val="111111"/>
          <w:sz w:val="28"/>
          <w:sz w:val="28"/>
          <w:szCs w:val="28"/>
          <w:rtl w:val="true"/>
          <w:lang w:bidi="fa-IR"/>
        </w:rPr>
        <w:t>به‌نظر می‌رسد، نمی‌توان سرنوشت افراد را از یکدیگر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جامعه همچون افراد یک کشتی هستند که سوراخ کردن آن، به تمامی سرنشینان آسیب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دست به خودکشی می‌زند تا کسی که در فضایی آزاد دست به سیگار کشیدن می‌زند، همه و همه کار خلاف و منکر آنها مستقیم یا غیرمستقیم در حقوق و آزادی سایر افراد جامعه تأثیر خواهد داشت و این جامعه و امکانات آن است که باید متحمّل آن جرم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به‌عبارت‌دیگر، همان‌طور که طبق قانون نیوتن تبدیل انرژی،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نابود نمی‌شود و تنها شکل آن تغییر می‌یابد، اعمال و رفتارهای خوب و زشت آدمیان چنین نیست که به خود آنها منحصر شود و در مرز آنها متوقف گردد و نابود شود، بلکه همچون یک ضربه‌ای که بر یک سوی استخر وارد شود، این ضربه امواج آب را پدید می‌آورد و تا آخر استخر را متأثر از خود می‌گرداند و اینکه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جرم توقف‌پذیر است، چنین خیالی، بسیار خام و سطحی‌نگر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بر اساس معارف وحیانی و اندیشۀ فلسفی اسلامی که در جای خود به اثبات رسیده است، تمامی عوالم وجود از طبیعت تا ماوراء طبیعت و از عوالم جسمانی تا عوالم روحانی و از ناسوت تا لاهوت همه و همه یک واحد ارگانیک را تشکیل می‌دهند که هر رفتار خرد و کلان و نیک و بد آدمی بر کلّ این عوامل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رفتار نیکی نیست که در گوشه‌ای از عالم ولو در سرّ و به‌صورت مخفیانه رخ دهد و از اثر مثبت و نور و فائده‌اش عوالم هستی بی‌بهره باشند و برعکس، هیچ رفتار سوء و زشتی ولو مخفیانه و مرتبط با خود آدمی نیست که اتفاق افتاد، مگر اینکه سایر عوالم از عالم فرشتگان تا عالم جنّیان و شیاطین را متأذّی یا خوشحال نگرداند؛ حتی اذکار قلبی و درونی آدمیان در جهان محفوظ است و دیگران و حتی جمادات، حیوانات، گیاهان، فرشتگان، شیاطین و اجنّه را به عکس‌العمل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ادلۀ مربوط به ارزش طلب علم یا گریه و اقامۀ ماتم بر </w:t>
      </w:r>
    </w:p>
    <w:p>
      <w:pPr>
        <w:pStyle w:val="BookText"/>
        <w:rPr/>
      </w:pPr>
      <w:r>
        <w:rPr>
          <w:rFonts w:ascii="IRNazanin" w:hAnsi="IRNazanin" w:eastAsia="IRNazanin"/>
          <w:color w:val="111111"/>
          <w:sz w:val="28"/>
          <w:sz w:val="28"/>
          <w:szCs w:val="28"/>
          <w:rtl w:val="true"/>
          <w:lang w:bidi="fa-IR"/>
        </w:rPr>
        <w:t>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مخفیانه و در سرّ و در مقابل، روایات مربوط به آثار گناهان سرّی این حقیقت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 و جرمی نداریم که باعث آزار دیگران نباشد و ازاین‌رو است که هرکس از گناه باخبر شد باید از انکار قلبی تا زبانی و اقدام عملی دست به کار شود و بی‌تفاوت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طبق آنچه در بند پیش گذشت، در اندیشۀ اسلامی حریم خصوصی برای کار خلاف تعریف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تجسّس یا آبروریزی حرام و تجاوز به حقوق دیگران است؛ ولی فردی که از عمل خلاف دیگری مطلع می‌شود، باید دست به اقدام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جاهل را ارشاد کند و او را از عواقب عمل سیّئ خویش آگاه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مطلع و باخبر را موعظه و نصیحت کند و به نهی از منکر دست زند و به‌هرحال، باید جامعه با جرم به‌صورت خنثی برخورد نکند، بلکه به‌صورت فعّال و مؤثّر در مسیر اصلاح و خیرخواهی و با نیّت شفقت و نه ترحّم خود را مسئول بداند و همچون طبیبی شفیق به بیمار آگاهی بخشد و او را از کاری که ضرر بر او دارد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دکتر نمی‌تواند بگوید این بیمار، این کار را که انجام می‌دهد، چون برای دیگری ضرر ندارد او را به حال خود رها کنم تا هر بلایی می‌خواهد بر سر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سکوت و بی‌تفاوتی مورد پذیرش عقل و 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تمام مردم را در برابر دیگری مسئول می‌داند و براین‌اساس به همگی ولایت می‌دهد که بر اساس ولایت الهیه دست به اقدام زنند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 بر نهی از منکر تجاوز به حقوق دیگران نیست، بلکه ایفای حقوقدینی است و فرد مسلمان بر اساس حق ولایت الهی که دارد، مکلّف می‌شود، به دیگری تذکر دهد و فاعل منکر این حق را دارد که از حق تذکر بهره‌مند شود تا در کار خلاف نماند و به 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سعدی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می‌بینی که نابینا و 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خاموشی بنشینی گناه است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چگونه می‌تواند نویسنده مدّعی باشد که ما وظیفۀ خود را در درون خانه امن خود انجام می‌دهیم و کسانی که به‌زعم خود بر امور اخلاقی نظارت می‌کنند نظر آنها را </w:t>
      </w:r>
      <w:bookmarkStart w:id="896" w:name="pg8666_123203"/>
    </w:p>
    <w:p>
      <w:pPr>
        <w:pStyle w:val="BookText"/>
        <w:rPr/>
      </w:pPr>
      <w:bookmarkEnd w:id="896"/>
      <w:r>
        <w:rPr>
          <w:rFonts w:ascii="IRNazanin" w:hAnsi="IRNazanin" w:eastAsia="IRNazanin"/>
          <w:color w:val="111111"/>
          <w:sz w:val="28"/>
          <w:sz w:val="28"/>
          <w:szCs w:val="28"/>
          <w:rtl w:val="true"/>
          <w:lang w:bidi="fa-IR"/>
        </w:rPr>
        <w:t>نمی‌پذیریم؛</w:t>
      </w:r>
      <w:r>
        <w:rPr>
          <w:rStyle w:val="FootnoteAnchor"/>
          <w:rtl w:val="true"/>
        </w:rPr>
        <w:footnoteReference w:id="240"/>
      </w:r>
      <w:r>
        <w:rPr>
          <w:rFonts w:ascii="IRNazanin" w:hAnsi="IRNazanin" w:eastAsia="IRNazanin"/>
          <w:color w:val="111111"/>
          <w:sz w:val="28"/>
          <w:sz w:val="28"/>
          <w:szCs w:val="28"/>
          <w:rtl w:val="true"/>
          <w:lang w:bidi="fa-IR"/>
        </w:rPr>
        <w:t>درحالی‌که خانۀ امنی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عالم هستی، همه عالم به هم مربوط است مثل یک پیکر، در اجتماع نیز چنین است، غرب از شرق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ناظران اخلاقی کیست؟ اگر منظور مربّیان مشفق از آموزگاران دلسوز و پدران و مادران باشند، به حکم چه کسی نظر و نظارت آنها را نپذیریم و خود را به چاه افکنیم؟ آیا خردمندان عالم می‌پذیرند که نظارت طبیب بر بیمار مردود اعلام شود؟</w:t>
      </w:r>
    </w:p>
    <w:p>
      <w:pPr>
        <w:pStyle w:val="BookText"/>
        <w:rPr/>
      </w:pPr>
      <w:r>
        <w:rPr>
          <w:rFonts w:ascii="IRNazanin" w:hAnsi="IRNazanin" w:eastAsia="IRNazanin"/>
          <w:color w:val="111111"/>
          <w:sz w:val="28"/>
          <w:sz w:val="28"/>
          <w:szCs w:val="28"/>
          <w:rtl w:val="true"/>
          <w:lang w:bidi="fa-IR"/>
        </w:rPr>
        <w:t>اینجا است که بر اساس نگاه اسلامی و حتی نگاه خردمندان و نگاه عقل آدمی، ما حریم خصوصی نخواهیم داشت و ما اساساً موضوع خصوصی نخواهیم داشت، همان‌طور که دولت‌ها گاهی برای حفظ امنیت جامعه و یا برای حفظ مصالح در تمامی امور شهروندان دخالت می‌کنند و خود را صاحب ولایت مطلقه می‌شمرند و حریم خصوصی برای کسی باقی نمی‌گذارند، حتی در اموری مثل نوع پوشش و رنگ و آرایش و غیره که غربیان آن را مصادیق حریم خصوصی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برای جرم، حریم خصوصی قائل نیست، تنها حریم، یکی منع از تجسّس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مؤمن است و الّا باید از جرم و گناه جلوگیری کرد، تا اوّلاً خود شخص مصون بماند؛ ثانیاً جامعه مصون باشد و ثالثاً حق الهی پاس داشته شود که گناه دربر دارندۀ سه گونه ظلم است و مؤمنان باید در برابر هر نوع ظلم و ستمی بایستند</w:t>
      </w:r>
      <w:r>
        <w:rPr>
          <w:rFonts w:eastAsia="IRNazanin" w:cs="IRNazanin"/>
          <w:color w:val="111111"/>
          <w:sz w:val="28"/>
          <w:szCs w:val="28"/>
          <w:rtl w:val="true"/>
          <w:lang w:bidi="fa-IR"/>
        </w:rPr>
        <w:t>.</w:t>
      </w:r>
    </w:p>
    <w:p>
      <w:pPr>
        <w:pStyle w:val="Heading4"/>
        <w:numPr>
          <w:ilvl w:val="3"/>
          <w:numId w:val="1"/>
        </w:numPr>
        <w:rPr/>
      </w:pPr>
      <w:bookmarkStart w:id="897" w:name="__RefHeading___Toc2420132_653776707"/>
      <w:bookmarkStart w:id="898" w:name="_Toc346"/>
      <w:bookmarkEnd w:id="897"/>
      <w:r>
        <w:rPr/>
        <w:t>6</w:t>
      </w:r>
      <w:r>
        <w:rPr>
          <w:rtl w:val="true"/>
        </w:rPr>
        <w:t xml:space="preserve">. </w:t>
      </w:r>
      <w:r>
        <w:rPr>
          <w:rtl w:val="true"/>
        </w:rPr>
        <w:t>آرای نوین غربی و اندیشۀ اسلامی و صحنۀ جهانی</w:t>
      </w:r>
      <w:bookmarkEnd w:id="898"/>
    </w:p>
    <w:p>
      <w:pPr>
        <w:pStyle w:val="Heading5"/>
        <w:numPr>
          <w:ilvl w:val="4"/>
          <w:numId w:val="1"/>
        </w:numPr>
        <w:rPr/>
      </w:pPr>
      <w:bookmarkStart w:id="899" w:name="__RefHeading___Toc2420134_653776707"/>
      <w:bookmarkStart w:id="900" w:name="_Toc347"/>
      <w:bookmarkEnd w:id="899"/>
      <w:r>
        <w:rPr>
          <w:rtl w:val="true"/>
        </w:rPr>
        <w:t>الف</w:t>
      </w:r>
      <w:r>
        <w:rPr>
          <w:rtl w:val="true"/>
        </w:rPr>
        <w:t>)</w:t>
      </w:r>
      <w:r>
        <w:rPr>
          <w:rtl w:val="true"/>
        </w:rPr>
        <w:t>گزارش</w:t>
      </w:r>
      <w:bookmarkEnd w:id="90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مایکل کوک تفاوت‌های بين آرای غربی نوين و انديشه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سنتی، پيامدهای روشنی در جهان نوين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برخورد با غرب، اكنون آموزۀ اسلامی نهی از منكر، با نظریۀ به کار خودبودن روبه‌رو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صحنۀ جهانی كه اكنون ما در آن زندگی می‌کنيم، نظری استوارتر نسبت به گذشته وجود دارد كه جامعه اسلامی فقط يكی از جمله جوامع ديگر است و در نتيجه، نمی‌تواند از حق انحصاری قضاوت اخلاقی برخوردار باشد؛ </w:t>
      </w:r>
    </w:p>
    <w:p>
      <w:pPr>
        <w:pStyle w:val="BookText"/>
        <w:rPr/>
      </w:pPr>
      <w:r>
        <w:rPr>
          <w:rFonts w:ascii="IRNazanin" w:hAnsi="IRNazanin" w:eastAsia="IRNazanin"/>
          <w:color w:val="111111"/>
          <w:sz w:val="28"/>
          <w:sz w:val="28"/>
          <w:szCs w:val="28"/>
          <w:rtl w:val="true"/>
          <w:lang w:bidi="fa-IR"/>
        </w:rPr>
        <w:t>ازاين‌رو اعضای آن مشمول بررسی دقيق اخلاقی و محكوميت از بيرون جامعه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اين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اغلب به‌طور دقيق معطوف به كوشش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متعصبی است كه معيارهای فضيلتی خود را بر هم‌دينان خود تحميل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متعصبان ممكن است برای انجام دادن اين كار عمدتاً مورد حمايت قدرت حكومتی جديد قرار گيرند كه می‌تواند كاخی را به كوخی تبديل كند، امّا اين حكومت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نهايت در توهين به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هايی که بر آن حكومت می‌کنند در مقابل تأثير غرب موفق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روحانی معاصر ايرانی گلايه می‌کند كه در حال حاضر كوشش برای نهی از منكر با اين جواب‌های تند روبه‌رو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چه؟ من آزادم، مملكت آزادی است و دموكراسی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هرچه دلش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می‌گويد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مسئله اين پرسش سنتی است امّا بقيه اين‌گونه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آقای مایکل، ارزش‌های متداول غربی به مسلمانان می‌گويد كه اين به ما مربوط است كه چگونه با ديگر مسلمانان رفتار کنیم و درعين‌حال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گويد كه به آنان مربوط نيست كه مسلمانان ديگر چگونه راه خود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پيام مستلزم بازگشت سريع از مفهوم قديم و جديد نهی از منكر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جای تعجب نيست كه اختلاف نظرهای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بين نگرش‌های اخلاقی مسلمانان و غرب در اين مورد وجود 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این اختلاف نظرها مشاجره سختی بود که شش ماه پس از انقلاب ایران بین 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اوریانا فالاچی، روزنامه‌نگار ایتالیایی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آنكه جمهوری اسلامی در مسيری غير دموكراتيک حركت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كرد، فالاچی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خمينی را ناگزيرساخت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خارجی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فهميد اين موضوع ربطی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ما هيچ ربطی به شما ندارد، اگر بعضی از ايرانی‌ها اين موضوع را نمی‌فهمند، اين، به اين معنا است كه اسلام را درک نكرده‌اند</w:t>
      </w:r>
      <w:r>
        <w:rPr>
          <w:rFonts w:eastAsia="IRNazanin" w:cs="IRNazanin"/>
          <w:color w:val="111111"/>
          <w:sz w:val="28"/>
          <w:szCs w:val="28"/>
          <w:rtl w:val="true"/>
          <w:lang w:bidi="fa-IR"/>
        </w:rPr>
        <w:t>».</w:t>
      </w:r>
      <w:r>
        <w:rPr>
          <w:rStyle w:val="FootnoteAnchor"/>
          <w:rtl w:val="true"/>
        </w:rPr>
        <w:footnoteReference w:id="241"/>
      </w:r>
      <w:bookmarkStart w:id="901" w:name="pg8666_123209"/>
    </w:p>
    <w:p>
      <w:pPr>
        <w:pStyle w:val="BookText"/>
        <w:rPr/>
      </w:pPr>
      <w:bookmarkEnd w:id="901"/>
      <w:r>
        <w:rPr>
          <w:rFonts w:ascii="IRNazanin" w:hAnsi="IRNazanin" w:eastAsia="IRNazanin"/>
          <w:color w:val="111111"/>
          <w:sz w:val="28"/>
          <w:sz w:val="28"/>
          <w:szCs w:val="28"/>
          <w:rtl w:val="true"/>
          <w:lang w:bidi="fa-IR"/>
        </w:rPr>
        <w:t>سپس فالاچی موضوع بحث‌انگيزتر جداسازی زنان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معيارهای اسلامی حاكم بر ساحل دريا اشاره و موذيانه اين پرسش را عنوان می‌کند كه با چادر چگونه می‌توان شنا كرد؟ در پاسخ به اين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خمينی با تندی 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مسائل ربطی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و آداب ما به شما مربوط نيست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آيا فالاچی در ادعای قرار داشتن در مقامی كه به او جرئت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سؤال گستاخانه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مطرح كند، خود را جزو جامعه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يا از آن بدتر، هدف موذيانه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اين بود كه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خمينی را در پاسخ دادن به اين سؤال، با طرد او از جامعه زنان انكار كند؟ جالب است كه در مقابل اين پرسش تحريک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آميز،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خمينی در حدّ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دشرقلّال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يابد؛ به‌طوری كه يكی از تحليل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انتظارمی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جای پرسيدن آداب و رسوم محلی، از يک آیت‌الله چيزهای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خمينی هوشمندانه برخشم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كردن در مورد اين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اين لحظه هم فالاچی مقصود را درک نمی‌کند</w:t>
      </w:r>
      <w:r>
        <w:rPr>
          <w:rFonts w:eastAsia="IRNazanin" w:cs="IRNazanin"/>
          <w:color w:val="111111"/>
          <w:sz w:val="28"/>
          <w:szCs w:val="28"/>
          <w:rtl w:val="true"/>
          <w:lang w:bidi="fa-IR"/>
        </w:rPr>
        <w:t>.</w:t>
      </w:r>
    </w:p>
    <w:p>
      <w:pPr>
        <w:pStyle w:val="Heading5"/>
        <w:numPr>
          <w:ilvl w:val="4"/>
          <w:numId w:val="1"/>
        </w:numPr>
        <w:rPr/>
      </w:pPr>
      <w:bookmarkStart w:id="902" w:name="__RefHeading___Toc2420136_653776707"/>
      <w:bookmarkStart w:id="903" w:name="_Toc348"/>
      <w:bookmarkEnd w:id="902"/>
      <w:r>
        <w:rPr>
          <w:rtl w:val="true"/>
        </w:rPr>
        <w:t>ب</w:t>
      </w:r>
      <w:r>
        <w:rPr>
          <w:rtl w:val="true"/>
        </w:rPr>
        <w:t xml:space="preserve">) </w:t>
      </w:r>
      <w:r>
        <w:rPr>
          <w:rtl w:val="true"/>
        </w:rPr>
        <w:t>ارزیابی</w:t>
      </w:r>
      <w:bookmarkEnd w:id="903"/>
    </w:p>
    <w:p>
      <w:pPr>
        <w:pStyle w:val="BookText"/>
        <w:rPr/>
      </w:pPr>
      <w:r>
        <w:rPr>
          <w:rFonts w:ascii="IRNazanin" w:hAnsi="IRNazanin" w:eastAsia="IRNazanin"/>
          <w:color w:val="111111"/>
          <w:sz w:val="28"/>
          <w:sz w:val="28"/>
          <w:szCs w:val="28"/>
          <w:rtl w:val="true"/>
          <w:lang w:bidi="fa-IR"/>
        </w:rPr>
        <w:t>در ادامۀ مباحث خاتمه، به یکی دیگر از فرازهای مهم کتاب امر به معروف مایکل می‌رسیم، آنجا که نویسنده بر آن است که در تقابل میان ارزش‌های غربی و اندیشۀ اسلامی، به تثبیت قدرت حاکمۀ غرب رأی دهد و مسلمانان را محکوم حتمی اندیشۀ لیبرالیزم غربی معرفی 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شگرد نویسنده در این فرایند تمسک به چند تکنیک فنّی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تکنیک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تکنیک و فنّ، نویسنده، نوعی مقابله میان اسلام سنتی و اندیشه‌های جدید ایجاد می‌کند و بر اساس آن نظریه‌های جدید را استوارتر از گذشته می‌پندارد، کاری که قبلاً در بحث کتاب امر به معروف سید حسن اسلامی اردکانی از او دیدیم؛ درحالی‌که در این میان، دوگانه‌ای پدیدآوردن و رأی به نفع دومی دادن، شگرد ویژه است، وگرنه ما دو نوع اسلام سنّتی و اسلام نوین نداریم، اسلام یک حقیقت است که همواره وجود داشته و دارد و تنها اجتهاد مجتهدان است که بر اساس روش و منهج اجتهادی به استخراج و استنباط آراء اسلامی مبادرت می‌ورزند، چیزی که همواره بوده و ادامه دارد؛ ولی آرایی که از طرف غیرمجتهدان و آشنایان با اصول و شیوۀ استنباط ارائه می‌شود، اعتبار و حجیتی نمی‌توان برای آن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تکنیک دوم، نویسنده، جامعۀ اسلامی را در عرض سایر جوامع بشری می‌بیند و آن را از جمله جوامع دیگر می‌شمرد، در نتیجه نمی‌تواند از حق انحصاری قضاوت اخلاقی برخوردار باشد و اعضای آن مشمول بررسی دقیق اخلاقی و محکومیت از بیرون از جامعه خود می‌باشند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شگرد، نویسنده می‌کوشد، با هم‌عرض قرار دادن جامعۀ اسلامی با سایر جوامع، ارزش‌های اسلامی را غیربین‌المللی و غیرجهانی معرفی کند و زمینه دخالت جوامع بیرون از جامعۀ اسلامی را در جامعۀ اسلامی فراهم کند و در نتیجه در درون جامعۀ اسلامی کسانی را که به نهی از منکر می‌پردازند، مسلمانانی متعصب قلمداد کند که می‌خواهند معیارهای فضیلتی خود را بر هم‌دینان خود تحمیل کنند؛ درحالی‌که اگر ما به حق هر جامعه‌ای اعتراف داشته باشیم که اندیشه و عقیده و فرهنگ خود را داشته باشند، چگونه جامعۀ بیرون به خود حق می‌دهد که در امور جامعۀ دیگر دخالت کند و چگونه ما از جامعه این حق را می‌توانیم سلبکنیم که خودش از ارزش‌ها، فرهنگ و آرای خود صیانت و حفاظت کند؟ چگونه می‌توانیم آن را به‌عنوان تعصب بر هم‌دینان تلقی کنیم؟ درحالی‌که در هر جامعه‌ای همواره عده‌ای هستند که کارشان حفظ و تقویت و تعمیق ارزش‌های ملی و </w:t>
      </w:r>
    </w:p>
    <w:p>
      <w:pPr>
        <w:pStyle w:val="BookText"/>
        <w:rPr/>
      </w:pPr>
      <w:r>
        <w:rPr>
          <w:rFonts w:ascii="IRNazanin" w:hAnsi="IRNazanin" w:eastAsia="IRNazanin"/>
          <w:color w:val="111111"/>
          <w:sz w:val="28"/>
          <w:sz w:val="28"/>
          <w:szCs w:val="28"/>
          <w:rtl w:val="true"/>
          <w:lang w:bidi="fa-IR"/>
        </w:rPr>
        <w:t>آداب و سنن و سبک زندگی و زبان و فرهنگ آن جامعه است و در برابر هجوم بیگانه در این جهت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هر جامعه‌ای است که باید به آن اعتراف کرد و جامعۀ اسلامی نیز از این حق مستثنا نیست، ولی مع‌الأسف نویسندۀ محترم چنین 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تکنیک سوم نویسنده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متعصّبان که می‌خواهند معیارهای فضیلتی خود را بر هم‌دینان خود تحمیل کنند، از طرف قدرت حکومتی جدید حمایت می‌شوند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 متأسفانه به‌وضوح روشن نمی‌کند که منظور از حکومت جدید و حمایت آن از متعصبان چیست؟ در لفافۀ کلمات و جملاتی مبهم و نامأنوس، سخنی را می‌گوید و با سرعت عبور می‌کند؛ درحالی‌که این معیار در هر جامعه‌ای حتی غرب مثل فرانسه و انگلیس و آمریکا هم وجود دارد که اکثریتی که آرای آنها بر جامعه حاکم است، آنها از معیارهای فضیلت پذیرفته شدۀ جامعه صیانت می‌کنند و این وظیفۀ هر حاکمیتی و مسئولیت او است که همچنان‌که از امنیت و نظم و بهداشت جامعه صیانت می‌کند، باید پاسدار ارزش‌های آن جامعه باشد و نگذارد زبان، فرهنگ، آداب و رسوم، عقاید و سبک زندگی جامعه دستخوش ناملایمات و طوفان‌های درونی و بیرونی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چه اشکالی دارد؟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است که با کمال تأسف نویسنده نمی‌گوید منظور از حکومت جدید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وسط بحث که مباحث کلی و عامّ مطرح است و هیچ بحث مصداق در میان نبوده است، به یک‌باره سخن را به مصداق خاصی کشاندن و داوری کردن نسبت به آن، بدون تصریح به اسم آن و با اشاره از آن عبورکردن به چه معنا است و چه هدفی را دنبال می‌کند؟ و شگفتی آنکه با صراحت هرچه تمام‌تر اعلام می‌کند که این قدرت حکومتی جدید می‌تواند کاخی را به کوخی تبدیل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منظور از حکومت جدید، نظام اسلامی ایران بعد از انقلاب اسلامی است؟ چرا حاضر نیست نویسنده تصریح کند؟ و اگر حکومت دیگری است چرا نام نمی‌برد؟ و اصلاً در میان یک بحث علمی و کلّی چگونه بحث مصداقی می‌کند؟ آخرین پرسش مهم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جدید می‌تواند کاخی را به کوخی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کجا این اتفاق افتاده است و مصداق آن کدام است؟ اصولاً آیا در یک کار پژوهشی عمیق، وارد شده به این بحث‌ها صحیح است؟ آیا میان وظایف سیاسی روزنامه‌ها و رسانه‌های ارتباط جمعی و کار پژوهشی خلط نشده است؟</w:t>
      </w:r>
    </w:p>
    <w:p>
      <w:pPr>
        <w:pStyle w:val="BookText"/>
        <w:rPr/>
      </w:pPr>
      <w:r>
        <w:rPr>
          <w:rFonts w:ascii="IRNazanin" w:hAnsi="IRNazanin" w:eastAsia="IRNazanin"/>
          <w:color w:val="111111"/>
          <w:sz w:val="28"/>
          <w:sz w:val="28"/>
          <w:szCs w:val="28"/>
          <w:rtl w:val="true"/>
          <w:lang w:bidi="fa-IR"/>
        </w:rPr>
        <w:t>تکنیک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آنکه در این کارزار و میدان نبردی که در تکنیک‌های گذشته به تصویر کشید بتواند نتیجه نهایی را هم اعلام کند و در پروژه و سناریوی خودساخته‌اش، پایان ماجرا نیز معلوم شود، به تکنیک دیگری دست می‌یازد و آن این است که این حکومت‌ها به جامعۀ خود توهین می‌کنند و در نهایت، در مقابل تأثیر غرب موفق نخواهند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درحالی‌که مخاطب به خود حق می‌دهد که از نویسنده جویا شود، آیا پاسداشت فرهنگ جامعۀ که اکثریت به آن باور دارند و حتی در صندوق آرا و بر اساس معیارهای دموکراسی مورد قبول غرب، عموم جامعه نظر خود را منعکس کرده‌اند، صیانت از آن توهین به جامعه است؟ آیا حکومت‌های غربی که از فرهنگ خود به‌ظاهر حمایت می‌کنند، به جامعۀ خود توهین می‌کنند؟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 پرسش مهم‌تر آن است که به چه دلیل و بر اساس چه رمز و رازی، نویسنده دست به غیب‌گویی می‌زند و با پیشگویی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حکومت‌ها در مقابل تأثیر غرب موفق نخواهند بود؟ به چه دلیل در مقابل غرب موفق نخواهند بود؟ کدام سحر و جادو و رمل و جفر و جن و شیطانی، چنین آینده‌نگری کرده که نویسنده با آن همراهی نشان </w:t>
      </w:r>
    </w:p>
    <w:p>
      <w:pPr>
        <w:pStyle w:val="BookText"/>
        <w:rPr/>
      </w:pPr>
      <w:r>
        <w:rPr>
          <w:rFonts w:ascii="IRNazanin" w:hAnsi="IRNazanin" w:eastAsia="IRNazanin"/>
          <w:color w:val="111111"/>
          <w:sz w:val="28"/>
          <w:sz w:val="28"/>
          <w:szCs w:val="28"/>
          <w:rtl w:val="true"/>
          <w:lang w:bidi="fa-IR"/>
        </w:rPr>
        <w:t>می‌دهد و باور دارد که غرب پیروز می‌شود و این حکومت جدید شکست می‌خورد؟ مخاطب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چهل سال است که این سخن تکرار می‌شود، ولی مگر هر روز به جز عقب‌نشینی غرب چیز دیگری مشاهده شده است که اکنون مایکل به این امید شکست، مژده می‌دهد؟پرسش دیگر آن است که آیا نویسندۀ محترم از اهداف بلند خود که در طلیعۀ کتاب تصویر کرد، زاویه‌ای بسیار باز پیدا نکرده است؟ درحالی‌که در نقد فرهنگ غرب و اصلاح امور روزمره و سبک زندگی غرب و جریان قطار شهری شیکاگو، نویسنده دست به قلم شده است تا کاری کند که غرب را از این بیماری مزمن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شده است که غرب را در این نبرد سرنوشت‌ساز موفق می‌بیند و دست او را به علامت پیروزی بالا می‌برد؟</w:t>
      </w:r>
    </w:p>
    <w:p>
      <w:pPr>
        <w:pStyle w:val="BookText"/>
        <w:rPr/>
      </w:pPr>
      <w:r>
        <w:rPr>
          <w:rFonts w:ascii="IRNazanin" w:hAnsi="IRNazanin" w:eastAsia="IRNazanin"/>
          <w:color w:val="111111"/>
          <w:sz w:val="28"/>
          <w:sz w:val="28"/>
          <w:szCs w:val="28"/>
          <w:rtl w:val="true"/>
          <w:lang w:bidi="fa-IR"/>
        </w:rPr>
        <w:t>علاوه بر این، اگر هم شکست در برابر غرب را بپذیریم، این شکست آیا حقیقت را تغییر می‌دهد؟ آیا پیروزی غرب نشان از حقانیت آن دارد؟ یا آنکه حق همواره در برابر باطل پیروز است، اگرچه در ظاهر محکوم به شکست شود؟</w:t>
      </w:r>
    </w:p>
    <w:p>
      <w:pPr>
        <w:pStyle w:val="BookText"/>
        <w:rPr/>
      </w:pPr>
      <w:r>
        <w:rPr>
          <w:rFonts w:ascii="IRNazanin" w:hAnsi="IRNazanin" w:eastAsia="IRNazanin"/>
          <w:color w:val="111111"/>
          <w:sz w:val="28"/>
          <w:sz w:val="28"/>
          <w:szCs w:val="28"/>
          <w:rtl w:val="true"/>
          <w:lang w:bidi="fa-IR"/>
        </w:rPr>
        <w:t>از همه بالاتر اینکه غرب با چه ابزاری موفق به پیروزی خواهد شد؟ آیا امپراطوری رسانه‌ای غرب و قدرت تبلیغاتی آن یا نفوذ آن در میان غرب‌گرایان داخلی جامعه اسلامی؟ آیا قدرت تسلیحاتی غرب؟ آیا معیارهای دوگانۀ غرب در آزادی و حقوق بشر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یکی از این عناوین یا همگی آنها سلاح غرب در این نبرد سرنوشت می‌باشد و او را به پیروزی می‌رساند؟</w:t>
      </w:r>
    </w:p>
    <w:p>
      <w:pPr>
        <w:pStyle w:val="BookText"/>
        <w:rPr/>
      </w:pPr>
      <w:r>
        <w:rPr>
          <w:rFonts w:ascii="IRNazanin" w:hAnsi="IRNazanin" w:eastAsia="IRNazanin"/>
          <w:color w:val="111111"/>
          <w:sz w:val="28"/>
          <w:sz w:val="28"/>
          <w:szCs w:val="28"/>
          <w:rtl w:val="true"/>
          <w:lang w:bidi="fa-IR"/>
        </w:rPr>
        <w:t>بالاخره پرسش آخر مخاطب آن است که اگر حکومت اکثریت جامعه‌ای با صندوق رأی بخواهد طبق فرهنگ عامۀ مردم در برابر ارزش‌های غرب بایستد و از فرهنگ خودی در برابر نفوذ غرب، صیانت کند، چرا باید محکوم به شکست باشد و در نهایت، غرب پیروز میدان گردد؟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بالا، پس از آنکه عبارتی را از یک روحانی معاصر ایرانی نقل می‌کند، بدون آنکه از او نام ببرد، درحالی‌که روش نویسنده آن بود که از افرادی در رتبه‌های پایین‌تر نام می‌برد، به یک ملاک کلی ولی دوگانه در نبرد میان غرب و اسلام تصریح می‌کند که این معیار، کل ملاک رفتار غرب با سایر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متداول غرب به مسلمانان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مربوط است که آنها با سایر مسلمانان چگونه رفتار می‌کنند، ولی درعین‌حال به آنها مربوط نیست که مسلمانان دیگر چگونه راه خود را انتخاب می‌کنند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گویا این معیار که برآمده از ارزش‌های متداول غرب است، بیانگر اساس تمدّن غرب و کلید نبرد اسلام و غرب به شمار می‌آید که نویسنده با صراحت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این جملات را می‌خواند، به‌طور طبیعی می‌تواند تصویر کند کلاسی را که غرب مبصر آن است، آیا به‌راستی رأی و نظر و اراده و خواست این مبصر، خواه حق و خواه باطل، معیار است؟ آیا غرب قیّم بر جهان است و جوامع دیگر نباید اراده‌ای در برابر نظر آنها داشته باشند؟ آیا غرب به مرحله‌ای از الوهیت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تنها به او مربوط است که قاطبۀ مسلمانان پیرو ارزش‌های اسلامی و اکثریت جامعه با اقلیّت مسلمان غرب‌گرا چگونه رفتار می‌کنند؟ و چون او تنها قیّم است، می‌تواند به دخالت بپردازد و به‌عنوان مبصر کلاس چوب خود را بالا ببرد؟ اما به اکثریت مسلمان مقاوم در برابر غرب، مربوط نیست که غرب‌گرایان چگونه راه خود را بر اثر نادانی یا غفلت یا تطمیع و تهدید یا خودباختگی، از اسلام جدا کرده و به مهلکۀ ارزش‌های غرب فرو غلطیده‌اند؟</w:t>
      </w:r>
    </w:p>
    <w:p>
      <w:pPr>
        <w:pStyle w:val="BookText"/>
        <w:rPr/>
      </w:pPr>
      <w:r>
        <w:rPr>
          <w:rFonts w:ascii="IRNazanin" w:hAnsi="IRNazanin" w:eastAsia="IRNazanin"/>
          <w:color w:val="111111"/>
          <w:sz w:val="28"/>
          <w:sz w:val="28"/>
          <w:szCs w:val="28"/>
          <w:rtl w:val="true"/>
          <w:lang w:bidi="fa-IR"/>
        </w:rPr>
        <w:t>نویسنده به اینجا که می‌رسد، گویا مراسم فاتحۀ نهی از منکر را هم می‌خواند و بر این باور می‌رسد که بر اساس این معیار دوگانۀ غرب که او قیّم و چوب به دست عالم است، اولاً به او مربوط است و او تعیین تکلیف می‌کند و ثانیاً به دیگران مربوط نیست و حق تعیین تکلیف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یک چیز است و آن نابودی نهی از منکر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مقام کارکرد نهی از منکر در این نبرد سرنوشت، برای نهی از منکر اسلامی دو مفهوم قدیم و جدید ترسیم می‌کند؛ درحالی‌که اصل این دوگانه برای مسلمانان جای سؤال دارد که آیا این دوگانه به‌عنوان شگردی در مسیر جاده صاف‌کنی و چیرگی تمدن غربی بر مسلمانان نیست؟ </w:t>
      </w:r>
    </w:p>
    <w:p>
      <w:pPr>
        <w:pStyle w:val="BookText"/>
        <w:rPr/>
      </w:pPr>
      <w:r>
        <w:rPr>
          <w:rFonts w:ascii="IRNazanin" w:hAnsi="IRNazanin" w:eastAsia="IRNazanin"/>
          <w:color w:val="111111"/>
          <w:sz w:val="28"/>
          <w:sz w:val="28"/>
          <w:szCs w:val="28"/>
          <w:rtl w:val="true"/>
          <w:lang w:bidi="fa-IR"/>
        </w:rPr>
        <w:t>به‌هرحال، گویا به نظر نویسنده، وقتی ارزش‌های متداول غربی، قیمومت جهانی را عهده‌دار شدند، جایی برای عملکرد نهی از منکر و ایفای نقش آن در جامعه باقی نمی‌ماند؛ چون طبق این قیمومت جهانی، هرگاه کسی اقدام به نهی از منکر کند، به این قیّم جهانی مربوط است که اگر در مسیر اهداف خودش باشد به آن اجازه دهد و اگر در برابر ارزش‌های مادّی و الحادی و شهوت‌پرستی و لذت‌جویی و منفعت‌طلبی غربی قرار گیرد، به او مربوط است که مانع از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صفحات پایانی کتاب، برخلاف طلیعۀ آن، بسیار مأیوسانه و ناامیدکننده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این نتیجه می‌رسد که راهی جز پرستش این طاغوت جهانی و کرنش در برابر الوهیت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نویسندۀ محترم، خواننده را به حال یأس وامی‌گذارد و خودش تنها به نظارت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خواننده خود به‌تنهایی باید این نتیجه را باور کند یا نویسنده هم با او همراه است و این سناریویی است که نوشته شده است و خواننده ناخودآگاه به نتیجۀ مطلوب نویسنده خواهد رسید؟</w:t>
      </w:r>
    </w:p>
    <w:p>
      <w:pPr>
        <w:pStyle w:val="BookText"/>
        <w:rPr/>
      </w:pPr>
      <w:r>
        <w:rPr>
          <w:rFonts w:ascii="IRNazanin" w:hAnsi="IRNazanin" w:eastAsia="IRNazanin"/>
          <w:color w:val="111111"/>
          <w:sz w:val="28"/>
          <w:sz w:val="28"/>
          <w:szCs w:val="28"/>
          <w:rtl w:val="true"/>
          <w:lang w:bidi="fa-IR"/>
        </w:rPr>
        <w:t>مطلب هرگونه که باشد، به‌هرحال، از جهت اندیشۀ اسلامی و معارف وحیانی مسئله به‌خوبی روشن است؛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كَتَبْنَا فِی الزَّبُورِ مِن بَعْدِ الذِّكْرِ أَنَّ الأَرْضَ يَرِثُهَا عِبَادِی الصَّالِحُونَ</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 احتمال دیگر نیز در سناریوی نویسنده ممکن است و آن اینکه می‌خواهد این حقیقت را القاء کند و مخاطب به این نتیجه برسد که من برای اصلاح فرهنگ و جامعۀ غربی و برای آنکه حوادث قطار شهری شیکاگو رخ ندهد، دست به تلاش زدم و مصلحانه و خیرخواهانه راه امر به معروف و نهی از منکر در اندیشۀ اسلامی را داروی این بیماری مزمن تشخیص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اکنون به این نتیجه می‌رسم که باتوجه‌به خداپنداری ارزش‌های غربی و سیطرۀ بی‌چون و چرای آن بر جوامع جهانی، این نسخه نتیجه‌بخش نیست، مگر اینکه اول این طاغوت از میان برداشته شود تا با کنار رفتن کرنش در برابر آن طاغوت زمانه، راه برای اصلاح غرب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 بخش از سخنان مایکل، به‌قدری مهم و کلیدی بیانگر یک نقطۀ عطف در تاریخ جهانی است که نیازمند تأمل و ملاحظۀ فراوان است؛ ازاین‌رو حتی مترجم محترم کتاب که همراهی خود را با نویسنده در سراسر کتاب پنهان نمی‌کند، این دومین بار است که لب به اعتراض می‌گشاید و فریاد برمی‌آورد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 را مداخله‌های سلطه‌گرانه استعماربنامیم نه ارزش‌های متداول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اوریانا فالاچی که مایکل در همین صفحه نقل می‌کند، مشت محکمی است بر دهان فضولان مداخله‌گر</w:t>
      </w:r>
      <w:r>
        <w:rPr>
          <w:rFonts w:eastAsia="IRNazanin" w:cs="IRNazanin"/>
          <w:color w:val="111111"/>
          <w:sz w:val="28"/>
          <w:szCs w:val="28"/>
          <w:rtl w:val="true"/>
          <w:lang w:bidi="fa-IR"/>
        </w:rPr>
        <w:t>.</w:t>
      </w:r>
      <w:r>
        <w:rPr>
          <w:rStyle w:val="FootnoteAnchor"/>
          <w:rtl w:val="true"/>
        </w:rPr>
        <w:footnoteReference w:id="24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سخن آنکه خوانندۀ کتاب حق دارد از نویسندۀ محترم این پرسش را مطرح کند که این ارزش‌های متداول غرب چیست که ظاهری دارد و باطنی؟ پوسته‌ای دارد و هسته‌ای؟ تنه‌ای دارد و ریشه ای؟ وقتی به ظاهر و پوسته و تنۀ آن نگریسته شود، همان‌طور که گویا نویسندۀ کتاب خوش‌بینانه به آنها می‌نگرد، ارزش‌هایی والای انسانی همچون آزادی، حقوق بشر، جامعۀ مدنی، کرامت انسانی بروز می‌کند، ولی کسی که با عمق بیشتری به دنبال کاویدن حقیقت باشد و به دور از تعصب، تاریخچۀ دویست و سیصد سالۀ اخیر غرب را مشاهده کند، چه می‌یابد؟ استعمار ملّت‌ها، استثمار منافع کشورها، استحمار بشریت، جنگ‌های اول و دوم جهانی، ویرانی‌های خانمانسوز، رقابت‌های تسلیحاتی، جنگ‌های هسته‌ای و کاربرد سلاح شیمیایی علیه مردمان بی‌پناه، آواره کردن مردم یک کشور مثل فسلطین و به اشغال درآوردن کشورها، حقّ وتو برای قدرت‌های جهانی و غیره و در یک جمله، مظاهری از ارزش‌های جنگل که در آن هیچ بویی از انسانیت و کرامت بشر به مشام </w:t>
      </w:r>
      <w:bookmarkStart w:id="904" w:name="pg8666_123233"/>
    </w:p>
    <w:p>
      <w:pPr>
        <w:pStyle w:val="BookText"/>
        <w:rPr/>
      </w:pPr>
      <w:bookmarkEnd w:id="904"/>
      <w:r>
        <w:rPr>
          <w:rFonts w:ascii="IRNazanin" w:hAnsi="IRNazanin" w:eastAsia="IRNazanin"/>
          <w:color w:val="111111"/>
          <w:sz w:val="28"/>
          <w:sz w:val="28"/>
          <w:szCs w:val="28"/>
          <w:rtl w:val="true"/>
          <w:lang w:bidi="fa-IR"/>
        </w:rPr>
        <w:t>نمی‌رسد و به جز سبعیّت و خشونت و درنده‌خویی، چیزی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ارزش‌های متداول غرب چیست و چه کسانی مدافع آن هستند و آن را ترویج می‌کنند و به تحکیم مبانی فلسفی آن می‌پردازند؟ و در مسیر آن تمامی همّت خود و امکانات مالی و لجستیکی خود را بسیج می‌کنند؟</w:t>
      </w:r>
    </w:p>
    <w:p>
      <w:pPr>
        <w:pStyle w:val="Heading4"/>
        <w:numPr>
          <w:ilvl w:val="3"/>
          <w:numId w:val="1"/>
        </w:numPr>
        <w:rPr/>
      </w:pPr>
      <w:bookmarkStart w:id="905" w:name="__RefHeading___Toc2420138_653776707"/>
      <w:bookmarkStart w:id="906" w:name="_Toc349"/>
      <w:bookmarkEnd w:id="905"/>
      <w:r>
        <w:rPr/>
        <w:t>7</w:t>
      </w:r>
      <w:r>
        <w:rPr>
          <w:rtl w:val="true"/>
        </w:rPr>
        <w:t xml:space="preserve">. </w:t>
      </w:r>
      <w:r>
        <w:rPr>
          <w:rtl w:val="true"/>
        </w:rPr>
        <w:t>آخرین نکته</w:t>
      </w:r>
      <w:r>
        <w:rPr>
          <w:rtl w:val="true"/>
        </w:rPr>
        <w:t xml:space="preserve">: </w:t>
      </w:r>
      <w:r>
        <w:rPr>
          <w:rtl w:val="true"/>
        </w:rPr>
        <w:t>کشمکش دو جهان‌بینی؛ جایگاه خدا</w:t>
      </w:r>
      <w:bookmarkEnd w:id="906"/>
    </w:p>
    <w:p>
      <w:pPr>
        <w:pStyle w:val="Heading5"/>
        <w:numPr>
          <w:ilvl w:val="4"/>
          <w:numId w:val="1"/>
        </w:numPr>
        <w:rPr/>
      </w:pPr>
      <w:bookmarkStart w:id="907" w:name="__RefHeading___Toc2420140_653776707"/>
      <w:bookmarkStart w:id="908" w:name="_Toc350"/>
      <w:bookmarkEnd w:id="907"/>
      <w:r>
        <w:rPr>
          <w:rtl w:val="true"/>
        </w:rPr>
        <w:t>الف</w:t>
      </w:r>
      <w:r>
        <w:rPr>
          <w:rtl w:val="true"/>
        </w:rPr>
        <w:t xml:space="preserve">) </w:t>
      </w:r>
      <w:r>
        <w:rPr>
          <w:rtl w:val="true"/>
        </w:rPr>
        <w:t>گزارش</w:t>
      </w:r>
      <w:bookmarkEnd w:id="908"/>
    </w:p>
    <w:p>
      <w:pPr>
        <w:pStyle w:val="BookText"/>
        <w:rPr/>
      </w:pPr>
      <w:r>
        <w:rPr>
          <w:rFonts w:ascii="IRNazanin" w:hAnsi="IRNazanin" w:eastAsia="IRNazanin"/>
          <w:color w:val="111111"/>
          <w:sz w:val="28"/>
          <w:sz w:val="28"/>
          <w:szCs w:val="28"/>
          <w:rtl w:val="true"/>
          <w:lang w:bidi="fa-IR"/>
        </w:rPr>
        <w:t>مایکل کوک در خاتمه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يادآوری كنم كه دو تفاوت عمده بين آرای اسلامی و غربی كه در اين فصل مورد بحث قرار گرفت، ارتباط نزديكی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انديشه غربی بر امداد تأكيد می‌كند و نهی از منكر را به فراموشی می‌سپارد، مبتنی بر اين حقیقت است که در اندیشۀ غربی مقوله جرم بدون قربانی و يا به‌عبارتی ديگر گناه مطلق، اگرنگوييم به كلی از ميان رفته، بيشتر اهميّت عملی اخلاقی خود را از دست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زيانی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دليل مورد قبولی است برای رها كردن چيزی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منكرات بايد قربانيانی داشته باشد، در آن صورت آن چه از زمينه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امداد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ما را به مسئلۀ اساسی كشمكش بين دو جهان‌بينی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خدا، اگر چنين جايگاهی در امور انسانی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با این جملۀ کلیدی و در قالب تردید و اگر، کتاب پر رمز و راز خود را به پایان می‌برد</w:t>
      </w:r>
      <w:r>
        <w:rPr>
          <w:rFonts w:eastAsia="IRNazanin" w:cs="IRNazanin"/>
          <w:color w:val="111111"/>
          <w:sz w:val="28"/>
          <w:szCs w:val="28"/>
          <w:rtl w:val="true"/>
          <w:lang w:bidi="fa-IR"/>
        </w:rPr>
        <w:t>.</w:t>
      </w:r>
    </w:p>
    <w:p>
      <w:pPr>
        <w:pStyle w:val="Heading5"/>
        <w:numPr>
          <w:ilvl w:val="4"/>
          <w:numId w:val="1"/>
        </w:numPr>
        <w:rPr/>
      </w:pPr>
      <w:bookmarkStart w:id="909" w:name="__RefHeading___Toc2420142_653776707"/>
      <w:bookmarkStart w:id="910" w:name="_Toc351"/>
      <w:bookmarkEnd w:id="909"/>
      <w:r>
        <w:rPr>
          <w:rtl w:val="true"/>
        </w:rPr>
        <w:t>ب</w:t>
      </w:r>
      <w:r>
        <w:rPr>
          <w:rtl w:val="true"/>
        </w:rPr>
        <w:t xml:space="preserve">) </w:t>
      </w:r>
      <w:r>
        <w:rPr>
          <w:rtl w:val="true"/>
        </w:rPr>
        <w:t>ارزیابی</w:t>
      </w:r>
      <w:bookmarkEnd w:id="91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فصل از کتاب امر به معروف و نهی از منکر در اندیشۀ اسلامی تألیف جناب مایکل 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ترجمۀ آقای احمد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فصل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تحولات جدید اسلامی که مفصل‌ترین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خاتمه که به‌منزلۀ نتیجه‌گیری پژوهش مفصل نویسنده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فصل‌های کتاب را تشکیل می‌دهند؛ چون مباحث این دو فصل کاملاً معطوف به تحوّلات برآمده از فقه امامیه در دوران معاصر به‌ویژه انقلاب اسلامی ایران است و نویسنده اگرچه معمولاً در لفّافه و با پوشش به بیان دیدگاه‌های </w:t>
      </w:r>
    </w:p>
    <w:p>
      <w:pPr>
        <w:pStyle w:val="BookText"/>
        <w:rPr/>
      </w:pPr>
      <w:r>
        <w:rPr>
          <w:rFonts w:ascii="IRNazanin" w:hAnsi="IRNazanin" w:eastAsia="IRNazanin"/>
          <w:color w:val="111111"/>
          <w:sz w:val="28"/>
          <w:sz w:val="28"/>
          <w:szCs w:val="28"/>
          <w:rtl w:val="true"/>
          <w:lang w:bidi="fa-IR"/>
        </w:rPr>
        <w:t>خود می‌پردازد، ولی گاهی هم با صراحت به این حقیقت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نکته را به‌خوبی دریافته است که اندیشۀ انقلاب اسلامی محور تحوّلات اسلامی و جهانی معاصر می‌باشد و تقابل گفتمانی و تمدّنی غربی و لیبرال دموکراسی با اندیشۀ اسلامی در مبانی انقلاب اسلامی تبلور می‌یابد و مباحث را تا آنجا پیش می‌برد که حتی از مباحث امر به معروف و نهی از منکر هم تا حدودی فاصله می‌گیرد و به اصل تقابل و رویارویی این دو اندیشه و مبانی اعتقادی و ارزش‌های متبلور یافته از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نمونه‌های توجه نویسنده به این موضوع، مصاحبۀ اوریانا فالاچی روزنامه‌نگار ایتالیایی با رهبر کبیر انقلاب اسلامی و معمار بزرگ جمهوری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به‌طور دقیق هم در کتاب این گفت‌وگو انعکاس نیافته است و لذا مترجم در پاورقی تذکرات لازم را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در سطور پایانی، مجدّداً نویسنده یادآور می‌شود که در غرب برخلاف اسلام مقولۀ جرم بدون قربانی یا گناه مطلق اهمیت اخلاقی خود را با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 و در مواردی هم که قربانیانی دارد، با امداد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پیش از این به تفصیل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هیچ جرم و گناهی بی‌قربانی و آسیب نیست، آسیب به خود گناهکار، آسیب به سایر انسان‌ها و حتی آسیب به عوالم هستی از ملک تا ملکوت و ناسپاسی و کفران و ستم نسبت به حقوق حضرت حق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امداد و کمک به قوای شیطانی عالم همگی در شعاع تأثیرات هر گناهی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 تأمّل در معنای واقعی امداد در اندیشۀ اسلامی که از آن به قانون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وَالتَّقْوَى وَلَا تَعَاوَنُوا عَلَى الْإِثْمِ وَالْعُدْوَانِ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تعبیر می‌شود، نهی از منکر هم از مصادیق تعاون بر برّ و تقوا و تواصی به حق و تواصی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بِالْحَقِّ وَتَوَاصَوْا بِالصَّبْرِ</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و امداد شمرده می‌شود</w:t>
      </w:r>
      <w:r>
        <w:rPr>
          <w:rFonts w:eastAsia="IRNazanin" w:cs="IRNazanin"/>
          <w:color w:val="111111"/>
          <w:sz w:val="28"/>
          <w:szCs w:val="28"/>
          <w:rtl w:val="true"/>
          <w:lang w:bidi="fa-IR"/>
        </w:rPr>
        <w:t xml:space="preserve">. </w:t>
      </w:r>
      <w:bookmarkStart w:id="911" w:name="pg8666_123239"/>
    </w:p>
    <w:p>
      <w:pPr>
        <w:pStyle w:val="Heading3"/>
        <w:numPr>
          <w:ilvl w:val="2"/>
          <w:numId w:val="1"/>
        </w:numPr>
        <w:rPr/>
      </w:pPr>
      <w:bookmarkStart w:id="912" w:name="__RefHeading___Toc2420144_653776707"/>
      <w:bookmarkStart w:id="913" w:name="_Toc352"/>
      <w:bookmarkEnd w:id="911"/>
      <w:bookmarkEnd w:id="912"/>
      <w:r>
        <w:rPr>
          <w:rtl w:val="true"/>
        </w:rPr>
        <w:t>خاتمۀ سخن</w:t>
      </w:r>
      <w:bookmarkEnd w:id="913"/>
    </w:p>
    <w:p>
      <w:pPr>
        <w:pStyle w:val="BookText"/>
        <w:rPr/>
      </w:pPr>
      <w:r>
        <w:rPr>
          <w:rFonts w:ascii="IRNazanin" w:hAnsi="IRNazanin" w:eastAsia="IRNazanin"/>
          <w:color w:val="111111"/>
          <w:sz w:val="28"/>
          <w:sz w:val="28"/>
          <w:szCs w:val="28"/>
          <w:rtl w:val="true"/>
          <w:lang w:bidi="fa-IR"/>
        </w:rPr>
        <w:t>خاتمۀ بحث را با ارزیابی آخرین جملۀ مایکل کوک به پایان می‌بریم؛ آنجا که یک حقیقت و یک تردید را در قالب یک جمله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بین دو جهان‌بینی غرب و اسلام در مورد حضرت حق جلّت عظمته است و خواه ناخواه، ریشه تمامی جدال طرفین به این نکتۀ کانونی برمی‌گردد؛ یعنی اعتقاد و ایمان راسخ به ربوبیت تشریعی الهی در تمامی حوزه‌های رفتاری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خطا، کشمکش غرب و اسلام در مورد جایگاه خداوند را مشروط می‌کند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جایگاهی در امور انسانی وجود داشته باشد، درحالی‌که خود این شرط موضوع گفتمان و محل نزاع و جدال است و لذا نمی‌توان جدال طرفین را مشروط به این جمله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جدال لیبرالیزم و اسلام همین است که آیا ربوبیت الهی شامل شئون انسان هم می‌شود یا نه؟ بحث طرفین در ربوبیت الهی و قلمرو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لیبرالیزم با انواع و اقسام انکارهای دینی، اعم از انکار اصل وجود خداوند یا انکار ربوبیت خداوند، اعم از تکوینی و تشریعی و یا انکار ربوبیت تشریعی خداوند و یا انکار ربوبیت تشریعی در خارج از امور فردی و شخصی سازگاری دارد؛ ولی اندیشۀ اسلامی مبتنی بر توحید در جمیع مراتب و منازل آن است، مانند توحید در ذات، توحید در صفات، توحید در اسماء، توحید در ربوبیت، توحید در تشریع و حکم، و توحید در تمامی ساحت‌های انسانی اعم از فردی و اجتماعی و ساحت‌های اجتماعی هم اعم از تعلیم و تربیت، فرهنگ، اقتصاد، سیاست، امنیت، خانواده و غیره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اندیشۀ اسلامی، آزادی‌های فردی و اجتماعی، آزادی قلم و بیان و عقیده، حقوق بشر، جامعۀ مدنی، عدالت و قسط، قانون‌گذای و مدیریّت و داوری، همه و همه در زیرمجموعۀ توحید تعریف می‌شود؛ ولی در لیبرال‌دموکراسی، این مقولات خود به‌طور مجزّا و مستقل و نه در سایۀ ایمان به توحید، تحلیل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آنکه نزاع دو نظام فلسفی لیبرال و اسلام، در مورد جایگاه خداوند است، ولی این نزاع مشروط به این شرط نیست که اگر چنین جایگاهی در امور انسان وجود داشته باشد، بلکه نزاع طرفین در همین است که یکی به چنین جایگاهی با دلیل و حکمت و برهان ایمان و باور دارد و دیگری بدون تبیین صحیح و از روی ظن و گمان به انکار آن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أَفِی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لَهُمْ بِهِ مِنْ عِلْمٍ إِنْ يَتَّبِعُونَ إِلَّا الظَّنَّ وَإِنَّ الظَّنَّ لَايُغْنِی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مِنْ‌الْعِلْمِ إِنَّ رَبَّكَ هُوَ أَعْلَمُ بِمَنْ ضَلَّ عَنْ سَبِيلِهِ وَهُوَ أَعْلَمُ بِمَنْ اهْتَدَى</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وآخر دعوانا ان الحمد لله ربّ العالمین</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p>
    <w:p>
      <w:pPr>
        <w:pStyle w:val="BookText"/>
        <w:rPr/>
      </w:pPr>
      <w:r>
        <w:rPr>
          <w:rFonts w:eastAsia="Times New Roman" w:cs="Times New Roman" w:ascii="Times New Roman" w:hAnsi="Times New Roman"/>
          <w:color w:val="111111"/>
          <w:sz w:val="28"/>
          <w:szCs w:val="28"/>
          <w:lang w:val="en-US" w:bidi="en-US"/>
        </w:rPr>
        <w:t>15/8/1397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حجتیه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8666_123248"/>
      <w:bookmarkStart w:id="915" w:name="pg8666_123248"/>
      <w:bookmarkEnd w:id="915"/>
    </w:p>
    <w:p>
      <w:pPr>
        <w:pStyle w:val="Heading2"/>
        <w:numPr>
          <w:ilvl w:val="1"/>
          <w:numId w:val="1"/>
        </w:numPr>
        <w:rPr/>
      </w:pPr>
      <w:bookmarkStart w:id="916" w:name="pg8666_123248"/>
      <w:bookmarkStart w:id="917" w:name="__RefHeading___Toc2420146_653776707"/>
      <w:bookmarkStart w:id="918" w:name="_Toc353"/>
      <w:bookmarkEnd w:id="916"/>
      <w:bookmarkEnd w:id="917"/>
      <w:r>
        <w:rPr>
          <w:rtl w:val="true"/>
        </w:rPr>
        <w:t>فهرست منابع</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عزالدین،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ابن‌ادریس، محمدبن احمد ، السرائر،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ابن‌اعثم کوفی، محمدبن‌علی، الفتوح،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محمدبن‌احمد</w:t>
      </w:r>
    </w:p>
    <w:p>
      <w:pPr>
        <w:pStyle w:val="BookText"/>
        <w:rPr/>
      </w:pPr>
      <w:r>
        <w:rPr>
          <w:rFonts w:ascii="IRNazanin" w:hAnsi="IRNazanin" w:eastAsia="IRNazanin"/>
          <w:color w:val="111111"/>
          <w:sz w:val="28"/>
          <w:sz w:val="28"/>
          <w:szCs w:val="28"/>
          <w:rtl w:val="true"/>
          <w:lang w:bidi="fa-IR"/>
        </w:rPr>
        <w:t>مستوفی‌هروی،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فرهنگی،چاپ</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محمد، منهاج السنة،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جامعة الإمام محمد بن سعود الإسلامية،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ابن‌حنبل، احمد، مسند احمد بن حنبل،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ابن‌خلکان، أبی‌بكر، وفیات الاعیان،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ابن‌شعبه حرانی، حسن‌بن‌علی،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دارالحدیث، چاپ هفتم،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ابن‌شهرآشوب، محمدبن‌علی، المناقب،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ابن‌ماجه، محمدبن‌یزید، سنن ابن‌ماجه،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دارالجبل،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احمد‌بن‌محمد خلّال، السّنة،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دارالرایة،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علی‌بن‌عیسی، کشف الغمة،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رائین، فراموش‌خانه و فراماسونری در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تهرانی، تاریخ حصر الاجتهاد،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خيام،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چاپ اول، </w:t>
      </w:r>
      <w:r>
        <w:rPr>
          <w:rFonts w:eastAsia="IRNazanin" w:cs="IRNazanin"/>
          <w:color w:val="111111"/>
          <w:sz w:val="28"/>
          <w:szCs w:val="28"/>
          <w:lang w:bidi="fa-IR"/>
        </w:rPr>
        <w:t>14021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فی الکتاب و السنة و الأدب،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الغدير للدراسات الإسلامية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محمدبن اسماعیل، صحیح البخاری، کتاب الصلاة،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جمهوریة المصر العربیة،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بهمنیار، احمد صاحب‌بن‌عبّاد، شرح حال و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دانشگاه تهران،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محمدبن‌عیسی، سنن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 التوزیع،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محمدعلی، موسوعة کشاف اصطلاحات الفنون و العلوم،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الثعالبی، الفکر السامی فی تاریخ الفقه الاسلامی،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پیشه‌فرد،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عدالت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حکومت اسلامی،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سال دهم،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پیشه‌فرد، مصطفی، الاجتهاد عند المذاهب الاسلامیة،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الحضارة لتنمیة الفکر الاسلامی، طبعة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پیشه‌فرد، پیشینۀ نظریۀ ولایت فقیه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خبرگان رهبری،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احمد بن حنبل در تعدیل مذهب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آسمان، شماره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جلالی‌مقدم، مسعود، اباضیان، آخرین بازماندگان خوارج،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سبز،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مؤلفان، زیر نظر کاظم موسوی بجنوردی، دایرة المعارف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اباضیان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ایرانی اسلامی،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حجت‌الله اصیل، زندگی و اندیشه میرزاملکم خان ناظم الدوله،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الخضری بک، محمد، تاریخ التشریع الاسلامی،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چاپ هشتم،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بن ابیک الصفدی، الوافی بالوفیات،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چاپ دوم،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روح‌الله، ترجمه تحریر الوسیله،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شیخ مسلم، کتاب اصول علم الرجال بین النظریة و التطبیق، دانشگاه میبد، چاپ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راشدی‌نیا، اکبر، نشریه معارف عقلی،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الملل و النحل،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جامعة المدرسين،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آیین وهابیت،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جعفر، طبقات الفقهاء،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صادق علیه السلام،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تاریخ الخلفاء،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 سید رضی، فقه السنّة، تهران، انتشارات احسان، چاپ سوم،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 سید رضی، نهج البلاغة، باب خطبه‌های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ابوالفتح محمدبن عبدالكريم ، موسوعة الملل و النحل،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چاپ سوم،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علی‌بن الحسین،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علی، ریاض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آل‌البيت عليهم السلام لاحياء التراث،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تعلیقة علی البحار الانوار، کیهان اندیشه،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محمد‌بن‌جریر، تاریخ الطبری،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انتشارات اساطیر،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طقوش، محمد‌بن‌سهیل، دولت عباسیان،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چاپ هفتم،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علامه مرتضی، معالم المدرستین،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اصول 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علم‌الهدی، سید مرتضی، الانتصار،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علی‌محمد معوض و عادل احمد عبدالموجود، تاریخ التشریع الاسلامی،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العلمیة،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محمدبن‌عمر، تفسیر الکبیر،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یعلی، الاحکام السلطانیة،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طبعة الثانیة،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فیض، محسن، محجة البیضاء،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محمد‌بن‌یعقوب، الاصول من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محمدبن‌یعقوب، الفروع من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اکبری،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علویان و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اسلام در آینه پژوهش، پاييز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پيش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علی‌بن‌محمد، الاحکام السلطانیة و الولایات الدینیة،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التعاون للنشر والتوزيع، عباس أحمد الباز مكة المكرمة،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الخامسة،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الجامعة لدرر اخبار الأئمة الأطهار،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کراجکی، محمدبن‌علی، کنز الفوائد،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سلام مدکور، مناهج الاجتهاد فی الاسلام،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الکویت،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مسلم‌بن حجاج،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للطباعة و النشر، الطبعة الأولی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محمدبن‌محمد، المقنعة،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یزدی، سید جلیل، مناقب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کوثر کویر،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شیخ محمد حسن، جواهر الکلام فی شرح شرائع الإسلام،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احمدبن‌علی، السنن الکبری،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منشورات محمدعلی بیضون،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مستدرک الوسائل،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آل‌البيت لاحياء التراث،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معروف الحسنی، الشیعة بین الاشاعرة و المعتزلة،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رضوی،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شاهرودی، سید محمود، فرهنگ فقه مطابق مذهب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دائرة المعارف فقه اسلامی بر مذهب اهل‌بیت،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ویکی شیعه، دانشنامه مجازی مکتب اهل‌بیت علیهم السلام، مجمع جهانی اهل‌بیت علیهم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کوک، امر به معروف و نهی از منکر در اندیشه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اسپیجاب ظاهراً نقطه دوردست و از دولت و حکومت به دور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عبدالحسین امینی، الغدیر فی الکتاب و السنة و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الاجتهاد عند المذاهب الاسلامیة،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کتاب مایکل به جای بنی‌اسرائیل، اسرائیلیان ذکر شده که نیازمند تأمّل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الحشویة بسکون الشین و فتحها و هم قوم تمسکّوا بالظواهر فذهبوا الی التجسم و غیره و هم من الفرق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السبکی فی شرح اصول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الحشویة طائفة ضلّوا عن سبیل الله یجرون آیات الله علی ظاهرها و یعتقدون انه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تهانوی، موسوعة کشاف اصطلاحات الفنون و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ابن‌اعثم،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علامه عسکری،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 معالم المدرستین،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واژه</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پاسخ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احمدبن‌حنبل به پرسش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خلاف اصطلاح رایج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حدیث تنها در مورد سخنان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در میان امامیه شامل سخنان سایر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گردد، ولی برای سخن غیر ایشان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نمی‌رود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رفتارهای نامشروع جنسی بر اساس معیارهای غربی کم‌اهمیت باشد، ولی به چه دلیل مایکل آن را نزد بسیاری از معاصران ابن‌حنبل کم‌اهمیت می‌شمرد؟ درحالی‌که این مسائل از مهم‌ترین مسائلی است که مسلمانان نسبت به آنها در طول تاریخ شدیداً حسّاس بوده‌اند و از نقاط مورد اتفاق و اجماع مسلمانان همین حساسیت نسبت به مسائل جنسی و مسئله زن و خانواده و پوشش و سایر امور مرتبط با آن بوده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الاجتهاد عند المذاهب الاسلامیة،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مدکور، مناهج الاجتهاد فی الاسلام،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محمد الخضری بک، تاریخ التشریع الاسلامی،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این دوره، جای معروف و منکر عوض شده بود؛ به جای امر به معروف، نهی از معروف و به جای نهی از منکر، امر به منکر می‌شده است، ولی سؤال آن است که آیا این برخوردهای خشونت‌گرایانه را به چه دلیل نویسنده به پای امر به معروف و نهی از منکر می‌نویسد؟ درحالی‌که متأسفانه سند و مدرکی دراین‌باره ارائه نمی‌دهد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رشته اصلی و تخصصی مایکل کوک، تاریخ انگلستان و اروپا و سپس تاریخ اسلام است، در نقل مباحث و تحلیل امور، بیشتر به جنبه تاریخی حوادث می‌پردازد و چه بسا از هدف اصلی خویش که نهی از منکر در اندیشه اسلامی است، بازمی‌ماند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هم که به گزارش اندیشه‌های مرتبط با امر به معروف و نهی از منکر می‌پردازد، چندان مطالب او عمیق و تحلیلی نیست، به‌گونه‌ای که بتواند خواننده را به لایه‌های عمیق‌تر و علمی بحث هدایت کند؛ ازاین‌رو، آنچه در این قسمت از کتاب مایکل کوک گزارش شد از جهت اندیشه و تفکر، چندان ارزشمند و قابل توجه نخواهد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مدکور، مناهج الاجتهاد فی الاسلام،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مسند احمد‌بن‌حنبل،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نسائی، السنن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روش معمول مایکل کوک که در بسیاری از موارد، به ارزش‌گذاری منابع نمی‌پردازد و نمی‌کوشد تا برای خواننده جایگاه یک اثر و یک کتاب را که مستند او و از منابع گزارش اوست، آشکار گرداند، ولی در اینجا، نسبت به جایگاه و ارزش کتاب ابن‌تیمیه به اظهار نظر می‌پردازد که این نکته در ارزیابی فصول پایانی کتاب مایکل با تفصیل بیشتر خواهد آمد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الاجتهاد عند المذاهب الاسلامیة،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ابیک الصفدری، الوافی بالوفیات،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مدکور، منهاج الاجتهاد فی الاسلام،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الصلاة، ابواب استقبال القبلة، باب التعاون فی بناء المسجد، حدیث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الجهاد والسیر، باب مسح الغبار عن الأس فی سبیل الله، حدیث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متواتر رواه اربعة و عشرون من الصحابه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بکر احمد‌بن‌محمد خلّال،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ابی‌بکر‌بن‌خلال،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مکارم شیرازی،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سابق، فقه السنّة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آیین وهابیت،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نقش احمد‌بن‌حنبل در تعدیل مذهب اهل سنت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آیین وهابیت،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خصیب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حاصل‌خیز، داس بارور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بخش تاریخی از غرب آسیا و دربرگیرندۀ بخش‌های خاوری دریای مدیترانه، بین‌النهرین و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 بارور با رودهای نیل، دجله، فرات و اردن سیراب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از غرب به مدیترانه، از شمال به بیابان سوریه و از دیگر جهت‌ها به شبه جزیره عربستان و خلیج فارس محدود می‌شود و شامل کشورهای مصر، فلسطین اشغالی، لبنان و نوار غزه و کرانه باختری رود اردن و بخش‌هایی از اردن، سوریه، عراق، جنوب شرقی ترکیه، غرب و جنوب غربی ایران می‌شود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قاضی عسکر، شهید صفا و مجله میقات حج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خمسه اعتزالی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برخلاف اشاعره معتقد به توحید صفاتی بودند و صفات زائد بر ذات الهی را نفی می‌کردند؛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معتزلیان همچون شیعیان و برخلاف اشاعره قائل به حسن و قبح عقلی‌اند و چون ذات خداوند را از انجام کار قبیح مبرّا می‌دانند پس لزوماً کارهایش را بر طبق عقل می‌شمرند؛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بین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در مقابل خوارج و مرجئه، معتقدند که مرتکب کبیره نه کافر است و نه مؤمن، بلکه منزلتی بین کفر و ایمان دارد؛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و 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نه خلف وعده می‌کند و نه خلف وعید و کیفر کافران و فاسقان در قیامت انجام خواهد شد؛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مشایخ معتزله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الاعتزال قائم علی اصول خمسة عامّة؛ من اعتقد به جمیعاً کان معتزلیا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و العدل و الوعد و الوعید و المنزلة بین المنزلتین و الامر بالمعروف و النهی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الانتصار،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اسماعیل‌بن‌عبّاد ملقّب به صاحب و مشهور به صاحب‌بن‌عبّاد از بزرگان شیعه امامیه است که علاوه بر تصریح ترجمه نویسان و مورّخان، اشعار و سیره و سمت حکومتی او همگی دلالت صریح بر امامی‌بودن او دارد و اینکه مایکل کوک او را در شمار اهل اعتزال قرار داده است، ناشی از خلطی است که بسیاری از نویسندگان سنّی مذهب داشته و شیعیان را از پیروان مذهب اعتزالی تلقی کرده‌اند، درحالی‌که در بسیاری از اصول اساسی از جمله عصمت و وجوب امام و امامت ائمه اثنی عشر، کاملاً با هم متفاوت‌اند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ابن‌خلکان، 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احمد بهمنیار، صاحب‌بن‌عبّاد، شرح حال و آثار،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سید محسن امین، اعیان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هاشم معروف الحسنی، الشیعة بین الاشاعرة و المعتزلة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مانکدیم زیدی علوی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گفتنی است که به گفتۀ دهخدا در لغت‌نامه، مانکدیم واژه مرکّب از مانک به معنای ماه و دیم به معنای روی است؛ بنابراین مانکدیم به معنای ماه رو و کسی است که وجهش همچون قرص قمر درخشان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لقب سادات معزز نزد مردم گیلان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مانکدیم یک لقب عامی برای سادات بزرگ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حسن مانکدیم بن ابی‌جعفر احمد امیرک بن ابی‌الحسن محمد که از اعلام اصفهان بوده و در فتنه سبکتیکین غزنوی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اطلاق آن بر یک نفر که مورد نظر مایکل کوک است، نیازمند پژوهش و توضیح بیشتری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واژه مانکدیم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مورد صاحب‌بن‌عبّاد گفته شد، سدیدالدین حمّصی صاحب کتاب المنقذ من التقلید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بزرگان امامیه است و نمی‌توان او را در دایره اعتزالی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طبقات الفقهاء،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مطالب این قسمت مایکل کوک گفتنی است، اوّلاً تتبع در منابع علمی و تاریخ سیاسی و دولت‌های طبرستان و یمن زیدیه نیازمند پژوهشی مستقل و تخصصی دراین‌باره است، به‌ویژه برای کسانی که دغدغۀ فقه دولت و فقه حکومتی را دارند و تحولات حوادث سال‌های اخیر یمن در جنگ حوثیّن با عربستان، نیز این ضرورت را بیشتر آشکار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مباحث لزوماً با بحث امر به معروف و نهی از منکر در اندیشه اسلامی ارتباط مستقیم ندارد و مایکل کوک باید این ارتباط را شرح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اینکه به نظر مایکل کوک در مقدمه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کلام زیدیه در عداد کلام اعتزالی شمرده شود، این هم ادعایی است که نیازمند بررسی و اثبات با دلیل است و نویسنده به اندازه کافی شاهد و سند برای آن ارائه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نسبت به امامیه، چنانچه در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خواهد آمد، این نسبت ثابت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عقل‌گرایی در کلام زیدیه و امامیه را می‌توان پذیرفت، ولی جزء مکتب اعتزال به اصطلاح خاص قرار گرفتن زیدیه و امامیه، نیازمند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امامیه را به تسلیم و رضا شناساندن در برابر عمل‌گرایی زیدیه، چنانچه در فصل آتی می‌آید، دقیق و علمی نیست بلکه مخدوش می‌باشد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سخن مترجم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خطبه دوم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سخن مترجم،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مناهج الاجتهاد و مدارسه،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علامه مرتضی عسکری، 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 باب الاضطرار الی الحج،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محقق کراجکی، کنز الفوائد،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تعلیقات علامه طباطبایی،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العدل،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تعلیقه بر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بزرگ تهرانی، تاریخ حصر الاجتهاد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پیشینۀ نظریۀ ولایت فقیه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تحقیق شود که نویسنده از کدام مطلب آقای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استفاده کرده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جباری، سازمان وکالت و نقش آن در عصر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 پیشینۀ نظریه ولایت فقیه،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ابن‌ادریس، السرائر؛ مؤلف، پیشینۀ نظریۀ ولایت فقیه،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و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سال دهم،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نوری،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تاریخ و اعتبار کتاب دعائم الاسلام و مؤلف آن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مسلم داوری، کتاب اصول علم الرجال بین النظریة و التطبیق،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الاجتهاد عند المذاهب الاسلامیة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شهرستانی، موسوعة الملل و النحل،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جعفر سبحانی،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الاجتهاد عند المذاهب الاسلامیة،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محمد سلام مدکور، مناهج الاجتهاد فی الاسلام،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 الفکر السامی فی تاریخ الفقه الاسلامی،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علی محمد معوض و عادل احمد عبدالموجود، تاریخ التشریع الاسلامی،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مؤلف، الاجتهاد عند المذاهب الاسلامیة،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قبیل سخنان مایکل کوک، تنها زمینه‌ای برای تحقیق و پژوهش را فراهم می‌آورد، ولی اعتماد به آنها، بدون مراجعه به مصادر و تحلیل و بررسی عالمانه آنها، جای تأمّل دارد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همزمان با صفویه در ایران می‌شود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از اغوا کننده چه چیزی را اراده کرده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عینیت پیدا کردن نهی از منکر در جامعه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عثمان نوری، دستاورد اصلاح‌گرایی غربی در اواخر دوره عثمانی بود، امّا نخواست آن رادر اینجا نشان دهد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مایکل به این خاطر تعبیر به مبهوت می‌کند که این مطلب، مخالف عقیده عمومی اهل سنت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سطر اول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الاجتهاد عند المذاهب الاسلامیة،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الاجتهاد عند المذاهب الاسلامیة،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الله اکبری، محمد، رابطۀ علویان و عباسیان،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محمد‌بن‌سهیل طقوش، دولت عباسیان،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نهج‌البلاغه، تحقیق الدکتور صبحی صالح، من کلام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محمد‌بن‌جریر،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جلالی‌مقدم، اباضیان، آخرین بازماندگان خوارج؛ دایرةالمعارف بزرگ اسلامی، مدخل اباضیان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مرحوم فیض کاشانی در کتاب المحجة البیضاء فی تهذیب الاحیاء، کتاب هشتم از ربع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کتاب آداب السمع و الوجد از احیاء العلوم را به دلیل آنکه از مذهب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حذف کرده است و به جای آن در پایان ربع دوم کتاب آداب شیعه و اخلاق امامت را اضافه کرده است، لذا کتاب امر به معروف و نهی از منکر کتاب هشتم از ربع دوم در المحجة البیضاء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 العقول،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 العقول،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همان،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یعلی، الاحکام السلطانیة،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علی‌بن‌محمد ماوردی، الاحکام السلطانیة و الولایات الدینیة،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دعای سحر؛ مؤلف، مقاله امام و غزالی، نشریه حضور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عنوان سیاست نهی از منکر آمده، ولی شاید منظور نویسنده، سیاست و نهی از منکر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مقاله امنیت و عدالت، مجله حکومت اسلامی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واژه </w:t>
      </w:r>
      <w:r>
        <w:rPr>
          <w:rFonts w:eastAsia="IRNazanin" w:cs="IRNazanin"/>
          <w:b w:val="false"/>
          <w:bCs w:val="false"/>
          <w:i w:val="false"/>
          <w:iCs w:val="false"/>
          <w:color w:val="333333"/>
          <w:sz w:val="20"/>
          <w:szCs w:val="20"/>
        </w:rPr>
        <w:t>privacy</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 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حجت‌الله اصیل، زندگی و اندیشه میرزاملکم خان ناظم الدوله،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تعبیر کنار نهادن متفکران غیرروحانی پس از تحکیم نظام روحانی، تحلیلی است که مخالفان ارائه می‌دهند و الاّ نظام اسلامی است و مردم در همه‌پرسی علنی به آن رأی داده‌اند و پس از آن هم تمامی منتخبان مردم اعم از روحانی و غیرروحانی، در ارکان مختلف قدرت از طریق انتخاب‌های گوناگون حضور دارند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پیشینۀ نظریۀ ولایت فقیه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الاجتهاد عند المذاهب الاسلامیة، الفصل التاسع والفصل العاشر،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شغل در این عبارت چندان روشن نیست و شاید ترجمه نادرست یا غیردقیق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این موارد که نویسنده ذکر می‌کند، همگی مربوط به قرون جدید و بسیار متأخر از اسلام است و به نظر می‌رسد متأثر از اندیشه اسلامی بوده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غیرتوحیدی‌بودن آیین زردشت محل تأمّل جدّی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اینکه این ادیان دارای شریعت و به‌اصطلاح، فقه باشند، نیاز به تأمّل و پژوهش بیشتری دارد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طبق نظریۀ مشهور فقیهان امامیه، مجوس از اهل کتاب محسوب می‌شوند و دین آنها از ادیان یکتاپرستی و آسمانی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منابع روایی مذهب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سه مرحله‌ای در این منابع ثابت نیست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از جهاد به‌عنوان قیام برای آسودگی وجدانی، چندان مطابق واقع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از عبادات است و باید به قصد قربت انجام پذیرد و چنانچه صرفاً برای آسودگیِ وجدان باشد، نه‌تنها به تکلیف عمل نشده، بلکه گناهکار هم شمرده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طباطبایی، ریاض المسائل، کتاب الجهاد،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مایکل از نقل این جمله آن باشد که لازمۀ این توصیه آن بود که تذکر نسبت به آزار نرساندن به حیوانات در اصل وظیفه 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متن به‌گونه‌ای دیگر این لازمه منعکس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نظر مترجم در صحیفه نور چنین مطلبی نیامده است، ظاهراً نویسنده مطلب را از روزنامه‌هایی که مصاحبه فالاچی با امام را به‌صورت بریده نقل کرده، آورده است و برخی مطالب در صحیفه نور که مصاحبه‌های امام را جمع‌آوری کرده متفاوت است یا کلاً نیامده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اصل مصاحبه را از صحیفه نور این‌گونه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چادر، آيا صحيح است كه اين زن‌ها خود را زير چادر مخفی كنند؟ اين زن‌ها در انقلاب شركت كردند، كشته دادند، زندان رفتند، مبازره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 يک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رسم از قديم مانده است، حالا ديگر دنيا هم عوض شده، حالا اين صحيح است كه مثلاً اينها خودشان را مخفی كنند؟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اينكه اين یک اختياری است برای آنها، خودشان اختيار كردند شما چه حقی داريد كه اختيار آنها را از دست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شان بگيرید؟ و ثانياً اينكه ما يک پوشش خاصی را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گوييم برای حدود زن‌هايی كه به سن و سال شما رسيده‌اند، هيچ چيزی نيست ما زن‌های جوانی كه وقتی ايشان آرايش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كنند 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آيند يک فوج را دنبال خودشان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كشند اينها را داريم جلوشان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گيريم شما هم دل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تان نسوزد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image" Target="media/image4.jpeg"/><Relationship Id="rId47" Type="http://schemas.openxmlformats.org/officeDocument/2006/relationships/image" Target="media/image4.jpeg"/><Relationship Id="rId48" Type="http://schemas.openxmlformats.org/officeDocument/2006/relationships/footer" Target="footer39.xml"/><Relationship Id="rId49" Type="http://schemas.openxmlformats.org/officeDocument/2006/relationships/image" Target="media/image5.jpeg"/><Relationship Id="rId50" Type="http://schemas.openxmlformats.org/officeDocument/2006/relationships/image" Target="media/image5.jpeg"/><Relationship Id="rId51" Type="http://schemas.openxmlformats.org/officeDocument/2006/relationships/footer" Target="footer40.xml"/><Relationship Id="rId52" Type="http://schemas.openxmlformats.org/officeDocument/2006/relationships/image" Target="media/image6.jpeg"/><Relationship Id="rId53" Type="http://schemas.openxmlformats.org/officeDocument/2006/relationships/image" Target="media/image6.jpeg"/><Relationship Id="rId54" Type="http://schemas.openxmlformats.org/officeDocument/2006/relationships/footer" Target="footer41.xml"/><Relationship Id="rId55" Type="http://schemas.openxmlformats.org/officeDocument/2006/relationships/image" Target="media/image7.jpeg"/><Relationship Id="rId56" Type="http://schemas.openxmlformats.org/officeDocument/2006/relationships/image" Target="media/image7.jpeg"/><Relationship Id="rId57" Type="http://schemas.openxmlformats.org/officeDocument/2006/relationships/footer" Target="footer42.xml"/><Relationship Id="rId58" Type="http://schemas.openxmlformats.org/officeDocument/2006/relationships/image" Target="media/image8.jpeg"/><Relationship Id="rId59" Type="http://schemas.openxmlformats.org/officeDocument/2006/relationships/image" Target="media/image8.jpeg"/><Relationship Id="rId60" Type="http://schemas.openxmlformats.org/officeDocument/2006/relationships/footer" Target="footer43.xml"/><Relationship Id="rId61" Type="http://schemas.openxmlformats.org/officeDocument/2006/relationships/image" Target="media/image9.jpeg"/><Relationship Id="rId62" Type="http://schemas.openxmlformats.org/officeDocument/2006/relationships/image" Target="media/image9.jpeg"/><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footer" Target="footer377.xml"/><Relationship Id="rId397" Type="http://schemas.openxmlformats.org/officeDocument/2006/relationships/footer" Target="footer378.xml"/><Relationship Id="rId398" Type="http://schemas.openxmlformats.org/officeDocument/2006/relationships/footer" Target="footer379.xml"/><Relationship Id="rId399" Type="http://schemas.openxmlformats.org/officeDocument/2006/relationships/footer" Target="footer380.xml"/><Relationship Id="rId400" Type="http://schemas.openxmlformats.org/officeDocument/2006/relationships/footer" Target="footer381.xml"/><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footer" Target="footer393.xml"/><Relationship Id="rId413" Type="http://schemas.openxmlformats.org/officeDocument/2006/relationships/footer" Target="footer394.xml"/><Relationship Id="rId414" Type="http://schemas.openxmlformats.org/officeDocument/2006/relationships/footer" Target="footer395.xml"/><Relationship Id="rId415" Type="http://schemas.openxmlformats.org/officeDocument/2006/relationships/footer" Target="footer396.xml"/><Relationship Id="rId416" Type="http://schemas.openxmlformats.org/officeDocument/2006/relationships/footer" Target="footer397.xml"/><Relationship Id="rId417" Type="http://schemas.openxmlformats.org/officeDocument/2006/relationships/footer" Target="footer398.xml"/><Relationship Id="rId418" Type="http://schemas.openxmlformats.org/officeDocument/2006/relationships/footer" Target="footer399.xml"/><Relationship Id="rId419" Type="http://schemas.openxmlformats.org/officeDocument/2006/relationships/footer" Target="footer400.xml"/><Relationship Id="rId420" Type="http://schemas.openxmlformats.org/officeDocument/2006/relationships/footer" Target="footer401.xml"/><Relationship Id="rId421" Type="http://schemas.openxmlformats.org/officeDocument/2006/relationships/footer" Target="footer402.xml"/><Relationship Id="rId422" Type="http://schemas.openxmlformats.org/officeDocument/2006/relationships/footer" Target="footer403.xml"/><Relationship Id="rId423" Type="http://schemas.openxmlformats.org/officeDocument/2006/relationships/footer" Target="footer404.xml"/><Relationship Id="rId424" Type="http://schemas.openxmlformats.org/officeDocument/2006/relationships/footer" Target="footer405.xml"/><Relationship Id="rId425" Type="http://schemas.openxmlformats.org/officeDocument/2006/relationships/footer" Target="footer406.xml"/><Relationship Id="rId426" Type="http://schemas.openxmlformats.org/officeDocument/2006/relationships/footer" Target="footer407.xml"/><Relationship Id="rId427" Type="http://schemas.openxmlformats.org/officeDocument/2006/relationships/footer" Target="footer408.xml"/><Relationship Id="rId428" Type="http://schemas.openxmlformats.org/officeDocument/2006/relationships/footer" Target="footer409.xml"/><Relationship Id="rId429" Type="http://schemas.openxmlformats.org/officeDocument/2006/relationships/footer" Target="footer410.xml"/><Relationship Id="rId430" Type="http://schemas.openxmlformats.org/officeDocument/2006/relationships/footer" Target="footer411.xml"/><Relationship Id="rId431" Type="http://schemas.openxmlformats.org/officeDocument/2006/relationships/footer" Target="footer412.xml"/><Relationship Id="rId432" Type="http://schemas.openxmlformats.org/officeDocument/2006/relationships/footer" Target="footer413.xml"/><Relationship Id="rId433" Type="http://schemas.openxmlformats.org/officeDocument/2006/relationships/footer" Target="footer414.xml"/><Relationship Id="rId434" Type="http://schemas.openxmlformats.org/officeDocument/2006/relationships/footer" Target="footer415.xml"/><Relationship Id="rId435" Type="http://schemas.openxmlformats.org/officeDocument/2006/relationships/footer" Target="footer416.xml"/><Relationship Id="rId436" Type="http://schemas.openxmlformats.org/officeDocument/2006/relationships/footer" Target="footer417.xml"/><Relationship Id="rId437" Type="http://schemas.openxmlformats.org/officeDocument/2006/relationships/footer" Target="footer418.xml"/><Relationship Id="rId438" Type="http://schemas.openxmlformats.org/officeDocument/2006/relationships/footer" Target="footer419.xml"/><Relationship Id="rId439" Type="http://schemas.openxmlformats.org/officeDocument/2006/relationships/footer" Target="footer420.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21.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99302</Words>
  <Characters>397871</Characters>
  <CharactersWithSpaces>495580</CharactersWithSpaces>
  <Paragraphs>1900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2026-08-20T03:06:39Z</dcterms:created>
  <dc:creator>ghaemiyeh.com</dc:creator>
  <dc:description/>
  <dc:language>en-US</dc:language>
  <cp:lastModifiedBy/>
  <dcterms:modified xsi:type="dcterms:W3CDTF">2026-08-20T06:36:52Z</dcterms:modified>
  <cp:revision>1</cp:revision>
  <dc:subject/>
  <dc:title>نقدی بر کتاب امر به معروف و نهی از منکر در اندیشه اسلامی اثر مایکل کوک ترجمه احمد نمایی</dc:title>
</cp:coreProperties>
</file>

<file path=docProps/custom.xml><?xml version="1.0" encoding="utf-8"?>
<Properties xmlns="http://schemas.openxmlformats.org/officeDocument/2006/custom-properties" xmlns:vt="http://schemas.openxmlformats.org/officeDocument/2006/docPropsVTypes"/>
</file>